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F725B9" w14:textId="77777777" w:rsidR="00ED4A42" w:rsidRPr="00ED4A42" w:rsidRDefault="00ED4A42" w:rsidP="00ED4A42">
      <w:pPr>
        <w:spacing w:line="480" w:lineRule="auto"/>
        <w:rPr>
          <w:rFonts w:ascii="Arial" w:hAnsi="Arial" w:cs="Arial"/>
          <w:b/>
          <w:bCs/>
          <w:sz w:val="24"/>
          <w:szCs w:val="24"/>
        </w:rPr>
      </w:pPr>
      <w:r w:rsidRPr="00ED4A42">
        <w:rPr>
          <w:rFonts w:ascii="Arial" w:hAnsi="Arial" w:cs="Arial"/>
          <w:b/>
          <w:bCs/>
          <w:sz w:val="24"/>
          <w:szCs w:val="24"/>
        </w:rPr>
        <w:t xml:space="preserve">LITERATURE REVIEW – Ethical and medical implications. </w:t>
      </w:r>
    </w:p>
    <w:p w14:paraId="516ED4FE" w14:textId="77777777" w:rsidR="00ED4A42" w:rsidRPr="00ED4A42" w:rsidRDefault="00ED4A42" w:rsidP="00ED4A42">
      <w:pPr>
        <w:spacing w:line="480" w:lineRule="auto"/>
        <w:rPr>
          <w:rFonts w:ascii="Arial" w:hAnsi="Arial" w:cs="Arial"/>
          <w:b/>
          <w:bCs/>
          <w:sz w:val="24"/>
          <w:szCs w:val="24"/>
        </w:rPr>
      </w:pPr>
    </w:p>
    <w:p w14:paraId="23EDE340" w14:textId="77777777" w:rsidR="00ED4A42" w:rsidRPr="00ED4A42" w:rsidRDefault="00ED4A42" w:rsidP="00ED4A42">
      <w:pPr>
        <w:spacing w:line="480" w:lineRule="auto"/>
        <w:rPr>
          <w:rFonts w:ascii="Arial" w:hAnsi="Arial" w:cs="Arial"/>
          <w:b/>
          <w:bCs/>
          <w:sz w:val="24"/>
          <w:szCs w:val="24"/>
        </w:rPr>
      </w:pPr>
      <w:r w:rsidRPr="00ED4A42">
        <w:rPr>
          <w:rFonts w:ascii="Arial" w:hAnsi="Arial" w:cs="Arial"/>
          <w:b/>
          <w:bCs/>
          <w:sz w:val="24"/>
          <w:szCs w:val="24"/>
        </w:rPr>
        <w:t>INTRODUCTION</w:t>
      </w:r>
    </w:p>
    <w:p w14:paraId="7833D2F5" w14:textId="77777777" w:rsidR="00ED4A42" w:rsidRPr="00ED4A42" w:rsidRDefault="00ED4A42" w:rsidP="00ED4A42">
      <w:pPr>
        <w:spacing w:line="480" w:lineRule="auto"/>
        <w:rPr>
          <w:rFonts w:ascii="Arial" w:hAnsi="Arial" w:cs="Arial"/>
          <w:b/>
          <w:bCs/>
          <w:sz w:val="24"/>
          <w:szCs w:val="24"/>
        </w:rPr>
      </w:pPr>
    </w:p>
    <w:p w14:paraId="7730F07F"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Throughout the years, police forces around the UK conduct their duties as a means of protecting the public and maintaining peace and with this, use of force along with its guiding legislation has evolved to stand the test of time. As the legislation surrounding police use of force changed and adapted over time, a range of equipment had been introduced including the “taser”, allowing the police to have physical control over citizens to successfully conduct their duties (Crow and Adrion, 2011). The use of taser have been a widely accepted means of police use of force due to it being a “less lethal alternative to firearms” (Dyer, 2015), however with this came a range of controversies surrounding ethical constraints and health implications upon taser use. The purpose of this study is to outline limitations in research previously conducted surrounding the ethical use of taser by UK police officers to allow for further research opportunities. </w:t>
      </w:r>
    </w:p>
    <w:p w14:paraId="2B871CC4" w14:textId="77777777" w:rsidR="00ED4A42" w:rsidRPr="00ED4A42" w:rsidRDefault="00ED4A42" w:rsidP="00ED4A42">
      <w:pPr>
        <w:spacing w:line="480" w:lineRule="auto"/>
        <w:rPr>
          <w:rFonts w:ascii="Arial" w:hAnsi="Arial" w:cs="Arial"/>
          <w:sz w:val="24"/>
          <w:szCs w:val="24"/>
        </w:rPr>
      </w:pPr>
    </w:p>
    <w:p w14:paraId="796762F1" w14:textId="77777777" w:rsidR="00ED4A42" w:rsidRPr="00ED4A42" w:rsidRDefault="00ED4A42" w:rsidP="00ED4A42">
      <w:pPr>
        <w:spacing w:line="480" w:lineRule="auto"/>
        <w:rPr>
          <w:rFonts w:ascii="Arial" w:hAnsi="Arial" w:cs="Arial"/>
          <w:b/>
          <w:bCs/>
          <w:sz w:val="24"/>
          <w:szCs w:val="24"/>
        </w:rPr>
      </w:pPr>
      <w:r w:rsidRPr="00ED4A42">
        <w:rPr>
          <w:rFonts w:ascii="Arial" w:hAnsi="Arial" w:cs="Arial"/>
          <w:b/>
          <w:bCs/>
          <w:sz w:val="24"/>
          <w:szCs w:val="24"/>
        </w:rPr>
        <w:t xml:space="preserve">Controversies of taser use. </w:t>
      </w:r>
    </w:p>
    <w:p w14:paraId="0E4BAC4B" w14:textId="77777777" w:rsidR="00ED4A42" w:rsidRPr="00ED4A42" w:rsidRDefault="00ED4A42" w:rsidP="00ED4A42">
      <w:pPr>
        <w:spacing w:line="480" w:lineRule="auto"/>
        <w:rPr>
          <w:rFonts w:ascii="Arial" w:hAnsi="Arial" w:cs="Arial"/>
          <w:b/>
          <w:bCs/>
          <w:sz w:val="24"/>
          <w:szCs w:val="24"/>
        </w:rPr>
      </w:pPr>
    </w:p>
    <w:p w14:paraId="081D6CBA" w14:textId="6A802214"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The controversies surrounding the use of taser by UK police officers have been a widely spread topic of interest leading to numerous news article. One article by the BBC states that “Police need clearer guidance on tasers” according to a local watchdog, highlighting reports of 108 cases that had been examined (Tom Symonds, </w:t>
      </w:r>
      <w:r w:rsidRPr="00ED4A42">
        <w:rPr>
          <w:rFonts w:ascii="Arial" w:hAnsi="Arial" w:cs="Arial"/>
          <w:sz w:val="24"/>
          <w:szCs w:val="24"/>
        </w:rPr>
        <w:lastRenderedPageBreak/>
        <w:t>2021). Of these 108 cases that have been examined, statistics show that “94 people had a taser discharged at them”, “22% of subjects were black and 71% were white” and that “mental health was a factor in more than half of the cases” (Tom Symonds, 2021). A further study was conducted by the National Police Chief Council in 2017, analysing taser use in British Policing, whereby statistics had been developed and compared from 27 police forces across the UK as a means of analysing the different types of force used and a comparative value of injuries sustained d</w:t>
      </w:r>
      <w:r w:rsidRPr="00ED4A42">
        <w:rPr>
          <w:rFonts w:ascii="Arial" w:hAnsi="Arial" w:cs="Arial"/>
          <w:sz w:val="24"/>
          <w:szCs w:val="24"/>
        </w:rPr>
        <w:t>u</w:t>
      </w:r>
      <w:r w:rsidRPr="00ED4A42">
        <w:rPr>
          <w:rFonts w:ascii="Arial" w:hAnsi="Arial" w:cs="Arial"/>
          <w:sz w:val="24"/>
          <w:szCs w:val="24"/>
        </w:rPr>
        <w:t>ring the use of force.</w:t>
      </w:r>
    </w:p>
    <w:p w14:paraId="73B541BC" w14:textId="77777777" w:rsidR="00ED4A42" w:rsidRPr="00ED4A42" w:rsidRDefault="00ED4A42" w:rsidP="00ED4A42">
      <w:pPr>
        <w:spacing w:line="480" w:lineRule="auto"/>
        <w:rPr>
          <w:rFonts w:ascii="Arial" w:hAnsi="Arial" w:cs="Arial"/>
          <w:sz w:val="24"/>
          <w:szCs w:val="24"/>
        </w:rPr>
      </w:pPr>
    </w:p>
    <w:p w14:paraId="293A7F21"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drawing>
          <wp:anchor distT="0" distB="0" distL="114300" distR="114300" simplePos="0" relativeHeight="251659264" behindDoc="0" locked="0" layoutInCell="1" allowOverlap="1" wp14:anchorId="2D510680" wp14:editId="18731898">
            <wp:simplePos x="0" y="0"/>
            <wp:positionH relativeFrom="column">
              <wp:posOffset>-7034</wp:posOffset>
            </wp:positionH>
            <wp:positionV relativeFrom="paragraph">
              <wp:posOffset>323557</wp:posOffset>
            </wp:positionV>
            <wp:extent cx="5676314" cy="3523543"/>
            <wp:effectExtent l="0" t="0" r="635" b="1270"/>
            <wp:wrapSquare wrapText="bothSides"/>
            <wp:docPr id="166520484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204841" name="Picture 1" descr="A screenshot of a graph&#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676314" cy="3523543"/>
                    </a:xfrm>
                    <a:prstGeom prst="rect">
                      <a:avLst/>
                    </a:prstGeom>
                  </pic:spPr>
                </pic:pic>
              </a:graphicData>
            </a:graphic>
          </wp:anchor>
        </w:drawing>
      </w:r>
    </w:p>
    <w:p w14:paraId="442BE34A" w14:textId="77777777" w:rsidR="00ED4A42" w:rsidRPr="00ED4A42" w:rsidRDefault="00ED4A42" w:rsidP="00ED4A42">
      <w:pPr>
        <w:spacing w:line="480" w:lineRule="auto"/>
        <w:rPr>
          <w:rFonts w:ascii="Arial" w:hAnsi="Arial" w:cs="Arial"/>
          <w:sz w:val="24"/>
          <w:szCs w:val="24"/>
        </w:rPr>
      </w:pPr>
    </w:p>
    <w:p w14:paraId="62BB609A"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The above table was completed using data gathered from 20 participating forces from across the UK and highlights the different types of force used compared to the value of cases within these fields. Of 59,401 total cases, the use of taser had a total </w:t>
      </w:r>
      <w:r w:rsidRPr="00ED4A42">
        <w:rPr>
          <w:rFonts w:ascii="Arial" w:hAnsi="Arial" w:cs="Arial"/>
          <w:sz w:val="24"/>
          <w:szCs w:val="24"/>
        </w:rPr>
        <w:lastRenderedPageBreak/>
        <w:t xml:space="preserve">of 12,646 cases which is 21% of all the force used (National Police Chief Council, 2017). Though these numbers appear to be staggeringly high, the use of tasers appears to be a statistically proficient use of force when analysing data of injuries sustained to the subjects of these incidents. </w:t>
      </w:r>
    </w:p>
    <w:p w14:paraId="4975E22A" w14:textId="77777777" w:rsidR="00ED4A42" w:rsidRPr="00ED4A42" w:rsidRDefault="00ED4A42" w:rsidP="00ED4A42">
      <w:pPr>
        <w:spacing w:line="480" w:lineRule="auto"/>
        <w:rPr>
          <w:rFonts w:ascii="Arial" w:hAnsi="Arial" w:cs="Arial"/>
          <w:sz w:val="24"/>
          <w:szCs w:val="24"/>
        </w:rPr>
      </w:pPr>
    </w:p>
    <w:p w14:paraId="4A724684" w14:textId="77777777" w:rsidR="00ED4A42" w:rsidRPr="00ED4A42" w:rsidRDefault="00ED4A42" w:rsidP="00ED4A42">
      <w:pPr>
        <w:spacing w:line="480" w:lineRule="auto"/>
        <w:rPr>
          <w:rFonts w:ascii="Arial" w:hAnsi="Arial" w:cs="Arial"/>
          <w:sz w:val="24"/>
          <w:szCs w:val="24"/>
        </w:rPr>
      </w:pPr>
      <w:r w:rsidRPr="00ED4A42">
        <w:rPr>
          <w:rFonts w:ascii="Arial" w:hAnsi="Arial" w:cs="Arial"/>
          <w:noProof/>
          <w:sz w:val="24"/>
          <w:szCs w:val="24"/>
        </w:rPr>
        <w:drawing>
          <wp:inline distT="0" distB="0" distL="0" distR="0" wp14:anchorId="12834C9F" wp14:editId="521F3B97">
            <wp:extent cx="5381625" cy="3219450"/>
            <wp:effectExtent l="0" t="0" r="9525" b="0"/>
            <wp:docPr id="1127656781"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656781" name="Picture 1" descr="A table with numbers and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81625" cy="3219450"/>
                    </a:xfrm>
                    <a:prstGeom prst="rect">
                      <a:avLst/>
                    </a:prstGeom>
                    <a:noFill/>
                  </pic:spPr>
                </pic:pic>
              </a:graphicData>
            </a:graphic>
          </wp:inline>
        </w:drawing>
      </w:r>
    </w:p>
    <w:p w14:paraId="1D0806F4"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The above table highlights statistics gathered in 2017 from 18 participating forces across the UK and is associated to injuries sustained to the subject throughout different types of force used. Out of 34,217 cases of force used, taser had a total of 5,444 cases, whereby the number of injuries sustained to the subject were a mere 485 cases. This illustrates a 9% injury rate across all types of force used including police dog, irritant spray, baton, and physical confrontation, highlighting a proficiency in taser use (National Police Chief Council, 2017). This however does not stray away from the controversy of taser use as further statistics have been developed comparing the number of subjects being admitted to hospital following use of taser and the number of deaths recorded following taser use. In 2016, 20 forces shared </w:t>
      </w:r>
      <w:r w:rsidRPr="00ED4A42">
        <w:rPr>
          <w:rFonts w:ascii="Arial" w:hAnsi="Arial" w:cs="Arial"/>
          <w:sz w:val="24"/>
          <w:szCs w:val="24"/>
        </w:rPr>
        <w:lastRenderedPageBreak/>
        <w:t xml:space="preserve">data surrounding the number of taser subjects being admitted to hospital. A total of 5,839 cases of taser use were recorded whereby 948 of these incidents had the taser being fired. Though this number appears to be high, only 159 of these cases had the subject attend hospital (National Police Chief Council, 2017). </w:t>
      </w:r>
    </w:p>
    <w:p w14:paraId="57FF7FAD" w14:textId="77777777" w:rsidR="00ED4A42" w:rsidRPr="00ED4A42" w:rsidRDefault="00ED4A42" w:rsidP="00ED4A42">
      <w:pPr>
        <w:spacing w:line="480" w:lineRule="auto"/>
        <w:rPr>
          <w:rFonts w:ascii="Arial" w:hAnsi="Arial" w:cs="Arial"/>
          <w:sz w:val="24"/>
          <w:szCs w:val="24"/>
        </w:rPr>
      </w:pPr>
    </w:p>
    <w:p w14:paraId="7FD20329"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drawing>
          <wp:inline distT="0" distB="0" distL="0" distR="0" wp14:anchorId="133DE2CE" wp14:editId="4832AF3C">
            <wp:extent cx="5735965" cy="2349305"/>
            <wp:effectExtent l="0" t="0" r="0" b="0"/>
            <wp:docPr id="104077996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79968" name="Picture 1" descr="A screenshot of a graph&#10;&#10;Description automatically generated"/>
                    <pic:cNvPicPr/>
                  </pic:nvPicPr>
                  <pic:blipFill>
                    <a:blip r:embed="rId6"/>
                    <a:stretch>
                      <a:fillRect/>
                    </a:stretch>
                  </pic:blipFill>
                  <pic:spPr>
                    <a:xfrm>
                      <a:off x="0" y="0"/>
                      <a:ext cx="5742380" cy="2351932"/>
                    </a:xfrm>
                    <a:prstGeom prst="rect">
                      <a:avLst/>
                    </a:prstGeom>
                  </pic:spPr>
                </pic:pic>
              </a:graphicData>
            </a:graphic>
          </wp:inline>
        </w:drawing>
      </w:r>
    </w:p>
    <w:p w14:paraId="36D02AA4" w14:textId="77777777" w:rsidR="00ED4A42" w:rsidRPr="00ED4A42" w:rsidRDefault="00ED4A42" w:rsidP="00ED4A42">
      <w:pPr>
        <w:spacing w:line="480" w:lineRule="auto"/>
        <w:rPr>
          <w:rFonts w:ascii="Arial" w:hAnsi="Arial" w:cs="Arial"/>
          <w:sz w:val="24"/>
          <w:szCs w:val="24"/>
        </w:rPr>
      </w:pPr>
    </w:p>
    <w:p w14:paraId="6B009B09"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The last topic regarding the studies conducted by the Nation Police Chief Councils is surrounding fatal incidents that had been investigated by the Independent Office for Police Conduct (IOPC) between the years of 2006 to 2017. As illustrated in the above table, the National Police Chief Council (2017), highlights that of a range of fatal incidents resulting in 1,674 deaths investigated by the IOPC, only two incidents of deaths have been confirmed during Cornoer analyses to be as a direct result of taser use (National Police Chief Council, 2017). This along with the previous data collected by National Police Chief Council reinforces the notion that taser use is a reliable and efficient use of force as observed from a statistical standpoint. </w:t>
      </w:r>
    </w:p>
    <w:p w14:paraId="114890B9" w14:textId="77777777" w:rsidR="00ED4A42" w:rsidRPr="00ED4A42" w:rsidRDefault="00ED4A42" w:rsidP="00ED4A42">
      <w:pPr>
        <w:spacing w:line="480" w:lineRule="auto"/>
        <w:rPr>
          <w:rFonts w:ascii="Arial" w:hAnsi="Arial" w:cs="Arial"/>
          <w:sz w:val="24"/>
          <w:szCs w:val="24"/>
        </w:rPr>
      </w:pPr>
    </w:p>
    <w:p w14:paraId="27E4C4C7" w14:textId="77777777" w:rsidR="00ED4A42" w:rsidRPr="00ED4A42" w:rsidRDefault="00ED4A42" w:rsidP="00ED4A42">
      <w:pPr>
        <w:spacing w:line="480" w:lineRule="auto"/>
        <w:rPr>
          <w:rFonts w:ascii="Arial" w:hAnsi="Arial" w:cs="Arial"/>
          <w:b/>
          <w:bCs/>
          <w:sz w:val="24"/>
          <w:szCs w:val="24"/>
        </w:rPr>
      </w:pPr>
      <w:r w:rsidRPr="00ED4A42">
        <w:rPr>
          <w:rFonts w:ascii="Arial" w:hAnsi="Arial" w:cs="Arial"/>
          <w:b/>
          <w:bCs/>
          <w:sz w:val="24"/>
          <w:szCs w:val="24"/>
        </w:rPr>
        <w:lastRenderedPageBreak/>
        <w:t>Health implications of taser use.</w:t>
      </w:r>
    </w:p>
    <w:p w14:paraId="0E5DC948" w14:textId="77777777" w:rsidR="00ED4A42" w:rsidRPr="00ED4A42" w:rsidRDefault="00ED4A42" w:rsidP="00ED4A42">
      <w:pPr>
        <w:spacing w:line="480" w:lineRule="auto"/>
        <w:rPr>
          <w:rFonts w:ascii="Arial" w:hAnsi="Arial" w:cs="Arial"/>
          <w:b/>
          <w:bCs/>
          <w:sz w:val="24"/>
          <w:szCs w:val="24"/>
        </w:rPr>
      </w:pPr>
    </w:p>
    <w:p w14:paraId="3EFF9178"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Upon analysis of the statistics regarding use of taser, it appears as if the taser is an efficient and safer resource for officers to physically control citizens, however these promising statistics allows for further research to be conducted into how the taser may have negative implications on someone’s health when viewed through a broader scope.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have conducted such studies on the medical effects of a taser discharge, highlighting a range of potential medical effects/injuries including electrical burns around the skin, secondary injuries resulting from falling and delayed dysrhythmias, which is a disturbance in the rate of cardiac muscle contractions, though this is thought to be extremely rare (Anthony </w:t>
      </w:r>
      <w:proofErr w:type="spellStart"/>
      <w:r w:rsidRPr="00ED4A42">
        <w:rPr>
          <w:rFonts w:ascii="Arial" w:hAnsi="Arial" w:cs="Arial"/>
          <w:sz w:val="24"/>
          <w:szCs w:val="24"/>
        </w:rPr>
        <w:t>Bleetman</w:t>
      </w:r>
      <w:proofErr w:type="spellEnd"/>
      <w:r w:rsidRPr="00ED4A42">
        <w:rPr>
          <w:rFonts w:ascii="Arial" w:hAnsi="Arial" w:cs="Arial"/>
          <w:sz w:val="24"/>
          <w:szCs w:val="24"/>
        </w:rPr>
        <w:t xml:space="preserve"> </w:t>
      </w:r>
      <w:r w:rsidRPr="00ED4A42">
        <w:rPr>
          <w:rFonts w:ascii="Arial" w:hAnsi="Arial" w:cs="Arial"/>
          <w:i/>
          <w:iCs/>
          <w:sz w:val="24"/>
          <w:szCs w:val="24"/>
        </w:rPr>
        <w:t xml:space="preserve">et al, </w:t>
      </w:r>
      <w:r w:rsidRPr="00ED4A42">
        <w:rPr>
          <w:rFonts w:ascii="Arial" w:hAnsi="Arial" w:cs="Arial"/>
          <w:sz w:val="24"/>
          <w:szCs w:val="24"/>
        </w:rPr>
        <w:t xml:space="preserve">2022). A further study was conducted by Nanthakumar </w:t>
      </w:r>
      <w:r w:rsidRPr="00ED4A42">
        <w:rPr>
          <w:rFonts w:ascii="Arial" w:hAnsi="Arial" w:cs="Arial"/>
          <w:i/>
          <w:iCs/>
          <w:sz w:val="24"/>
          <w:szCs w:val="24"/>
        </w:rPr>
        <w:t xml:space="preserve">et al </w:t>
      </w:r>
      <w:r w:rsidRPr="00ED4A42">
        <w:rPr>
          <w:rFonts w:ascii="Arial" w:hAnsi="Arial" w:cs="Arial"/>
          <w:sz w:val="24"/>
          <w:szCs w:val="24"/>
        </w:rPr>
        <w:t xml:space="preserve">(2006) surrounding the cardiac consequences of neuromuscular incapacitating devices (NID) </w:t>
      </w:r>
      <w:proofErr w:type="gramStart"/>
      <w:r w:rsidRPr="00ED4A42">
        <w:rPr>
          <w:rFonts w:ascii="Arial" w:hAnsi="Arial" w:cs="Arial"/>
          <w:sz w:val="24"/>
          <w:szCs w:val="24"/>
        </w:rPr>
        <w:t>similar to</w:t>
      </w:r>
      <w:proofErr w:type="gramEnd"/>
      <w:r w:rsidRPr="00ED4A42">
        <w:rPr>
          <w:rFonts w:ascii="Arial" w:hAnsi="Arial" w:cs="Arial"/>
          <w:sz w:val="24"/>
          <w:szCs w:val="24"/>
        </w:rPr>
        <w:t xml:space="preserve"> that of the taser. During this research, a sequence of tests was conducted on 6 anesthetised pigs to analyse the effects of NID discharge across 2 different vectors of the </w:t>
      </w:r>
      <w:proofErr w:type="gramStart"/>
      <w:r w:rsidRPr="00ED4A42">
        <w:rPr>
          <w:rFonts w:ascii="Arial" w:hAnsi="Arial" w:cs="Arial"/>
          <w:sz w:val="24"/>
          <w:szCs w:val="24"/>
        </w:rPr>
        <w:t>pigs</w:t>
      </w:r>
      <w:proofErr w:type="gramEnd"/>
      <w:r w:rsidRPr="00ED4A42">
        <w:rPr>
          <w:rFonts w:ascii="Arial" w:hAnsi="Arial" w:cs="Arial"/>
          <w:sz w:val="24"/>
          <w:szCs w:val="24"/>
        </w:rPr>
        <w:t xml:space="preserve"> bodies, “thoracic which runs parallel to the long axis of the heart on the chest wall and nonthoracic which runs away from the chest, across the abdomen” (Nanthakumar </w:t>
      </w:r>
      <w:r w:rsidRPr="00ED4A42">
        <w:rPr>
          <w:rFonts w:ascii="Arial" w:hAnsi="Arial" w:cs="Arial"/>
          <w:i/>
          <w:iCs/>
          <w:sz w:val="24"/>
          <w:szCs w:val="24"/>
        </w:rPr>
        <w:t xml:space="preserve">et al, </w:t>
      </w:r>
      <w:r w:rsidRPr="00ED4A42">
        <w:rPr>
          <w:rFonts w:ascii="Arial" w:hAnsi="Arial" w:cs="Arial"/>
          <w:sz w:val="24"/>
          <w:szCs w:val="24"/>
        </w:rPr>
        <w:t xml:space="preserve">2006). </w:t>
      </w:r>
    </w:p>
    <w:p w14:paraId="6D7C78EA" w14:textId="77777777" w:rsidR="00ED4A42" w:rsidRPr="00ED4A42" w:rsidRDefault="00ED4A42" w:rsidP="00ED4A42">
      <w:pPr>
        <w:spacing w:line="480" w:lineRule="auto"/>
        <w:rPr>
          <w:rFonts w:ascii="Arial" w:hAnsi="Arial" w:cs="Arial"/>
          <w:sz w:val="24"/>
          <w:szCs w:val="24"/>
        </w:rPr>
      </w:pPr>
    </w:p>
    <w:p w14:paraId="5B379E6B" w14:textId="77777777" w:rsidR="00ED4A4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Throughout the tests, a total of 150 discharges were conducted between the 6 pigs to which 74 of them resulted in stimulation of the myocardium which is the muscle layer of the heart. Further to this, one of the discharges induced a ventricular fibrillation which is a type of irregular heart rhythm whilst another caused a ventricular tachycardia which causes a fast and irregular heartbeat (Nanthakumar </w:t>
      </w:r>
      <w:r w:rsidRPr="00ED4A42">
        <w:rPr>
          <w:rFonts w:ascii="Arial" w:hAnsi="Arial" w:cs="Arial"/>
          <w:i/>
          <w:iCs/>
          <w:sz w:val="24"/>
          <w:szCs w:val="24"/>
        </w:rPr>
        <w:t xml:space="preserve">et </w:t>
      </w:r>
      <w:r w:rsidRPr="00ED4A42">
        <w:rPr>
          <w:rFonts w:ascii="Arial" w:hAnsi="Arial" w:cs="Arial"/>
          <w:i/>
          <w:iCs/>
          <w:sz w:val="24"/>
          <w:szCs w:val="24"/>
        </w:rPr>
        <w:lastRenderedPageBreak/>
        <w:t>al</w:t>
      </w:r>
      <w:r w:rsidRPr="00ED4A42">
        <w:rPr>
          <w:rFonts w:ascii="Arial" w:hAnsi="Arial" w:cs="Arial"/>
          <w:sz w:val="24"/>
          <w:szCs w:val="24"/>
        </w:rPr>
        <w:t>, 2006). According to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both ventricular fibrillation and tachycardia are both treatable at the source, however if untreatable can lead to a variety of medical conditions including congestive heart failure, valvular heart disease and even the potential to cause cardiac arrest (Siegal, </w:t>
      </w:r>
      <w:proofErr w:type="spellStart"/>
      <w:r w:rsidRPr="00ED4A42">
        <w:rPr>
          <w:rFonts w:ascii="Arial" w:hAnsi="Arial" w:cs="Arial"/>
          <w:sz w:val="24"/>
          <w:szCs w:val="24"/>
        </w:rPr>
        <w:t>n.d</w:t>
      </w:r>
      <w:proofErr w:type="spellEnd"/>
      <w:r w:rsidRPr="00ED4A42">
        <w:rPr>
          <w:rFonts w:ascii="Arial" w:hAnsi="Arial" w:cs="Arial"/>
          <w:sz w:val="24"/>
          <w:szCs w:val="24"/>
        </w:rPr>
        <w:t xml:space="preserve">). According to Nanthakumar </w:t>
      </w:r>
      <w:r w:rsidRPr="00ED4A42">
        <w:rPr>
          <w:rFonts w:ascii="Arial" w:hAnsi="Arial" w:cs="Arial"/>
          <w:i/>
          <w:iCs/>
          <w:sz w:val="24"/>
          <w:szCs w:val="24"/>
        </w:rPr>
        <w:t xml:space="preserve">et al </w:t>
      </w:r>
      <w:r w:rsidRPr="00ED4A42">
        <w:rPr>
          <w:rFonts w:ascii="Arial" w:hAnsi="Arial" w:cs="Arial"/>
          <w:sz w:val="24"/>
          <w:szCs w:val="24"/>
        </w:rPr>
        <w:t xml:space="preserve">(2006) in conclusion to the sequence of test conducted, “NID discharges across the chest can produce cardiac stimulation at high rates” and may induce a risk of cardiac effects on humans that may require further investigation (Nanthakumar </w:t>
      </w:r>
      <w:r w:rsidRPr="00ED4A42">
        <w:rPr>
          <w:rFonts w:ascii="Arial" w:hAnsi="Arial" w:cs="Arial"/>
          <w:i/>
          <w:iCs/>
          <w:sz w:val="24"/>
          <w:szCs w:val="24"/>
        </w:rPr>
        <w:t>et al</w:t>
      </w:r>
      <w:r w:rsidRPr="00ED4A42">
        <w:rPr>
          <w:rFonts w:ascii="Arial" w:hAnsi="Arial" w:cs="Arial"/>
          <w:sz w:val="24"/>
          <w:szCs w:val="24"/>
        </w:rPr>
        <w:t xml:space="preserve">, 2006). </w:t>
      </w:r>
    </w:p>
    <w:p w14:paraId="7FC560FC" w14:textId="77777777" w:rsidR="00ED4A42" w:rsidRPr="00ED4A42" w:rsidRDefault="00ED4A42" w:rsidP="00ED4A42">
      <w:pPr>
        <w:spacing w:line="480" w:lineRule="auto"/>
        <w:rPr>
          <w:rFonts w:ascii="Arial" w:hAnsi="Arial" w:cs="Arial"/>
          <w:sz w:val="24"/>
          <w:szCs w:val="24"/>
        </w:rPr>
      </w:pPr>
    </w:p>
    <w:p w14:paraId="1A91C0C3" w14:textId="467D34C7" w:rsidR="00B62492" w:rsidRPr="00ED4A42" w:rsidRDefault="00ED4A42" w:rsidP="00ED4A42">
      <w:pPr>
        <w:spacing w:line="480" w:lineRule="auto"/>
        <w:rPr>
          <w:rFonts w:ascii="Arial" w:hAnsi="Arial" w:cs="Arial"/>
          <w:sz w:val="24"/>
          <w:szCs w:val="24"/>
        </w:rPr>
      </w:pPr>
      <w:r w:rsidRPr="00ED4A42">
        <w:rPr>
          <w:rFonts w:ascii="Arial" w:hAnsi="Arial" w:cs="Arial"/>
          <w:sz w:val="24"/>
          <w:szCs w:val="24"/>
        </w:rPr>
        <w:t xml:space="preserve">A further study of a similar nature had been conducted by </w:t>
      </w:r>
      <w:bookmarkStart w:id="0" w:name="_Hlk165913681"/>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w:t>
      </w:r>
      <w:bookmarkEnd w:id="0"/>
      <w:r w:rsidRPr="00ED4A42">
        <w:rPr>
          <w:rFonts w:ascii="Arial" w:hAnsi="Arial" w:cs="Arial"/>
          <w:sz w:val="24"/>
          <w:szCs w:val="24"/>
        </w:rPr>
        <w:t>which tested the effects taser discharge has on humans. During this study, a taser was discharged to the back of a healthy volunteer who was resting in a controlled environment and was found that taser applications is “generally safe” whilst showing no harm to the volunteer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Though this appears to be a promising result,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highlights a gap in the research conducted, saying that this experiment was conducted in a controlled environment that does not take into account the physiologic situation of the suspect resisting arrest, environmental conditions such as restraint techniques or whether the suspect had been tasered a number of times and other external influences such as drug use.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states that any of these unique real-world situations are likely to place the suspect at a high risk of sudden death (</w:t>
      </w:r>
      <w:proofErr w:type="spellStart"/>
      <w:r w:rsidRPr="00ED4A42">
        <w:rPr>
          <w:rFonts w:ascii="Arial" w:hAnsi="Arial" w:cs="Arial"/>
          <w:sz w:val="24"/>
          <w:szCs w:val="24"/>
        </w:rPr>
        <w:t>Soleimanirahbar</w:t>
      </w:r>
      <w:proofErr w:type="spellEnd"/>
      <w:r w:rsidRPr="00ED4A42">
        <w:rPr>
          <w:rFonts w:ascii="Arial" w:hAnsi="Arial" w:cs="Arial"/>
          <w:sz w:val="24"/>
          <w:szCs w:val="24"/>
        </w:rPr>
        <w:t xml:space="preserve"> and Lee, 2011). Research have been conducted surrounding the effect that taser use have on people suffering a mental health episode or suffers with mental health in general, however there is limited information surrounding this and as such opens a cap for further research to be conducted. </w:t>
      </w:r>
    </w:p>
    <w:sectPr w:rsidR="00B62492" w:rsidRPr="00ED4A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A42"/>
    <w:rsid w:val="00B62492"/>
    <w:rsid w:val="00ED4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9E68B"/>
  <w15:chartTrackingRefBased/>
  <w15:docId w15:val="{4D0A65CF-2AB2-440E-88D4-4D8C67AF6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A4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6</Pages>
  <Words>1197</Words>
  <Characters>6826</Characters>
  <Application>Microsoft Office Word</Application>
  <DocSecurity>0</DocSecurity>
  <Lines>56</Lines>
  <Paragraphs>16</Paragraphs>
  <ScaleCrop>false</ScaleCrop>
  <Company/>
  <LinksUpToDate>false</LinksUpToDate>
  <CharactersWithSpaces>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Healan,Llewis swp8146</dc:creator>
  <cp:keywords/>
  <dc:description/>
  <cp:lastModifiedBy>Healan,Llewis swp8146</cp:lastModifiedBy>
  <cp:revision>1</cp:revision>
  <dcterms:created xsi:type="dcterms:W3CDTF">2024-05-06T20:18:00Z</dcterms:created>
  <dcterms:modified xsi:type="dcterms:W3CDTF">2024-05-06T20:35:00Z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2024-05-06T20:35:26Z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654fa726-80ac-4e60-ae18-569a68f3ee58</vt:lpwstr>
  </property>
  <property fmtid="{D5CDD505-2E9C-101B-9397-08002B2CF9AE}" pid="8" name="MSIP_Label_66cf8fe5-b7b7-4df7-b38d-1c61ac2f6639_ContentBits">
    <vt:lpwstr>0</vt:lpwstr>
  </property>
</Properties>
</file>