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A84D78"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25E75570" w14:textId="58FAF4B5" w:rsidR="009E5BB5" w:rsidRPr="009E5BB5" w:rsidRDefault="00CD33A8" w:rsidP="009E5BB5">
      <w:pPr>
        <w:pStyle w:val="p1"/>
        <w:rPr>
          <w:sz w:val="22"/>
          <w:szCs w:val="22"/>
        </w:rPr>
      </w:pPr>
      <w:r w:rsidRPr="00CD33A8">
        <w:rPr>
          <w:b/>
          <w:bCs/>
          <w:sz w:val="28"/>
          <w:szCs w:val="28"/>
          <w:lang w:val="nl-NL"/>
        </w:rPr>
        <w:t>Module name</w:t>
      </w:r>
      <w:r w:rsidRPr="00CD33A8">
        <w:rPr>
          <w:sz w:val="28"/>
          <w:szCs w:val="28"/>
          <w:lang w:val="nl-NL"/>
        </w:rPr>
        <w:t xml:space="preserve">: </w:t>
      </w:r>
      <w:r w:rsidR="009E5BB5" w:rsidRPr="009E5BB5">
        <w:rPr>
          <w:sz w:val="22"/>
          <w:szCs w:val="22"/>
        </w:rPr>
        <w:t>Introduction to Health and Social Care</w:t>
      </w:r>
      <w:r w:rsidR="00DF1AA3">
        <w:rPr>
          <w:sz w:val="22"/>
          <w:szCs w:val="22"/>
        </w:rPr>
        <w:t>- RE</w:t>
      </w:r>
      <w:r w:rsidR="006E7435">
        <w:rPr>
          <w:sz w:val="22"/>
          <w:szCs w:val="22"/>
        </w:rPr>
        <w:t>SIT</w:t>
      </w:r>
    </w:p>
    <w:p w14:paraId="7D557BA5" w14:textId="36C5731E" w:rsidR="00CD33A8" w:rsidRPr="00CD33A8" w:rsidRDefault="00CD33A8" w:rsidP="00CD33A8">
      <w:pPr>
        <w:tabs>
          <w:tab w:val="left" w:pos="6540"/>
        </w:tabs>
        <w:spacing w:line="360" w:lineRule="auto"/>
        <w:rPr>
          <w:rFonts w:ascii="Arial" w:hAnsi="Arial" w:cs="Arial"/>
          <w:sz w:val="28"/>
          <w:szCs w:val="28"/>
          <w:lang w:val="nl-NL"/>
        </w:rPr>
      </w:pPr>
    </w:p>
    <w:p w14:paraId="272005B5" w14:textId="2A2C67CB" w:rsidR="00C00CD3" w:rsidRDefault="00CD33A8" w:rsidP="00C00CD3">
      <w:pPr>
        <w:pStyle w:val="p1"/>
      </w:pPr>
      <w:r w:rsidRPr="00CD33A8">
        <w:rPr>
          <w:b/>
          <w:bCs/>
          <w:sz w:val="28"/>
          <w:szCs w:val="28"/>
        </w:rPr>
        <w:t>Module code</w:t>
      </w:r>
      <w:r w:rsidRPr="00CD33A8">
        <w:rPr>
          <w:sz w:val="28"/>
          <w:szCs w:val="28"/>
        </w:rPr>
        <w:t>:</w:t>
      </w:r>
      <w:r w:rsidR="00C00CD3" w:rsidRPr="00C00CD3">
        <w:rPr>
          <w:b/>
          <w:bCs/>
        </w:rPr>
        <w:t xml:space="preserve"> </w:t>
      </w:r>
      <w:r w:rsidR="00C00CD3" w:rsidRPr="00C00CD3">
        <w:rPr>
          <w:sz w:val="22"/>
          <w:szCs w:val="22"/>
        </w:rPr>
        <w:t>LCHS4003</w:t>
      </w:r>
      <w:r w:rsidR="00C00CD3" w:rsidRPr="00C00CD3">
        <w:rPr>
          <w:rStyle w:val="apple-converted-space"/>
          <w:sz w:val="22"/>
          <w:szCs w:val="22"/>
        </w:rPr>
        <w:t> </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7273072F" w:rsidR="00074402" w:rsidRDefault="00074402" w:rsidP="00CD33A8">
      <w:pPr>
        <w:tabs>
          <w:tab w:val="left" w:pos="6540"/>
        </w:tabs>
        <w:spacing w:line="360" w:lineRule="auto"/>
        <w:rPr>
          <w:rFonts w:ascii="Arial" w:hAnsi="Arial" w:cs="Arial"/>
          <w:sz w:val="22"/>
          <w:szCs w:val="22"/>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86583C">
        <w:rPr>
          <w:rFonts w:ascii="Arial" w:hAnsi="Arial" w:cs="Arial"/>
          <w:sz w:val="28"/>
          <w:szCs w:val="28"/>
          <w:lang w:val="nl-NL"/>
        </w:rPr>
        <w:t xml:space="preserve"> </w:t>
      </w:r>
      <w:r w:rsidR="0086583C" w:rsidRPr="009E5BB5">
        <w:rPr>
          <w:rFonts w:ascii="Arial" w:hAnsi="Arial" w:cs="Arial"/>
          <w:sz w:val="22"/>
          <w:szCs w:val="22"/>
          <w:lang w:val="nl-NL"/>
        </w:rPr>
        <w:t>Fabiula dos Reis</w:t>
      </w:r>
    </w:p>
    <w:p w14:paraId="351E932E" w14:textId="77777777" w:rsidR="00C00CD3" w:rsidRPr="009E5BB5" w:rsidRDefault="00C00CD3" w:rsidP="00CD33A8">
      <w:pPr>
        <w:tabs>
          <w:tab w:val="left" w:pos="6540"/>
        </w:tabs>
        <w:spacing w:line="360" w:lineRule="auto"/>
        <w:rPr>
          <w:rFonts w:ascii="Arial" w:hAnsi="Arial" w:cs="Arial"/>
          <w:sz w:val="22"/>
          <w:szCs w:val="22"/>
          <w:lang w:val="nl-NL"/>
        </w:rPr>
      </w:pPr>
    </w:p>
    <w:p w14:paraId="39AA4413" w14:textId="4FC9F3AB"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424537" w:rsidRPr="009E5BB5">
        <w:rPr>
          <w:rFonts w:ascii="Arial" w:hAnsi="Arial" w:cs="Arial"/>
          <w:sz w:val="22"/>
          <w:szCs w:val="22"/>
          <w:lang w:val="nl-NL"/>
        </w:rPr>
        <w:t>2513854</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25A8C0FC" w14:textId="64D24A3E" w:rsidR="007A5FBC" w:rsidRPr="007A5FBC" w:rsidRDefault="008E3943" w:rsidP="007A5FBC">
      <w:pPr>
        <w:pStyle w:val="Heading1"/>
        <w:spacing w:before="0" w:after="60" w:line="555" w:lineRule="atLeast"/>
        <w:rPr>
          <w:rFonts w:cs="Arial"/>
          <w:b w:val="0"/>
          <w:bCs/>
          <w:sz w:val="22"/>
          <w:szCs w:val="22"/>
        </w:rPr>
      </w:pPr>
      <w:bookmarkStart w:id="0" w:name="_Toc235434408"/>
      <w:r>
        <w:rPr>
          <w:rFonts w:cs="Arial"/>
          <w:bCs/>
        </w:rPr>
        <w:t>Lecturer’s name</w:t>
      </w:r>
      <w:r w:rsidR="00074402" w:rsidRPr="00CD33A8">
        <w:rPr>
          <w:rFonts w:cs="Arial"/>
        </w:rPr>
        <w:t>:</w:t>
      </w:r>
      <w:r w:rsidR="007A5FBC" w:rsidRPr="007A5FBC">
        <w:rPr>
          <w:rFonts w:ascii="Segoe UI" w:hAnsi="Segoe UI" w:cs="Segoe UI"/>
          <w:sz w:val="42"/>
          <w:szCs w:val="42"/>
        </w:rPr>
        <w:t xml:space="preserve"> </w:t>
      </w:r>
      <w:r w:rsidR="007A5FBC" w:rsidRPr="007A5FBC">
        <w:rPr>
          <w:rFonts w:cs="Arial"/>
          <w:b w:val="0"/>
          <w:bCs/>
          <w:sz w:val="22"/>
          <w:szCs w:val="22"/>
        </w:rPr>
        <w:t xml:space="preserve">Eleni </w:t>
      </w:r>
      <w:proofErr w:type="spellStart"/>
      <w:r w:rsidR="007A5FBC" w:rsidRPr="007A5FBC">
        <w:rPr>
          <w:rFonts w:cs="Arial"/>
          <w:b w:val="0"/>
          <w:bCs/>
          <w:sz w:val="22"/>
          <w:szCs w:val="22"/>
        </w:rPr>
        <w:t>Koutsogeorgou</w:t>
      </w:r>
      <w:proofErr w:type="spellEnd"/>
      <w:r w:rsidR="007A5FBC" w:rsidRPr="007A5FBC">
        <w:rPr>
          <w:rFonts w:cs="Arial"/>
          <w:b w:val="0"/>
          <w:bCs/>
          <w:sz w:val="22"/>
          <w:szCs w:val="22"/>
        </w:rPr>
        <w:t>-Andreou</w:t>
      </w:r>
      <w:bookmarkEnd w:id="0"/>
    </w:p>
    <w:p w14:paraId="1A0B2D2B" w14:textId="56004E8D" w:rsidR="00074402" w:rsidRPr="00CD33A8" w:rsidRDefault="00074402" w:rsidP="00CD33A8">
      <w:pPr>
        <w:tabs>
          <w:tab w:val="left" w:pos="6540"/>
        </w:tabs>
        <w:spacing w:line="360" w:lineRule="auto"/>
        <w:rPr>
          <w:rFonts w:ascii="Arial" w:hAnsi="Arial" w:cs="Arial"/>
          <w:sz w:val="28"/>
          <w:szCs w:val="28"/>
        </w:rPr>
      </w:pP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05AB2C84" w14:textId="5AB1E0B2" w:rsidR="00B87E75" w:rsidRDefault="00B87E75" w:rsidP="001B34C3">
      <w:pPr>
        <w:spacing w:line="360" w:lineRule="auto"/>
        <w:rPr>
          <w:rFonts w:asciiTheme="minorBidi" w:hAnsiTheme="minorBidi"/>
          <w:sz w:val="22"/>
        </w:rPr>
      </w:pPr>
    </w:p>
    <w:p w14:paraId="0211CA61" w14:textId="77777777" w:rsidR="001B34C3" w:rsidRDefault="001B34C3" w:rsidP="001B34C3">
      <w:pPr>
        <w:spacing w:line="360" w:lineRule="auto"/>
        <w:rPr>
          <w:rFonts w:asciiTheme="minorBidi" w:hAnsiTheme="minorBidi"/>
          <w:sz w:val="22"/>
        </w:rPr>
      </w:pPr>
    </w:p>
    <w:p w14:paraId="76E0A639" w14:textId="77777777" w:rsidR="001B34C3" w:rsidRDefault="001B34C3" w:rsidP="001B34C3">
      <w:pPr>
        <w:spacing w:line="360" w:lineRule="auto"/>
        <w:rPr>
          <w:rFonts w:asciiTheme="minorBidi" w:hAnsiTheme="minorBidi"/>
          <w:sz w:val="22"/>
        </w:rPr>
      </w:pPr>
    </w:p>
    <w:p w14:paraId="2B6FE26F" w14:textId="77777777" w:rsidR="001B34C3" w:rsidRDefault="001B34C3" w:rsidP="001B34C3">
      <w:pPr>
        <w:spacing w:line="360" w:lineRule="auto"/>
        <w:rPr>
          <w:rFonts w:asciiTheme="minorBidi" w:hAnsiTheme="minorBidi"/>
          <w:sz w:val="22"/>
        </w:rPr>
      </w:pPr>
    </w:p>
    <w:p w14:paraId="248261DC" w14:textId="77777777" w:rsidR="001B34C3" w:rsidRDefault="001B34C3" w:rsidP="001B34C3">
      <w:pPr>
        <w:spacing w:line="360" w:lineRule="auto"/>
        <w:rPr>
          <w:rFonts w:asciiTheme="minorBidi" w:hAnsiTheme="minorBidi"/>
          <w:sz w:val="22"/>
        </w:rPr>
      </w:pPr>
    </w:p>
    <w:p w14:paraId="0EED8D43" w14:textId="77777777" w:rsidR="001B34C3" w:rsidRDefault="001B34C3" w:rsidP="001B34C3">
      <w:pPr>
        <w:spacing w:line="360" w:lineRule="auto"/>
        <w:rPr>
          <w:rFonts w:asciiTheme="minorBidi" w:hAnsiTheme="minorBidi"/>
          <w:sz w:val="22"/>
        </w:rPr>
      </w:pPr>
    </w:p>
    <w:p w14:paraId="1FFF7741" w14:textId="77777777" w:rsidR="001B34C3" w:rsidRDefault="001B34C3" w:rsidP="001B34C3">
      <w:pPr>
        <w:spacing w:line="360" w:lineRule="auto"/>
        <w:rPr>
          <w:rFonts w:asciiTheme="minorBidi" w:hAnsiTheme="minorBidi"/>
          <w:sz w:val="22"/>
        </w:rPr>
      </w:pPr>
    </w:p>
    <w:p w14:paraId="4CB165E7" w14:textId="77777777" w:rsidR="001B34C3" w:rsidRDefault="001B34C3" w:rsidP="001B34C3">
      <w:pPr>
        <w:spacing w:line="360" w:lineRule="auto"/>
        <w:rPr>
          <w:rFonts w:asciiTheme="minorBidi" w:hAnsiTheme="minorBidi"/>
          <w:sz w:val="22"/>
        </w:rPr>
      </w:pPr>
    </w:p>
    <w:p w14:paraId="1294D903" w14:textId="77777777" w:rsidR="001B34C3" w:rsidRDefault="001B34C3" w:rsidP="001B34C3">
      <w:pPr>
        <w:spacing w:line="360" w:lineRule="auto"/>
        <w:rPr>
          <w:rFonts w:asciiTheme="minorBidi" w:hAnsiTheme="minorBidi"/>
          <w:sz w:val="22"/>
        </w:rPr>
      </w:pPr>
    </w:p>
    <w:p w14:paraId="4524F566" w14:textId="77777777" w:rsidR="001B34C3" w:rsidRDefault="001B34C3" w:rsidP="001B34C3">
      <w:pPr>
        <w:spacing w:line="360" w:lineRule="auto"/>
        <w:rPr>
          <w:rFonts w:asciiTheme="minorBidi" w:hAnsiTheme="minorBidi"/>
          <w:sz w:val="22"/>
        </w:rPr>
      </w:pPr>
    </w:p>
    <w:p w14:paraId="7F9DD6C2" w14:textId="77777777" w:rsidR="001B34C3" w:rsidRDefault="001B34C3" w:rsidP="001B34C3">
      <w:pPr>
        <w:spacing w:line="360" w:lineRule="auto"/>
        <w:rPr>
          <w:rFonts w:asciiTheme="minorBidi" w:hAnsiTheme="minorBidi"/>
          <w:sz w:val="22"/>
        </w:rPr>
      </w:pPr>
    </w:p>
    <w:p w14:paraId="18A25C04" w14:textId="77777777" w:rsidR="001B34C3" w:rsidRDefault="001B34C3" w:rsidP="001B34C3">
      <w:pPr>
        <w:spacing w:line="360" w:lineRule="auto"/>
        <w:rPr>
          <w:rFonts w:asciiTheme="minorBidi" w:hAnsiTheme="minorBidi"/>
          <w:sz w:val="22"/>
        </w:rPr>
      </w:pPr>
    </w:p>
    <w:p w14:paraId="45370BA7" w14:textId="77777777" w:rsidR="001B34C3" w:rsidRDefault="001B34C3" w:rsidP="001B34C3">
      <w:pPr>
        <w:spacing w:line="360" w:lineRule="auto"/>
        <w:rPr>
          <w:rFonts w:asciiTheme="minorBidi" w:hAnsiTheme="minorBidi"/>
          <w:sz w:val="22"/>
        </w:rPr>
      </w:pPr>
    </w:p>
    <w:p w14:paraId="4992D7B7" w14:textId="77777777" w:rsidR="001B34C3" w:rsidRPr="001B34C3" w:rsidRDefault="001B34C3" w:rsidP="001B34C3">
      <w:pPr>
        <w:spacing w:line="360" w:lineRule="auto"/>
        <w:rPr>
          <w:rFonts w:asciiTheme="minorBidi" w:hAnsiTheme="minorBidi"/>
          <w:sz w:val="22"/>
        </w:rPr>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4B988E2E" w14:textId="11D79BFE" w:rsidR="00DF1AA3" w:rsidRPr="00CD33A8" w:rsidRDefault="00DF1AA3" w:rsidP="00CD33A8">
      <w:pPr>
        <w:spacing w:line="360" w:lineRule="auto"/>
        <w:rPr>
          <w:rFonts w:asciiTheme="minorBidi" w:hAnsiTheme="minorBidi"/>
          <w:sz w:val="22"/>
        </w:rPr>
      </w:pPr>
    </w:p>
    <w:sdt>
      <w:sdtPr>
        <w:id w:val="-586143734"/>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36936962" w14:textId="4096A6C6" w:rsidR="00DF1AA3" w:rsidRDefault="00DF1AA3">
          <w:pPr>
            <w:pStyle w:val="TOCHeading"/>
          </w:pPr>
          <w:r>
            <w:t>Table of Contents</w:t>
          </w:r>
        </w:p>
        <w:p w14:paraId="7B1E05AD" w14:textId="3D00C104" w:rsidR="00DF1AA3" w:rsidRDefault="00DF1AA3">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35434408" w:history="1">
            <w:r w:rsidRPr="000F3B0F">
              <w:rPr>
                <w:rStyle w:val="Hyperlink"/>
                <w:rFonts w:cs="Arial"/>
                <w:noProof/>
              </w:rPr>
              <w:t>Lecturer’s name:</w:t>
            </w:r>
            <w:r w:rsidRPr="000F3B0F">
              <w:rPr>
                <w:rStyle w:val="Hyperlink"/>
                <w:rFonts w:ascii="Segoe UI" w:hAnsi="Segoe UI" w:cs="Segoe UI"/>
                <w:noProof/>
              </w:rPr>
              <w:t xml:space="preserve"> </w:t>
            </w:r>
            <w:r w:rsidRPr="000F3B0F">
              <w:rPr>
                <w:rStyle w:val="Hyperlink"/>
                <w:rFonts w:cs="Arial"/>
                <w:noProof/>
              </w:rPr>
              <w:t>Eleni Koutsogeorgou-Andreou</w:t>
            </w:r>
            <w:r>
              <w:rPr>
                <w:noProof/>
                <w:webHidden/>
              </w:rPr>
              <w:tab/>
            </w:r>
            <w:r>
              <w:rPr>
                <w:noProof/>
                <w:webHidden/>
              </w:rPr>
              <w:fldChar w:fldCharType="begin"/>
            </w:r>
            <w:r>
              <w:rPr>
                <w:noProof/>
                <w:webHidden/>
              </w:rPr>
              <w:instrText xml:space="preserve"> PAGEREF _Toc235434408 \h </w:instrText>
            </w:r>
            <w:r>
              <w:rPr>
                <w:noProof/>
                <w:webHidden/>
              </w:rPr>
            </w:r>
            <w:r>
              <w:rPr>
                <w:noProof/>
                <w:webHidden/>
              </w:rPr>
              <w:fldChar w:fldCharType="separate"/>
            </w:r>
            <w:r>
              <w:rPr>
                <w:noProof/>
                <w:webHidden/>
              </w:rPr>
              <w:t>1</w:t>
            </w:r>
            <w:r>
              <w:rPr>
                <w:noProof/>
                <w:webHidden/>
              </w:rPr>
              <w:fldChar w:fldCharType="end"/>
            </w:r>
          </w:hyperlink>
        </w:p>
        <w:p w14:paraId="49CCBFA0" w14:textId="62355280" w:rsidR="00DF1AA3" w:rsidRDefault="00DF1AA3">
          <w:pPr>
            <w:pStyle w:val="TOC1"/>
            <w:tabs>
              <w:tab w:val="right" w:leader="dot" w:pos="9016"/>
            </w:tabs>
            <w:rPr>
              <w:rFonts w:eastAsiaTheme="minorEastAsia" w:cstheme="minorBidi"/>
              <w:b w:val="0"/>
              <w:bCs w:val="0"/>
              <w:i w:val="0"/>
              <w:iCs w:val="0"/>
              <w:noProof/>
              <w:kern w:val="2"/>
              <w14:ligatures w14:val="standardContextual"/>
            </w:rPr>
          </w:pPr>
          <w:hyperlink w:anchor="_Toc235434409" w:history="1">
            <w:r w:rsidRPr="000F3B0F">
              <w:rPr>
                <w:rStyle w:val="Hyperlink"/>
                <w:noProof/>
              </w:rPr>
              <w:t>1. Introduction</w:t>
            </w:r>
            <w:r>
              <w:rPr>
                <w:noProof/>
                <w:webHidden/>
              </w:rPr>
              <w:tab/>
            </w:r>
            <w:r>
              <w:rPr>
                <w:noProof/>
                <w:webHidden/>
              </w:rPr>
              <w:fldChar w:fldCharType="begin"/>
            </w:r>
            <w:r>
              <w:rPr>
                <w:noProof/>
                <w:webHidden/>
              </w:rPr>
              <w:instrText xml:space="preserve"> PAGEREF _Toc235434409 \h </w:instrText>
            </w:r>
            <w:r>
              <w:rPr>
                <w:noProof/>
                <w:webHidden/>
              </w:rPr>
            </w:r>
            <w:r>
              <w:rPr>
                <w:noProof/>
                <w:webHidden/>
              </w:rPr>
              <w:fldChar w:fldCharType="separate"/>
            </w:r>
            <w:r>
              <w:rPr>
                <w:noProof/>
                <w:webHidden/>
              </w:rPr>
              <w:t>3</w:t>
            </w:r>
            <w:r>
              <w:rPr>
                <w:noProof/>
                <w:webHidden/>
              </w:rPr>
              <w:fldChar w:fldCharType="end"/>
            </w:r>
          </w:hyperlink>
        </w:p>
        <w:p w14:paraId="4EE027AE" w14:textId="6236B887" w:rsidR="00DF1AA3" w:rsidRDefault="00DF1AA3">
          <w:pPr>
            <w:pStyle w:val="TOC1"/>
            <w:tabs>
              <w:tab w:val="right" w:leader="dot" w:pos="9016"/>
            </w:tabs>
            <w:rPr>
              <w:rFonts w:eastAsiaTheme="minorEastAsia" w:cstheme="minorBidi"/>
              <w:b w:val="0"/>
              <w:bCs w:val="0"/>
              <w:i w:val="0"/>
              <w:iCs w:val="0"/>
              <w:noProof/>
              <w:kern w:val="2"/>
              <w14:ligatures w14:val="standardContextual"/>
            </w:rPr>
          </w:pPr>
          <w:hyperlink w:anchor="_Toc235434410" w:history="1">
            <w:r w:rsidRPr="000F3B0F">
              <w:rPr>
                <w:rStyle w:val="Hyperlink"/>
                <w:noProof/>
              </w:rPr>
              <w:t>2. Importance of effec</w:t>
            </w:r>
            <w:r w:rsidRPr="000F3B0F">
              <w:rPr>
                <w:rStyle w:val="Hyperlink"/>
                <w:noProof/>
              </w:rPr>
              <w:t>t</w:t>
            </w:r>
            <w:r w:rsidRPr="000F3B0F">
              <w:rPr>
                <w:rStyle w:val="Hyperlink"/>
                <w:noProof/>
              </w:rPr>
              <w:t>ive communication</w:t>
            </w:r>
            <w:r>
              <w:rPr>
                <w:noProof/>
                <w:webHidden/>
              </w:rPr>
              <w:tab/>
            </w:r>
            <w:r>
              <w:rPr>
                <w:noProof/>
                <w:webHidden/>
              </w:rPr>
              <w:fldChar w:fldCharType="begin"/>
            </w:r>
            <w:r>
              <w:rPr>
                <w:noProof/>
                <w:webHidden/>
              </w:rPr>
              <w:instrText xml:space="preserve"> PAGEREF _Toc235434410 \h </w:instrText>
            </w:r>
            <w:r>
              <w:rPr>
                <w:noProof/>
                <w:webHidden/>
              </w:rPr>
            </w:r>
            <w:r>
              <w:rPr>
                <w:noProof/>
                <w:webHidden/>
              </w:rPr>
              <w:fldChar w:fldCharType="separate"/>
            </w:r>
            <w:r>
              <w:rPr>
                <w:noProof/>
                <w:webHidden/>
              </w:rPr>
              <w:t>4</w:t>
            </w:r>
            <w:r>
              <w:rPr>
                <w:noProof/>
                <w:webHidden/>
              </w:rPr>
              <w:fldChar w:fldCharType="end"/>
            </w:r>
          </w:hyperlink>
        </w:p>
        <w:p w14:paraId="085F0DCA" w14:textId="2EB0B575" w:rsidR="00DF1AA3" w:rsidRDefault="00DF1AA3">
          <w:pPr>
            <w:pStyle w:val="TOC1"/>
            <w:tabs>
              <w:tab w:val="right" w:leader="dot" w:pos="9016"/>
            </w:tabs>
            <w:rPr>
              <w:rFonts w:eastAsiaTheme="minorEastAsia" w:cstheme="minorBidi"/>
              <w:b w:val="0"/>
              <w:bCs w:val="0"/>
              <w:i w:val="0"/>
              <w:iCs w:val="0"/>
              <w:noProof/>
              <w:kern w:val="2"/>
              <w14:ligatures w14:val="standardContextual"/>
            </w:rPr>
          </w:pPr>
          <w:hyperlink w:anchor="_Toc235434411" w:history="1">
            <w:r w:rsidRPr="000F3B0F">
              <w:rPr>
                <w:rStyle w:val="Hyperlink"/>
                <w:noProof/>
              </w:rPr>
              <w:t>3. Importance of good administrative skills</w:t>
            </w:r>
            <w:r>
              <w:rPr>
                <w:noProof/>
                <w:webHidden/>
              </w:rPr>
              <w:tab/>
            </w:r>
            <w:r>
              <w:rPr>
                <w:noProof/>
                <w:webHidden/>
              </w:rPr>
              <w:fldChar w:fldCharType="begin"/>
            </w:r>
            <w:r>
              <w:rPr>
                <w:noProof/>
                <w:webHidden/>
              </w:rPr>
              <w:instrText xml:space="preserve"> PAGEREF _Toc235434411 \h </w:instrText>
            </w:r>
            <w:r>
              <w:rPr>
                <w:noProof/>
                <w:webHidden/>
              </w:rPr>
            </w:r>
            <w:r>
              <w:rPr>
                <w:noProof/>
                <w:webHidden/>
              </w:rPr>
              <w:fldChar w:fldCharType="separate"/>
            </w:r>
            <w:r>
              <w:rPr>
                <w:noProof/>
                <w:webHidden/>
              </w:rPr>
              <w:t>5</w:t>
            </w:r>
            <w:r>
              <w:rPr>
                <w:noProof/>
                <w:webHidden/>
              </w:rPr>
              <w:fldChar w:fldCharType="end"/>
            </w:r>
          </w:hyperlink>
        </w:p>
        <w:p w14:paraId="41A0AE1D" w14:textId="2051012E" w:rsidR="00DF1AA3" w:rsidRDefault="00DF1AA3">
          <w:pPr>
            <w:pStyle w:val="TOC1"/>
            <w:tabs>
              <w:tab w:val="right" w:leader="dot" w:pos="9016"/>
            </w:tabs>
            <w:rPr>
              <w:rFonts w:eastAsiaTheme="minorEastAsia" w:cstheme="minorBidi"/>
              <w:b w:val="0"/>
              <w:bCs w:val="0"/>
              <w:i w:val="0"/>
              <w:iCs w:val="0"/>
              <w:noProof/>
              <w:kern w:val="2"/>
              <w14:ligatures w14:val="standardContextual"/>
            </w:rPr>
          </w:pPr>
          <w:hyperlink w:anchor="_Toc235434412" w:history="1">
            <w:r w:rsidRPr="000F3B0F">
              <w:rPr>
                <w:rStyle w:val="Hyperlink"/>
                <w:noProof/>
              </w:rPr>
              <w:t>4. Working collaboratively</w:t>
            </w:r>
            <w:r>
              <w:rPr>
                <w:noProof/>
                <w:webHidden/>
              </w:rPr>
              <w:tab/>
            </w:r>
            <w:r>
              <w:rPr>
                <w:noProof/>
                <w:webHidden/>
              </w:rPr>
              <w:fldChar w:fldCharType="begin"/>
            </w:r>
            <w:r>
              <w:rPr>
                <w:noProof/>
                <w:webHidden/>
              </w:rPr>
              <w:instrText xml:space="preserve"> PAGEREF _Toc235434412 \h </w:instrText>
            </w:r>
            <w:r>
              <w:rPr>
                <w:noProof/>
                <w:webHidden/>
              </w:rPr>
            </w:r>
            <w:r>
              <w:rPr>
                <w:noProof/>
                <w:webHidden/>
              </w:rPr>
              <w:fldChar w:fldCharType="separate"/>
            </w:r>
            <w:r>
              <w:rPr>
                <w:noProof/>
                <w:webHidden/>
              </w:rPr>
              <w:t>7</w:t>
            </w:r>
            <w:r>
              <w:rPr>
                <w:noProof/>
                <w:webHidden/>
              </w:rPr>
              <w:fldChar w:fldCharType="end"/>
            </w:r>
          </w:hyperlink>
        </w:p>
        <w:p w14:paraId="4C445D0F" w14:textId="468BFEF0" w:rsidR="00DF1AA3" w:rsidRDefault="00DF1AA3">
          <w:pPr>
            <w:pStyle w:val="TOC1"/>
            <w:tabs>
              <w:tab w:val="right" w:leader="dot" w:pos="9016"/>
            </w:tabs>
            <w:rPr>
              <w:rFonts w:eastAsiaTheme="minorEastAsia" w:cstheme="minorBidi"/>
              <w:b w:val="0"/>
              <w:bCs w:val="0"/>
              <w:i w:val="0"/>
              <w:iCs w:val="0"/>
              <w:noProof/>
              <w:kern w:val="2"/>
              <w14:ligatures w14:val="standardContextual"/>
            </w:rPr>
          </w:pPr>
          <w:hyperlink w:anchor="_Toc235434413" w:history="1">
            <w:r w:rsidRPr="000F3B0F">
              <w:rPr>
                <w:rStyle w:val="Hyperlink"/>
                <w:noProof/>
              </w:rPr>
              <w:t>5. Conclusion</w:t>
            </w:r>
            <w:r>
              <w:rPr>
                <w:noProof/>
                <w:webHidden/>
              </w:rPr>
              <w:tab/>
            </w:r>
            <w:r>
              <w:rPr>
                <w:noProof/>
                <w:webHidden/>
              </w:rPr>
              <w:fldChar w:fldCharType="begin"/>
            </w:r>
            <w:r>
              <w:rPr>
                <w:noProof/>
                <w:webHidden/>
              </w:rPr>
              <w:instrText xml:space="preserve"> PAGEREF _Toc235434413 \h </w:instrText>
            </w:r>
            <w:r>
              <w:rPr>
                <w:noProof/>
                <w:webHidden/>
              </w:rPr>
            </w:r>
            <w:r>
              <w:rPr>
                <w:noProof/>
                <w:webHidden/>
              </w:rPr>
              <w:fldChar w:fldCharType="separate"/>
            </w:r>
            <w:r>
              <w:rPr>
                <w:noProof/>
                <w:webHidden/>
              </w:rPr>
              <w:t>9</w:t>
            </w:r>
            <w:r>
              <w:rPr>
                <w:noProof/>
                <w:webHidden/>
              </w:rPr>
              <w:fldChar w:fldCharType="end"/>
            </w:r>
          </w:hyperlink>
        </w:p>
        <w:p w14:paraId="75B2F012" w14:textId="797A0DA5" w:rsidR="00DF1AA3" w:rsidRDefault="00DF1AA3">
          <w:pPr>
            <w:pStyle w:val="TOC1"/>
            <w:tabs>
              <w:tab w:val="right" w:leader="dot" w:pos="9016"/>
            </w:tabs>
            <w:rPr>
              <w:rFonts w:eastAsiaTheme="minorEastAsia" w:cstheme="minorBidi"/>
              <w:b w:val="0"/>
              <w:bCs w:val="0"/>
              <w:i w:val="0"/>
              <w:iCs w:val="0"/>
              <w:noProof/>
              <w:kern w:val="2"/>
              <w14:ligatures w14:val="standardContextual"/>
            </w:rPr>
          </w:pPr>
          <w:hyperlink w:anchor="_Toc235434414" w:history="1">
            <w:r w:rsidRPr="000F3B0F">
              <w:rPr>
                <w:rStyle w:val="Hyperlink"/>
                <w:noProof/>
              </w:rPr>
              <w:t>References</w:t>
            </w:r>
            <w:r>
              <w:rPr>
                <w:noProof/>
                <w:webHidden/>
              </w:rPr>
              <w:tab/>
            </w:r>
            <w:r>
              <w:rPr>
                <w:noProof/>
                <w:webHidden/>
              </w:rPr>
              <w:fldChar w:fldCharType="begin"/>
            </w:r>
            <w:r>
              <w:rPr>
                <w:noProof/>
                <w:webHidden/>
              </w:rPr>
              <w:instrText xml:space="preserve"> PAGEREF _Toc235434414 \h </w:instrText>
            </w:r>
            <w:r>
              <w:rPr>
                <w:noProof/>
                <w:webHidden/>
              </w:rPr>
            </w:r>
            <w:r>
              <w:rPr>
                <w:noProof/>
                <w:webHidden/>
              </w:rPr>
              <w:fldChar w:fldCharType="separate"/>
            </w:r>
            <w:r>
              <w:rPr>
                <w:noProof/>
                <w:webHidden/>
              </w:rPr>
              <w:t>1</w:t>
            </w:r>
            <w:r>
              <w:rPr>
                <w:noProof/>
                <w:webHidden/>
              </w:rPr>
              <w:t>0</w:t>
            </w:r>
            <w:r>
              <w:rPr>
                <w:noProof/>
                <w:webHidden/>
              </w:rPr>
              <w:fldChar w:fldCharType="end"/>
            </w:r>
          </w:hyperlink>
        </w:p>
        <w:p w14:paraId="503E92F1" w14:textId="5A6A71A5" w:rsidR="00DF1AA3" w:rsidRDefault="00DF1AA3">
          <w:r>
            <w:rPr>
              <w:b/>
              <w:bCs/>
              <w:noProof/>
            </w:rPr>
            <w:fldChar w:fldCharType="end"/>
          </w:r>
        </w:p>
      </w:sdtContent>
    </w:sdt>
    <w:p w14:paraId="4F7320CB" w14:textId="6E40EB87" w:rsidR="00B87E75" w:rsidRDefault="00B87E75" w:rsidP="00CD33A8">
      <w:pPr>
        <w:spacing w:line="360" w:lineRule="auto"/>
        <w:rPr>
          <w:rFonts w:asciiTheme="minorBidi" w:hAnsiTheme="minorBidi"/>
          <w:sz w:val="22"/>
        </w:rPr>
      </w:pPr>
    </w:p>
    <w:p w14:paraId="4544375F" w14:textId="77777777" w:rsidR="00DF1AA3" w:rsidRDefault="00DF1AA3" w:rsidP="00CD33A8">
      <w:pPr>
        <w:spacing w:line="360" w:lineRule="auto"/>
        <w:rPr>
          <w:rFonts w:asciiTheme="minorBidi" w:hAnsiTheme="minorBidi"/>
          <w:sz w:val="22"/>
        </w:rPr>
      </w:pPr>
    </w:p>
    <w:p w14:paraId="15A61104" w14:textId="77777777" w:rsidR="00DF1AA3" w:rsidRDefault="00DF1AA3" w:rsidP="00CD33A8">
      <w:pPr>
        <w:spacing w:line="360" w:lineRule="auto"/>
        <w:rPr>
          <w:rFonts w:asciiTheme="minorBidi" w:hAnsiTheme="minorBidi"/>
          <w:sz w:val="22"/>
        </w:rPr>
      </w:pPr>
    </w:p>
    <w:p w14:paraId="5B08BFFB" w14:textId="77777777" w:rsidR="00DF1AA3" w:rsidRDefault="00DF1AA3" w:rsidP="00CD33A8">
      <w:pPr>
        <w:spacing w:line="360" w:lineRule="auto"/>
        <w:rPr>
          <w:rFonts w:asciiTheme="minorBidi" w:hAnsiTheme="minorBidi"/>
          <w:sz w:val="22"/>
        </w:rPr>
      </w:pPr>
    </w:p>
    <w:p w14:paraId="628BED76" w14:textId="77777777" w:rsidR="00DF1AA3" w:rsidRDefault="00DF1AA3" w:rsidP="00CD33A8">
      <w:pPr>
        <w:spacing w:line="360" w:lineRule="auto"/>
        <w:rPr>
          <w:rFonts w:asciiTheme="minorBidi" w:hAnsiTheme="minorBidi"/>
          <w:sz w:val="22"/>
        </w:rPr>
      </w:pPr>
    </w:p>
    <w:p w14:paraId="13C8C3CF" w14:textId="77777777" w:rsidR="00DF1AA3" w:rsidRDefault="00DF1AA3" w:rsidP="00CD33A8">
      <w:pPr>
        <w:spacing w:line="360" w:lineRule="auto"/>
        <w:rPr>
          <w:rFonts w:asciiTheme="minorBidi" w:hAnsiTheme="minorBidi"/>
          <w:sz w:val="22"/>
        </w:rPr>
      </w:pPr>
    </w:p>
    <w:p w14:paraId="01F2FDE9" w14:textId="77777777" w:rsidR="00DF1AA3" w:rsidRDefault="00DF1AA3" w:rsidP="00CD33A8">
      <w:pPr>
        <w:spacing w:line="360" w:lineRule="auto"/>
        <w:rPr>
          <w:rFonts w:asciiTheme="minorBidi" w:hAnsiTheme="minorBidi"/>
          <w:sz w:val="22"/>
        </w:rPr>
      </w:pPr>
    </w:p>
    <w:p w14:paraId="49D0434D" w14:textId="77777777" w:rsidR="00DF1AA3" w:rsidRDefault="00DF1AA3" w:rsidP="00CD33A8">
      <w:pPr>
        <w:spacing w:line="360" w:lineRule="auto"/>
        <w:rPr>
          <w:rFonts w:asciiTheme="minorBidi" w:hAnsiTheme="minorBidi"/>
          <w:sz w:val="22"/>
        </w:rPr>
      </w:pPr>
    </w:p>
    <w:p w14:paraId="01FBFE04" w14:textId="77777777" w:rsidR="00DF1AA3" w:rsidRDefault="00DF1AA3" w:rsidP="00CD33A8">
      <w:pPr>
        <w:spacing w:line="360" w:lineRule="auto"/>
        <w:rPr>
          <w:rFonts w:asciiTheme="minorBidi" w:hAnsiTheme="minorBidi"/>
          <w:sz w:val="22"/>
        </w:rPr>
      </w:pPr>
    </w:p>
    <w:p w14:paraId="7C2BC2B8" w14:textId="77777777" w:rsidR="00DF1AA3" w:rsidRDefault="00DF1AA3" w:rsidP="00CD33A8">
      <w:pPr>
        <w:spacing w:line="360" w:lineRule="auto"/>
        <w:rPr>
          <w:rFonts w:asciiTheme="minorBidi" w:hAnsiTheme="minorBidi"/>
          <w:sz w:val="22"/>
        </w:rPr>
      </w:pPr>
    </w:p>
    <w:p w14:paraId="390DC676" w14:textId="77777777" w:rsidR="00DF1AA3" w:rsidRDefault="00DF1AA3" w:rsidP="00CD33A8">
      <w:pPr>
        <w:spacing w:line="360" w:lineRule="auto"/>
        <w:rPr>
          <w:rFonts w:asciiTheme="minorBidi" w:hAnsiTheme="minorBidi"/>
          <w:sz w:val="22"/>
        </w:rPr>
      </w:pPr>
    </w:p>
    <w:p w14:paraId="7B3E367C" w14:textId="77777777" w:rsidR="00DF1AA3" w:rsidRDefault="00DF1AA3" w:rsidP="00CD33A8">
      <w:pPr>
        <w:spacing w:line="360" w:lineRule="auto"/>
        <w:rPr>
          <w:rFonts w:asciiTheme="minorBidi" w:hAnsiTheme="minorBidi"/>
          <w:sz w:val="22"/>
        </w:rPr>
      </w:pPr>
    </w:p>
    <w:p w14:paraId="45A672E8" w14:textId="77777777" w:rsidR="00DF1AA3" w:rsidRDefault="00DF1AA3" w:rsidP="00CD33A8">
      <w:pPr>
        <w:spacing w:line="360" w:lineRule="auto"/>
        <w:rPr>
          <w:rFonts w:asciiTheme="minorBidi" w:hAnsiTheme="minorBidi"/>
          <w:sz w:val="22"/>
        </w:rPr>
      </w:pPr>
    </w:p>
    <w:p w14:paraId="5D467EC3" w14:textId="77777777" w:rsidR="00DF1AA3" w:rsidRDefault="00DF1AA3" w:rsidP="00CD33A8">
      <w:pPr>
        <w:spacing w:line="360" w:lineRule="auto"/>
        <w:rPr>
          <w:rFonts w:asciiTheme="minorBidi" w:hAnsiTheme="minorBidi"/>
          <w:sz w:val="22"/>
        </w:rPr>
      </w:pPr>
    </w:p>
    <w:p w14:paraId="029F8FB2" w14:textId="77777777" w:rsidR="00DF1AA3" w:rsidRDefault="00DF1AA3" w:rsidP="00CD33A8">
      <w:pPr>
        <w:spacing w:line="360" w:lineRule="auto"/>
        <w:rPr>
          <w:rFonts w:asciiTheme="minorBidi" w:hAnsiTheme="minorBidi"/>
          <w:sz w:val="22"/>
        </w:rPr>
      </w:pPr>
    </w:p>
    <w:p w14:paraId="2B743B69" w14:textId="77777777" w:rsidR="00DF1AA3" w:rsidRDefault="00DF1AA3" w:rsidP="00CD33A8">
      <w:pPr>
        <w:spacing w:line="360" w:lineRule="auto"/>
        <w:rPr>
          <w:rFonts w:asciiTheme="minorBidi" w:hAnsiTheme="minorBidi"/>
          <w:sz w:val="22"/>
        </w:rPr>
      </w:pPr>
    </w:p>
    <w:p w14:paraId="65D287A7" w14:textId="77777777" w:rsidR="00DF1AA3" w:rsidRDefault="00DF1AA3" w:rsidP="00CD33A8">
      <w:pPr>
        <w:spacing w:line="360" w:lineRule="auto"/>
        <w:rPr>
          <w:rFonts w:asciiTheme="minorBidi" w:hAnsiTheme="minorBidi"/>
          <w:sz w:val="22"/>
        </w:rPr>
      </w:pPr>
    </w:p>
    <w:p w14:paraId="2E698A88" w14:textId="77777777" w:rsidR="006E7435" w:rsidRDefault="006E7435" w:rsidP="00CD33A8">
      <w:pPr>
        <w:spacing w:line="360" w:lineRule="auto"/>
        <w:rPr>
          <w:rFonts w:asciiTheme="minorBidi" w:hAnsiTheme="minorBidi"/>
          <w:sz w:val="22"/>
        </w:rPr>
      </w:pPr>
    </w:p>
    <w:p w14:paraId="340969D2" w14:textId="77777777" w:rsidR="006E7435" w:rsidRDefault="006E7435" w:rsidP="00CD33A8">
      <w:pPr>
        <w:spacing w:line="360" w:lineRule="auto"/>
        <w:rPr>
          <w:rFonts w:asciiTheme="minorBidi" w:hAnsiTheme="minorBidi"/>
          <w:sz w:val="22"/>
        </w:rPr>
      </w:pPr>
    </w:p>
    <w:p w14:paraId="33F7F662" w14:textId="77777777" w:rsidR="006E7435" w:rsidRDefault="006E7435" w:rsidP="00CD33A8">
      <w:pPr>
        <w:spacing w:line="360" w:lineRule="auto"/>
        <w:rPr>
          <w:rFonts w:asciiTheme="minorBidi" w:hAnsiTheme="minorBidi"/>
          <w:sz w:val="22"/>
        </w:rPr>
      </w:pPr>
    </w:p>
    <w:p w14:paraId="0E170A95" w14:textId="77777777" w:rsidR="00DF1AA3" w:rsidRDefault="00DF1AA3" w:rsidP="00CD33A8">
      <w:pPr>
        <w:spacing w:line="360" w:lineRule="auto"/>
        <w:rPr>
          <w:rFonts w:asciiTheme="minorBidi" w:hAnsiTheme="minorBidi"/>
          <w:sz w:val="22"/>
        </w:rPr>
      </w:pPr>
    </w:p>
    <w:p w14:paraId="07F619B4" w14:textId="77777777" w:rsidR="00DF1AA3" w:rsidRDefault="00DF1AA3" w:rsidP="00CD33A8">
      <w:pPr>
        <w:spacing w:line="360" w:lineRule="auto"/>
        <w:rPr>
          <w:rFonts w:asciiTheme="minorBidi" w:hAnsiTheme="minorBidi"/>
          <w:sz w:val="22"/>
        </w:rPr>
      </w:pPr>
    </w:p>
    <w:p w14:paraId="1FD41CC2" w14:textId="77777777" w:rsidR="00DF1AA3" w:rsidRDefault="00DF1AA3" w:rsidP="00CD33A8">
      <w:pPr>
        <w:spacing w:line="360" w:lineRule="auto"/>
        <w:rPr>
          <w:rFonts w:asciiTheme="minorBidi" w:hAnsiTheme="minorBidi"/>
          <w:sz w:val="22"/>
        </w:rPr>
      </w:pPr>
    </w:p>
    <w:p w14:paraId="3A83CE1D" w14:textId="77777777" w:rsidR="00DF1AA3" w:rsidRPr="00CD33A8" w:rsidRDefault="00DF1AA3" w:rsidP="00CD33A8">
      <w:pPr>
        <w:spacing w:line="360" w:lineRule="auto"/>
        <w:rPr>
          <w:rFonts w:asciiTheme="minorBidi" w:hAnsiTheme="minorBidi"/>
          <w:sz w:val="22"/>
        </w:rPr>
      </w:pPr>
    </w:p>
    <w:p w14:paraId="6713070B" w14:textId="4E9A0563" w:rsidR="009F6EF8" w:rsidRPr="006E7435" w:rsidRDefault="00B87E75" w:rsidP="006E7435">
      <w:pPr>
        <w:pStyle w:val="Heading1"/>
      </w:pPr>
      <w:bookmarkStart w:id="1" w:name="_Toc225246342"/>
      <w:bookmarkStart w:id="2" w:name="_Toc235434409"/>
      <w:r w:rsidRPr="0099350B">
        <w:lastRenderedPageBreak/>
        <w:t>1. Introduction</w:t>
      </w:r>
      <w:bookmarkEnd w:id="1"/>
      <w:bookmarkEnd w:id="2"/>
    </w:p>
    <w:p w14:paraId="54EFFF1A"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The case of Mrs Thompson highlights key responsibilities within professional practice in health and social care, particularly in relation to communication, record</w:t>
      </w:r>
      <w:r w:rsidRPr="006E7435">
        <w:rPr>
          <w:rFonts w:ascii="Arial" w:hAnsi="Arial" w:cs="Arial"/>
          <w:color w:val="000000"/>
          <w:sz w:val="22"/>
          <w:szCs w:val="22"/>
        </w:rPr>
        <w:noBreakHyphen/>
        <w:t>keeping, and multi</w:t>
      </w:r>
      <w:r w:rsidRPr="006E7435">
        <w:rPr>
          <w:rFonts w:ascii="Arial" w:hAnsi="Arial" w:cs="Arial"/>
          <w:color w:val="000000"/>
          <w:sz w:val="22"/>
          <w:szCs w:val="22"/>
        </w:rPr>
        <w:noBreakHyphen/>
        <w:t>agency collaboration. As an 84</w:t>
      </w:r>
      <w:r w:rsidRPr="006E7435">
        <w:rPr>
          <w:rFonts w:ascii="Arial" w:hAnsi="Arial" w:cs="Arial"/>
          <w:color w:val="000000"/>
          <w:sz w:val="22"/>
          <w:szCs w:val="22"/>
        </w:rPr>
        <w:noBreakHyphen/>
        <w:t>year</w:t>
      </w:r>
      <w:r w:rsidRPr="006E7435">
        <w:rPr>
          <w:rFonts w:ascii="Arial" w:hAnsi="Arial" w:cs="Arial"/>
          <w:color w:val="000000"/>
          <w:sz w:val="22"/>
          <w:szCs w:val="22"/>
        </w:rPr>
        <w:noBreakHyphen/>
        <w:t>old woman recently discharged from hospital following pneumonia, Mrs Thompson presents several vulnerabilities, including mild dementia, medication non</w:t>
      </w:r>
      <w:r w:rsidRPr="006E7435">
        <w:rPr>
          <w:rFonts w:ascii="Arial" w:hAnsi="Arial" w:cs="Arial"/>
          <w:color w:val="000000"/>
          <w:sz w:val="22"/>
          <w:szCs w:val="22"/>
        </w:rPr>
        <w:noBreakHyphen/>
        <w:t>compliance, and risks associated with living alone. These factors demonstrate the need for effective, person</w:t>
      </w:r>
      <w:r w:rsidRPr="006E7435">
        <w:rPr>
          <w:rFonts w:ascii="Arial" w:hAnsi="Arial" w:cs="Arial"/>
          <w:color w:val="000000"/>
          <w:sz w:val="22"/>
          <w:szCs w:val="22"/>
        </w:rPr>
        <w:noBreakHyphen/>
        <w:t>centred communication that supports understanding, safety, and dignity (Egan, 2014a). Furthermore, her missed medication and safeguarding concerns emphasise the importance of accurate administrative practice and adherence to legislation such as the Data Protection Act 2018 (ICO, 2020). The involvement of multiple professionals—including her GP, community nurses, domiciliary care workers, and the local authority—illustrates the significance of coordinated multi</w:t>
      </w:r>
      <w:r w:rsidRPr="006E7435">
        <w:rPr>
          <w:rFonts w:ascii="Arial" w:hAnsi="Arial" w:cs="Arial"/>
          <w:color w:val="000000"/>
          <w:sz w:val="22"/>
          <w:szCs w:val="22"/>
        </w:rPr>
        <w:noBreakHyphen/>
        <w:t>agency working (NHS England, 2022c). This assignment critically examines these three areas, drawing on relevant legislation, communication theory, and sector guidance to demonstrate how safe, lawful, and effective care can be delivered to vulnerable adults such as Mrs Thompson.</w:t>
      </w:r>
    </w:p>
    <w:p w14:paraId="7AD73168" w14:textId="77777777" w:rsidR="00E12037" w:rsidRDefault="00E12037" w:rsidP="006E7435">
      <w:pPr>
        <w:tabs>
          <w:tab w:val="left" w:pos="6540"/>
        </w:tabs>
        <w:spacing w:line="360" w:lineRule="auto"/>
        <w:rPr>
          <w:rFonts w:ascii="Arial" w:hAnsi="Arial" w:cs="Arial"/>
          <w:color w:val="000000"/>
        </w:rPr>
      </w:pPr>
    </w:p>
    <w:p w14:paraId="155EFD81" w14:textId="77777777" w:rsidR="00E12037" w:rsidRDefault="00E12037" w:rsidP="006E7435">
      <w:pPr>
        <w:tabs>
          <w:tab w:val="left" w:pos="6540"/>
        </w:tabs>
        <w:spacing w:line="360" w:lineRule="auto"/>
        <w:rPr>
          <w:rFonts w:ascii="Arial" w:hAnsi="Arial" w:cs="Arial"/>
          <w:color w:val="000000"/>
        </w:rPr>
      </w:pPr>
    </w:p>
    <w:p w14:paraId="4BF02830" w14:textId="77777777" w:rsidR="009F6EF8" w:rsidRDefault="009F6EF8" w:rsidP="006E7435">
      <w:pPr>
        <w:tabs>
          <w:tab w:val="left" w:pos="6540"/>
        </w:tabs>
        <w:spacing w:line="360" w:lineRule="auto"/>
        <w:rPr>
          <w:rFonts w:ascii="Arial" w:hAnsi="Arial" w:cs="Arial"/>
          <w:color w:val="000000"/>
        </w:rPr>
      </w:pPr>
    </w:p>
    <w:p w14:paraId="2E6F6F9B" w14:textId="77777777" w:rsidR="009F6EF8" w:rsidRDefault="009F6EF8" w:rsidP="00D01C7E">
      <w:pPr>
        <w:tabs>
          <w:tab w:val="left" w:pos="6540"/>
        </w:tabs>
        <w:spacing w:line="360" w:lineRule="auto"/>
        <w:rPr>
          <w:rFonts w:ascii="Arial" w:hAnsi="Arial" w:cs="Arial"/>
          <w:color w:val="000000"/>
        </w:rPr>
      </w:pPr>
    </w:p>
    <w:p w14:paraId="5CF035FA" w14:textId="77777777" w:rsidR="009F6EF8" w:rsidRDefault="009F6EF8" w:rsidP="00D01C7E">
      <w:pPr>
        <w:tabs>
          <w:tab w:val="left" w:pos="6540"/>
        </w:tabs>
        <w:spacing w:line="360" w:lineRule="auto"/>
        <w:rPr>
          <w:rFonts w:ascii="Arial" w:hAnsi="Arial" w:cs="Arial"/>
          <w:color w:val="000000"/>
        </w:rPr>
      </w:pPr>
    </w:p>
    <w:p w14:paraId="5049C395" w14:textId="77777777" w:rsidR="009F6EF8" w:rsidRDefault="009F6EF8" w:rsidP="00D01C7E">
      <w:pPr>
        <w:tabs>
          <w:tab w:val="left" w:pos="6540"/>
        </w:tabs>
        <w:spacing w:line="360" w:lineRule="auto"/>
        <w:rPr>
          <w:rFonts w:ascii="Arial" w:hAnsi="Arial" w:cs="Arial"/>
          <w:color w:val="000000"/>
        </w:rPr>
      </w:pPr>
    </w:p>
    <w:p w14:paraId="2B49329D" w14:textId="77777777" w:rsidR="009F6EF8" w:rsidRDefault="009F6EF8" w:rsidP="00D01C7E">
      <w:pPr>
        <w:tabs>
          <w:tab w:val="left" w:pos="6540"/>
        </w:tabs>
        <w:spacing w:line="360" w:lineRule="auto"/>
        <w:rPr>
          <w:rFonts w:ascii="Arial" w:hAnsi="Arial" w:cs="Arial"/>
          <w:color w:val="000000"/>
        </w:rPr>
      </w:pPr>
    </w:p>
    <w:p w14:paraId="2E4D2FFC" w14:textId="77777777" w:rsidR="009F6EF8" w:rsidRDefault="009F6EF8" w:rsidP="00D01C7E">
      <w:pPr>
        <w:tabs>
          <w:tab w:val="left" w:pos="6540"/>
        </w:tabs>
        <w:spacing w:line="360" w:lineRule="auto"/>
        <w:rPr>
          <w:rFonts w:ascii="Arial" w:hAnsi="Arial" w:cs="Arial"/>
          <w:color w:val="000000"/>
        </w:rPr>
      </w:pPr>
    </w:p>
    <w:p w14:paraId="4B9C2EC1" w14:textId="77777777" w:rsidR="0099350B" w:rsidRDefault="0099350B" w:rsidP="00D01C7E">
      <w:pPr>
        <w:tabs>
          <w:tab w:val="left" w:pos="6540"/>
        </w:tabs>
        <w:spacing w:line="360" w:lineRule="auto"/>
        <w:rPr>
          <w:rFonts w:ascii="Arial" w:hAnsi="Arial" w:cs="Arial"/>
          <w:color w:val="000000"/>
        </w:rPr>
      </w:pPr>
    </w:p>
    <w:p w14:paraId="6519EEA8" w14:textId="77777777" w:rsidR="009F6EF8" w:rsidRDefault="009F6EF8" w:rsidP="00D01C7E">
      <w:pPr>
        <w:tabs>
          <w:tab w:val="left" w:pos="6540"/>
        </w:tabs>
        <w:spacing w:line="360" w:lineRule="auto"/>
        <w:rPr>
          <w:rFonts w:ascii="Arial" w:hAnsi="Arial" w:cs="Arial"/>
          <w:color w:val="000000"/>
        </w:rPr>
      </w:pPr>
    </w:p>
    <w:p w14:paraId="22B56F50" w14:textId="77777777" w:rsidR="009F6EF8" w:rsidRDefault="009F6EF8" w:rsidP="00D01C7E">
      <w:pPr>
        <w:tabs>
          <w:tab w:val="left" w:pos="6540"/>
        </w:tabs>
        <w:spacing w:line="360" w:lineRule="auto"/>
        <w:rPr>
          <w:rFonts w:ascii="Arial" w:hAnsi="Arial" w:cs="Arial"/>
          <w:color w:val="000000"/>
        </w:rPr>
      </w:pPr>
    </w:p>
    <w:p w14:paraId="24201B75" w14:textId="77777777" w:rsidR="006E7435" w:rsidRDefault="006E7435" w:rsidP="00D01C7E">
      <w:pPr>
        <w:tabs>
          <w:tab w:val="left" w:pos="6540"/>
        </w:tabs>
        <w:spacing w:line="360" w:lineRule="auto"/>
        <w:rPr>
          <w:rFonts w:ascii="Arial" w:hAnsi="Arial" w:cs="Arial"/>
          <w:color w:val="000000"/>
        </w:rPr>
      </w:pPr>
    </w:p>
    <w:p w14:paraId="2B10AE75" w14:textId="77777777" w:rsidR="006E7435" w:rsidRDefault="006E7435" w:rsidP="00D01C7E">
      <w:pPr>
        <w:tabs>
          <w:tab w:val="left" w:pos="6540"/>
        </w:tabs>
        <w:spacing w:line="360" w:lineRule="auto"/>
        <w:rPr>
          <w:rFonts w:ascii="Arial" w:hAnsi="Arial" w:cs="Arial"/>
          <w:color w:val="000000"/>
        </w:rPr>
      </w:pPr>
    </w:p>
    <w:p w14:paraId="163A1065" w14:textId="77777777" w:rsidR="009F6EF8" w:rsidRDefault="009F6EF8" w:rsidP="00D01C7E">
      <w:pPr>
        <w:tabs>
          <w:tab w:val="left" w:pos="6540"/>
        </w:tabs>
        <w:spacing w:line="360" w:lineRule="auto"/>
        <w:rPr>
          <w:rFonts w:ascii="Arial" w:hAnsi="Arial" w:cs="Arial"/>
          <w:color w:val="000000"/>
        </w:rPr>
      </w:pPr>
    </w:p>
    <w:p w14:paraId="1479D15A" w14:textId="77777777" w:rsidR="006E7435" w:rsidRPr="00CD33A8" w:rsidRDefault="006E7435" w:rsidP="00D01C7E">
      <w:pPr>
        <w:tabs>
          <w:tab w:val="left" w:pos="6540"/>
        </w:tabs>
        <w:spacing w:line="360" w:lineRule="auto"/>
        <w:rPr>
          <w:rFonts w:ascii="Arial" w:hAnsi="Arial" w:cs="Arial"/>
          <w:sz w:val="22"/>
        </w:rPr>
      </w:pPr>
    </w:p>
    <w:p w14:paraId="73B07562" w14:textId="0E99FAFE" w:rsidR="008E3943" w:rsidRDefault="0026393A" w:rsidP="008E3943">
      <w:pPr>
        <w:pStyle w:val="Heading1"/>
      </w:pPr>
      <w:bookmarkStart w:id="3" w:name="_Toc225246343"/>
      <w:bookmarkStart w:id="4" w:name="_Toc235434410"/>
      <w:r w:rsidRPr="0099350B">
        <w:lastRenderedPageBreak/>
        <w:t xml:space="preserve">2. </w:t>
      </w:r>
      <w:r w:rsidR="008E3943" w:rsidRPr="0099350B">
        <w:t>Importance of effective communication</w:t>
      </w:r>
      <w:bookmarkEnd w:id="3"/>
      <w:bookmarkEnd w:id="4"/>
    </w:p>
    <w:p w14:paraId="5A58A369"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Effective communication is fundamental to ensuring safe, person</w:t>
      </w:r>
      <w:r w:rsidRPr="006E7435">
        <w:rPr>
          <w:rFonts w:ascii="Arial" w:hAnsi="Arial" w:cs="Arial"/>
          <w:color w:val="000000"/>
          <w:sz w:val="22"/>
          <w:szCs w:val="22"/>
        </w:rPr>
        <w:noBreakHyphen/>
        <w:t xml:space="preserve">centred care for Mrs Thompson. As an older adult with mild dementia, she may experience confusion, memory loss, and difficulty processing information. Communication must therefore be adapted to her cognitive needs, using clear, simple language, repetition, and visual prompts where appropriate. The </w:t>
      </w:r>
      <w:r w:rsidRPr="006E7435">
        <w:rPr>
          <w:rStyle w:val="Strong"/>
          <w:rFonts w:ascii="Arial" w:hAnsi="Arial" w:cs="Arial"/>
          <w:b w:val="0"/>
          <w:bCs w:val="0"/>
          <w:sz w:val="22"/>
          <w:szCs w:val="22"/>
        </w:rPr>
        <w:t>Equality Act 2010</w:t>
      </w:r>
      <w:r w:rsidRPr="006E7435">
        <w:rPr>
          <w:rFonts w:ascii="Arial" w:hAnsi="Arial" w:cs="Arial"/>
          <w:color w:val="000000"/>
          <w:sz w:val="22"/>
          <w:szCs w:val="22"/>
        </w:rPr>
        <w:t xml:space="preserve"> requires health and social care providers to make reasonable adjustments to ensure individuals with disabilities—including dementia—can access information and services equitably (Equality Act, 2010). This legal requirement reinforces the need for communication that is inclusive, accessible, and sensitive to her cognitive limitations.</w:t>
      </w:r>
    </w:p>
    <w:p w14:paraId="1581EBB5"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 xml:space="preserve">The </w:t>
      </w:r>
      <w:r w:rsidRPr="006E7435">
        <w:rPr>
          <w:rStyle w:val="Strong"/>
          <w:rFonts w:ascii="Arial" w:hAnsi="Arial" w:cs="Arial"/>
          <w:b w:val="0"/>
          <w:bCs w:val="0"/>
          <w:sz w:val="22"/>
          <w:szCs w:val="22"/>
        </w:rPr>
        <w:t>SOLER model</w:t>
      </w:r>
      <w:r w:rsidRPr="006E7435">
        <w:rPr>
          <w:rFonts w:ascii="Arial" w:hAnsi="Arial" w:cs="Arial"/>
          <w:color w:val="000000"/>
          <w:sz w:val="22"/>
          <w:szCs w:val="22"/>
        </w:rPr>
        <w:t xml:space="preserve"> (Egan, 2014a) provides a structured approach to interpersonal communication that is particularly relevant in Mrs Thompson’s case. SOLER encourages professionals to adopt an open posture, maintain appropriate eye contact, and demonstrate active listening. These behaviours help build trust, reduce anxiety, and support engagement, which is essential when discussing sensitive issues such as medication adherence or safety concerns. Using SOLER can help ensure Mrs Thompson feels respected and understood, thereby improving her willingness to participate in her care.</w:t>
      </w:r>
    </w:p>
    <w:p w14:paraId="343C3C32"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 xml:space="preserve">Communication with family members is also important. Although Mrs Thompson lives alone, her relatives may provide emotional support and help monitor her wellbeing. Communication with family must be respectful, confidential, and compliant with the </w:t>
      </w:r>
      <w:r w:rsidRPr="006E7435">
        <w:rPr>
          <w:rStyle w:val="Strong"/>
          <w:rFonts w:ascii="Arial" w:hAnsi="Arial" w:cs="Arial"/>
          <w:b w:val="0"/>
          <w:bCs w:val="0"/>
          <w:sz w:val="22"/>
          <w:szCs w:val="22"/>
        </w:rPr>
        <w:t>Data Protection Act 2018</w:t>
      </w:r>
      <w:r w:rsidRPr="006E7435">
        <w:rPr>
          <w:rFonts w:ascii="Arial" w:hAnsi="Arial" w:cs="Arial"/>
          <w:b/>
          <w:bCs/>
          <w:color w:val="000000"/>
          <w:sz w:val="22"/>
          <w:szCs w:val="22"/>
        </w:rPr>
        <w:t>,</w:t>
      </w:r>
      <w:r w:rsidRPr="006E7435">
        <w:rPr>
          <w:rFonts w:ascii="Arial" w:hAnsi="Arial" w:cs="Arial"/>
          <w:color w:val="000000"/>
          <w:sz w:val="22"/>
          <w:szCs w:val="22"/>
        </w:rPr>
        <w:t xml:space="preserve"> which requires personal information to be shared only when appropriate and with consent (ICO, 2020). Clear communication with family can reinforce medication routines, identify early signs of deterioration, and ensure they understand the risks associated with dementia and pneumonia recovery.</w:t>
      </w:r>
    </w:p>
    <w:p w14:paraId="05DE21E9"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Professional communication between agencies is equally vital. Domiciliary care workers, who visit twice daily, must report concerns promptly, such as missed medication or unsafe behaviour. The incident where Mrs Thompson was found outside without appropriate clothing demonstrates the consequences of communication breakdown. Without timely escalation, she may be exposed to harm, including hypothermia or increased confusion.</w:t>
      </w:r>
    </w:p>
    <w:p w14:paraId="35C78FA8" w14:textId="77777777" w:rsid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NHS England emphasises that communication should empower individuals, promote dignity, and support informed decision</w:t>
      </w:r>
      <w:r w:rsidRPr="006E7435">
        <w:rPr>
          <w:rFonts w:ascii="Arial" w:hAnsi="Arial" w:cs="Arial"/>
          <w:color w:val="000000"/>
          <w:sz w:val="22"/>
          <w:szCs w:val="22"/>
        </w:rPr>
        <w:noBreakHyphen/>
        <w:t xml:space="preserve">making (NHS England, 2022c). For Mrs Thompson, this means explaining her medication calmly, using memory aids, and ensuring she feels </w:t>
      </w:r>
      <w:r w:rsidRPr="006E7435">
        <w:rPr>
          <w:rFonts w:ascii="Arial" w:hAnsi="Arial" w:cs="Arial"/>
          <w:color w:val="000000"/>
          <w:sz w:val="22"/>
          <w:szCs w:val="22"/>
        </w:rPr>
        <w:lastRenderedPageBreak/>
        <w:t>supported rather than criticised. Effective communication is therefore essential for promoting safety, autonomy, and wellbeing.</w:t>
      </w:r>
    </w:p>
    <w:p w14:paraId="0FDF070C" w14:textId="76561A0D" w:rsidR="001F46C7" w:rsidRPr="001F46C7" w:rsidRDefault="001F46C7" w:rsidP="001F46C7">
      <w:pPr>
        <w:pStyle w:val="NormalWeb"/>
        <w:spacing w:line="360" w:lineRule="auto"/>
        <w:rPr>
          <w:rFonts w:ascii="Arial" w:hAnsi="Arial" w:cs="Arial"/>
          <w:color w:val="000000"/>
          <w:sz w:val="22"/>
          <w:szCs w:val="22"/>
        </w:rPr>
      </w:pPr>
      <w:r w:rsidRPr="001F46C7">
        <w:rPr>
          <w:rFonts w:ascii="Arial" w:hAnsi="Arial" w:cs="Arial"/>
          <w:color w:val="000000"/>
          <w:sz w:val="22"/>
          <w:szCs w:val="22"/>
        </w:rPr>
        <w:t>Communication should also involve active listening and checking understanding. Rather than asking several questions at once, the care worker could ask one simple question, allow Mrs Thompson enough time to respond and then confirm what she has said. Visual prompts, written reminders or a clearly organised medication routine could also support her memory. NICE (2018) recommends using additional or modified methods of communication, including visual aids or simplified information, when appropriate for people living with dementia.</w:t>
      </w:r>
    </w:p>
    <w:p w14:paraId="379F72D6" w14:textId="77777777" w:rsidR="006E7435" w:rsidRPr="006E7435" w:rsidRDefault="006E7435" w:rsidP="006E7435"/>
    <w:p w14:paraId="110F2F14" w14:textId="77777777" w:rsidR="00257AC8" w:rsidRPr="00257AC8" w:rsidRDefault="00257AC8" w:rsidP="00257AC8"/>
    <w:p w14:paraId="60B2CDC3" w14:textId="12EE5464" w:rsidR="00B87E75" w:rsidRDefault="0026393A" w:rsidP="00E620E7">
      <w:pPr>
        <w:pStyle w:val="Heading1"/>
      </w:pPr>
      <w:bookmarkStart w:id="5" w:name="_Toc225246344"/>
      <w:bookmarkStart w:id="6" w:name="_Toc235434411"/>
      <w:r w:rsidRPr="0099350B">
        <w:t>3</w:t>
      </w:r>
      <w:r w:rsidR="00B87E75" w:rsidRPr="0099350B">
        <w:t>.</w:t>
      </w:r>
      <w:r w:rsidR="008E3943" w:rsidRPr="0099350B">
        <w:t xml:space="preserve"> Importance of good administrative skills</w:t>
      </w:r>
      <w:bookmarkEnd w:id="5"/>
      <w:bookmarkEnd w:id="6"/>
      <w:r w:rsidR="008E3943" w:rsidRPr="0099350B">
        <w:t xml:space="preserve"> </w:t>
      </w:r>
    </w:p>
    <w:p w14:paraId="4EB2CA6E" w14:textId="77777777" w:rsidR="006E7435" w:rsidRDefault="006E7435" w:rsidP="006E7435"/>
    <w:p w14:paraId="5A6FC209"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Administrative skills and accurate record</w:t>
      </w:r>
      <w:r w:rsidRPr="006E7435">
        <w:rPr>
          <w:rFonts w:ascii="Arial" w:hAnsi="Arial" w:cs="Arial"/>
          <w:color w:val="000000"/>
          <w:sz w:val="22"/>
          <w:szCs w:val="22"/>
        </w:rPr>
        <w:noBreakHyphen/>
        <w:t>keeping are essential components of safe and effective practice in health and social care. In Mrs Thompson’s case, record</w:t>
      </w:r>
      <w:r w:rsidRPr="006E7435">
        <w:rPr>
          <w:rFonts w:ascii="Arial" w:hAnsi="Arial" w:cs="Arial"/>
          <w:color w:val="000000"/>
          <w:sz w:val="22"/>
          <w:szCs w:val="22"/>
        </w:rPr>
        <w:noBreakHyphen/>
        <w:t>keeping plays a critical role in monitoring her medication adherence, documenting incidents, and supporting safeguarding processes. The incident where she missed two days of medication highlights how poor record</w:t>
      </w:r>
      <w:r w:rsidRPr="006E7435">
        <w:rPr>
          <w:rFonts w:ascii="Arial" w:hAnsi="Arial" w:cs="Arial"/>
          <w:color w:val="000000"/>
          <w:sz w:val="22"/>
          <w:szCs w:val="22"/>
        </w:rPr>
        <w:noBreakHyphen/>
        <w:t>keeping can lead to increased confusion and potential harm.</w:t>
      </w:r>
    </w:p>
    <w:p w14:paraId="0C73B5E1"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 xml:space="preserve">The </w:t>
      </w:r>
      <w:r w:rsidRPr="006E7435">
        <w:rPr>
          <w:rStyle w:val="Strong"/>
          <w:rFonts w:ascii="Arial" w:hAnsi="Arial" w:cs="Arial"/>
          <w:b w:val="0"/>
          <w:bCs w:val="0"/>
          <w:sz w:val="22"/>
          <w:szCs w:val="22"/>
        </w:rPr>
        <w:t>Data Protection Act 2018</w:t>
      </w:r>
      <w:r w:rsidRPr="006E7435">
        <w:rPr>
          <w:rFonts w:ascii="Arial" w:hAnsi="Arial" w:cs="Arial"/>
          <w:color w:val="000000"/>
          <w:sz w:val="22"/>
          <w:szCs w:val="22"/>
        </w:rPr>
        <w:t xml:space="preserve"> and </w:t>
      </w:r>
      <w:r w:rsidRPr="006E7435">
        <w:rPr>
          <w:rStyle w:val="Strong"/>
          <w:rFonts w:ascii="Arial" w:hAnsi="Arial" w:cs="Arial"/>
          <w:b w:val="0"/>
          <w:bCs w:val="0"/>
          <w:sz w:val="22"/>
          <w:szCs w:val="22"/>
        </w:rPr>
        <w:t>GDPR</w:t>
      </w:r>
      <w:r w:rsidRPr="006E7435">
        <w:rPr>
          <w:rFonts w:ascii="Arial" w:hAnsi="Arial" w:cs="Arial"/>
          <w:b/>
          <w:bCs/>
          <w:color w:val="000000"/>
          <w:sz w:val="22"/>
          <w:szCs w:val="22"/>
        </w:rPr>
        <w:t xml:space="preserve"> </w:t>
      </w:r>
      <w:r w:rsidRPr="006E7435">
        <w:rPr>
          <w:rFonts w:ascii="Arial" w:hAnsi="Arial" w:cs="Arial"/>
          <w:color w:val="000000"/>
          <w:sz w:val="22"/>
          <w:szCs w:val="22"/>
        </w:rPr>
        <w:t>establish strict requirements for handling personal information. Records must be accurate, up</w:t>
      </w:r>
      <w:r w:rsidRPr="006E7435">
        <w:rPr>
          <w:rFonts w:ascii="Arial" w:hAnsi="Arial" w:cs="Arial"/>
          <w:color w:val="000000"/>
          <w:sz w:val="22"/>
          <w:szCs w:val="22"/>
        </w:rPr>
        <w:noBreakHyphen/>
        <w:t>to</w:t>
      </w:r>
      <w:r w:rsidRPr="006E7435">
        <w:rPr>
          <w:rFonts w:ascii="Arial" w:hAnsi="Arial" w:cs="Arial"/>
          <w:color w:val="000000"/>
          <w:sz w:val="22"/>
          <w:szCs w:val="22"/>
        </w:rPr>
        <w:noBreakHyphen/>
        <w:t>date, stored securely, and shared only with authorised individuals (ICO, 2020). This legislation ensures that Mrs Thompson’s sensitive information—such as her dementia diagnosis and medication history—is protected from misuse. Care workers must record each medication administration clearly, noting any missed doses and the reasons for them. This information supports clinical decision</w:t>
      </w:r>
      <w:r w:rsidRPr="006E7435">
        <w:rPr>
          <w:rFonts w:ascii="Arial" w:hAnsi="Arial" w:cs="Arial"/>
          <w:color w:val="000000"/>
          <w:sz w:val="22"/>
          <w:szCs w:val="22"/>
        </w:rPr>
        <w:noBreakHyphen/>
        <w:t>making and ensures accountability.</w:t>
      </w:r>
    </w:p>
    <w:p w14:paraId="4E152DB6"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 xml:space="preserve">Accurate records also support continuity of care. When domiciliary care workers change shifts, they rely on previous notes to understand Mrs Thompson’s condition. If records are incomplete or unclear, important information may be missed, increasing the risk of medication errors or failure to identify deterioration. The </w:t>
      </w:r>
      <w:r w:rsidRPr="006E7435">
        <w:rPr>
          <w:rStyle w:val="Strong"/>
          <w:rFonts w:ascii="Arial" w:hAnsi="Arial" w:cs="Arial"/>
          <w:b w:val="0"/>
          <w:bCs w:val="0"/>
          <w:sz w:val="22"/>
          <w:szCs w:val="22"/>
        </w:rPr>
        <w:t>Care Quality Commission (CQC, 2022)</w:t>
      </w:r>
      <w:r w:rsidRPr="006E7435">
        <w:rPr>
          <w:rFonts w:ascii="Arial" w:hAnsi="Arial" w:cs="Arial"/>
          <w:color w:val="000000"/>
          <w:sz w:val="22"/>
          <w:szCs w:val="22"/>
        </w:rPr>
        <w:t xml:space="preserve"> emphasises that good record</w:t>
      </w:r>
      <w:r w:rsidRPr="006E7435">
        <w:rPr>
          <w:rFonts w:ascii="Arial" w:hAnsi="Arial" w:cs="Arial"/>
          <w:color w:val="000000"/>
          <w:sz w:val="22"/>
          <w:szCs w:val="22"/>
        </w:rPr>
        <w:noBreakHyphen/>
        <w:t>keeping is essential for safe, effective, and responsive care.</w:t>
      </w:r>
    </w:p>
    <w:p w14:paraId="1D878911"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 xml:space="preserve">Administrative skills also involve following organisational policies and procedures. Incident reporting is a key requirement in health and social care settings. The incident where Mrs </w:t>
      </w:r>
      <w:r w:rsidRPr="006E7435">
        <w:rPr>
          <w:rFonts w:ascii="Arial" w:hAnsi="Arial" w:cs="Arial"/>
          <w:color w:val="000000"/>
          <w:sz w:val="22"/>
          <w:szCs w:val="22"/>
        </w:rPr>
        <w:lastRenderedPageBreak/>
        <w:t xml:space="preserve">Thompson was found outside without appropriate clothing must be recorded promptly and escalated to the local authority, as it may indicate a safeguarding concern. The </w:t>
      </w:r>
      <w:r w:rsidRPr="006E7435">
        <w:rPr>
          <w:rStyle w:val="Strong"/>
          <w:rFonts w:ascii="Arial" w:hAnsi="Arial" w:cs="Arial"/>
          <w:b w:val="0"/>
          <w:bCs w:val="0"/>
          <w:sz w:val="22"/>
          <w:szCs w:val="22"/>
        </w:rPr>
        <w:t>Care Act 2014</w:t>
      </w:r>
      <w:r w:rsidRPr="006E7435">
        <w:rPr>
          <w:rFonts w:ascii="Arial" w:hAnsi="Arial" w:cs="Arial"/>
          <w:color w:val="000000"/>
          <w:sz w:val="22"/>
          <w:szCs w:val="22"/>
        </w:rPr>
        <w:t xml:space="preserve"> places a duty on local authorities to investigate concerns relating to vulnerable adults, including those with dementia (Sabbagh and </w:t>
      </w:r>
      <w:proofErr w:type="spellStart"/>
      <w:r w:rsidRPr="006E7435">
        <w:rPr>
          <w:rFonts w:ascii="Arial" w:hAnsi="Arial" w:cs="Arial"/>
          <w:color w:val="000000"/>
          <w:sz w:val="22"/>
          <w:szCs w:val="22"/>
        </w:rPr>
        <w:t>Korgaonkar</w:t>
      </w:r>
      <w:proofErr w:type="spellEnd"/>
      <w:r w:rsidRPr="006E7435">
        <w:rPr>
          <w:rFonts w:ascii="Arial" w:hAnsi="Arial" w:cs="Arial"/>
          <w:color w:val="000000"/>
          <w:sz w:val="22"/>
          <w:szCs w:val="22"/>
        </w:rPr>
        <w:t>, 2021). Accurate incident records support safeguarding investigations and ensure appropriate actions are taken.</w:t>
      </w:r>
    </w:p>
    <w:p w14:paraId="73A224DE"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Furthermore, administrative skills include organising care plans, updating risk assessments, and ensuring documentation is consistent with sector standards. For example, Mrs Thompson’s care plan should include strategies for supporting her memory, such as medication prompts or visual reminders. If these strategies are not documented, care workers may not implement them consistently.</w:t>
      </w:r>
    </w:p>
    <w:p w14:paraId="63B7623B" w14:textId="7ECF6921"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In summary, good administrative skills and record</w:t>
      </w:r>
      <w:r w:rsidRPr="006E7435">
        <w:rPr>
          <w:rFonts w:ascii="Arial" w:hAnsi="Arial" w:cs="Arial"/>
          <w:color w:val="000000"/>
          <w:sz w:val="22"/>
          <w:szCs w:val="22"/>
        </w:rPr>
        <w:noBreakHyphen/>
        <w:t>keeping are essential for ensuring Mrs Thompson’s safety, supporting legal compliance, and enabling effective multi</w:t>
      </w:r>
      <w:r w:rsidRPr="006E7435">
        <w:rPr>
          <w:rFonts w:ascii="Arial" w:hAnsi="Arial" w:cs="Arial"/>
          <w:color w:val="000000"/>
          <w:sz w:val="22"/>
          <w:szCs w:val="22"/>
        </w:rPr>
        <w:noBreakHyphen/>
        <w:t>agency working. By adhering to legislation and sector policies, professionals can deliver care that is safe, accountable, and person</w:t>
      </w:r>
      <w:r w:rsidRPr="006E7435">
        <w:rPr>
          <w:rFonts w:ascii="Arial" w:hAnsi="Arial" w:cs="Arial"/>
          <w:color w:val="000000"/>
          <w:sz w:val="22"/>
          <w:szCs w:val="22"/>
        </w:rPr>
        <w:noBreakHyphen/>
        <w:t>centred.</w:t>
      </w:r>
      <w:bookmarkStart w:id="7" w:name="_Toc225246345"/>
    </w:p>
    <w:p w14:paraId="225E2A32" w14:textId="0D406BF2" w:rsidR="00E12037" w:rsidRPr="006E7435" w:rsidRDefault="00E12037" w:rsidP="006E7435">
      <w:pPr>
        <w:pStyle w:val="isselectedend"/>
        <w:spacing w:line="360" w:lineRule="auto"/>
        <w:rPr>
          <w:rFonts w:ascii="Arial" w:hAnsi="Arial" w:cs="Arial"/>
          <w:color w:val="000000"/>
          <w:sz w:val="22"/>
          <w:szCs w:val="22"/>
        </w:rPr>
      </w:pPr>
    </w:p>
    <w:p w14:paraId="5C26B8FB" w14:textId="3BD4556D" w:rsidR="009579DB" w:rsidRPr="006E7435" w:rsidRDefault="00E12037" w:rsidP="006E7435">
      <w:pPr>
        <w:pStyle w:val="Heading1"/>
      </w:pPr>
      <w:bookmarkStart w:id="8" w:name="_Toc235434412"/>
      <w:r>
        <w:t>4. W</w:t>
      </w:r>
      <w:r w:rsidR="008E3943" w:rsidRPr="0099350B">
        <w:t>orking collaboratively</w:t>
      </w:r>
      <w:bookmarkEnd w:id="7"/>
      <w:bookmarkEnd w:id="8"/>
    </w:p>
    <w:p w14:paraId="4110DE10" w14:textId="18673115"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Multi</w:t>
      </w:r>
      <w:r w:rsidRPr="006E7435">
        <w:rPr>
          <w:rFonts w:ascii="Arial" w:hAnsi="Arial" w:cs="Arial"/>
          <w:color w:val="000000"/>
          <w:sz w:val="22"/>
          <w:szCs w:val="22"/>
        </w:rPr>
        <w:noBreakHyphen/>
        <w:t xml:space="preserve">agency collaboration is essential in Mrs Thompson’s care because her needs span medical, social, and domiciliary support. Working collaboratively ensures that professionals share information, coordinate interventions, and respond promptly to risks. The </w:t>
      </w:r>
      <w:r w:rsidRPr="006E7435">
        <w:rPr>
          <w:rStyle w:val="Strong"/>
          <w:rFonts w:ascii="Arial" w:hAnsi="Arial" w:cs="Arial"/>
          <w:b w:val="0"/>
          <w:bCs w:val="0"/>
          <w:sz w:val="22"/>
          <w:szCs w:val="22"/>
        </w:rPr>
        <w:t>Health and Social Care Act 2012</w:t>
      </w:r>
      <w:r w:rsidRPr="006E7435">
        <w:rPr>
          <w:rFonts w:ascii="Arial" w:hAnsi="Arial" w:cs="Arial"/>
          <w:color w:val="000000"/>
          <w:sz w:val="22"/>
          <w:szCs w:val="22"/>
        </w:rPr>
        <w:t xml:space="preserve"> </w:t>
      </w:r>
      <w:r w:rsidRPr="006E7435">
        <w:rPr>
          <w:rFonts w:ascii="Arial" w:hAnsi="Arial" w:cs="Arial"/>
          <w:color w:val="000000"/>
          <w:sz w:val="22"/>
          <w:szCs w:val="22"/>
        </w:rPr>
        <w:t>emphasise</w:t>
      </w:r>
      <w:r w:rsidRPr="006E7435">
        <w:rPr>
          <w:rFonts w:ascii="Arial" w:hAnsi="Arial" w:cs="Arial"/>
          <w:color w:val="000000"/>
          <w:sz w:val="22"/>
          <w:szCs w:val="22"/>
        </w:rPr>
        <w:t xml:space="preserve"> the importance of integrated care and collaboration between agencies (Tutt and Williams, 2023).</w:t>
      </w:r>
    </w:p>
    <w:p w14:paraId="3F23DB9D"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The GP plays a key role in reviewing her medication and monitoring her recovery from pneumonia. Community nurses may support respiratory monitoring or medication management. Domiciliary care workers provide daily assistance and are often the first to notice changes in her condition. The local authority safeguarding team is involved due to concerns about her safety and cognitive decline.</w:t>
      </w:r>
    </w:p>
    <w:p w14:paraId="5DACDAAB" w14:textId="77777777" w:rsid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 xml:space="preserve">Effective collaboration requires clear communication channels, shared documentation, and regular updates. Approaches such as </w:t>
      </w:r>
      <w:r w:rsidRPr="006E7435">
        <w:rPr>
          <w:rStyle w:val="Strong"/>
          <w:rFonts w:ascii="Arial" w:hAnsi="Arial" w:cs="Arial"/>
          <w:b w:val="0"/>
          <w:bCs w:val="0"/>
          <w:sz w:val="22"/>
          <w:szCs w:val="22"/>
        </w:rPr>
        <w:t>multi</w:t>
      </w:r>
      <w:r w:rsidRPr="006E7435">
        <w:rPr>
          <w:rStyle w:val="Strong"/>
          <w:rFonts w:ascii="Arial" w:hAnsi="Arial" w:cs="Arial"/>
          <w:b w:val="0"/>
          <w:bCs w:val="0"/>
          <w:sz w:val="22"/>
          <w:szCs w:val="22"/>
        </w:rPr>
        <w:noBreakHyphen/>
        <w:t>disciplinary team (MDT) meetings</w:t>
      </w:r>
      <w:r w:rsidRPr="006E7435">
        <w:rPr>
          <w:rFonts w:ascii="Arial" w:hAnsi="Arial" w:cs="Arial"/>
          <w:color w:val="000000"/>
          <w:sz w:val="22"/>
          <w:szCs w:val="22"/>
        </w:rPr>
        <w:t xml:space="preserve"> help professionals discuss concerns, agree on actions, and monitor progress (Gopee, 2023). MDT working promotes holistic care and reduces duplication.</w:t>
      </w:r>
    </w:p>
    <w:p w14:paraId="4ADA981D" w14:textId="6D1083E2" w:rsidR="001F46C7" w:rsidRPr="006E7435" w:rsidRDefault="001F46C7" w:rsidP="006E7435">
      <w:pPr>
        <w:pStyle w:val="NormalWeb"/>
        <w:spacing w:line="360" w:lineRule="auto"/>
        <w:rPr>
          <w:rFonts w:ascii="Arial" w:hAnsi="Arial" w:cs="Arial"/>
          <w:color w:val="000000"/>
          <w:sz w:val="22"/>
          <w:szCs w:val="22"/>
        </w:rPr>
      </w:pPr>
      <w:r w:rsidRPr="001F46C7">
        <w:rPr>
          <w:rFonts w:ascii="Arial" w:hAnsi="Arial" w:cs="Arial"/>
          <w:color w:val="000000"/>
          <w:sz w:val="22"/>
          <w:szCs w:val="22"/>
        </w:rPr>
        <w:lastRenderedPageBreak/>
        <w:t>Research indicates that multidisciplinary teams can bring together different professional expertise to jointly assess, plan and manage care (NICE, 2022).</w:t>
      </w:r>
    </w:p>
    <w:p w14:paraId="4B4DBAA5"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However, multi</w:t>
      </w:r>
      <w:r w:rsidRPr="006E7435">
        <w:rPr>
          <w:rFonts w:ascii="Arial" w:hAnsi="Arial" w:cs="Arial"/>
          <w:color w:val="000000"/>
          <w:sz w:val="22"/>
          <w:szCs w:val="22"/>
        </w:rPr>
        <w:noBreakHyphen/>
        <w:t>agency working can face challenges, including communication breakdowns, unclear roles, and conflicting priorities. Strategies to overcome these challenges include establishing clear protocols, using shared digital systems, and ensuring all professionals understand their responsibilities under relevant legislation. Building positive relationships between agencies also supports collaboration. Professionals must respect each other’s expertise, maintain open communication, and prioritise the service user’s wellbeing.</w:t>
      </w:r>
    </w:p>
    <w:p w14:paraId="7FFE34B0"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In Mrs Thompson’s case, collaboration ensures that medication issues are addressed, safeguarding concerns are investigated, and her care plan is updated to reflect her changing needs.</w:t>
      </w:r>
    </w:p>
    <w:p w14:paraId="316D6874" w14:textId="77777777" w:rsidR="009579DB" w:rsidRPr="006E7435" w:rsidRDefault="009579DB" w:rsidP="006E7435">
      <w:pPr>
        <w:pStyle w:val="isselectedend"/>
        <w:spacing w:line="360" w:lineRule="auto"/>
        <w:rPr>
          <w:rFonts w:ascii="Arial" w:hAnsi="Arial" w:cs="Arial"/>
          <w:color w:val="000000"/>
          <w:sz w:val="22"/>
          <w:szCs w:val="22"/>
        </w:rPr>
      </w:pPr>
    </w:p>
    <w:p w14:paraId="1EC3E42D" w14:textId="77777777" w:rsidR="009579DB" w:rsidRDefault="009579DB" w:rsidP="006E7435">
      <w:pPr>
        <w:pStyle w:val="isselectedend"/>
        <w:spacing w:line="360" w:lineRule="auto"/>
        <w:rPr>
          <w:color w:val="000000"/>
        </w:rPr>
      </w:pPr>
    </w:p>
    <w:p w14:paraId="3A8B7A24" w14:textId="77777777" w:rsidR="009579DB" w:rsidRDefault="009579DB" w:rsidP="006E7435">
      <w:pPr>
        <w:pStyle w:val="isselectedend"/>
        <w:spacing w:line="360" w:lineRule="auto"/>
        <w:rPr>
          <w:color w:val="000000"/>
        </w:rPr>
      </w:pPr>
    </w:p>
    <w:p w14:paraId="19605E2A" w14:textId="77777777" w:rsidR="009579DB" w:rsidRDefault="009579DB" w:rsidP="006E7435">
      <w:pPr>
        <w:pStyle w:val="isselectedend"/>
        <w:spacing w:line="360" w:lineRule="auto"/>
        <w:rPr>
          <w:color w:val="000000"/>
        </w:rPr>
      </w:pPr>
    </w:p>
    <w:p w14:paraId="75C7BDFE" w14:textId="77777777" w:rsidR="009579DB" w:rsidRDefault="009579DB" w:rsidP="006E7435">
      <w:pPr>
        <w:pStyle w:val="isselectedend"/>
        <w:spacing w:line="360" w:lineRule="auto"/>
        <w:rPr>
          <w:color w:val="000000"/>
        </w:rPr>
      </w:pPr>
    </w:p>
    <w:p w14:paraId="1E4CCB5C" w14:textId="77777777" w:rsidR="009579DB" w:rsidRDefault="009579DB" w:rsidP="006E7435">
      <w:pPr>
        <w:pStyle w:val="isselectedend"/>
        <w:spacing w:line="360" w:lineRule="auto"/>
        <w:rPr>
          <w:color w:val="000000"/>
        </w:rPr>
      </w:pPr>
    </w:p>
    <w:p w14:paraId="5512C4B3" w14:textId="77777777" w:rsidR="009579DB" w:rsidRDefault="009579DB" w:rsidP="006E7435">
      <w:pPr>
        <w:pStyle w:val="isselectedend"/>
        <w:spacing w:line="360" w:lineRule="auto"/>
        <w:rPr>
          <w:color w:val="000000"/>
        </w:rPr>
      </w:pPr>
    </w:p>
    <w:p w14:paraId="300772A8" w14:textId="77777777" w:rsidR="006E7435" w:rsidRDefault="006E7435" w:rsidP="006E7435">
      <w:pPr>
        <w:pStyle w:val="isselectedend"/>
        <w:spacing w:line="360" w:lineRule="auto"/>
        <w:rPr>
          <w:color w:val="000000"/>
        </w:rPr>
      </w:pPr>
    </w:p>
    <w:p w14:paraId="7C243BDF" w14:textId="77777777" w:rsidR="006E7435" w:rsidRDefault="006E7435" w:rsidP="006E7435">
      <w:pPr>
        <w:pStyle w:val="isselectedend"/>
        <w:spacing w:line="360" w:lineRule="auto"/>
        <w:rPr>
          <w:color w:val="000000"/>
        </w:rPr>
      </w:pPr>
    </w:p>
    <w:p w14:paraId="1C621B51" w14:textId="77777777" w:rsidR="006E7435" w:rsidRDefault="006E7435" w:rsidP="006E7435">
      <w:pPr>
        <w:pStyle w:val="isselectedend"/>
        <w:spacing w:line="360" w:lineRule="auto"/>
        <w:rPr>
          <w:color w:val="000000"/>
        </w:rPr>
      </w:pPr>
    </w:p>
    <w:p w14:paraId="0319D09D" w14:textId="77777777" w:rsidR="006E7435" w:rsidRDefault="006E7435" w:rsidP="006E7435">
      <w:pPr>
        <w:pStyle w:val="isselectedend"/>
        <w:spacing w:line="360" w:lineRule="auto"/>
        <w:rPr>
          <w:color w:val="000000"/>
        </w:rPr>
      </w:pPr>
    </w:p>
    <w:p w14:paraId="06830C37" w14:textId="77777777" w:rsidR="006E7435" w:rsidRDefault="006E7435" w:rsidP="006E7435">
      <w:pPr>
        <w:pStyle w:val="isselectedend"/>
        <w:spacing w:line="360" w:lineRule="auto"/>
        <w:rPr>
          <w:color w:val="000000"/>
        </w:rPr>
      </w:pPr>
    </w:p>
    <w:p w14:paraId="234769FE" w14:textId="77777777" w:rsidR="006E7435" w:rsidRDefault="006E7435" w:rsidP="006E7435">
      <w:pPr>
        <w:tabs>
          <w:tab w:val="left" w:pos="6540"/>
        </w:tabs>
        <w:spacing w:line="360" w:lineRule="auto"/>
        <w:rPr>
          <w:rFonts w:asciiTheme="minorBidi" w:hAnsiTheme="minorBidi"/>
          <w:sz w:val="22"/>
        </w:rPr>
      </w:pPr>
    </w:p>
    <w:p w14:paraId="6E1AF668" w14:textId="77777777" w:rsidR="006E7435" w:rsidRPr="00CD33A8" w:rsidRDefault="006E7435" w:rsidP="006E7435">
      <w:pPr>
        <w:tabs>
          <w:tab w:val="left" w:pos="6540"/>
        </w:tabs>
        <w:spacing w:line="360" w:lineRule="auto"/>
        <w:rPr>
          <w:rFonts w:asciiTheme="minorBidi" w:hAnsiTheme="minorBidi"/>
          <w:sz w:val="22"/>
        </w:rPr>
      </w:pPr>
    </w:p>
    <w:p w14:paraId="16FAF0EA" w14:textId="2F93A55A" w:rsidR="00B87E75" w:rsidRDefault="008E3943" w:rsidP="00DF1AA3">
      <w:pPr>
        <w:pStyle w:val="Heading1"/>
      </w:pPr>
      <w:bookmarkStart w:id="9" w:name="_Toc225246346"/>
      <w:bookmarkStart w:id="10" w:name="_Toc235434413"/>
      <w:r w:rsidRPr="0099350B">
        <w:lastRenderedPageBreak/>
        <w:t>5</w:t>
      </w:r>
      <w:r w:rsidR="00B87E75" w:rsidRPr="0099350B">
        <w:t>. Conclusion</w:t>
      </w:r>
      <w:bookmarkEnd w:id="9"/>
      <w:bookmarkEnd w:id="10"/>
      <w:r w:rsidR="00CD33A8" w:rsidRPr="0099350B">
        <w:t xml:space="preserve"> </w:t>
      </w:r>
    </w:p>
    <w:p w14:paraId="274CB9F3" w14:textId="77777777" w:rsidR="006E7435" w:rsidRPr="006E7435" w:rsidRDefault="006E7435" w:rsidP="006E7435">
      <w:pPr>
        <w:pStyle w:val="NormalWeb"/>
        <w:spacing w:line="360" w:lineRule="auto"/>
        <w:rPr>
          <w:rFonts w:ascii="Arial" w:hAnsi="Arial" w:cs="Arial"/>
          <w:color w:val="000000"/>
          <w:sz w:val="22"/>
          <w:szCs w:val="22"/>
        </w:rPr>
      </w:pPr>
      <w:r w:rsidRPr="006E7435">
        <w:rPr>
          <w:rFonts w:ascii="Arial" w:hAnsi="Arial" w:cs="Arial"/>
          <w:color w:val="000000"/>
          <w:sz w:val="22"/>
          <w:szCs w:val="22"/>
        </w:rPr>
        <w:t>Mrs Thompson’s case highlights the importance of effective communication, accurate record</w:t>
      </w:r>
      <w:r w:rsidRPr="006E7435">
        <w:rPr>
          <w:rFonts w:ascii="Arial" w:hAnsi="Arial" w:cs="Arial"/>
          <w:color w:val="000000"/>
          <w:sz w:val="22"/>
          <w:szCs w:val="22"/>
        </w:rPr>
        <w:noBreakHyphen/>
        <w:t>keeping, and multi</w:t>
      </w:r>
      <w:r w:rsidRPr="006E7435">
        <w:rPr>
          <w:rFonts w:ascii="Arial" w:hAnsi="Arial" w:cs="Arial"/>
          <w:color w:val="000000"/>
          <w:sz w:val="22"/>
          <w:szCs w:val="22"/>
        </w:rPr>
        <w:noBreakHyphen/>
        <w:t>agency collaboration in health and social care. Communication must be adapted to her cognitive needs and delivered in a way that promotes dignity, understanding, and safety. Record</w:t>
      </w:r>
      <w:r w:rsidRPr="006E7435">
        <w:rPr>
          <w:rFonts w:ascii="Arial" w:hAnsi="Arial" w:cs="Arial"/>
          <w:color w:val="000000"/>
          <w:sz w:val="22"/>
          <w:szCs w:val="22"/>
        </w:rPr>
        <w:noBreakHyphen/>
        <w:t>keeping is essential for monitoring her medication, documenting incidents, and complying with legislation such as the Data Protection Act 2018. Multi</w:t>
      </w:r>
      <w:r w:rsidRPr="006E7435">
        <w:rPr>
          <w:rFonts w:ascii="Arial" w:hAnsi="Arial" w:cs="Arial"/>
          <w:color w:val="000000"/>
          <w:sz w:val="22"/>
          <w:szCs w:val="22"/>
        </w:rPr>
        <w:noBreakHyphen/>
        <w:t>agency collaboration ensures that professionals work together to address her medical, social, and safeguarding needs. By applying relevant legislation, communication models, and sector policies, professionals can deliver care that is safe, person</w:t>
      </w:r>
      <w:r w:rsidRPr="006E7435">
        <w:rPr>
          <w:rFonts w:ascii="Arial" w:hAnsi="Arial" w:cs="Arial"/>
          <w:color w:val="000000"/>
          <w:sz w:val="22"/>
          <w:szCs w:val="22"/>
        </w:rPr>
        <w:noBreakHyphen/>
        <w:t>centred, and responsive. Overall, the case demonstrates how coordinated practice and legal compliance are essential for supporting vulnerable adults and ensuring high</w:t>
      </w:r>
      <w:r w:rsidRPr="006E7435">
        <w:rPr>
          <w:rFonts w:ascii="Arial" w:hAnsi="Arial" w:cs="Arial"/>
          <w:color w:val="000000"/>
          <w:sz w:val="22"/>
          <w:szCs w:val="22"/>
        </w:rPr>
        <w:noBreakHyphen/>
        <w:t>quality care.</w:t>
      </w:r>
    </w:p>
    <w:p w14:paraId="409B795C" w14:textId="77777777" w:rsidR="006E7435" w:rsidRPr="006E7435" w:rsidRDefault="006E7435" w:rsidP="006E7435">
      <w:pPr>
        <w:pStyle w:val="NormalWeb"/>
        <w:spacing w:line="360" w:lineRule="auto"/>
        <w:rPr>
          <w:rFonts w:ascii="Arial" w:hAnsi="Arial" w:cs="Arial"/>
          <w:color w:val="000000"/>
          <w:sz w:val="22"/>
          <w:szCs w:val="22"/>
        </w:rPr>
      </w:pPr>
    </w:p>
    <w:p w14:paraId="519F408C" w14:textId="77777777" w:rsidR="009579DB" w:rsidRDefault="009579DB" w:rsidP="009579DB"/>
    <w:p w14:paraId="3D397CB7" w14:textId="77777777" w:rsidR="009579DB" w:rsidRDefault="009579DB" w:rsidP="009579DB"/>
    <w:p w14:paraId="7720C43D" w14:textId="77777777" w:rsidR="009579DB" w:rsidRDefault="009579DB" w:rsidP="009579DB"/>
    <w:p w14:paraId="5193DDB9" w14:textId="77777777" w:rsidR="009579DB" w:rsidRDefault="009579DB" w:rsidP="009579DB"/>
    <w:p w14:paraId="5BD99DA4" w14:textId="77777777" w:rsidR="009579DB" w:rsidRDefault="009579DB" w:rsidP="009579DB"/>
    <w:p w14:paraId="50EFE5AF" w14:textId="77777777" w:rsidR="009579DB" w:rsidRDefault="009579DB" w:rsidP="009579DB"/>
    <w:p w14:paraId="06683B2E" w14:textId="77777777" w:rsidR="009579DB" w:rsidRDefault="009579DB" w:rsidP="009579DB"/>
    <w:p w14:paraId="3E987BB9" w14:textId="77777777" w:rsidR="009579DB" w:rsidRDefault="009579DB" w:rsidP="009579DB"/>
    <w:p w14:paraId="5AF323C2" w14:textId="77777777" w:rsidR="009579DB" w:rsidRDefault="009579DB" w:rsidP="009579DB"/>
    <w:p w14:paraId="74A9EBF1" w14:textId="77777777" w:rsidR="009579DB" w:rsidRDefault="009579DB" w:rsidP="009579DB"/>
    <w:p w14:paraId="1F318A4A" w14:textId="77777777" w:rsidR="009579DB" w:rsidRDefault="009579DB" w:rsidP="009579DB"/>
    <w:p w14:paraId="56672892" w14:textId="77777777" w:rsidR="009579DB" w:rsidRDefault="009579DB" w:rsidP="009579DB"/>
    <w:p w14:paraId="2711CA16" w14:textId="77777777" w:rsidR="009579DB" w:rsidRDefault="009579DB" w:rsidP="009579DB"/>
    <w:p w14:paraId="54924CBE" w14:textId="77777777" w:rsidR="009579DB" w:rsidRDefault="009579DB" w:rsidP="009579DB"/>
    <w:p w14:paraId="1400ACDA" w14:textId="77777777" w:rsidR="009579DB" w:rsidRDefault="009579DB" w:rsidP="009579DB"/>
    <w:p w14:paraId="097C5C9A" w14:textId="77777777" w:rsidR="009579DB" w:rsidRDefault="009579DB" w:rsidP="009579DB"/>
    <w:p w14:paraId="65D91BDB" w14:textId="77777777" w:rsidR="009579DB" w:rsidRDefault="009579DB" w:rsidP="009579DB"/>
    <w:p w14:paraId="474ED266" w14:textId="77777777" w:rsidR="009579DB" w:rsidRDefault="009579DB" w:rsidP="009579DB"/>
    <w:p w14:paraId="165C86F0" w14:textId="77777777" w:rsidR="006E7435" w:rsidRDefault="006E7435" w:rsidP="009579DB"/>
    <w:p w14:paraId="0DA8D7AA" w14:textId="77777777" w:rsidR="006E7435" w:rsidRDefault="006E7435" w:rsidP="009579DB"/>
    <w:p w14:paraId="6D2A293E" w14:textId="77777777" w:rsidR="006E7435" w:rsidRDefault="006E7435" w:rsidP="009579DB"/>
    <w:p w14:paraId="29D9FB27" w14:textId="77777777" w:rsidR="006E7435" w:rsidRDefault="006E7435" w:rsidP="009579DB"/>
    <w:p w14:paraId="45180E27" w14:textId="77777777" w:rsidR="006E7435" w:rsidRDefault="006E7435" w:rsidP="009579DB"/>
    <w:p w14:paraId="28FBC33D" w14:textId="77777777" w:rsidR="006E7435" w:rsidRDefault="006E7435" w:rsidP="009579DB"/>
    <w:p w14:paraId="3F0DD66C" w14:textId="77777777" w:rsidR="006E7435" w:rsidRDefault="006E7435" w:rsidP="009579DB"/>
    <w:p w14:paraId="27654EB9" w14:textId="77777777" w:rsidR="006E7435" w:rsidRDefault="006E7435" w:rsidP="009579DB"/>
    <w:p w14:paraId="06DCD909" w14:textId="77777777" w:rsidR="009579DB" w:rsidRDefault="009579DB" w:rsidP="009579DB"/>
    <w:p w14:paraId="474E6B13" w14:textId="77777777" w:rsidR="009579DB" w:rsidRDefault="009579DB" w:rsidP="009579DB"/>
    <w:p w14:paraId="334F55D7" w14:textId="77777777" w:rsidR="009579DB" w:rsidRPr="009579DB" w:rsidRDefault="009579DB" w:rsidP="009579DB"/>
    <w:p w14:paraId="57B393AE" w14:textId="2B0FD11F" w:rsidR="006E7435" w:rsidRPr="006E7435" w:rsidRDefault="00B87E75" w:rsidP="006E7435">
      <w:pPr>
        <w:pStyle w:val="Heading1"/>
      </w:pPr>
      <w:bookmarkStart w:id="11" w:name="_Toc225246347"/>
      <w:bookmarkStart w:id="12" w:name="_Toc235434414"/>
      <w:r w:rsidRPr="0099350B">
        <w:lastRenderedPageBreak/>
        <w:t>References</w:t>
      </w:r>
      <w:bookmarkEnd w:id="11"/>
      <w:bookmarkEnd w:id="12"/>
    </w:p>
    <w:p w14:paraId="486E7659" w14:textId="1E720A2D" w:rsidR="006E7435" w:rsidRDefault="006E7435" w:rsidP="006E7435">
      <w:pPr>
        <w:pStyle w:val="NormalWeb"/>
        <w:rPr>
          <w:rFonts w:ascii="Arial" w:hAnsi="Arial" w:cs="Arial"/>
          <w:color w:val="000000" w:themeColor="text1"/>
          <w:sz w:val="22"/>
          <w:szCs w:val="22"/>
        </w:rPr>
      </w:pPr>
      <w:r w:rsidRPr="001F46C7">
        <w:rPr>
          <w:rStyle w:val="Strong"/>
          <w:rFonts w:ascii="Arial" w:hAnsi="Arial" w:cs="Arial"/>
          <w:b w:val="0"/>
          <w:bCs w:val="0"/>
          <w:sz w:val="22"/>
          <w:szCs w:val="22"/>
        </w:rPr>
        <w:t>CQC (2022).</w:t>
      </w:r>
      <w:r w:rsidRPr="001F46C7">
        <w:rPr>
          <w:rFonts w:ascii="Arial" w:hAnsi="Arial" w:cs="Arial"/>
          <w:color w:val="000000"/>
          <w:sz w:val="22"/>
          <w:szCs w:val="22"/>
        </w:rPr>
        <w:t xml:space="preserve"> </w:t>
      </w:r>
      <w:r w:rsidRPr="001F46C7">
        <w:rPr>
          <w:rStyle w:val="Emphasis"/>
          <w:rFonts w:ascii="Arial" w:hAnsi="Arial" w:cs="Arial"/>
          <w:color w:val="000000"/>
          <w:sz w:val="22"/>
          <w:szCs w:val="22"/>
        </w:rPr>
        <w:t>Care Quality Commission.</w:t>
      </w:r>
      <w:r w:rsidRPr="001F46C7">
        <w:rPr>
          <w:rFonts w:ascii="Arial" w:hAnsi="Arial" w:cs="Arial"/>
          <w:color w:val="000000"/>
          <w:sz w:val="22"/>
          <w:szCs w:val="22"/>
        </w:rPr>
        <w:t xml:space="preserve"> [online] Cqc.org.uk. Available at: </w:t>
      </w:r>
      <w:hyperlink r:id="rId10" w:history="1">
        <w:r w:rsidRPr="001F46C7">
          <w:rPr>
            <w:rStyle w:val="Hyperlink"/>
            <w:rFonts w:ascii="Arial" w:hAnsi="Arial" w:cs="Arial"/>
            <w:color w:val="000000" w:themeColor="text1"/>
            <w:sz w:val="22"/>
            <w:szCs w:val="22"/>
          </w:rPr>
          <w:t>https://www.cqc.or</w:t>
        </w:r>
        <w:r w:rsidRPr="001F46C7">
          <w:rPr>
            <w:rStyle w:val="Hyperlink"/>
            <w:rFonts w:ascii="Arial" w:hAnsi="Arial" w:cs="Arial"/>
            <w:color w:val="000000" w:themeColor="text1"/>
            <w:sz w:val="22"/>
            <w:szCs w:val="22"/>
          </w:rPr>
          <w:t>g</w:t>
        </w:r>
        <w:r w:rsidRPr="001F46C7">
          <w:rPr>
            <w:rStyle w:val="Hyperlink"/>
            <w:rFonts w:ascii="Arial" w:hAnsi="Arial" w:cs="Arial"/>
            <w:color w:val="000000" w:themeColor="text1"/>
            <w:sz w:val="22"/>
            <w:szCs w:val="22"/>
          </w:rPr>
          <w:t>.uk</w:t>
        </w:r>
      </w:hyperlink>
    </w:p>
    <w:p w14:paraId="2E080311" w14:textId="115A8820" w:rsidR="001F46C7" w:rsidRPr="001F46C7" w:rsidRDefault="001F46C7" w:rsidP="006E7435">
      <w:pPr>
        <w:pStyle w:val="NormalWeb"/>
        <w:rPr>
          <w:rFonts w:ascii="Arial" w:hAnsi="Arial" w:cs="Arial"/>
          <w:color w:val="000000"/>
          <w:sz w:val="22"/>
          <w:szCs w:val="22"/>
        </w:rPr>
      </w:pPr>
      <w:r w:rsidRPr="001F46C7">
        <w:rPr>
          <w:rStyle w:val="Strong"/>
          <w:rFonts w:ascii="Arial" w:hAnsi="Arial" w:cs="Arial"/>
          <w:b w:val="0"/>
          <w:bCs w:val="0"/>
          <w:sz w:val="22"/>
          <w:szCs w:val="22"/>
        </w:rPr>
        <w:t>CO (2020).</w:t>
      </w:r>
      <w:r w:rsidRPr="001F46C7">
        <w:rPr>
          <w:rFonts w:ascii="Arial" w:hAnsi="Arial" w:cs="Arial"/>
          <w:color w:val="000000"/>
          <w:sz w:val="22"/>
          <w:szCs w:val="22"/>
        </w:rPr>
        <w:t xml:space="preserve"> </w:t>
      </w:r>
      <w:r w:rsidRPr="001F46C7">
        <w:rPr>
          <w:rStyle w:val="Emphasis"/>
          <w:rFonts w:ascii="Arial" w:hAnsi="Arial" w:cs="Arial"/>
          <w:color w:val="000000"/>
          <w:sz w:val="22"/>
          <w:szCs w:val="22"/>
        </w:rPr>
        <w:t>Home.</w:t>
      </w:r>
      <w:r w:rsidRPr="001F46C7">
        <w:rPr>
          <w:rFonts w:ascii="Arial" w:hAnsi="Arial" w:cs="Arial"/>
          <w:color w:val="000000"/>
          <w:sz w:val="22"/>
          <w:szCs w:val="22"/>
        </w:rPr>
        <w:t xml:space="preserve"> [online] ico.org.uk. Available at: </w:t>
      </w:r>
      <w:hyperlink r:id="rId11" w:history="1">
        <w:r w:rsidRPr="001F46C7">
          <w:rPr>
            <w:rStyle w:val="Hyperlink"/>
            <w:rFonts w:ascii="Arial" w:hAnsi="Arial" w:cs="Arial"/>
            <w:color w:val="000000" w:themeColor="text1"/>
            <w:sz w:val="22"/>
            <w:szCs w:val="22"/>
          </w:rPr>
          <w:t>https://ico.org.uk</w:t>
        </w:r>
      </w:hyperlink>
      <w:r w:rsidRPr="001F46C7">
        <w:rPr>
          <w:rFonts w:ascii="Arial" w:hAnsi="Arial" w:cs="Arial"/>
          <w:color w:val="000000" w:themeColor="text1"/>
          <w:sz w:val="22"/>
          <w:szCs w:val="22"/>
        </w:rPr>
        <w:t xml:space="preserve"> </w:t>
      </w:r>
      <w:r w:rsidRPr="001F46C7">
        <w:rPr>
          <w:rFonts w:ascii="Arial" w:hAnsi="Arial" w:cs="Arial"/>
          <w:color w:val="000000"/>
          <w:sz w:val="22"/>
          <w:szCs w:val="22"/>
        </w:rPr>
        <w:t>[Accessed 10 Aug. 2026].</w:t>
      </w:r>
    </w:p>
    <w:p w14:paraId="1F445CA3" w14:textId="77777777" w:rsidR="001F46C7" w:rsidRDefault="006E7435" w:rsidP="006E7435">
      <w:pPr>
        <w:pStyle w:val="NormalWeb"/>
        <w:rPr>
          <w:rFonts w:ascii="Arial" w:hAnsi="Arial" w:cs="Arial"/>
          <w:color w:val="000000"/>
          <w:sz w:val="22"/>
          <w:szCs w:val="22"/>
        </w:rPr>
      </w:pPr>
      <w:r w:rsidRPr="001F46C7">
        <w:rPr>
          <w:rStyle w:val="Strong"/>
          <w:rFonts w:ascii="Arial" w:hAnsi="Arial" w:cs="Arial"/>
          <w:b w:val="0"/>
          <w:bCs w:val="0"/>
          <w:sz w:val="22"/>
          <w:szCs w:val="22"/>
        </w:rPr>
        <w:t>Egan, G. (2014a).</w:t>
      </w:r>
      <w:r w:rsidRPr="001F46C7">
        <w:rPr>
          <w:rFonts w:ascii="Arial" w:hAnsi="Arial" w:cs="Arial"/>
          <w:color w:val="000000"/>
          <w:sz w:val="22"/>
          <w:szCs w:val="22"/>
        </w:rPr>
        <w:t xml:space="preserve"> </w:t>
      </w:r>
      <w:r w:rsidRPr="001F46C7">
        <w:rPr>
          <w:rStyle w:val="Emphasis"/>
          <w:rFonts w:ascii="Arial" w:hAnsi="Arial" w:cs="Arial"/>
          <w:color w:val="000000"/>
          <w:sz w:val="22"/>
          <w:szCs w:val="22"/>
        </w:rPr>
        <w:t>The Skilled Helper.</w:t>
      </w:r>
      <w:r w:rsidRPr="001F46C7">
        <w:rPr>
          <w:rFonts w:ascii="Arial" w:hAnsi="Arial" w:cs="Arial"/>
          <w:color w:val="000000"/>
          <w:sz w:val="22"/>
          <w:szCs w:val="22"/>
        </w:rPr>
        <w:t xml:space="preserve"> Cengage Learning.</w:t>
      </w:r>
    </w:p>
    <w:p w14:paraId="4B8FAB2A" w14:textId="1CA29024" w:rsidR="006E7435" w:rsidRDefault="006E7435" w:rsidP="006E7435">
      <w:pPr>
        <w:pStyle w:val="NormalWeb"/>
        <w:rPr>
          <w:rFonts w:ascii="Arial" w:hAnsi="Arial" w:cs="Arial"/>
          <w:color w:val="000000"/>
          <w:sz w:val="22"/>
          <w:szCs w:val="22"/>
        </w:rPr>
      </w:pPr>
      <w:r w:rsidRPr="001F46C7">
        <w:rPr>
          <w:rStyle w:val="Strong"/>
          <w:rFonts w:ascii="Arial" w:hAnsi="Arial" w:cs="Arial"/>
          <w:b w:val="0"/>
          <w:bCs w:val="0"/>
          <w:sz w:val="22"/>
          <w:szCs w:val="22"/>
        </w:rPr>
        <w:t>Gopee, N. (2023).</w:t>
      </w:r>
      <w:r w:rsidRPr="001F46C7">
        <w:rPr>
          <w:rFonts w:ascii="Arial" w:hAnsi="Arial" w:cs="Arial"/>
          <w:color w:val="000000"/>
          <w:sz w:val="22"/>
          <w:szCs w:val="22"/>
        </w:rPr>
        <w:t xml:space="preserve"> </w:t>
      </w:r>
      <w:r w:rsidRPr="001F46C7">
        <w:rPr>
          <w:rStyle w:val="Emphasis"/>
          <w:rFonts w:ascii="Arial" w:hAnsi="Arial" w:cs="Arial"/>
          <w:color w:val="000000"/>
          <w:sz w:val="22"/>
          <w:szCs w:val="22"/>
        </w:rPr>
        <w:t>Supervision of Learning and Assessment in Healthcare.</w:t>
      </w:r>
      <w:r w:rsidRPr="001F46C7">
        <w:rPr>
          <w:rFonts w:ascii="Arial" w:hAnsi="Arial" w:cs="Arial"/>
          <w:color w:val="000000"/>
          <w:sz w:val="22"/>
          <w:szCs w:val="22"/>
        </w:rPr>
        <w:t xml:space="preserve"> 5th </w:t>
      </w:r>
      <w:proofErr w:type="spellStart"/>
      <w:r w:rsidRPr="001F46C7">
        <w:rPr>
          <w:rFonts w:ascii="Arial" w:hAnsi="Arial" w:cs="Arial"/>
          <w:color w:val="000000"/>
          <w:sz w:val="22"/>
          <w:szCs w:val="22"/>
        </w:rPr>
        <w:t>edn</w:t>
      </w:r>
      <w:proofErr w:type="spellEnd"/>
      <w:r w:rsidRPr="001F46C7">
        <w:rPr>
          <w:rFonts w:ascii="Arial" w:hAnsi="Arial" w:cs="Arial"/>
          <w:color w:val="000000"/>
          <w:sz w:val="22"/>
          <w:szCs w:val="22"/>
        </w:rPr>
        <w:t>. SAGE.</w:t>
      </w:r>
    </w:p>
    <w:p w14:paraId="64D4EB59" w14:textId="40BB5367" w:rsidR="001F46C7" w:rsidRPr="001F46C7" w:rsidRDefault="001F46C7" w:rsidP="001F46C7">
      <w:pPr>
        <w:pStyle w:val="NormalWeb"/>
        <w:spacing w:before="0" w:beforeAutospacing="0" w:after="240" w:afterAutospacing="0" w:line="360" w:lineRule="atLeast"/>
        <w:rPr>
          <w:rFonts w:ascii="Arial" w:hAnsi="Arial" w:cs="Arial"/>
          <w:color w:val="000000"/>
          <w:sz w:val="22"/>
          <w:szCs w:val="22"/>
        </w:rPr>
      </w:pPr>
      <w:r w:rsidRPr="001F46C7">
        <w:rPr>
          <w:rFonts w:ascii="Arial" w:hAnsi="Arial" w:cs="Arial"/>
          <w:color w:val="000000"/>
          <w:sz w:val="22"/>
          <w:szCs w:val="22"/>
        </w:rPr>
        <w:t>Hardy, D.S. (2022).</w:t>
      </w:r>
      <w:r w:rsidRPr="001F46C7">
        <w:rPr>
          <w:rStyle w:val="apple-converted-space"/>
          <w:rFonts w:ascii="Arial" w:hAnsi="Arial" w:cs="Arial"/>
          <w:sz w:val="22"/>
          <w:szCs w:val="22"/>
        </w:rPr>
        <w:t> </w:t>
      </w:r>
      <w:r w:rsidRPr="001F46C7">
        <w:rPr>
          <w:rFonts w:ascii="Arial" w:hAnsi="Arial" w:cs="Arial"/>
          <w:i/>
          <w:iCs/>
          <w:color w:val="000000"/>
          <w:sz w:val="22"/>
          <w:szCs w:val="22"/>
        </w:rPr>
        <w:t>Mental Health and Wellbeing: A guide for nurses and healthcare professionals working with adults in primary care</w:t>
      </w:r>
      <w:r w:rsidRPr="001F46C7">
        <w:rPr>
          <w:rFonts w:ascii="Arial" w:hAnsi="Arial" w:cs="Arial"/>
          <w:color w:val="000000"/>
          <w:sz w:val="22"/>
          <w:szCs w:val="22"/>
        </w:rPr>
        <w:t>. M&amp;K Update Ltd.</w:t>
      </w:r>
    </w:p>
    <w:p w14:paraId="45B7006A" w14:textId="0B016964" w:rsidR="006E7435" w:rsidRPr="001F46C7" w:rsidRDefault="006E7435" w:rsidP="006E7435">
      <w:pPr>
        <w:pStyle w:val="NormalWeb"/>
        <w:rPr>
          <w:rFonts w:ascii="Arial" w:hAnsi="Arial" w:cs="Arial"/>
          <w:color w:val="000000"/>
          <w:sz w:val="22"/>
          <w:szCs w:val="22"/>
        </w:rPr>
      </w:pPr>
      <w:r w:rsidRPr="001F46C7">
        <w:rPr>
          <w:rStyle w:val="Strong"/>
          <w:rFonts w:ascii="Arial" w:hAnsi="Arial" w:cs="Arial"/>
          <w:b w:val="0"/>
          <w:bCs w:val="0"/>
          <w:sz w:val="22"/>
          <w:szCs w:val="22"/>
        </w:rPr>
        <w:t>NHS England (2022c).</w:t>
      </w:r>
      <w:r w:rsidRPr="001F46C7">
        <w:rPr>
          <w:rFonts w:ascii="Arial" w:hAnsi="Arial" w:cs="Arial"/>
          <w:color w:val="000000"/>
          <w:sz w:val="22"/>
          <w:szCs w:val="22"/>
        </w:rPr>
        <w:t xml:space="preserve"> </w:t>
      </w:r>
      <w:r w:rsidRPr="001F46C7">
        <w:rPr>
          <w:rStyle w:val="Emphasis"/>
          <w:rFonts w:ascii="Arial" w:hAnsi="Arial" w:cs="Arial"/>
          <w:color w:val="000000"/>
          <w:sz w:val="22"/>
          <w:szCs w:val="22"/>
        </w:rPr>
        <w:t>NHS England.</w:t>
      </w:r>
      <w:r w:rsidRPr="001F46C7">
        <w:rPr>
          <w:rFonts w:ascii="Arial" w:hAnsi="Arial" w:cs="Arial"/>
          <w:color w:val="000000"/>
          <w:sz w:val="22"/>
          <w:szCs w:val="22"/>
        </w:rPr>
        <w:t xml:space="preserve"> [online] England.nhs.uk. Available at: </w:t>
      </w:r>
      <w:hyperlink r:id="rId12" w:history="1">
        <w:r w:rsidRPr="001F46C7">
          <w:rPr>
            <w:rStyle w:val="Hyperlink"/>
            <w:rFonts w:ascii="Arial" w:hAnsi="Arial" w:cs="Arial"/>
            <w:color w:val="000000" w:themeColor="text1"/>
            <w:sz w:val="22"/>
            <w:szCs w:val="22"/>
          </w:rPr>
          <w:t>https://www.england.nhs.uk</w:t>
        </w:r>
      </w:hyperlink>
      <w:r w:rsidRPr="001F46C7">
        <w:rPr>
          <w:rFonts w:ascii="Arial" w:hAnsi="Arial" w:cs="Arial"/>
          <w:color w:val="000000" w:themeColor="text1"/>
          <w:sz w:val="22"/>
          <w:szCs w:val="22"/>
        </w:rPr>
        <w:t xml:space="preserve"> </w:t>
      </w:r>
      <w:r w:rsidRPr="001F46C7">
        <w:rPr>
          <w:rFonts w:ascii="Arial" w:hAnsi="Arial" w:cs="Arial"/>
          <w:color w:val="000000"/>
          <w:sz w:val="22"/>
          <w:szCs w:val="22"/>
        </w:rPr>
        <w:t>[Accessed 10 Aug. 2026].</w:t>
      </w:r>
    </w:p>
    <w:p w14:paraId="1897B4C8" w14:textId="022D00B9" w:rsidR="006E7435" w:rsidRPr="001F46C7" w:rsidRDefault="006E7435" w:rsidP="006E7435">
      <w:pPr>
        <w:pStyle w:val="NormalWeb"/>
        <w:rPr>
          <w:rFonts w:ascii="Arial" w:hAnsi="Arial" w:cs="Arial"/>
          <w:color w:val="000000"/>
          <w:sz w:val="22"/>
          <w:szCs w:val="22"/>
        </w:rPr>
      </w:pPr>
      <w:r w:rsidRPr="001F46C7">
        <w:rPr>
          <w:rStyle w:val="Strong"/>
          <w:rFonts w:ascii="Arial" w:hAnsi="Arial" w:cs="Arial"/>
          <w:b w:val="0"/>
          <w:bCs w:val="0"/>
          <w:sz w:val="22"/>
          <w:szCs w:val="22"/>
        </w:rPr>
        <w:t xml:space="preserve">Sabbagh, M. and </w:t>
      </w:r>
      <w:proofErr w:type="spellStart"/>
      <w:r w:rsidRPr="001F46C7">
        <w:rPr>
          <w:rStyle w:val="Strong"/>
          <w:rFonts w:ascii="Arial" w:hAnsi="Arial" w:cs="Arial"/>
          <w:b w:val="0"/>
          <w:bCs w:val="0"/>
          <w:sz w:val="22"/>
          <w:szCs w:val="22"/>
        </w:rPr>
        <w:t>Korgaonkar</w:t>
      </w:r>
      <w:proofErr w:type="spellEnd"/>
      <w:r w:rsidRPr="001F46C7">
        <w:rPr>
          <w:rStyle w:val="Strong"/>
          <w:rFonts w:ascii="Arial" w:hAnsi="Arial" w:cs="Arial"/>
          <w:b w:val="0"/>
          <w:bCs w:val="0"/>
          <w:sz w:val="22"/>
          <w:szCs w:val="22"/>
        </w:rPr>
        <w:t>, G. (2021</w:t>
      </w:r>
      <w:r w:rsidRPr="001F46C7">
        <w:rPr>
          <w:rStyle w:val="Strong"/>
          <w:rFonts w:ascii="Arial" w:hAnsi="Arial" w:cs="Arial"/>
          <w:sz w:val="22"/>
          <w:szCs w:val="22"/>
        </w:rPr>
        <w:t>).</w:t>
      </w:r>
      <w:r w:rsidRPr="001F46C7">
        <w:rPr>
          <w:rFonts w:ascii="Arial" w:hAnsi="Arial" w:cs="Arial"/>
          <w:color w:val="000000"/>
          <w:sz w:val="22"/>
          <w:szCs w:val="22"/>
        </w:rPr>
        <w:t xml:space="preserve"> </w:t>
      </w:r>
      <w:r w:rsidRPr="001F46C7">
        <w:rPr>
          <w:rStyle w:val="Emphasis"/>
          <w:rFonts w:ascii="Arial" w:hAnsi="Arial" w:cs="Arial"/>
          <w:color w:val="000000"/>
          <w:sz w:val="22"/>
          <w:szCs w:val="22"/>
        </w:rPr>
        <w:t>Social Work Law, Ethics &amp; Social Policy.</w:t>
      </w:r>
      <w:r w:rsidRPr="001F46C7">
        <w:rPr>
          <w:rFonts w:ascii="Arial" w:hAnsi="Arial" w:cs="Arial"/>
          <w:color w:val="000000"/>
          <w:sz w:val="22"/>
          <w:szCs w:val="22"/>
        </w:rPr>
        <w:t xml:space="preserve"> SAGE.</w:t>
      </w:r>
    </w:p>
    <w:p w14:paraId="6A98E9E9" w14:textId="5543E7B1" w:rsidR="001F46C7" w:rsidRPr="001F46C7" w:rsidRDefault="006E7435" w:rsidP="006E7435">
      <w:pPr>
        <w:pStyle w:val="NormalWeb"/>
        <w:rPr>
          <w:rFonts w:ascii="Arial" w:hAnsi="Arial" w:cs="Arial"/>
          <w:color w:val="000000"/>
          <w:sz w:val="22"/>
          <w:szCs w:val="22"/>
        </w:rPr>
      </w:pPr>
      <w:r w:rsidRPr="001F46C7">
        <w:rPr>
          <w:rStyle w:val="Strong"/>
          <w:rFonts w:ascii="Arial" w:hAnsi="Arial" w:cs="Arial"/>
          <w:b w:val="0"/>
          <w:bCs w:val="0"/>
          <w:sz w:val="22"/>
          <w:szCs w:val="22"/>
        </w:rPr>
        <w:t>Tutt, R. and Williams, P. (2023).</w:t>
      </w:r>
      <w:r w:rsidRPr="001F46C7">
        <w:rPr>
          <w:rFonts w:ascii="Arial" w:hAnsi="Arial" w:cs="Arial"/>
          <w:color w:val="000000"/>
          <w:sz w:val="22"/>
          <w:szCs w:val="22"/>
        </w:rPr>
        <w:t xml:space="preserve"> </w:t>
      </w:r>
      <w:r w:rsidRPr="001F46C7">
        <w:rPr>
          <w:rStyle w:val="Emphasis"/>
          <w:rFonts w:ascii="Arial" w:hAnsi="Arial" w:cs="Arial"/>
          <w:color w:val="000000"/>
          <w:sz w:val="22"/>
          <w:szCs w:val="22"/>
        </w:rPr>
        <w:t>A Guide to Best Practice in Special Education, Health and Social Care.</w:t>
      </w:r>
      <w:r w:rsidRPr="001F46C7">
        <w:rPr>
          <w:rFonts w:ascii="Arial" w:hAnsi="Arial" w:cs="Arial"/>
          <w:color w:val="000000"/>
          <w:sz w:val="22"/>
          <w:szCs w:val="22"/>
        </w:rPr>
        <w:t xml:space="preserve"> Routledge.</w:t>
      </w:r>
    </w:p>
    <w:p w14:paraId="29269C41" w14:textId="4A34F5B5" w:rsidR="00DF1AA3" w:rsidRPr="001F46C7" w:rsidRDefault="001F46C7" w:rsidP="00CD33A8">
      <w:pPr>
        <w:tabs>
          <w:tab w:val="left" w:pos="6540"/>
        </w:tabs>
        <w:spacing w:line="360" w:lineRule="auto"/>
        <w:rPr>
          <w:rFonts w:ascii="Arial" w:hAnsi="Arial" w:cs="Arial"/>
          <w:sz w:val="22"/>
          <w:szCs w:val="22"/>
        </w:rPr>
      </w:pPr>
      <w:r w:rsidRPr="001F46C7">
        <w:rPr>
          <w:rFonts w:ascii="Arial" w:hAnsi="Arial" w:cs="Arial"/>
          <w:color w:val="000000"/>
          <w:sz w:val="22"/>
          <w:szCs w:val="22"/>
        </w:rPr>
        <w:t>NICE (2022)</w:t>
      </w:r>
      <w:r w:rsidRPr="001F46C7">
        <w:rPr>
          <w:rStyle w:val="apple-converted-space"/>
          <w:rFonts w:ascii="Arial" w:eastAsiaTheme="majorEastAsia" w:hAnsi="Arial" w:cs="Arial"/>
          <w:color w:val="000000"/>
          <w:sz w:val="22"/>
          <w:szCs w:val="22"/>
        </w:rPr>
        <w:t> </w:t>
      </w:r>
      <w:r w:rsidRPr="001F46C7">
        <w:rPr>
          <w:rStyle w:val="Emphasis"/>
          <w:rFonts w:ascii="Arial" w:hAnsi="Arial" w:cs="Arial"/>
          <w:sz w:val="22"/>
          <w:szCs w:val="22"/>
        </w:rPr>
        <w:t>Integrated working</w:t>
      </w:r>
      <w:r w:rsidRPr="001F46C7">
        <w:rPr>
          <w:rFonts w:ascii="Arial" w:hAnsi="Arial" w:cs="Arial"/>
          <w:color w:val="000000"/>
          <w:sz w:val="22"/>
          <w:szCs w:val="22"/>
        </w:rPr>
        <w:t>. London: National Institute for Health and Care Excellence.</w:t>
      </w:r>
    </w:p>
    <w:sectPr w:rsidR="00DF1AA3" w:rsidRPr="001F46C7" w:rsidSect="00E620E7">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44BFE" w14:textId="77777777" w:rsidR="00B756D3" w:rsidRDefault="00B756D3" w:rsidP="003E4ECF">
      <w:r>
        <w:separator/>
      </w:r>
    </w:p>
  </w:endnote>
  <w:endnote w:type="continuationSeparator" w:id="0">
    <w:p w14:paraId="2B11CCC5" w14:textId="77777777" w:rsidR="00B756D3" w:rsidRDefault="00B756D3" w:rsidP="003E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1264509"/>
      <w:docPartObj>
        <w:docPartGallery w:val="Page Numbers (Bottom of Page)"/>
        <w:docPartUnique/>
      </w:docPartObj>
    </w:sdtPr>
    <w:sdtContent>
      <w:p w14:paraId="6D02A45A" w14:textId="45663B72" w:rsidR="00DF1AA3" w:rsidRDefault="00DF1AA3" w:rsidP="009359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C83F2B2" w14:textId="77777777" w:rsidR="00DF1AA3" w:rsidRDefault="00DF1AA3" w:rsidP="00DF1A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6491271"/>
      <w:docPartObj>
        <w:docPartGallery w:val="Page Numbers (Bottom of Page)"/>
        <w:docPartUnique/>
      </w:docPartObj>
    </w:sdtPr>
    <w:sdtContent>
      <w:p w14:paraId="6159A1BF" w14:textId="48C521EF" w:rsidR="00DF1AA3" w:rsidRDefault="00DF1AA3" w:rsidP="009359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2F0D82E" w14:textId="56F141C6" w:rsidR="003E4ECF" w:rsidRPr="00E620E7" w:rsidRDefault="003E4ECF" w:rsidP="00DF1AA3">
    <w:pPr>
      <w:pStyle w:val="Footer"/>
      <w:ind w:right="360"/>
      <w:jc w:val="center"/>
      <w:rPr>
        <w:rFonts w:asciiTheme="minorBidi" w:hAnsiTheme="minorBidi"/>
        <w:sz w:val="22"/>
      </w:rPr>
    </w:pPr>
  </w:p>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1D3B6" w14:textId="77777777" w:rsidR="00B756D3" w:rsidRDefault="00B756D3" w:rsidP="003E4ECF">
      <w:r>
        <w:separator/>
      </w:r>
    </w:p>
  </w:footnote>
  <w:footnote w:type="continuationSeparator" w:id="0">
    <w:p w14:paraId="3E589BEC" w14:textId="77777777" w:rsidR="00B756D3" w:rsidRDefault="00B756D3" w:rsidP="003E4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D49EE"/>
    <w:multiLevelType w:val="multilevel"/>
    <w:tmpl w:val="DB642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40716"/>
    <w:multiLevelType w:val="multilevel"/>
    <w:tmpl w:val="15E08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4A0B3B"/>
    <w:multiLevelType w:val="multilevel"/>
    <w:tmpl w:val="FA68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53162"/>
    <w:multiLevelType w:val="multilevel"/>
    <w:tmpl w:val="6D863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CC7A07"/>
    <w:multiLevelType w:val="multilevel"/>
    <w:tmpl w:val="66DA1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306F58"/>
    <w:multiLevelType w:val="multilevel"/>
    <w:tmpl w:val="BA16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0E6B83"/>
    <w:multiLevelType w:val="multilevel"/>
    <w:tmpl w:val="8810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77C90"/>
    <w:multiLevelType w:val="multilevel"/>
    <w:tmpl w:val="F62EC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B97D67"/>
    <w:multiLevelType w:val="multilevel"/>
    <w:tmpl w:val="75FC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AC6CC4"/>
    <w:multiLevelType w:val="multilevel"/>
    <w:tmpl w:val="BB10D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F57544"/>
    <w:multiLevelType w:val="multilevel"/>
    <w:tmpl w:val="0BF4D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C9038B"/>
    <w:multiLevelType w:val="multilevel"/>
    <w:tmpl w:val="0F38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CE20B1"/>
    <w:multiLevelType w:val="multilevel"/>
    <w:tmpl w:val="DC007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6261C8"/>
    <w:multiLevelType w:val="multilevel"/>
    <w:tmpl w:val="2568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6B2DB2"/>
    <w:multiLevelType w:val="multilevel"/>
    <w:tmpl w:val="9586B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BD129D"/>
    <w:multiLevelType w:val="multilevel"/>
    <w:tmpl w:val="8E888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E86068"/>
    <w:multiLevelType w:val="multilevel"/>
    <w:tmpl w:val="6CCE8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9D1389"/>
    <w:multiLevelType w:val="hybridMultilevel"/>
    <w:tmpl w:val="62781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8E7513"/>
    <w:multiLevelType w:val="multilevel"/>
    <w:tmpl w:val="4562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09653B"/>
    <w:multiLevelType w:val="multilevel"/>
    <w:tmpl w:val="A404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FD7DC5"/>
    <w:multiLevelType w:val="multilevel"/>
    <w:tmpl w:val="88A8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2959610">
    <w:abstractNumId w:val="7"/>
  </w:num>
  <w:num w:numId="2" w16cid:durableId="2004161993">
    <w:abstractNumId w:val="15"/>
  </w:num>
  <w:num w:numId="3" w16cid:durableId="397365267">
    <w:abstractNumId w:val="16"/>
  </w:num>
  <w:num w:numId="4" w16cid:durableId="780031901">
    <w:abstractNumId w:val="6"/>
  </w:num>
  <w:num w:numId="5" w16cid:durableId="1106458227">
    <w:abstractNumId w:val="18"/>
  </w:num>
  <w:num w:numId="6" w16cid:durableId="516235076">
    <w:abstractNumId w:val="5"/>
  </w:num>
  <w:num w:numId="7" w16cid:durableId="962079010">
    <w:abstractNumId w:val="2"/>
  </w:num>
  <w:num w:numId="8" w16cid:durableId="1363553262">
    <w:abstractNumId w:val="19"/>
  </w:num>
  <w:num w:numId="9" w16cid:durableId="708797438">
    <w:abstractNumId w:val="20"/>
  </w:num>
  <w:num w:numId="10" w16cid:durableId="926689945">
    <w:abstractNumId w:val="12"/>
  </w:num>
  <w:num w:numId="11" w16cid:durableId="223955596">
    <w:abstractNumId w:val="14"/>
  </w:num>
  <w:num w:numId="12" w16cid:durableId="1491797979">
    <w:abstractNumId w:val="3"/>
  </w:num>
  <w:num w:numId="13" w16cid:durableId="978652531">
    <w:abstractNumId w:val="1"/>
  </w:num>
  <w:num w:numId="14" w16cid:durableId="1963614635">
    <w:abstractNumId w:val="8"/>
  </w:num>
  <w:num w:numId="15" w16cid:durableId="2102408232">
    <w:abstractNumId w:val="9"/>
  </w:num>
  <w:num w:numId="16" w16cid:durableId="668211416">
    <w:abstractNumId w:val="4"/>
  </w:num>
  <w:num w:numId="17" w16cid:durableId="1809474411">
    <w:abstractNumId w:val="13"/>
  </w:num>
  <w:num w:numId="18" w16cid:durableId="1875069620">
    <w:abstractNumId w:val="11"/>
  </w:num>
  <w:num w:numId="19" w16cid:durableId="551771610">
    <w:abstractNumId w:val="0"/>
  </w:num>
  <w:num w:numId="20" w16cid:durableId="1738430656">
    <w:abstractNumId w:val="10"/>
  </w:num>
  <w:num w:numId="21" w16cid:durableId="20187751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3BA1"/>
    <w:rsid w:val="00016B37"/>
    <w:rsid w:val="0002572B"/>
    <w:rsid w:val="00026F99"/>
    <w:rsid w:val="000572BF"/>
    <w:rsid w:val="000652B4"/>
    <w:rsid w:val="00074402"/>
    <w:rsid w:val="0009491E"/>
    <w:rsid w:val="000A61E9"/>
    <w:rsid w:val="000C195E"/>
    <w:rsid w:val="000C49C7"/>
    <w:rsid w:val="000D2833"/>
    <w:rsid w:val="0010433E"/>
    <w:rsid w:val="0011673A"/>
    <w:rsid w:val="0015017E"/>
    <w:rsid w:val="001926EE"/>
    <w:rsid w:val="001B34C3"/>
    <w:rsid w:val="001C05C7"/>
    <w:rsid w:val="001D7C03"/>
    <w:rsid w:val="001F46C7"/>
    <w:rsid w:val="00207A77"/>
    <w:rsid w:val="00216C85"/>
    <w:rsid w:val="002226FE"/>
    <w:rsid w:val="0025093D"/>
    <w:rsid w:val="00257AC8"/>
    <w:rsid w:val="0026393A"/>
    <w:rsid w:val="00273EDD"/>
    <w:rsid w:val="00296A48"/>
    <w:rsid w:val="002A458C"/>
    <w:rsid w:val="002C3965"/>
    <w:rsid w:val="00321C4C"/>
    <w:rsid w:val="00357219"/>
    <w:rsid w:val="00367CF2"/>
    <w:rsid w:val="00392BBC"/>
    <w:rsid w:val="0039522E"/>
    <w:rsid w:val="003B591F"/>
    <w:rsid w:val="003B5B1B"/>
    <w:rsid w:val="003D0156"/>
    <w:rsid w:val="003E4ECF"/>
    <w:rsid w:val="003E6355"/>
    <w:rsid w:val="003F7B9B"/>
    <w:rsid w:val="004022F5"/>
    <w:rsid w:val="00424537"/>
    <w:rsid w:val="00432279"/>
    <w:rsid w:val="0049028F"/>
    <w:rsid w:val="004A736E"/>
    <w:rsid w:val="00513D57"/>
    <w:rsid w:val="0051597D"/>
    <w:rsid w:val="00574F5F"/>
    <w:rsid w:val="005A5260"/>
    <w:rsid w:val="005E7B14"/>
    <w:rsid w:val="005F11ED"/>
    <w:rsid w:val="00603B60"/>
    <w:rsid w:val="00655B21"/>
    <w:rsid w:val="00671B22"/>
    <w:rsid w:val="00687B20"/>
    <w:rsid w:val="006925AA"/>
    <w:rsid w:val="006A17C4"/>
    <w:rsid w:val="006D73F9"/>
    <w:rsid w:val="006E7435"/>
    <w:rsid w:val="00724060"/>
    <w:rsid w:val="00725177"/>
    <w:rsid w:val="00731290"/>
    <w:rsid w:val="007A1B8D"/>
    <w:rsid w:val="007A3015"/>
    <w:rsid w:val="007A5FBC"/>
    <w:rsid w:val="007C6DA9"/>
    <w:rsid w:val="007E6BDF"/>
    <w:rsid w:val="00814A9E"/>
    <w:rsid w:val="0086583C"/>
    <w:rsid w:val="00875578"/>
    <w:rsid w:val="008B34E6"/>
    <w:rsid w:val="008C7F61"/>
    <w:rsid w:val="008E3943"/>
    <w:rsid w:val="008F3781"/>
    <w:rsid w:val="0090040D"/>
    <w:rsid w:val="00914882"/>
    <w:rsid w:val="009514FC"/>
    <w:rsid w:val="009579DB"/>
    <w:rsid w:val="00967B66"/>
    <w:rsid w:val="00977E19"/>
    <w:rsid w:val="0099350B"/>
    <w:rsid w:val="009C700D"/>
    <w:rsid w:val="009D052C"/>
    <w:rsid w:val="009D1D1E"/>
    <w:rsid w:val="009E5BB5"/>
    <w:rsid w:val="009F6EF8"/>
    <w:rsid w:val="00A035FD"/>
    <w:rsid w:val="00A27BF3"/>
    <w:rsid w:val="00A27CB0"/>
    <w:rsid w:val="00A348B0"/>
    <w:rsid w:val="00A6201E"/>
    <w:rsid w:val="00A63706"/>
    <w:rsid w:val="00A84D78"/>
    <w:rsid w:val="00AA1B2A"/>
    <w:rsid w:val="00AA26B8"/>
    <w:rsid w:val="00AC5294"/>
    <w:rsid w:val="00AD23A0"/>
    <w:rsid w:val="00B21761"/>
    <w:rsid w:val="00B21CB3"/>
    <w:rsid w:val="00B22664"/>
    <w:rsid w:val="00B3497E"/>
    <w:rsid w:val="00B363DB"/>
    <w:rsid w:val="00B45702"/>
    <w:rsid w:val="00B462C3"/>
    <w:rsid w:val="00B551DC"/>
    <w:rsid w:val="00B652BC"/>
    <w:rsid w:val="00B756D3"/>
    <w:rsid w:val="00B7710E"/>
    <w:rsid w:val="00B83943"/>
    <w:rsid w:val="00B87E75"/>
    <w:rsid w:val="00B91B09"/>
    <w:rsid w:val="00BA2287"/>
    <w:rsid w:val="00BA3C3C"/>
    <w:rsid w:val="00BD2943"/>
    <w:rsid w:val="00BF2A94"/>
    <w:rsid w:val="00C00CD3"/>
    <w:rsid w:val="00C124B1"/>
    <w:rsid w:val="00C41973"/>
    <w:rsid w:val="00C44021"/>
    <w:rsid w:val="00CA26F0"/>
    <w:rsid w:val="00CD33A8"/>
    <w:rsid w:val="00D01C7E"/>
    <w:rsid w:val="00D1579F"/>
    <w:rsid w:val="00D63A02"/>
    <w:rsid w:val="00D90571"/>
    <w:rsid w:val="00D960F5"/>
    <w:rsid w:val="00DA11A3"/>
    <w:rsid w:val="00DF1AA3"/>
    <w:rsid w:val="00E045B8"/>
    <w:rsid w:val="00E12037"/>
    <w:rsid w:val="00E47C61"/>
    <w:rsid w:val="00E53786"/>
    <w:rsid w:val="00E569FD"/>
    <w:rsid w:val="00E620E7"/>
    <w:rsid w:val="00E73F5E"/>
    <w:rsid w:val="00F02F4E"/>
    <w:rsid w:val="00F072F7"/>
    <w:rsid w:val="00F12A62"/>
    <w:rsid w:val="00F1722B"/>
    <w:rsid w:val="00F64A35"/>
    <w:rsid w:val="00F66E1B"/>
    <w:rsid w:val="00F73927"/>
    <w:rsid w:val="00F8274D"/>
    <w:rsid w:val="00F86757"/>
    <w:rsid w:val="00FA1259"/>
    <w:rsid w:val="00FB1C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A48"/>
    <w:pPr>
      <w:spacing w:after="0" w:line="240" w:lineRule="auto"/>
    </w:pPr>
    <w:rPr>
      <w:rFonts w:eastAsia="Times New Roman" w:cs="Times New Roman"/>
      <w:szCs w:val="24"/>
      <w:lang w:eastAsia="en-GB"/>
    </w:rPr>
  </w:style>
  <w:style w:type="paragraph" w:styleId="Heading1">
    <w:name w:val="heading 1"/>
    <w:basedOn w:val="Normal"/>
    <w:next w:val="Normal"/>
    <w:link w:val="Heading1Char"/>
    <w:autoRedefine/>
    <w:uiPriority w:val="9"/>
    <w:qFormat/>
    <w:rsid w:val="00DF1AA3"/>
    <w:pPr>
      <w:keepNext/>
      <w:keepLines/>
      <w:spacing w:before="240" w:line="360" w:lineRule="auto"/>
      <w:outlineLvl w:val="0"/>
    </w:pPr>
    <w:rPr>
      <w:rFonts w:ascii="Arial" w:eastAsiaTheme="majorEastAsia" w:hAnsi="Arial"/>
      <w:b/>
      <w:sz w:val="28"/>
      <w:szCs w:val="28"/>
    </w:rPr>
  </w:style>
  <w:style w:type="paragraph" w:styleId="Heading2">
    <w:name w:val="heading 2"/>
    <w:basedOn w:val="Normal"/>
    <w:next w:val="Normal"/>
    <w:link w:val="Heading2Char"/>
    <w:autoRedefine/>
    <w:uiPriority w:val="9"/>
    <w:unhideWhenUsed/>
    <w:qFormat/>
    <w:rsid w:val="00A035FD"/>
    <w:pPr>
      <w:keepNext/>
      <w:keepLines/>
      <w:spacing w:before="4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49028F"/>
    <w:pPr>
      <w:spacing w:before="100" w:beforeAutospacing="1" w:after="100" w:afterAutospacing="1"/>
      <w:outlineLvl w:val="2"/>
    </w:pPr>
    <w:rPr>
      <w:rFonts w:ascii="Arial" w:hAnsi="Arial" w:cs="Arial"/>
      <w:color w:val="000000"/>
      <w:sz w:val="27"/>
      <w:szCs w:val="27"/>
    </w:rPr>
  </w:style>
  <w:style w:type="paragraph" w:styleId="Heading4">
    <w:name w:val="heading 4"/>
    <w:basedOn w:val="Normal"/>
    <w:next w:val="Normal"/>
    <w:link w:val="Heading4Char"/>
    <w:uiPriority w:val="9"/>
    <w:unhideWhenUsed/>
    <w:qFormat/>
    <w:rsid w:val="00296A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AA3"/>
    <w:rPr>
      <w:rFonts w:ascii="Arial" w:eastAsiaTheme="majorEastAsia" w:hAnsi="Arial" w:cs="Times New Roman"/>
      <w:b/>
      <w:sz w:val="28"/>
      <w:szCs w:val="28"/>
      <w:lang w:eastAsia="en-GB"/>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49028F"/>
    <w:rPr>
      <w:rFonts w:ascii="Arial" w:eastAsia="Times New Roman" w:hAnsi="Arial" w:cs="Arial"/>
      <w:color w:val="000000"/>
      <w:sz w:val="27"/>
      <w:szCs w:val="27"/>
      <w:lang w:eastAsia="en-GB"/>
    </w:rPr>
  </w:style>
  <w:style w:type="paragraph" w:styleId="Header">
    <w:name w:val="header"/>
    <w:basedOn w:val="Normal"/>
    <w:link w:val="HeaderChar"/>
    <w:uiPriority w:val="99"/>
    <w:unhideWhenUsed/>
    <w:rsid w:val="003E4ECF"/>
    <w:pPr>
      <w:tabs>
        <w:tab w:val="center" w:pos="4513"/>
        <w:tab w:val="right" w:pos="9026"/>
      </w:tabs>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unhideWhenUsed/>
    <w:rsid w:val="00AA26B8"/>
    <w:pPr>
      <w:spacing w:before="100" w:beforeAutospacing="1" w:after="100" w:afterAutospacing="1"/>
    </w:pPr>
  </w:style>
  <w:style w:type="character" w:customStyle="1" w:styleId="apple-converted-space">
    <w:name w:val="apple-converted-space"/>
    <w:basedOn w:val="DefaultParagraphFont"/>
    <w:rsid w:val="00AA26B8"/>
  </w:style>
  <w:style w:type="character" w:styleId="Strong">
    <w:name w:val="Strong"/>
    <w:basedOn w:val="DefaultParagraphFont"/>
    <w:uiPriority w:val="22"/>
    <w:qFormat/>
    <w:rsid w:val="00AA26B8"/>
    <w:rPr>
      <w:b/>
      <w:bCs/>
    </w:rPr>
  </w:style>
  <w:style w:type="character" w:styleId="Emphasis">
    <w:name w:val="Emphasis"/>
    <w:basedOn w:val="DefaultParagraphFont"/>
    <w:uiPriority w:val="20"/>
    <w:qFormat/>
    <w:rsid w:val="00BD2943"/>
    <w:rPr>
      <w:i/>
      <w:iCs/>
    </w:rPr>
  </w:style>
  <w:style w:type="character" w:styleId="Hyperlink">
    <w:name w:val="Hyperlink"/>
    <w:basedOn w:val="DefaultParagraphFont"/>
    <w:uiPriority w:val="99"/>
    <w:unhideWhenUsed/>
    <w:rsid w:val="00BD2943"/>
    <w:rPr>
      <w:color w:val="0000FF"/>
      <w:u w:val="single"/>
    </w:rPr>
  </w:style>
  <w:style w:type="character" w:customStyle="1" w:styleId="Heading4Char">
    <w:name w:val="Heading 4 Char"/>
    <w:basedOn w:val="DefaultParagraphFont"/>
    <w:link w:val="Heading4"/>
    <w:uiPriority w:val="9"/>
    <w:rsid w:val="00296A48"/>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0A61E9"/>
    <w:pPr>
      <w:spacing w:before="480" w:line="276" w:lineRule="auto"/>
      <w:outlineLvl w:val="9"/>
    </w:pPr>
    <w:rPr>
      <w:rFonts w:asciiTheme="majorHAnsi" w:hAnsiTheme="majorHAnsi" w:cstheme="majorBidi"/>
      <w:bCs/>
      <w:color w:val="2F5496" w:themeColor="accent1" w:themeShade="BF"/>
      <w:lang w:val="en-US" w:eastAsia="en-US"/>
    </w:rPr>
  </w:style>
  <w:style w:type="paragraph" w:styleId="TOC1">
    <w:name w:val="toc 1"/>
    <w:basedOn w:val="Normal"/>
    <w:next w:val="Normal"/>
    <w:autoRedefine/>
    <w:uiPriority w:val="39"/>
    <w:unhideWhenUsed/>
    <w:rsid w:val="000A61E9"/>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0A61E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0A61E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A61E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A61E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A61E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A61E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A61E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A61E9"/>
    <w:pPr>
      <w:ind w:left="1920"/>
    </w:pPr>
    <w:rPr>
      <w:rFonts w:asciiTheme="minorHAnsi" w:hAnsiTheme="minorHAnsi" w:cstheme="minorHAnsi"/>
      <w:sz w:val="20"/>
      <w:szCs w:val="20"/>
    </w:rPr>
  </w:style>
  <w:style w:type="paragraph" w:customStyle="1" w:styleId="p1">
    <w:name w:val="p1"/>
    <w:basedOn w:val="Normal"/>
    <w:rsid w:val="009E5BB5"/>
    <w:rPr>
      <w:rFonts w:ascii="Arial" w:hAnsi="Arial" w:cs="Arial"/>
      <w:color w:val="000000"/>
      <w:sz w:val="17"/>
      <w:szCs w:val="17"/>
    </w:rPr>
  </w:style>
  <w:style w:type="paragraph" w:customStyle="1" w:styleId="isselectedend">
    <w:name w:val="isselectedend"/>
    <w:basedOn w:val="Normal"/>
    <w:rsid w:val="00B551DC"/>
    <w:pPr>
      <w:spacing w:before="100" w:beforeAutospacing="1" w:after="100" w:afterAutospacing="1"/>
    </w:pPr>
  </w:style>
  <w:style w:type="character" w:styleId="PageNumber">
    <w:name w:val="page number"/>
    <w:basedOn w:val="DefaultParagraphFont"/>
    <w:uiPriority w:val="99"/>
    <w:semiHidden/>
    <w:unhideWhenUsed/>
    <w:rsid w:val="00DF1AA3"/>
  </w:style>
  <w:style w:type="character" w:styleId="UnresolvedMention">
    <w:name w:val="Unresolved Mention"/>
    <w:basedOn w:val="DefaultParagraphFont"/>
    <w:uiPriority w:val="99"/>
    <w:semiHidden/>
    <w:unhideWhenUsed/>
    <w:rsid w:val="00DF1AA3"/>
    <w:rPr>
      <w:color w:val="605E5C"/>
      <w:shd w:val="clear" w:color="auto" w:fill="E1DFDD"/>
    </w:rPr>
  </w:style>
  <w:style w:type="character" w:styleId="FollowedHyperlink">
    <w:name w:val="FollowedHyperlink"/>
    <w:basedOn w:val="DefaultParagraphFont"/>
    <w:uiPriority w:val="99"/>
    <w:semiHidden/>
    <w:unhideWhenUsed/>
    <w:rsid w:val="003D01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qc.org.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B6C80-B508-7E40-8799-08A181302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1821</Words>
  <Characters>10382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Fabiula Dos Reis (2513854)</cp:lastModifiedBy>
  <cp:revision>2</cp:revision>
  <dcterms:created xsi:type="dcterms:W3CDTF">2026-08-11T09:01:00Z</dcterms:created>
  <dcterms:modified xsi:type="dcterms:W3CDTF">2026-08-11T09:01:00Z</dcterms:modified>
</cp:coreProperties>
</file>