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Is working for ‘exposure’ a satisfactory situation for an </w:t>
      </w:r>
    </w:p>
    <w:p w:rsidR="00000000" w:rsidDel="00000000" w:rsidP="00000000" w:rsidRDefault="00000000" w:rsidRPr="00000000" w14:paraId="00000002">
      <w:pPr>
        <w:jc w:val="center"/>
        <w:rPr>
          <w:b w:val="1"/>
          <w:u w:val="single"/>
        </w:rPr>
      </w:pPr>
      <w:r w:rsidDel="00000000" w:rsidR="00000000" w:rsidRPr="00000000">
        <w:rPr>
          <w:b w:val="1"/>
          <w:u w:val="single"/>
          <w:rtl w:val="0"/>
        </w:rPr>
        <w:t xml:space="preserve">up-and-coming creative artist?</w:t>
      </w:r>
    </w:p>
    <w:p w:rsidR="00000000" w:rsidDel="00000000" w:rsidP="00000000" w:rsidRDefault="00000000" w:rsidRPr="00000000" w14:paraId="00000003">
      <w:pPr>
        <w:rPr/>
      </w:pPr>
      <w:r w:rsidDel="00000000" w:rsidR="00000000" w:rsidRPr="00000000">
        <w:rPr>
          <w:rtl w:val="0"/>
        </w:rPr>
        <w:t xml:space="preserve">While you can debate the morality of working for exposure, many would argue that with the current state of the creative industries, artists have to accept a certain amount of unpaid work. Regardless of whether it goes against their principals and beliefs. The number of yearly graduates from qualified programs of study within the visual and performing arts significantly exceeds the number who can become income earning professionals (Caves, 2002, p. 14). Those who wish to persevere must continue to work in some form, to hone their skills and establish themselves as capable and recognized professionals. Additionally, Caves (2002) also suggests that many employers simply aren’t interested in artists who haven’t paid their dues, as they haven't proven their resilience and commitment to their chosen craft. </w:t>
      </w:r>
    </w:p>
    <w:p w:rsidR="00000000" w:rsidDel="00000000" w:rsidP="00000000" w:rsidRDefault="00000000" w:rsidRPr="00000000" w14:paraId="00000004">
      <w:pPr>
        <w:rPr/>
      </w:pPr>
      <w:r w:rsidDel="00000000" w:rsidR="00000000" w:rsidRPr="00000000">
        <w:rPr>
          <w:rtl w:val="0"/>
        </w:rPr>
        <w:t xml:space="preserve">On top of this, Mao &amp; Shen (2020) argue that an actor or artist's most valuable asset is their own personal identity and brand. Suggesting it is vital for emerging artists who wish to be employable to build a portfolio that presents a clear set of personal values and beliefs. Considering this, it is fair to ask how young artists are supposed to build that portfolio to become employable, if nobody will employ them without it? Working for exposure offers a potential solution to this, allowing new creatives to add to their resume while also drawing more eyes to it. </w:t>
      </w:r>
    </w:p>
    <w:p w:rsidR="00000000" w:rsidDel="00000000" w:rsidP="00000000" w:rsidRDefault="00000000" w:rsidRPr="00000000" w14:paraId="00000005">
      <w:pPr>
        <w:rPr/>
      </w:pPr>
      <w:r w:rsidDel="00000000" w:rsidR="00000000" w:rsidRPr="00000000">
        <w:rPr>
          <w:rtl w:val="0"/>
        </w:rPr>
        <w:t xml:space="preserve">Another potential reason why young creatives should be open to working for exposure is the networking benefits it can provide. Networking is a key ingredient for all postgraduate students entering the job markets, opening possible new career opportunities for those who employ the skill well (</w:t>
      </w:r>
      <w:r w:rsidDel="00000000" w:rsidR="00000000" w:rsidRPr="00000000">
        <w:rPr>
          <w:rtl w:val="0"/>
        </w:rPr>
        <w:t xml:space="preserve">Trought</w:t>
      </w:r>
      <w:r w:rsidDel="00000000" w:rsidR="00000000" w:rsidRPr="00000000">
        <w:rPr>
          <w:rtl w:val="0"/>
        </w:rPr>
        <w:t xml:space="preserve">, 2017). So it is in postgraduates’ best interests to accept as many workplace opportunities as possible, as it provides them with a chance to work with (and hopefully leave a positive impression on) employers within the industry. Being receptive to working for exposure will ultimately result in a wider range of contacts within the industry and therefore will be more likely to lead to future employment than turning down work for exposure. </w:t>
      </w:r>
    </w:p>
    <w:p w:rsidR="00000000" w:rsidDel="00000000" w:rsidP="00000000" w:rsidRDefault="00000000" w:rsidRPr="00000000" w14:paraId="00000006">
      <w:pPr>
        <w:rPr/>
      </w:pPr>
      <w:r w:rsidDel="00000000" w:rsidR="00000000" w:rsidRPr="00000000">
        <w:rPr>
          <w:rtl w:val="0"/>
        </w:rPr>
        <w:t xml:space="preserve">Alternatively, one of the main reasons usually put forward to persuade postgraduates to accept work for exposure is an external increase in perceived employability. Presenting exposure opportunities as essentially  formal work-related learning that will increase the chances of other employers offering them paid opportunities. However, the relation between formal work-related learning and employees’ external perceived employability is weak, and there is no demonstration of a link between the two (Houben, Cuyper and Forrier, 2021). Therefore, if artists are looking to increase their future employment opportunities, then working purely for exposure isn’t a suitable option for them. </w:t>
      </w:r>
    </w:p>
    <w:p w:rsidR="00000000" w:rsidDel="00000000" w:rsidP="00000000" w:rsidRDefault="00000000" w:rsidRPr="00000000" w14:paraId="00000007">
      <w:pPr>
        <w:rPr/>
      </w:pPr>
      <w:r w:rsidDel="00000000" w:rsidR="00000000" w:rsidRPr="00000000">
        <w:rPr>
          <w:rtl w:val="0"/>
        </w:rPr>
        <w:t xml:space="preserve">Another downside to young creatives being open to working for exposure is the risk of being exploited for their work (Young-Powell, 2018). Students and new postgraduates are the most vulnerable section of the workforce to being exploited, given their lack of reputation and standing within the industry. Young-Powell (2018) even suggests that young artists can limit the possibility of exploitation by only working for exposure when they (the creative) offer that </w:t>
      </w:r>
      <w:r w:rsidDel="00000000" w:rsidR="00000000" w:rsidRPr="00000000">
        <w:rPr>
          <w:rtl w:val="0"/>
        </w:rPr>
        <w:t xml:space="preserve">service, to</w:t>
      </w:r>
      <w:r w:rsidDel="00000000" w:rsidR="00000000" w:rsidRPr="00000000">
        <w:rPr>
          <w:rtl w:val="0"/>
        </w:rPr>
        <w:t xml:space="preserve"> charities and campaigns that won’t have the budget of a business venture. On a moral level, many would argue that working for exposure is exploitative regardless of who it is for. Exposure is a hard thing to quantify, and thus creatives shouldn’t be putting their labour into those projects as they don’t know what exactly they are receiving in return for it. Young artists should value their work and the skills they can offer, and should expect a quantifiable price in return for offering them to clients. </w:t>
      </w:r>
      <w:r w:rsidDel="00000000" w:rsidR="00000000" w:rsidRPr="00000000">
        <w:rPr>
          <w:i w:val="1"/>
          <w:rtl w:val="0"/>
        </w:rPr>
        <w:t xml:space="preserve">Freelancer Talk </w:t>
      </w:r>
      <w:r w:rsidDel="00000000" w:rsidR="00000000" w:rsidRPr="00000000">
        <w:rPr>
          <w:rtl w:val="0"/>
        </w:rPr>
        <w:t xml:space="preserve">even warn young creatives not to accept exposure payments at all as it is a “hollow promise presented as a desirable ‘what-if’ (Freelancer Talk, 2021)”, and if they set the standard that payment in exposure is desirable then before long every job they are offered will be purely paid for in exposure. Meaning that by accepting exposure as payment to try and increase future paid opportunities, young artists are actually negatively affecting the number of opportunities they will receive going forward and potentially jeopardising their chances of forging a career for themselves. In the short-term, working for exposure can also lead creative artists to suffer from burnout very quickly, being worn down by the feeling their talents are being taken advantage of (Sanchez, 2022).</w:t>
      </w:r>
    </w:p>
    <w:p w:rsidR="00000000" w:rsidDel="00000000" w:rsidP="00000000" w:rsidRDefault="00000000" w:rsidRPr="00000000" w14:paraId="00000008">
      <w:pPr>
        <w:rPr/>
      </w:pPr>
      <w:r w:rsidDel="00000000" w:rsidR="00000000" w:rsidRPr="00000000">
        <w:rPr>
          <w:rtl w:val="0"/>
        </w:rPr>
        <w:t xml:space="preserve">It could also be argued that creative artists simply don’t need to work for other employers to gain exposure anymore, with a litany of effective strategies they can implement themselves to draw attention to their work. Social media in particular, gives creative artists the opportunity to market their work, develop an audience as well as finding peers and inspiration (Evolve Artist, 2022). Essentially, through effective use of tools like social media artists can still reap the benefits promised by employers offering work for exposure, without having to work for anybody else. Diminishing the attractiveness of working for exposure to young creatives, as they can get the same rewards without any of the negatives.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To conclude, I believe that given the current state of the industry, on an individual basis creative artists should accept work for exposure. Forging a career in the creative industries is currently heavily dependent on a young creative’s ability to generate a network of contacts and there is still a culture of expectation that young creatives will earn their dues through working for exposure before being offered paid positions. So, my belief is purely on a practical level so that young creatives are not restricting themselves in an extremely competitive market to make a career in. However, on a moral level I believe working for exposure to be fundamentally wrong and for the industry to make positive steps forward, it is a culture that needs to be changed. However, the power to implement the widespread change needed lies far above the up-and-coming creative artists. Until that change has been brought in, I believe that up-and-coming creative artists should work for exposure to avoid potentially falling behind their peers. </w:t>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u w:val="single"/>
        </w:rPr>
      </w:pPr>
      <w:r w:rsidDel="00000000" w:rsidR="00000000" w:rsidRPr="00000000">
        <w:rPr>
          <w:u w:val="single"/>
          <w:rtl w:val="0"/>
        </w:rPr>
        <w:t xml:space="preserve">References:</w:t>
      </w:r>
    </w:p>
    <w:p w:rsidR="00000000" w:rsidDel="00000000" w:rsidP="00000000" w:rsidRDefault="00000000" w:rsidRPr="00000000" w14:paraId="0000000D">
      <w:pPr>
        <w:rPr/>
      </w:pPr>
      <w:r w:rsidDel="00000000" w:rsidR="00000000" w:rsidRPr="00000000">
        <w:rPr>
          <w:rtl w:val="0"/>
        </w:rPr>
        <w:t xml:space="preserve">Caves. (2002). </w:t>
      </w:r>
      <w:r w:rsidDel="00000000" w:rsidR="00000000" w:rsidRPr="00000000">
        <w:rPr>
          <w:i w:val="1"/>
          <w:rtl w:val="0"/>
        </w:rPr>
        <w:t xml:space="preserve">Creative industries : contracts between art and commerce.</w:t>
      </w:r>
      <w:r w:rsidDel="00000000" w:rsidR="00000000" w:rsidRPr="00000000">
        <w:rPr>
          <w:rtl w:val="0"/>
        </w:rPr>
        <w:t xml:space="preserve"> Harvard University Press.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color w:val="3a3a3a"/>
          <w:sz w:val="23"/>
          <w:szCs w:val="23"/>
          <w:highlight w:val="white"/>
        </w:rPr>
      </w:pPr>
      <w:r w:rsidDel="00000000" w:rsidR="00000000" w:rsidRPr="00000000">
        <w:rPr>
          <w:color w:val="3a3a3a"/>
          <w:sz w:val="23"/>
          <w:szCs w:val="23"/>
          <w:highlight w:val="white"/>
          <w:rtl w:val="0"/>
        </w:rPr>
        <w:t xml:space="preserve">Mao, &amp; Shen, Y. (2020). </w:t>
      </w:r>
      <w:r w:rsidDel="00000000" w:rsidR="00000000" w:rsidRPr="00000000">
        <w:rPr>
          <w:i w:val="1"/>
          <w:color w:val="3a3a3a"/>
          <w:sz w:val="23"/>
          <w:szCs w:val="23"/>
          <w:highlight w:val="white"/>
          <w:rtl w:val="0"/>
        </w:rPr>
        <w:t xml:space="preserve">Identity as career capital: enhancing employability in the creative industries and beyond. Career Development International</w:t>
      </w:r>
      <w:r w:rsidDel="00000000" w:rsidR="00000000" w:rsidRPr="00000000">
        <w:rPr>
          <w:color w:val="3a3a3a"/>
          <w:sz w:val="23"/>
          <w:szCs w:val="23"/>
          <w:highlight w:val="white"/>
          <w:rtl w:val="0"/>
        </w:rPr>
        <w:t xml:space="preserve">, </w:t>
      </w:r>
      <w:r w:rsidDel="00000000" w:rsidR="00000000" w:rsidRPr="00000000">
        <w:rPr>
          <w:i w:val="1"/>
          <w:color w:val="3a3a3a"/>
          <w:sz w:val="23"/>
          <w:szCs w:val="23"/>
          <w:highlight w:val="white"/>
          <w:rtl w:val="0"/>
        </w:rPr>
        <w:t xml:space="preserve">25</w:t>
      </w:r>
      <w:r w:rsidDel="00000000" w:rsidR="00000000" w:rsidRPr="00000000">
        <w:rPr>
          <w:color w:val="3a3a3a"/>
          <w:sz w:val="23"/>
          <w:szCs w:val="23"/>
          <w:highlight w:val="white"/>
          <w:rtl w:val="0"/>
        </w:rPr>
        <w:t xml:space="preserve">(2), 186–203. </w:t>
      </w:r>
      <w:hyperlink r:id="rId6">
        <w:r w:rsidDel="00000000" w:rsidR="00000000" w:rsidRPr="00000000">
          <w:rPr>
            <w:color w:val="1155cc"/>
            <w:sz w:val="23"/>
            <w:szCs w:val="23"/>
            <w:highlight w:val="white"/>
            <w:u w:val="single"/>
            <w:rtl w:val="0"/>
          </w:rPr>
          <w:t xml:space="preserve">https://doi.org/10.1108/CDI-01-2019-0025</w:t>
        </w:r>
      </w:hyperlink>
      <w:r w:rsidDel="00000000" w:rsidR="00000000" w:rsidRPr="00000000">
        <w:rPr>
          <w:rtl w:val="0"/>
        </w:rPr>
      </w:r>
    </w:p>
    <w:p w:rsidR="00000000" w:rsidDel="00000000" w:rsidP="00000000" w:rsidRDefault="00000000" w:rsidRPr="00000000" w14:paraId="00000010">
      <w:pPr>
        <w:rPr>
          <w:color w:val="3a3a3a"/>
          <w:sz w:val="23"/>
          <w:szCs w:val="23"/>
          <w:highlight w:val="white"/>
        </w:rPr>
      </w:pPr>
      <w:r w:rsidDel="00000000" w:rsidR="00000000" w:rsidRPr="00000000">
        <w:rPr>
          <w:rtl w:val="0"/>
        </w:rPr>
      </w:r>
    </w:p>
    <w:p w:rsidR="00000000" w:rsidDel="00000000" w:rsidP="00000000" w:rsidRDefault="00000000" w:rsidRPr="00000000" w14:paraId="00000011">
      <w:pPr>
        <w:rPr>
          <w:color w:val="3a3a3a"/>
          <w:sz w:val="23"/>
          <w:szCs w:val="23"/>
          <w:highlight w:val="white"/>
        </w:rPr>
      </w:pPr>
      <w:r w:rsidDel="00000000" w:rsidR="00000000" w:rsidRPr="00000000">
        <w:rPr>
          <w:color w:val="3a3a3a"/>
          <w:sz w:val="23"/>
          <w:szCs w:val="23"/>
          <w:highlight w:val="white"/>
          <w:rtl w:val="0"/>
        </w:rPr>
        <w:t xml:space="preserve">Trought. (2017). </w:t>
      </w:r>
      <w:r w:rsidDel="00000000" w:rsidR="00000000" w:rsidRPr="00000000">
        <w:rPr>
          <w:i w:val="1"/>
          <w:color w:val="3a3a3a"/>
          <w:sz w:val="23"/>
          <w:szCs w:val="23"/>
          <w:highlight w:val="white"/>
          <w:rtl w:val="0"/>
        </w:rPr>
        <w:t xml:space="preserve">Brilliant employability skills : how to stand out from the crowd in the graduate job market</w:t>
      </w:r>
      <w:r w:rsidDel="00000000" w:rsidR="00000000" w:rsidRPr="00000000">
        <w:rPr>
          <w:color w:val="3a3a3a"/>
          <w:sz w:val="23"/>
          <w:szCs w:val="23"/>
          <w:highlight w:val="white"/>
          <w:rtl w:val="0"/>
        </w:rPr>
        <w:t xml:space="preserve"> (Second edition.). Pearson Education.</w:t>
      </w:r>
    </w:p>
    <w:p w:rsidR="00000000" w:rsidDel="00000000" w:rsidP="00000000" w:rsidRDefault="00000000" w:rsidRPr="00000000" w14:paraId="00000012">
      <w:pPr>
        <w:rPr>
          <w:color w:val="3a3a3a"/>
          <w:sz w:val="23"/>
          <w:szCs w:val="23"/>
          <w:highlight w:val="white"/>
        </w:rPr>
      </w:pPr>
      <w:r w:rsidDel="00000000" w:rsidR="00000000" w:rsidRPr="00000000">
        <w:rPr>
          <w:rtl w:val="0"/>
        </w:rPr>
      </w:r>
    </w:p>
    <w:p w:rsidR="00000000" w:rsidDel="00000000" w:rsidP="00000000" w:rsidRDefault="00000000" w:rsidRPr="00000000" w14:paraId="00000013">
      <w:pPr>
        <w:rPr>
          <w:color w:val="3a3a3a"/>
          <w:sz w:val="23"/>
          <w:szCs w:val="23"/>
          <w:highlight w:val="white"/>
        </w:rPr>
      </w:pPr>
      <w:r w:rsidDel="00000000" w:rsidR="00000000" w:rsidRPr="00000000">
        <w:rPr>
          <w:color w:val="3a3a3a"/>
          <w:sz w:val="23"/>
          <w:szCs w:val="23"/>
          <w:highlight w:val="white"/>
          <w:rtl w:val="0"/>
        </w:rPr>
        <w:t xml:space="preserve">Houben, Cuyper, N. de, Kyndt, E., &amp; Forrier, A. (2021). </w:t>
      </w:r>
      <w:r w:rsidDel="00000000" w:rsidR="00000000" w:rsidRPr="00000000">
        <w:rPr>
          <w:i w:val="1"/>
          <w:color w:val="3a3a3a"/>
          <w:sz w:val="23"/>
          <w:szCs w:val="23"/>
          <w:highlight w:val="white"/>
          <w:rtl w:val="0"/>
        </w:rPr>
        <w:t xml:space="preserve">Learning to be employable or being employable to learn: The reciprocal relation between perceived employability and work-related learning.</w:t>
      </w:r>
      <w:r w:rsidDel="00000000" w:rsidR="00000000" w:rsidRPr="00000000">
        <w:rPr>
          <w:color w:val="3a3a3a"/>
          <w:sz w:val="23"/>
          <w:szCs w:val="23"/>
          <w:highlight w:val="white"/>
          <w:rtl w:val="0"/>
        </w:rPr>
        <w:t xml:space="preserve"> </w:t>
      </w:r>
      <w:r w:rsidDel="00000000" w:rsidR="00000000" w:rsidRPr="00000000">
        <w:rPr>
          <w:i w:val="1"/>
          <w:color w:val="3a3a3a"/>
          <w:sz w:val="23"/>
          <w:szCs w:val="23"/>
          <w:highlight w:val="white"/>
          <w:rtl w:val="0"/>
        </w:rPr>
        <w:t xml:space="preserve">Journal of Career Development</w:t>
      </w:r>
      <w:r w:rsidDel="00000000" w:rsidR="00000000" w:rsidRPr="00000000">
        <w:rPr>
          <w:color w:val="3a3a3a"/>
          <w:sz w:val="23"/>
          <w:szCs w:val="23"/>
          <w:highlight w:val="white"/>
          <w:rtl w:val="0"/>
        </w:rPr>
        <w:t xml:space="preserve">, </w:t>
      </w:r>
      <w:r w:rsidDel="00000000" w:rsidR="00000000" w:rsidRPr="00000000">
        <w:rPr>
          <w:i w:val="1"/>
          <w:color w:val="3a3a3a"/>
          <w:sz w:val="23"/>
          <w:szCs w:val="23"/>
          <w:highlight w:val="white"/>
          <w:rtl w:val="0"/>
        </w:rPr>
        <w:t xml:space="preserve">48</w:t>
      </w:r>
      <w:r w:rsidDel="00000000" w:rsidR="00000000" w:rsidRPr="00000000">
        <w:rPr>
          <w:color w:val="3a3a3a"/>
          <w:sz w:val="23"/>
          <w:szCs w:val="23"/>
          <w:highlight w:val="white"/>
          <w:rtl w:val="0"/>
        </w:rPr>
        <w:t xml:space="preserve">(4), 443–458. </w:t>
      </w:r>
      <w:hyperlink r:id="rId7">
        <w:r w:rsidDel="00000000" w:rsidR="00000000" w:rsidRPr="00000000">
          <w:rPr>
            <w:color w:val="1155cc"/>
            <w:sz w:val="23"/>
            <w:szCs w:val="23"/>
            <w:highlight w:val="white"/>
            <w:u w:val="single"/>
            <w:rtl w:val="0"/>
          </w:rPr>
          <w:t xml:space="preserve">https://doi.org/10.1177/0894845319867431</w:t>
        </w:r>
      </w:hyperlink>
      <w:r w:rsidDel="00000000" w:rsidR="00000000" w:rsidRPr="00000000">
        <w:rPr>
          <w:rtl w:val="0"/>
        </w:rPr>
      </w:r>
    </w:p>
    <w:p w:rsidR="00000000" w:rsidDel="00000000" w:rsidP="00000000" w:rsidRDefault="00000000" w:rsidRPr="00000000" w14:paraId="00000014">
      <w:pPr>
        <w:rPr>
          <w:color w:val="3a3a3a"/>
          <w:sz w:val="23"/>
          <w:szCs w:val="23"/>
          <w:highlight w:val="white"/>
        </w:rPr>
      </w:pPr>
      <w:r w:rsidDel="00000000" w:rsidR="00000000" w:rsidRPr="00000000">
        <w:rPr>
          <w:rtl w:val="0"/>
        </w:rPr>
      </w:r>
    </w:p>
    <w:p w:rsidR="00000000" w:rsidDel="00000000" w:rsidP="00000000" w:rsidRDefault="00000000" w:rsidRPr="00000000" w14:paraId="00000015">
      <w:pPr>
        <w:rPr>
          <w:color w:val="3a3a3a"/>
          <w:sz w:val="23"/>
          <w:szCs w:val="23"/>
          <w:highlight w:val="white"/>
        </w:rPr>
      </w:pPr>
      <w:r w:rsidDel="00000000" w:rsidR="00000000" w:rsidRPr="00000000">
        <w:rPr>
          <w:color w:val="3a3a3a"/>
          <w:sz w:val="23"/>
          <w:szCs w:val="23"/>
          <w:highlight w:val="white"/>
          <w:rtl w:val="0"/>
        </w:rPr>
        <w:t xml:space="preserve">Young-Powell, A. (2018) </w:t>
      </w:r>
      <w:r w:rsidDel="00000000" w:rsidR="00000000" w:rsidRPr="00000000">
        <w:rPr>
          <w:i w:val="1"/>
          <w:color w:val="3a3a3a"/>
          <w:sz w:val="23"/>
          <w:szCs w:val="23"/>
          <w:highlight w:val="white"/>
          <w:rtl w:val="0"/>
        </w:rPr>
        <w:t xml:space="preserve">Creative careers: is it ever worth working for ‘exposure? </w:t>
      </w:r>
      <w:r w:rsidDel="00000000" w:rsidR="00000000" w:rsidRPr="00000000">
        <w:rPr>
          <w:color w:val="3a3a3a"/>
          <w:sz w:val="23"/>
          <w:szCs w:val="23"/>
          <w:highlight w:val="white"/>
          <w:rtl w:val="0"/>
        </w:rPr>
        <w:t xml:space="preserve">Available at: </w:t>
      </w:r>
      <w:hyperlink r:id="rId8">
        <w:r w:rsidDel="00000000" w:rsidR="00000000" w:rsidRPr="00000000">
          <w:rPr>
            <w:color w:val="1155cc"/>
            <w:sz w:val="23"/>
            <w:szCs w:val="23"/>
            <w:highlight w:val="white"/>
            <w:u w:val="single"/>
            <w:rtl w:val="0"/>
          </w:rPr>
          <w:t xml:space="preserve">https://www.theguardian.com/education/2018/jul/09/creative-careers-is-it-ever-worth-working-for-exposure</w:t>
        </w:r>
      </w:hyperlink>
      <w:r w:rsidDel="00000000" w:rsidR="00000000" w:rsidRPr="00000000">
        <w:rPr>
          <w:color w:val="3a3a3a"/>
          <w:sz w:val="23"/>
          <w:szCs w:val="23"/>
          <w:highlight w:val="white"/>
          <w:rtl w:val="0"/>
        </w:rPr>
        <w:t xml:space="preserve"> (Accessed: 24 April 2023) </w:t>
      </w:r>
    </w:p>
    <w:p w:rsidR="00000000" w:rsidDel="00000000" w:rsidP="00000000" w:rsidRDefault="00000000" w:rsidRPr="00000000" w14:paraId="00000016">
      <w:pPr>
        <w:rPr>
          <w:color w:val="3a3a3a"/>
          <w:sz w:val="23"/>
          <w:szCs w:val="23"/>
          <w:highlight w:val="white"/>
        </w:rPr>
      </w:pPr>
      <w:r w:rsidDel="00000000" w:rsidR="00000000" w:rsidRPr="00000000">
        <w:rPr>
          <w:rtl w:val="0"/>
        </w:rPr>
      </w:r>
    </w:p>
    <w:p w:rsidR="00000000" w:rsidDel="00000000" w:rsidP="00000000" w:rsidRDefault="00000000" w:rsidRPr="00000000" w14:paraId="00000017">
      <w:pPr>
        <w:rPr>
          <w:color w:val="3a3a3a"/>
          <w:sz w:val="23"/>
          <w:szCs w:val="23"/>
          <w:highlight w:val="white"/>
        </w:rPr>
      </w:pPr>
      <w:r w:rsidDel="00000000" w:rsidR="00000000" w:rsidRPr="00000000">
        <w:rPr>
          <w:color w:val="3a3a3a"/>
          <w:sz w:val="23"/>
          <w:szCs w:val="23"/>
          <w:highlight w:val="white"/>
          <w:rtl w:val="0"/>
        </w:rPr>
        <w:t xml:space="preserve">Freelancer Talk (2021) </w:t>
      </w:r>
      <w:r w:rsidDel="00000000" w:rsidR="00000000" w:rsidRPr="00000000">
        <w:rPr>
          <w:i w:val="1"/>
          <w:color w:val="3a3a3a"/>
          <w:sz w:val="23"/>
          <w:szCs w:val="23"/>
          <w:highlight w:val="white"/>
          <w:rtl w:val="0"/>
        </w:rPr>
        <w:t xml:space="preserve">Working for ‘exposure’, is it worth it? </w:t>
      </w:r>
      <w:r w:rsidDel="00000000" w:rsidR="00000000" w:rsidRPr="00000000">
        <w:rPr>
          <w:color w:val="3a3a3a"/>
          <w:sz w:val="23"/>
          <w:szCs w:val="23"/>
          <w:highlight w:val="white"/>
          <w:rtl w:val="0"/>
        </w:rPr>
        <w:t xml:space="preserve">Available at: </w:t>
      </w:r>
      <w:hyperlink r:id="rId9">
        <w:r w:rsidDel="00000000" w:rsidR="00000000" w:rsidRPr="00000000">
          <w:rPr>
            <w:color w:val="1155cc"/>
            <w:sz w:val="23"/>
            <w:szCs w:val="23"/>
            <w:highlight w:val="white"/>
            <w:u w:val="single"/>
            <w:rtl w:val="0"/>
          </w:rPr>
          <w:t xml:space="preserve">https://www.thefreelancertalk.com/working-for-exposure/</w:t>
        </w:r>
      </w:hyperlink>
      <w:r w:rsidDel="00000000" w:rsidR="00000000" w:rsidRPr="00000000">
        <w:rPr>
          <w:color w:val="3a3a3a"/>
          <w:sz w:val="23"/>
          <w:szCs w:val="23"/>
          <w:highlight w:val="white"/>
          <w:rtl w:val="0"/>
        </w:rPr>
        <w:t xml:space="preserve"> (Accessed: 24 April 2023)</w:t>
      </w:r>
    </w:p>
    <w:p w:rsidR="00000000" w:rsidDel="00000000" w:rsidP="00000000" w:rsidRDefault="00000000" w:rsidRPr="00000000" w14:paraId="00000018">
      <w:pPr>
        <w:rPr>
          <w:color w:val="3a3a3a"/>
          <w:sz w:val="23"/>
          <w:szCs w:val="23"/>
          <w:highlight w:val="white"/>
        </w:rPr>
      </w:pPr>
      <w:r w:rsidDel="00000000" w:rsidR="00000000" w:rsidRPr="00000000">
        <w:rPr>
          <w:rtl w:val="0"/>
        </w:rPr>
      </w:r>
    </w:p>
    <w:p w:rsidR="00000000" w:rsidDel="00000000" w:rsidP="00000000" w:rsidRDefault="00000000" w:rsidRPr="00000000" w14:paraId="00000019">
      <w:pPr>
        <w:rPr>
          <w:color w:val="3a3a3a"/>
          <w:sz w:val="23"/>
          <w:szCs w:val="23"/>
          <w:highlight w:val="white"/>
        </w:rPr>
      </w:pPr>
      <w:r w:rsidDel="00000000" w:rsidR="00000000" w:rsidRPr="00000000">
        <w:rPr>
          <w:color w:val="3a3a3a"/>
          <w:sz w:val="23"/>
          <w:szCs w:val="23"/>
          <w:highlight w:val="white"/>
          <w:rtl w:val="0"/>
        </w:rPr>
        <w:t xml:space="preserve">Evolve Artist (2022) </w:t>
      </w:r>
      <w:r w:rsidDel="00000000" w:rsidR="00000000" w:rsidRPr="00000000">
        <w:rPr>
          <w:i w:val="1"/>
          <w:color w:val="3a3a3a"/>
          <w:sz w:val="23"/>
          <w:szCs w:val="23"/>
          <w:highlight w:val="white"/>
          <w:rtl w:val="0"/>
        </w:rPr>
        <w:t xml:space="preserve">The Benefits of Social Media for Artists </w:t>
      </w:r>
      <w:r w:rsidDel="00000000" w:rsidR="00000000" w:rsidRPr="00000000">
        <w:rPr>
          <w:color w:val="3a3a3a"/>
          <w:sz w:val="23"/>
          <w:szCs w:val="23"/>
          <w:highlight w:val="white"/>
          <w:rtl w:val="0"/>
        </w:rPr>
        <w:t xml:space="preserve">Available at: </w:t>
      </w:r>
      <w:hyperlink r:id="rId10">
        <w:r w:rsidDel="00000000" w:rsidR="00000000" w:rsidRPr="00000000">
          <w:rPr>
            <w:color w:val="1155cc"/>
            <w:sz w:val="23"/>
            <w:szCs w:val="23"/>
            <w:highlight w:val="white"/>
            <w:u w:val="single"/>
            <w:rtl w:val="0"/>
          </w:rPr>
          <w:t xml:space="preserve">https://evolveartist.com/blog/do-artists-need-to-be-on-social-media/</w:t>
        </w:r>
      </w:hyperlink>
      <w:r w:rsidDel="00000000" w:rsidR="00000000" w:rsidRPr="00000000">
        <w:rPr>
          <w:color w:val="3a3a3a"/>
          <w:sz w:val="23"/>
          <w:szCs w:val="23"/>
          <w:highlight w:val="white"/>
          <w:rtl w:val="0"/>
        </w:rPr>
        <w:t xml:space="preserve"> (Accessed: 24 April 2023) </w:t>
      </w:r>
    </w:p>
    <w:p w:rsidR="00000000" w:rsidDel="00000000" w:rsidP="00000000" w:rsidRDefault="00000000" w:rsidRPr="00000000" w14:paraId="0000001A">
      <w:pPr>
        <w:rPr>
          <w:color w:val="3a3a3a"/>
          <w:sz w:val="23"/>
          <w:szCs w:val="23"/>
          <w:highlight w:val="white"/>
        </w:rPr>
      </w:pPr>
      <w:r w:rsidDel="00000000" w:rsidR="00000000" w:rsidRPr="00000000">
        <w:rPr>
          <w:rtl w:val="0"/>
        </w:rPr>
      </w:r>
    </w:p>
    <w:p w:rsidR="00000000" w:rsidDel="00000000" w:rsidP="00000000" w:rsidRDefault="00000000" w:rsidRPr="00000000" w14:paraId="0000001B">
      <w:pPr>
        <w:rPr>
          <w:color w:val="3a3a3a"/>
          <w:sz w:val="23"/>
          <w:szCs w:val="23"/>
          <w:highlight w:val="white"/>
        </w:rPr>
      </w:pPr>
      <w:r w:rsidDel="00000000" w:rsidR="00000000" w:rsidRPr="00000000">
        <w:rPr>
          <w:color w:val="3a3a3a"/>
          <w:sz w:val="23"/>
          <w:szCs w:val="23"/>
          <w:highlight w:val="white"/>
          <w:rtl w:val="0"/>
        </w:rPr>
        <w:t xml:space="preserve">Sanchez, C. (2023) </w:t>
      </w:r>
      <w:r w:rsidDel="00000000" w:rsidR="00000000" w:rsidRPr="00000000">
        <w:rPr>
          <w:i w:val="1"/>
          <w:color w:val="3a3a3a"/>
          <w:sz w:val="23"/>
          <w:szCs w:val="23"/>
          <w:highlight w:val="white"/>
          <w:rtl w:val="0"/>
        </w:rPr>
        <w:t xml:space="preserve">Why Working for Exposure Never Works </w:t>
      </w:r>
      <w:r w:rsidDel="00000000" w:rsidR="00000000" w:rsidRPr="00000000">
        <w:rPr>
          <w:color w:val="3a3a3a"/>
          <w:sz w:val="23"/>
          <w:szCs w:val="23"/>
          <w:highlight w:val="white"/>
          <w:rtl w:val="0"/>
        </w:rPr>
        <w:t xml:space="preserve">Available at: </w:t>
      </w:r>
      <w:hyperlink r:id="rId11">
        <w:r w:rsidDel="00000000" w:rsidR="00000000" w:rsidRPr="00000000">
          <w:rPr>
            <w:color w:val="1155cc"/>
            <w:sz w:val="23"/>
            <w:szCs w:val="23"/>
            <w:highlight w:val="white"/>
            <w:u w:val="single"/>
            <w:rtl w:val="0"/>
          </w:rPr>
          <w:t xml:space="preserve">https://blaksheepcreative.com/marketing/working-for-free-never-works/#:~:text=Working%20for%20exposure%20is%20a%20term%20often%20used,pay%20to%20gain%20experience%20or%20build%20one%E2%80%99s%20portfolio</w:t>
        </w:r>
      </w:hyperlink>
      <w:r w:rsidDel="00000000" w:rsidR="00000000" w:rsidRPr="00000000">
        <w:rPr>
          <w:color w:val="3a3a3a"/>
          <w:sz w:val="23"/>
          <w:szCs w:val="23"/>
          <w:highlight w:val="white"/>
          <w:rtl w:val="0"/>
        </w:rPr>
        <w:t xml:space="preserve">. (Accessed: 25 April 2023)</w:t>
      </w:r>
      <w:r w:rsidDel="00000000" w:rsidR="00000000" w:rsidRPr="00000000">
        <w:rPr>
          <w:rtl w:val="0"/>
        </w:rPr>
      </w:r>
    </w:p>
    <w:sectPr>
      <w:head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C">
    <w:pPr>
      <w:rPr/>
    </w:pPr>
    <w:r w:rsidDel="00000000" w:rsidR="00000000" w:rsidRPr="00000000">
      <w:rPr>
        <w:rtl w:val="0"/>
      </w:rPr>
      <w:t xml:space="preserve">Alex Haycock 2213359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blaksheepcreative.com/marketing/working-for-free-never-works/#:~:text=Working%20for%20exposure%20is%20a%20term%20often%20used,pay%20to%20gain%20experience%20or%20build%20one%E2%80%99s%20portfolio" TargetMode="External"/><Relationship Id="rId10" Type="http://schemas.openxmlformats.org/officeDocument/2006/relationships/hyperlink" Target="https://evolveartist.com/blog/do-artists-need-to-be-on-social-media/" TargetMode="External"/><Relationship Id="rId12" Type="http://schemas.openxmlformats.org/officeDocument/2006/relationships/header" Target="header1.xml"/><Relationship Id="rId9" Type="http://schemas.openxmlformats.org/officeDocument/2006/relationships/hyperlink" Target="https://www.thefreelancertalk.com/working-for-exposure/" TargetMode="External"/><Relationship Id="rId5" Type="http://schemas.openxmlformats.org/officeDocument/2006/relationships/styles" Target="styles.xml"/><Relationship Id="rId6" Type="http://schemas.openxmlformats.org/officeDocument/2006/relationships/hyperlink" Target="https://doi.org/10.1108/CDI-01-2019-0025" TargetMode="External"/><Relationship Id="rId7" Type="http://schemas.openxmlformats.org/officeDocument/2006/relationships/hyperlink" Target="https://doi.org/10.1177/0894845319867431" TargetMode="External"/><Relationship Id="rId8" Type="http://schemas.openxmlformats.org/officeDocument/2006/relationships/hyperlink" Target="https://www.theguardian.com/education/2018/jul/09/creative-careers-is-it-ever-worth-working-for-expos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