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1FE1DD8" w:rsidR="00986B43" w:rsidRPr="00224AA5"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224AA5">
              <w:rPr>
                <w:rFonts w:ascii="Times New Roman" w:hAnsi="Times New Roman" w:cs="Times New Roman"/>
                <w:b/>
                <w:color w:val="auto"/>
                <w:sz w:val="44"/>
                <w:szCs w:val="18"/>
              </w:rPr>
              <w:t>Learner’s name:</w:t>
            </w:r>
            <w:r w:rsidR="00247265" w:rsidRPr="00224AA5">
              <w:rPr>
                <w:rFonts w:ascii="Times New Roman" w:hAnsi="Times New Roman" w:cs="Times New Roman"/>
                <w:b/>
                <w:color w:val="auto"/>
                <w:sz w:val="44"/>
                <w:szCs w:val="18"/>
              </w:rPr>
              <w:t xml:space="preserve"> </w:t>
            </w:r>
            <w:r w:rsidR="008F226E" w:rsidRPr="00224AA5">
              <w:rPr>
                <w:rFonts w:ascii="Times New Roman" w:hAnsi="Times New Roman" w:cs="Times New Roman"/>
                <w:b/>
                <w:color w:val="auto"/>
                <w:sz w:val="44"/>
                <w:szCs w:val="18"/>
              </w:rPr>
              <w:t>Angharad Correia-Martins</w:t>
            </w:r>
          </w:p>
          <w:p w14:paraId="0B6CD0DB" w14:textId="689515B5" w:rsidR="009C337F" w:rsidRPr="00224AA5"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73068FF4" w:rsidR="009C337F" w:rsidRPr="00224AA5"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224AA5">
              <w:rPr>
                <w:rFonts w:ascii="Times New Roman" w:hAnsi="Times New Roman" w:cs="Times New Roman"/>
                <w:b/>
                <w:color w:val="auto"/>
                <w:sz w:val="44"/>
                <w:szCs w:val="18"/>
              </w:rPr>
              <w:t>Email address:</w:t>
            </w:r>
            <w:r w:rsidR="00521395">
              <w:rPr>
                <w:rFonts w:ascii="Times New Roman" w:hAnsi="Times New Roman" w:cs="Times New Roman"/>
                <w:b/>
                <w:color w:val="auto"/>
                <w:sz w:val="44"/>
                <w:szCs w:val="18"/>
              </w:rPr>
              <w:t xml:space="preserve"> </w:t>
            </w:r>
            <w:r w:rsidR="00521395" w:rsidRPr="00521395">
              <w:rPr>
                <w:rFonts w:ascii="Times New Roman" w:hAnsi="Times New Roman" w:cs="Times New Roman"/>
                <w:b/>
                <w:color w:val="auto"/>
                <w:sz w:val="44"/>
                <w:szCs w:val="18"/>
              </w:rPr>
              <w:t>2224776@student.uwtsd.ac.uk</w:t>
            </w:r>
          </w:p>
          <w:p w14:paraId="22E38809" w14:textId="77777777" w:rsidR="00986B43" w:rsidRPr="00224AA5"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17C7A2B1" w:rsidR="00F927A1" w:rsidRPr="00224AA5"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224AA5">
              <w:rPr>
                <w:rFonts w:ascii="Times New Roman" w:hAnsi="Times New Roman" w:cs="Times New Roman"/>
                <w:b/>
                <w:color w:val="auto"/>
                <w:sz w:val="44"/>
                <w:szCs w:val="18"/>
              </w:rPr>
              <w:t>Learner’s University Registration</w:t>
            </w:r>
            <w:r w:rsidR="00F927A1" w:rsidRPr="00224AA5">
              <w:rPr>
                <w:rFonts w:ascii="Times New Roman" w:hAnsi="Times New Roman" w:cs="Times New Roman"/>
                <w:b/>
                <w:color w:val="auto"/>
                <w:sz w:val="44"/>
                <w:szCs w:val="18"/>
              </w:rPr>
              <w:t xml:space="preserve"> Number:</w:t>
            </w:r>
            <w:r w:rsidR="007B2D7B">
              <w:rPr>
                <w:rFonts w:ascii="Times New Roman" w:hAnsi="Times New Roman" w:cs="Times New Roman"/>
                <w:b/>
                <w:color w:val="auto"/>
                <w:sz w:val="44"/>
                <w:szCs w:val="18"/>
              </w:rPr>
              <w:t xml:space="preserve"> </w:t>
            </w:r>
            <w:r w:rsidR="007B2D7B" w:rsidRPr="007B2D7B">
              <w:rPr>
                <w:rFonts w:ascii="Times New Roman" w:hAnsi="Times New Roman" w:cs="Times New Roman"/>
                <w:b/>
                <w:color w:val="auto"/>
                <w:sz w:val="44"/>
                <w:szCs w:val="18"/>
              </w:rPr>
              <w:t>2224776</w:t>
            </w:r>
          </w:p>
          <w:p w14:paraId="622FD17A" w14:textId="77777777" w:rsidR="0085230E" w:rsidRPr="00224AA5"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1927975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224AA5">
              <w:rPr>
                <w:rFonts w:ascii="Times New Roman" w:hAnsi="Times New Roman" w:cs="Times New Roman"/>
                <w:b/>
                <w:color w:val="auto"/>
                <w:sz w:val="44"/>
                <w:szCs w:val="18"/>
              </w:rPr>
              <w:t>Cohort: 1</w:t>
            </w:r>
            <w:r w:rsidR="000F1A97" w:rsidRPr="00224AA5">
              <w:rPr>
                <w:rFonts w:ascii="Times New Roman" w:hAnsi="Times New Roman" w:cs="Times New Roman"/>
                <w:b/>
                <w:color w:val="auto"/>
                <w:sz w:val="44"/>
                <w:szCs w:val="18"/>
              </w:rPr>
              <w:t>8</w:t>
            </w:r>
            <w:r w:rsidR="00AE6231" w:rsidRPr="00224AA5">
              <w:rPr>
                <w:rFonts w:ascii="Times New Roman" w:hAnsi="Times New Roman" w:cs="Times New Roman"/>
                <w:b/>
                <w:color w:val="auto"/>
                <w:sz w:val="44"/>
                <w:szCs w:val="18"/>
              </w:rPr>
              <w:t xml:space="preserve"> onwards</w:t>
            </w:r>
            <w:r w:rsidR="002005C8">
              <w:rPr>
                <w:rFonts w:ascii="Times New Roman" w:hAnsi="Times New Roman" w:cs="Times New Roman"/>
                <w:b/>
                <w:color w:val="auto"/>
                <w:sz w:val="44"/>
                <w:szCs w:val="18"/>
              </w:rPr>
              <w:t xml:space="preserve"> (Cohort 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0EF984DF" w14:textId="02707E04" w:rsidR="000D0BB6" w:rsidRPr="00EE5BC3" w:rsidRDefault="00337FEF" w:rsidP="00EE5BC3">
      <w:pPr>
        <w:jc w:val="center"/>
        <w:rPr>
          <w:b/>
          <w:sz w:val="28"/>
          <w:szCs w:val="28"/>
        </w:rPr>
      </w:pPr>
      <w:r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 xml:space="preserve">national, </w:t>
            </w:r>
            <w:proofErr w:type="gramStart"/>
            <w:r w:rsidR="005A545C" w:rsidRPr="006108C9">
              <w:rPr>
                <w:sz w:val="24"/>
                <w:szCs w:val="24"/>
              </w:rPr>
              <w:t>local</w:t>
            </w:r>
            <w:proofErr w:type="gramEnd"/>
            <w:r w:rsidR="005A545C" w:rsidRPr="006108C9">
              <w:rPr>
                <w:sz w:val="24"/>
                <w:szCs w:val="24"/>
              </w:rPr>
              <w:t xml:space="preserve"> and organisational policies and procedures</w:t>
            </w:r>
            <w:r>
              <w:rPr>
                <w:sz w:val="24"/>
                <w:szCs w:val="24"/>
              </w:rPr>
              <w:t xml:space="preserve"> for safeguarding. </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45B2A69F" w14:textId="77777777" w:rsidR="00F10A32" w:rsidRDefault="00F10A32" w:rsidP="00FF7EBB">
            <w:pPr>
              <w:jc w:val="both"/>
              <w:rPr>
                <w:sz w:val="24"/>
                <w:szCs w:val="24"/>
              </w:rPr>
            </w:pPr>
          </w:p>
          <w:p w14:paraId="19FFB976" w14:textId="77777777" w:rsidR="00F10A32" w:rsidRDefault="00F10A32" w:rsidP="00F10A32">
            <w:pPr>
              <w:jc w:val="both"/>
              <w:rPr>
                <w:sz w:val="24"/>
                <w:szCs w:val="24"/>
              </w:rPr>
            </w:pPr>
            <w:r w:rsidRPr="00F10A32">
              <w:rPr>
                <w:sz w:val="24"/>
                <w:szCs w:val="24"/>
              </w:rPr>
              <w:t xml:space="preserve">The European Convention on Human Rights functions as the principal encompassing legal framework pertaining to adults within Europe and is integrated into UK law under the Human Rights Act 1998 (Carr &amp; </w:t>
            </w:r>
            <w:proofErr w:type="spellStart"/>
            <w:r w:rsidRPr="00F10A32">
              <w:rPr>
                <w:sz w:val="24"/>
                <w:szCs w:val="24"/>
              </w:rPr>
              <w:t>Goosey</w:t>
            </w:r>
            <w:proofErr w:type="spellEnd"/>
            <w:r w:rsidRPr="00F10A32">
              <w:rPr>
                <w:sz w:val="24"/>
                <w:szCs w:val="24"/>
              </w:rPr>
              <w:t>, 2019).</w:t>
            </w:r>
          </w:p>
          <w:p w14:paraId="587B2425" w14:textId="77777777" w:rsidR="00F10A32" w:rsidRPr="00F10A32" w:rsidRDefault="00F10A32" w:rsidP="00F10A32">
            <w:pPr>
              <w:jc w:val="both"/>
              <w:rPr>
                <w:sz w:val="24"/>
                <w:szCs w:val="24"/>
              </w:rPr>
            </w:pPr>
          </w:p>
          <w:p w14:paraId="027AB3D2" w14:textId="77777777" w:rsidR="00F10A32" w:rsidRDefault="00F10A32" w:rsidP="00F10A32">
            <w:pPr>
              <w:jc w:val="both"/>
              <w:rPr>
                <w:sz w:val="24"/>
                <w:szCs w:val="24"/>
              </w:rPr>
            </w:pPr>
            <w:r w:rsidRPr="00F10A32">
              <w:rPr>
                <w:sz w:val="24"/>
                <w:szCs w:val="24"/>
              </w:rPr>
              <w:t>Before the implementation of the Care Act 2014, there existed a disparity between the safeguarding legislation and policies in England (</w:t>
            </w:r>
            <w:proofErr w:type="spellStart"/>
            <w:r w:rsidRPr="00F10A32">
              <w:rPr>
                <w:sz w:val="24"/>
                <w:szCs w:val="24"/>
              </w:rPr>
              <w:t>Starns</w:t>
            </w:r>
            <w:proofErr w:type="spellEnd"/>
            <w:r w:rsidRPr="00F10A32">
              <w:rPr>
                <w:sz w:val="24"/>
                <w:szCs w:val="24"/>
              </w:rPr>
              <w:t xml:space="preserve">, 2019). Similarly, in Wales, the Social Services and Well-being (Wales) Act (SSWBA) 2014, brought about significant policy reform by replacing a multitude of legislation and consolidating safeguarding frameworks for both children and adults into a single Act (Verity et al., 2019). </w:t>
            </w:r>
          </w:p>
          <w:p w14:paraId="6A1E8FCB" w14:textId="77777777" w:rsidR="00F10A32" w:rsidRPr="00F10A32" w:rsidRDefault="00F10A32" w:rsidP="00F10A32">
            <w:pPr>
              <w:jc w:val="both"/>
              <w:rPr>
                <w:sz w:val="24"/>
                <w:szCs w:val="24"/>
              </w:rPr>
            </w:pPr>
          </w:p>
          <w:p w14:paraId="38512B7F" w14:textId="77777777" w:rsidR="00F10A32" w:rsidRDefault="00F10A32" w:rsidP="00F10A32">
            <w:pPr>
              <w:jc w:val="both"/>
              <w:rPr>
                <w:sz w:val="24"/>
                <w:szCs w:val="24"/>
              </w:rPr>
            </w:pPr>
            <w:r w:rsidRPr="00F10A32">
              <w:rPr>
                <w:sz w:val="24"/>
                <w:szCs w:val="24"/>
              </w:rPr>
              <w:t>Part 7 of SSWBA 2014 focusses on the processes and responsibilities related to the protection of vulnerable adults. It highlights the significance of multi-agency collaboration and outlines the responsibilities of different organisations in safeguarding individuals. It ensures the effectiveness of safeguarding practices while considering the viewpoints of those being safeguarded.</w:t>
            </w:r>
          </w:p>
          <w:p w14:paraId="79685BA0" w14:textId="77777777" w:rsidR="00F10A32" w:rsidRPr="00F10A32" w:rsidRDefault="00F10A32" w:rsidP="00F10A32">
            <w:pPr>
              <w:jc w:val="both"/>
              <w:rPr>
                <w:sz w:val="24"/>
                <w:szCs w:val="24"/>
              </w:rPr>
            </w:pPr>
          </w:p>
          <w:p w14:paraId="1CFE876D" w14:textId="77777777" w:rsidR="00F10A32" w:rsidRDefault="00F10A32" w:rsidP="00F10A32">
            <w:pPr>
              <w:jc w:val="both"/>
              <w:rPr>
                <w:sz w:val="24"/>
                <w:szCs w:val="24"/>
              </w:rPr>
            </w:pPr>
            <w:r w:rsidRPr="00F10A32">
              <w:rPr>
                <w:sz w:val="24"/>
                <w:szCs w:val="24"/>
              </w:rPr>
              <w:t xml:space="preserve">Section 134 of the SSWBA 2014 mandated the creation of regional Safeguarding Boards. Safeguarding boards aims to unite multiple agencies, including local authorities, health services, police, and other organisations, to collaboratively ensure the protection of individuals from harm, abuse, and neglect across Wales. The boards’ primary functions cover strategic oversight, collaborative working, </w:t>
            </w:r>
            <w:proofErr w:type="gramStart"/>
            <w:r w:rsidRPr="00F10A32">
              <w:rPr>
                <w:sz w:val="24"/>
                <w:szCs w:val="24"/>
              </w:rPr>
              <w:t>training</w:t>
            </w:r>
            <w:proofErr w:type="gramEnd"/>
            <w:r w:rsidRPr="00F10A32">
              <w:rPr>
                <w:sz w:val="24"/>
                <w:szCs w:val="24"/>
              </w:rPr>
              <w:t xml:space="preserve"> and monitoring, and improving public awareness (Social Care Wales, 2017).</w:t>
            </w:r>
          </w:p>
          <w:p w14:paraId="372D33FD" w14:textId="77777777" w:rsidR="00F10A32" w:rsidRPr="00F10A32" w:rsidRDefault="00F10A32" w:rsidP="00F10A32">
            <w:pPr>
              <w:jc w:val="both"/>
              <w:rPr>
                <w:sz w:val="24"/>
                <w:szCs w:val="24"/>
              </w:rPr>
            </w:pPr>
          </w:p>
          <w:p w14:paraId="6B9E145F" w14:textId="77777777" w:rsidR="00F10A32" w:rsidRDefault="00F10A32" w:rsidP="00F10A32">
            <w:pPr>
              <w:jc w:val="both"/>
              <w:rPr>
                <w:sz w:val="24"/>
                <w:szCs w:val="24"/>
              </w:rPr>
            </w:pPr>
            <w:r w:rsidRPr="00F10A32">
              <w:rPr>
                <w:sz w:val="24"/>
                <w:szCs w:val="24"/>
              </w:rPr>
              <w:t xml:space="preserve">The National Independent Safeguarding Board (NISB) works closely with the regional safeguarding boards to enhance safeguarding policy and practice across Wales. The NISB’s responsibilities are set out in Part 7 of the SSWBA 2014. Statutory guidance, such as the Working Together to Safeguard People (Wales) 2022, is also published under the SSWBA 2014, with volumes 4 and 6 relevant to safeguarding adults (Welsh Government, 2022). Section 3 of the codes of professional practice for social care workers places a duty on workers </w:t>
            </w:r>
            <w:r w:rsidRPr="00F10A32">
              <w:rPr>
                <w:sz w:val="24"/>
                <w:szCs w:val="24"/>
              </w:rPr>
              <w:lastRenderedPageBreak/>
              <w:t>to “promote the well-being, voice and control of individuals and carers while supporting them to stay safe” (Social Care Wales, 2017). "Protection from abuse and neglect" is an essential aspect of well-being, as stated in Section 2 of the SSWBA 2014. The XXX Safeguarding Board established a regional Self-Neglect Protocol in 2016 aimed at preventing serious injury or death among individuals exhibiting self-neglect behaviours.</w:t>
            </w:r>
          </w:p>
          <w:p w14:paraId="42492996" w14:textId="77777777" w:rsidR="00F10A32" w:rsidRPr="00F10A32" w:rsidRDefault="00F10A32" w:rsidP="00F10A32">
            <w:pPr>
              <w:jc w:val="both"/>
              <w:rPr>
                <w:sz w:val="24"/>
                <w:szCs w:val="24"/>
              </w:rPr>
            </w:pPr>
          </w:p>
          <w:p w14:paraId="2A806E0F" w14:textId="77777777" w:rsidR="00F10A32" w:rsidRDefault="00F10A32" w:rsidP="00F10A32">
            <w:pPr>
              <w:jc w:val="both"/>
              <w:rPr>
                <w:sz w:val="24"/>
                <w:szCs w:val="24"/>
              </w:rPr>
            </w:pPr>
            <w:r w:rsidRPr="00F10A32">
              <w:rPr>
                <w:sz w:val="24"/>
                <w:szCs w:val="24"/>
              </w:rPr>
              <w:t>The Wales Safeguarding Procedures 2019,  create a standardised framework for safeguarding practices across Wales, promoting consistency among different agencies and sectors. The Procedures replaces the Wales Interim Policy and Procedures for the Protection of Vulnerable Adults from Abuse 2010 (Social Care Wales, 2019).</w:t>
            </w:r>
          </w:p>
          <w:p w14:paraId="5D818801" w14:textId="77777777" w:rsidR="00F10A32" w:rsidRPr="00F10A32" w:rsidRDefault="00F10A32" w:rsidP="00F10A32">
            <w:pPr>
              <w:jc w:val="both"/>
              <w:rPr>
                <w:sz w:val="24"/>
                <w:szCs w:val="24"/>
              </w:rPr>
            </w:pPr>
          </w:p>
          <w:p w14:paraId="1C0AFE82" w14:textId="77777777" w:rsidR="00F10A32" w:rsidRDefault="00F10A32" w:rsidP="00F10A32">
            <w:pPr>
              <w:jc w:val="both"/>
              <w:rPr>
                <w:sz w:val="24"/>
                <w:szCs w:val="24"/>
              </w:rPr>
            </w:pPr>
            <w:r w:rsidRPr="00F10A32">
              <w:rPr>
                <w:sz w:val="24"/>
                <w:szCs w:val="24"/>
              </w:rPr>
              <w:t xml:space="preserve">The Safeguarding Vulnerable Groups Act (2006) was introduced following the 2004 </w:t>
            </w:r>
            <w:proofErr w:type="spellStart"/>
            <w:r w:rsidRPr="00F10A32">
              <w:rPr>
                <w:sz w:val="24"/>
                <w:szCs w:val="24"/>
              </w:rPr>
              <w:t>Bichard</w:t>
            </w:r>
            <w:proofErr w:type="spellEnd"/>
            <w:r w:rsidRPr="00F10A32">
              <w:rPr>
                <w:sz w:val="24"/>
                <w:szCs w:val="24"/>
              </w:rPr>
              <w:t xml:space="preserve"> Inquiry. It enables employers to screen employees and volunteers via the Disclosure and Barring Service before hiring them to work with vulnerable groups. As a result, it prohibits unsuitable individuals from working with these groups (Mandelstam, 2013).</w:t>
            </w:r>
          </w:p>
          <w:p w14:paraId="61877D73" w14:textId="77777777" w:rsidR="00F10A32" w:rsidRPr="00F10A32" w:rsidRDefault="00F10A32" w:rsidP="00F10A32">
            <w:pPr>
              <w:jc w:val="both"/>
              <w:rPr>
                <w:sz w:val="24"/>
                <w:szCs w:val="24"/>
              </w:rPr>
            </w:pPr>
          </w:p>
          <w:p w14:paraId="5EFD2B61" w14:textId="04CA0508" w:rsidR="00F10A32" w:rsidRDefault="00F10A32" w:rsidP="00F10A32">
            <w:pPr>
              <w:jc w:val="both"/>
              <w:rPr>
                <w:sz w:val="24"/>
                <w:szCs w:val="24"/>
              </w:rPr>
            </w:pPr>
            <w:r w:rsidRPr="00F10A32">
              <w:rPr>
                <w:sz w:val="24"/>
                <w:szCs w:val="24"/>
              </w:rPr>
              <w:t>Other adult safeguarding legislation includes the Mental Capacity Act (MCA) 2005 and the Deprivation of Liberty Safeguards (</w:t>
            </w:r>
            <w:proofErr w:type="spellStart"/>
            <w:r w:rsidRPr="00F10A32">
              <w:rPr>
                <w:sz w:val="24"/>
                <w:szCs w:val="24"/>
              </w:rPr>
              <w:t>DoLS</w:t>
            </w:r>
            <w:proofErr w:type="spellEnd"/>
            <w:r w:rsidRPr="00F10A32">
              <w:rPr>
                <w:sz w:val="24"/>
                <w:szCs w:val="24"/>
              </w:rPr>
              <w:t xml:space="preserve">), implemented in 2009. The MCA 2005, revised in 2019, safeguards the autonomy of individuals aged 16 and above in decision-making within a legal context. This legislation plays a vital role in protecting adults who may not have the capacity to make decisions independently, and incorporates safeguards to prevent abuse (Brammer, 2015). To address the </w:t>
            </w:r>
            <w:r w:rsidR="00016C59">
              <w:rPr>
                <w:sz w:val="24"/>
                <w:szCs w:val="24"/>
              </w:rPr>
              <w:t>‘</w:t>
            </w:r>
            <w:proofErr w:type="spellStart"/>
            <w:r w:rsidRPr="00F10A32">
              <w:rPr>
                <w:sz w:val="24"/>
                <w:szCs w:val="24"/>
              </w:rPr>
              <w:t>Bournewood</w:t>
            </w:r>
            <w:proofErr w:type="spellEnd"/>
            <w:r w:rsidRPr="00F10A32">
              <w:rPr>
                <w:sz w:val="24"/>
                <w:szCs w:val="24"/>
              </w:rPr>
              <w:t xml:space="preserve"> gap’, </w:t>
            </w:r>
            <w:proofErr w:type="spellStart"/>
            <w:r w:rsidRPr="00F10A32">
              <w:rPr>
                <w:sz w:val="24"/>
                <w:szCs w:val="24"/>
              </w:rPr>
              <w:t>DoLS</w:t>
            </w:r>
            <w:proofErr w:type="spellEnd"/>
            <w:r w:rsidRPr="00F10A32">
              <w:rPr>
                <w:sz w:val="24"/>
                <w:szCs w:val="24"/>
              </w:rPr>
              <w:t xml:space="preserve"> allows for the deprivation of liberty in an individual's best interest alongside offering a way to challenge such decisions (Richards &amp; Mughal, 2015).</w:t>
            </w:r>
          </w:p>
          <w:p w14:paraId="4A501FC5" w14:textId="77777777" w:rsidR="00F10A32" w:rsidRDefault="00F10A32" w:rsidP="00F10A32">
            <w:pPr>
              <w:jc w:val="both"/>
              <w:rPr>
                <w:sz w:val="24"/>
                <w:szCs w:val="24"/>
              </w:rPr>
            </w:pPr>
          </w:p>
          <w:p w14:paraId="6201FCFF" w14:textId="7C6648E2" w:rsidR="00F10A32" w:rsidRDefault="00F10A32" w:rsidP="00F10A32">
            <w:pPr>
              <w:jc w:val="both"/>
              <w:rPr>
                <w:sz w:val="24"/>
                <w:szCs w:val="24"/>
              </w:rPr>
            </w:pPr>
            <w:r>
              <w:rPr>
                <w:sz w:val="24"/>
                <w:szCs w:val="24"/>
              </w:rPr>
              <w:t>545 words.</w:t>
            </w:r>
          </w:p>
          <w:p w14:paraId="03BD6D93" w14:textId="56AD433A" w:rsidR="007A628F" w:rsidRPr="008B28E7" w:rsidRDefault="007A628F" w:rsidP="00FF7EBB">
            <w:pPr>
              <w:jc w:val="both"/>
              <w:rPr>
                <w:b/>
                <w:sz w:val="24"/>
                <w:szCs w:val="24"/>
              </w:rPr>
            </w:pPr>
          </w:p>
        </w:tc>
      </w:tr>
    </w:tbl>
    <w:p w14:paraId="60437654" w14:textId="77777777" w:rsidR="00AA666E" w:rsidRDefault="00AA666E" w:rsidP="00FF7EBB">
      <w:pPr>
        <w:jc w:val="both"/>
        <w:rPr>
          <w:sz w:val="24"/>
          <w:szCs w:val="24"/>
        </w:rPr>
      </w:pPr>
    </w:p>
    <w:p w14:paraId="56AD71E2" w14:textId="77777777" w:rsidR="00077356" w:rsidRDefault="00077356"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6D0ADB2A" w14:textId="77777777" w:rsidR="00652C1F" w:rsidRDefault="00652C1F" w:rsidP="00FC0334">
            <w:pPr>
              <w:jc w:val="both"/>
              <w:rPr>
                <w:i/>
                <w:sz w:val="24"/>
                <w:szCs w:val="24"/>
              </w:rPr>
            </w:pPr>
          </w:p>
          <w:p w14:paraId="758A9D61" w14:textId="77777777" w:rsidR="00652C1F" w:rsidRDefault="00652C1F" w:rsidP="00652C1F">
            <w:pPr>
              <w:jc w:val="both"/>
              <w:rPr>
                <w:iCs/>
                <w:sz w:val="24"/>
                <w:szCs w:val="24"/>
              </w:rPr>
            </w:pPr>
            <w:r w:rsidRPr="00652C1F">
              <w:rPr>
                <w:iCs/>
                <w:sz w:val="24"/>
                <w:szCs w:val="24"/>
              </w:rPr>
              <w:t xml:space="preserve">The Social Services and Well-being (Wales) Act 2014 (SSWBA) is the primary legislative framework that governs the protection of adults who are at risk. The Act emphasises the principles of prevention, protection, and partnership (Care Council for Wales, 2017). The Act establishes adult safeguarding as equivalent to children's safeguarding, representing a significant advancement for adults at risk and young individuals transitioning to adult services (Douglas and Barlow, 2023). </w:t>
            </w:r>
          </w:p>
          <w:p w14:paraId="4095CE3D" w14:textId="77777777" w:rsidR="00652C1F" w:rsidRPr="00652C1F" w:rsidRDefault="00652C1F" w:rsidP="00652C1F">
            <w:pPr>
              <w:jc w:val="both"/>
              <w:rPr>
                <w:iCs/>
                <w:sz w:val="24"/>
                <w:szCs w:val="24"/>
              </w:rPr>
            </w:pPr>
          </w:p>
          <w:p w14:paraId="08294C69" w14:textId="77777777" w:rsidR="00171F6C" w:rsidRDefault="00652C1F" w:rsidP="00652C1F">
            <w:pPr>
              <w:jc w:val="both"/>
              <w:rPr>
                <w:iCs/>
                <w:sz w:val="24"/>
                <w:szCs w:val="24"/>
              </w:rPr>
            </w:pPr>
            <w:r w:rsidRPr="00652C1F">
              <w:rPr>
                <w:iCs/>
                <w:sz w:val="24"/>
                <w:szCs w:val="24"/>
              </w:rPr>
              <w:t xml:space="preserve">However, a key distinction between safeguarding adults and safeguarding children is the adult's right to self-determination. Adults possess the autonomy to make their own decisions regarding their response to the risk of abuse and may refuse intervention (Spreadbury and Hubbard, 2020). This depends on their capacity to make informed decisions. </w:t>
            </w:r>
          </w:p>
          <w:p w14:paraId="48BA8A91" w14:textId="77777777" w:rsidR="00171F6C" w:rsidRDefault="00171F6C" w:rsidP="00652C1F">
            <w:pPr>
              <w:jc w:val="both"/>
              <w:rPr>
                <w:iCs/>
                <w:sz w:val="24"/>
                <w:szCs w:val="24"/>
              </w:rPr>
            </w:pPr>
          </w:p>
          <w:p w14:paraId="61C49609" w14:textId="33651A9B" w:rsidR="00652C1F" w:rsidRDefault="00652C1F" w:rsidP="00652C1F">
            <w:pPr>
              <w:jc w:val="both"/>
              <w:rPr>
                <w:iCs/>
                <w:sz w:val="24"/>
                <w:szCs w:val="24"/>
              </w:rPr>
            </w:pPr>
            <w:r w:rsidRPr="00652C1F">
              <w:rPr>
                <w:iCs/>
                <w:sz w:val="24"/>
                <w:szCs w:val="24"/>
              </w:rPr>
              <w:lastRenderedPageBreak/>
              <w:t>Upon determining that an adult is at risk, the Local Authority must adhere to safeguarding procedures and investigate the alleged abuse in accordance with Section 126 of the SSWBA 2014. Simultaneously, the Local Authority must consider the adult's needs, wishes, and feelings, ensuring that the process is person-centred. It is critical for adults to feel empowered by actively participating in decisions that affect their safety and well-being, thereby promoting a sense of control over personalised interventions.</w:t>
            </w:r>
          </w:p>
          <w:p w14:paraId="2EB5FC54" w14:textId="77777777" w:rsidR="00652C1F" w:rsidRPr="00652C1F" w:rsidRDefault="00652C1F" w:rsidP="00652C1F">
            <w:pPr>
              <w:jc w:val="both"/>
              <w:rPr>
                <w:iCs/>
                <w:sz w:val="24"/>
                <w:szCs w:val="24"/>
              </w:rPr>
            </w:pPr>
          </w:p>
          <w:p w14:paraId="4DBCC497" w14:textId="184C42C3" w:rsidR="00652C1F" w:rsidRDefault="00652C1F" w:rsidP="00652C1F">
            <w:pPr>
              <w:jc w:val="both"/>
              <w:rPr>
                <w:iCs/>
                <w:sz w:val="24"/>
                <w:szCs w:val="24"/>
              </w:rPr>
            </w:pPr>
            <w:r w:rsidRPr="00652C1F">
              <w:rPr>
                <w:iCs/>
                <w:sz w:val="24"/>
                <w:szCs w:val="24"/>
              </w:rPr>
              <w:t xml:space="preserve">The Wales Safeguarding Procedures </w:t>
            </w:r>
            <w:r>
              <w:rPr>
                <w:iCs/>
                <w:sz w:val="24"/>
                <w:szCs w:val="24"/>
              </w:rPr>
              <w:t xml:space="preserve">2019 </w:t>
            </w:r>
            <w:r w:rsidRPr="00652C1F">
              <w:rPr>
                <w:iCs/>
                <w:sz w:val="24"/>
                <w:szCs w:val="24"/>
              </w:rPr>
              <w:t>identifies the following types of abuse: physical, sexual, psychological/emotional, financial, and neglect. The Procedures acknowledge that various forms of abuse may occur in different situations, including domestic abuse, modern slavery, and institutional abuse. ‘An adult at risk’ according to SSWBA 2014 is defined as an individual who:</w:t>
            </w:r>
          </w:p>
          <w:p w14:paraId="2F654EDA" w14:textId="77777777" w:rsidR="00652C1F" w:rsidRPr="00652C1F" w:rsidRDefault="00652C1F" w:rsidP="00652C1F">
            <w:pPr>
              <w:jc w:val="both"/>
              <w:rPr>
                <w:iCs/>
                <w:sz w:val="24"/>
                <w:szCs w:val="24"/>
              </w:rPr>
            </w:pPr>
          </w:p>
          <w:p w14:paraId="5DCEAF38" w14:textId="3E25B71E" w:rsidR="00652C1F" w:rsidRPr="00652C1F" w:rsidRDefault="00652C1F" w:rsidP="00652C1F">
            <w:pPr>
              <w:pStyle w:val="ParagraffRhestr"/>
              <w:numPr>
                <w:ilvl w:val="0"/>
                <w:numId w:val="55"/>
              </w:numPr>
              <w:spacing w:after="60"/>
              <w:ind w:left="601" w:hanging="340"/>
              <w:contextualSpacing w:val="0"/>
              <w:jc w:val="both"/>
              <w:rPr>
                <w:iCs/>
                <w:sz w:val="24"/>
                <w:szCs w:val="24"/>
              </w:rPr>
            </w:pPr>
            <w:r w:rsidRPr="00652C1F">
              <w:rPr>
                <w:iCs/>
                <w:sz w:val="24"/>
                <w:szCs w:val="24"/>
              </w:rPr>
              <w:t>is experiencing or is a risk of abuse and neglect.</w:t>
            </w:r>
          </w:p>
          <w:p w14:paraId="5D24D36E" w14:textId="5360030F" w:rsidR="00652C1F" w:rsidRPr="00652C1F" w:rsidRDefault="00652C1F" w:rsidP="00652C1F">
            <w:pPr>
              <w:pStyle w:val="ParagraffRhestr"/>
              <w:numPr>
                <w:ilvl w:val="0"/>
                <w:numId w:val="55"/>
              </w:numPr>
              <w:spacing w:after="60"/>
              <w:ind w:left="601" w:hanging="340"/>
              <w:contextualSpacing w:val="0"/>
              <w:jc w:val="both"/>
              <w:rPr>
                <w:iCs/>
                <w:sz w:val="24"/>
                <w:szCs w:val="24"/>
              </w:rPr>
            </w:pPr>
            <w:r w:rsidRPr="00652C1F">
              <w:rPr>
                <w:iCs/>
                <w:sz w:val="24"/>
                <w:szCs w:val="24"/>
              </w:rPr>
              <w:t>has needs for care and support (whether or not the authority is meeting any of those needs); and</w:t>
            </w:r>
          </w:p>
          <w:p w14:paraId="68D005DD" w14:textId="562E15AE" w:rsidR="00652C1F" w:rsidRDefault="00652C1F" w:rsidP="00652C1F">
            <w:pPr>
              <w:pStyle w:val="ParagraffRhestr"/>
              <w:numPr>
                <w:ilvl w:val="0"/>
                <w:numId w:val="55"/>
              </w:numPr>
              <w:spacing w:after="60"/>
              <w:ind w:left="601" w:hanging="340"/>
              <w:contextualSpacing w:val="0"/>
              <w:jc w:val="both"/>
              <w:rPr>
                <w:iCs/>
                <w:sz w:val="24"/>
                <w:szCs w:val="24"/>
              </w:rPr>
            </w:pPr>
            <w:r w:rsidRPr="00652C1F">
              <w:rPr>
                <w:iCs/>
                <w:sz w:val="24"/>
                <w:szCs w:val="24"/>
              </w:rPr>
              <w:t>as a result of those needs is unable to protect himself or herself against neglect and abuse</w:t>
            </w:r>
          </w:p>
          <w:p w14:paraId="7B1EA65F" w14:textId="77777777" w:rsidR="00652C1F" w:rsidRPr="00652C1F" w:rsidRDefault="00652C1F" w:rsidP="00652C1F">
            <w:pPr>
              <w:pStyle w:val="ParagraffRhestr"/>
              <w:ind w:left="599"/>
              <w:jc w:val="both"/>
              <w:rPr>
                <w:iCs/>
                <w:sz w:val="24"/>
                <w:szCs w:val="24"/>
              </w:rPr>
            </w:pPr>
          </w:p>
          <w:p w14:paraId="63E65642" w14:textId="77777777" w:rsidR="00171F6C" w:rsidRDefault="00652C1F" w:rsidP="00652C1F">
            <w:pPr>
              <w:jc w:val="both"/>
              <w:rPr>
                <w:iCs/>
                <w:sz w:val="24"/>
                <w:szCs w:val="24"/>
              </w:rPr>
            </w:pPr>
            <w:r w:rsidRPr="00652C1F">
              <w:rPr>
                <w:iCs/>
                <w:sz w:val="24"/>
                <w:szCs w:val="24"/>
              </w:rPr>
              <w:t xml:space="preserve">The Children Act 1989 provides a reactive framework to protect children </w:t>
            </w:r>
            <w:r>
              <w:rPr>
                <w:iCs/>
                <w:sz w:val="24"/>
                <w:szCs w:val="24"/>
              </w:rPr>
              <w:t>under the age of 18</w:t>
            </w:r>
            <w:r w:rsidR="00FD7B84">
              <w:rPr>
                <w:iCs/>
                <w:sz w:val="24"/>
                <w:szCs w:val="24"/>
              </w:rPr>
              <w:t xml:space="preserve"> who are </w:t>
            </w:r>
            <w:r w:rsidRPr="00652C1F">
              <w:rPr>
                <w:iCs/>
                <w:sz w:val="24"/>
                <w:szCs w:val="24"/>
              </w:rPr>
              <w:t xml:space="preserve">at risk of harm or abuse. When a parent or carer fails to meet a child's basic needs and lacks the ability to protect them from harm, the child is considered to be at risk for significant harm (Willow, 2025). </w:t>
            </w:r>
          </w:p>
          <w:p w14:paraId="7B66C07D" w14:textId="77777777" w:rsidR="00171F6C" w:rsidRDefault="00171F6C" w:rsidP="00652C1F">
            <w:pPr>
              <w:jc w:val="both"/>
              <w:rPr>
                <w:iCs/>
                <w:sz w:val="24"/>
                <w:szCs w:val="24"/>
              </w:rPr>
            </w:pPr>
          </w:p>
          <w:p w14:paraId="0F7DE680" w14:textId="1688064F" w:rsidR="00652C1F" w:rsidRPr="00652C1F" w:rsidRDefault="00652C1F" w:rsidP="00652C1F">
            <w:pPr>
              <w:jc w:val="both"/>
              <w:rPr>
                <w:iCs/>
                <w:sz w:val="24"/>
                <w:szCs w:val="24"/>
              </w:rPr>
            </w:pPr>
            <w:r w:rsidRPr="00652C1F">
              <w:rPr>
                <w:iCs/>
                <w:sz w:val="24"/>
                <w:szCs w:val="24"/>
              </w:rPr>
              <w:t>Under section 47 of the Children Act 1989, the Local Authority must intervene and determine what actions, if any, are necessary to protect the child. This typically entails the inclusion of the child's name on a child protection register. Under the Wales Safeguarding Procedures, social services, health, education, and the police work together to develop child protection plans and assess risk; however, the child's voice plays a central role within these plans. In some cases, interventions may involve removing children from their homes and placing them in foster care.</w:t>
            </w:r>
          </w:p>
          <w:p w14:paraId="4D30FBD6" w14:textId="77777777" w:rsidR="00652C1F" w:rsidRDefault="00652C1F" w:rsidP="00652C1F">
            <w:pPr>
              <w:jc w:val="both"/>
              <w:rPr>
                <w:iCs/>
                <w:sz w:val="24"/>
                <w:szCs w:val="24"/>
              </w:rPr>
            </w:pPr>
          </w:p>
          <w:p w14:paraId="503083F6" w14:textId="687D123D" w:rsidR="00652C1F" w:rsidRPr="00652C1F" w:rsidRDefault="00652C1F" w:rsidP="00652C1F">
            <w:pPr>
              <w:jc w:val="both"/>
              <w:rPr>
                <w:iCs/>
                <w:sz w:val="24"/>
                <w:szCs w:val="24"/>
              </w:rPr>
            </w:pPr>
            <w:r w:rsidRPr="00652C1F">
              <w:rPr>
                <w:iCs/>
                <w:sz w:val="24"/>
                <w:szCs w:val="24"/>
              </w:rPr>
              <w:t>43</w:t>
            </w:r>
            <w:r w:rsidR="00171F6C">
              <w:rPr>
                <w:iCs/>
                <w:sz w:val="24"/>
                <w:szCs w:val="24"/>
              </w:rPr>
              <w:t>8</w:t>
            </w:r>
            <w:r w:rsidRPr="00652C1F">
              <w:rPr>
                <w:iCs/>
                <w:sz w:val="24"/>
                <w:szCs w:val="24"/>
              </w:rPr>
              <w:t xml:space="preserve"> words.</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357D2"/>
    <w:multiLevelType w:val="hybridMultilevel"/>
    <w:tmpl w:val="651C5DA2"/>
    <w:lvl w:ilvl="0" w:tplc="97A4FEB8">
      <w:numFmt w:val="bullet"/>
      <w:lvlText w:val="•"/>
      <w:lvlJc w:val="left"/>
      <w:pPr>
        <w:ind w:left="1080" w:hanging="72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5C2574F"/>
    <w:multiLevelType w:val="hybridMultilevel"/>
    <w:tmpl w:val="5B846256"/>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9"/>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5"/>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50"/>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265701083">
    <w:abstractNumId w:val="48"/>
  </w:num>
  <w:num w:numId="55" w16cid:durableId="354813433">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6C59"/>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356"/>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1F6C"/>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05C8"/>
    <w:rsid w:val="002019EB"/>
    <w:rsid w:val="00204B58"/>
    <w:rsid w:val="00205051"/>
    <w:rsid w:val="00211F65"/>
    <w:rsid w:val="00214047"/>
    <w:rsid w:val="00216563"/>
    <w:rsid w:val="0021792F"/>
    <w:rsid w:val="00220D06"/>
    <w:rsid w:val="002246A0"/>
    <w:rsid w:val="00224AA5"/>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0F59"/>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1395"/>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2C1F"/>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2D7B"/>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226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0A32"/>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7B84"/>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paragraph" w:styleId="ParagraffRhestr">
    <w:name w:val="List Paragraph"/>
    <w:basedOn w:val="Normal"/>
    <w:uiPriority w:val="34"/>
    <w:qFormat/>
    <w:rsid w:val="00652C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1195</Words>
  <Characters>6818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Angharad Correia-Martins (PLANT)</cp:lastModifiedBy>
  <cp:revision>2</cp:revision>
  <cp:lastPrinted>2020-02-11T19:20:00Z</cp:lastPrinted>
  <dcterms:created xsi:type="dcterms:W3CDTF">2025-02-19T04:01:00Z</dcterms:created>
  <dcterms:modified xsi:type="dcterms:W3CDTF">2025-02-19T04:01:00Z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