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F5BCA" w14:textId="5CFF77E0" w:rsidR="00C036C0" w:rsidRPr="002D1ED0" w:rsidRDefault="005F7889" w:rsidP="006F6BA2">
      <w:pPr>
        <w:jc w:val="center"/>
        <w:rPr>
          <w:rFonts w:cs="Arial"/>
          <w:lang w:val="pt-PT"/>
        </w:rPr>
      </w:pPr>
      <w:r w:rsidRPr="005F126E">
        <w:rPr>
          <w:rFonts w:cs="Arial"/>
          <w:b/>
          <w:bCs/>
          <w:lang w:val="pt-PT"/>
        </w:rPr>
        <w:t xml:space="preserve">Student Name: </w:t>
      </w:r>
      <w:r w:rsidRPr="005F126E">
        <w:rPr>
          <w:rFonts w:cs="Arial"/>
          <w:lang w:val="pt-PT"/>
        </w:rPr>
        <w:t>Marisa de Jesus Ganco Penetra</w:t>
      </w:r>
    </w:p>
    <w:p w14:paraId="236A1824" w14:textId="136AA290" w:rsidR="005F7889" w:rsidRPr="005F126E" w:rsidRDefault="005F7889" w:rsidP="006F6BA2">
      <w:pPr>
        <w:jc w:val="center"/>
        <w:rPr>
          <w:rFonts w:cs="Arial"/>
          <w:b/>
          <w:bCs/>
          <w:lang w:val="en-GB"/>
        </w:rPr>
      </w:pPr>
      <w:r w:rsidRPr="002D1ED0">
        <w:rPr>
          <w:rFonts w:cs="Arial"/>
          <w:b/>
          <w:bCs/>
        </w:rPr>
        <w:t xml:space="preserve">Student Number: </w:t>
      </w:r>
      <w:r w:rsidRPr="002D1ED0">
        <w:rPr>
          <w:rFonts w:cs="Arial"/>
        </w:rPr>
        <w:t>2529448</w:t>
      </w:r>
    </w:p>
    <w:p w14:paraId="6D9FF836" w14:textId="77777777" w:rsidR="005F126E" w:rsidRDefault="005F7889" w:rsidP="006F6BA2">
      <w:pPr>
        <w:pStyle w:val="NormalWeb"/>
        <w:spacing w:before="0" w:beforeAutospacing="0" w:after="120" w:afterAutospacing="0" w:line="360" w:lineRule="auto"/>
        <w:jc w:val="center"/>
        <w:rPr>
          <w:rFonts w:ascii="Arial" w:eastAsia="+mn-ea" w:hAnsi="Arial" w:cs="Arial"/>
          <w:color w:val="FFFFFF"/>
          <w:spacing w:val="16"/>
          <w:kern w:val="24"/>
          <w:sz w:val="22"/>
          <w:szCs w:val="22"/>
        </w:rPr>
      </w:pPr>
      <w:r w:rsidRPr="002D1ED0">
        <w:rPr>
          <w:rFonts w:ascii="Arial" w:hAnsi="Arial" w:cs="Arial"/>
          <w:b/>
          <w:bCs/>
          <w:sz w:val="22"/>
          <w:szCs w:val="22"/>
        </w:rPr>
        <w:t xml:space="preserve">Code and Module Title: </w:t>
      </w:r>
      <w:r w:rsidR="00191C65" w:rsidRPr="002D1ED0">
        <w:rPr>
          <w:rFonts w:ascii="Arial" w:hAnsi="Arial" w:cs="Arial"/>
          <w:sz w:val="22"/>
          <w:szCs w:val="22"/>
        </w:rPr>
        <w:t>LCHS_BIRM Digital Skills and Research</w:t>
      </w:r>
      <w:r w:rsidR="005F126E">
        <w:rPr>
          <w:rFonts w:ascii="Arial" w:hAnsi="Arial" w:cs="Arial"/>
          <w:sz w:val="22"/>
          <w:szCs w:val="22"/>
        </w:rPr>
        <w:t xml:space="preserve"> Methods</w:t>
      </w:r>
      <w:r w:rsidR="00191C65" w:rsidRPr="002D1ED0">
        <w:rPr>
          <w:rFonts w:ascii="Arial" w:eastAsia="+mn-ea" w:hAnsi="Arial" w:cs="Arial"/>
          <w:color w:val="FFFFFF"/>
          <w:spacing w:val="16"/>
          <w:kern w:val="24"/>
          <w:sz w:val="22"/>
          <w:szCs w:val="22"/>
        </w:rPr>
        <w:t xml:space="preserve"> LLCH</w:t>
      </w:r>
    </w:p>
    <w:p w14:paraId="5E4B1D44" w14:textId="74AD587D" w:rsidR="005F7889" w:rsidRPr="005F126E" w:rsidRDefault="005F126E" w:rsidP="006F6BA2">
      <w:pPr>
        <w:pStyle w:val="NormalWeb"/>
        <w:spacing w:before="0" w:beforeAutospacing="0" w:after="120" w:afterAutospacing="0" w:line="360" w:lineRule="auto"/>
        <w:jc w:val="center"/>
        <w:rPr>
          <w:rFonts w:ascii="Arial" w:hAnsi="Arial" w:cs="Arial"/>
          <w:sz w:val="22"/>
          <w:szCs w:val="22"/>
        </w:rPr>
      </w:pPr>
      <w:r>
        <w:rPr>
          <w:rFonts w:ascii="Arial" w:hAnsi="Arial" w:cs="Arial"/>
          <w:b/>
          <w:bCs/>
          <w:sz w:val="22"/>
          <w:szCs w:val="22"/>
        </w:rPr>
        <w:t>Lecturer</w:t>
      </w:r>
      <w:r w:rsidR="005F7889" w:rsidRPr="002D1ED0">
        <w:rPr>
          <w:rFonts w:ascii="Arial" w:hAnsi="Arial" w:cs="Arial"/>
          <w:b/>
          <w:bCs/>
          <w:sz w:val="22"/>
          <w:szCs w:val="22"/>
        </w:rPr>
        <w:t xml:space="preserve">: </w:t>
      </w:r>
      <w:r w:rsidR="00191C65" w:rsidRPr="002D1ED0">
        <w:rPr>
          <w:rFonts w:ascii="Arial" w:hAnsi="Arial" w:cs="Arial"/>
          <w:sz w:val="22"/>
          <w:szCs w:val="22"/>
        </w:rPr>
        <w:t xml:space="preserve">DR. Justin </w:t>
      </w:r>
      <w:r w:rsidR="00191C65" w:rsidRPr="002D1ED0">
        <w:rPr>
          <w:rFonts w:ascii="Arial" w:hAnsi="Arial" w:cs="Arial"/>
          <w:color w:val="1D2125"/>
          <w:sz w:val="22"/>
          <w:szCs w:val="22"/>
          <w:shd w:val="clear" w:color="auto" w:fill="FFFFFF"/>
        </w:rPr>
        <w:t>Okoli</w:t>
      </w:r>
    </w:p>
    <w:p w14:paraId="376222E4" w14:textId="10A2D05F" w:rsidR="005F7889" w:rsidRPr="005F126E" w:rsidRDefault="005F126E" w:rsidP="006F6BA2">
      <w:pPr>
        <w:jc w:val="center"/>
        <w:rPr>
          <w:rFonts w:cs="Arial"/>
          <w:lang w:val="en-GB"/>
        </w:rPr>
      </w:pPr>
      <w:r>
        <w:rPr>
          <w:rFonts w:cs="Arial"/>
          <w:b/>
          <w:bCs/>
        </w:rPr>
        <w:t xml:space="preserve">       </w:t>
      </w:r>
      <w:r w:rsidR="00E74384" w:rsidRPr="002D1ED0">
        <w:rPr>
          <w:rFonts w:cs="Arial"/>
          <w:b/>
          <w:bCs/>
        </w:rPr>
        <w:t>Task Title:</w:t>
      </w:r>
      <w:r w:rsidR="001953DE">
        <w:rPr>
          <w:rFonts w:cs="Arial"/>
        </w:rPr>
        <w:t xml:space="preserve"> Research</w:t>
      </w:r>
      <w:r w:rsidR="00191C65" w:rsidRPr="002D1ED0">
        <w:rPr>
          <w:rFonts w:cs="Arial"/>
        </w:rPr>
        <w:t xml:space="preserve"> Report</w:t>
      </w:r>
    </w:p>
    <w:p w14:paraId="5729A4C4" w14:textId="403DA0D2" w:rsidR="005F7889" w:rsidRPr="00EB74F7" w:rsidRDefault="00EB74F7" w:rsidP="2F9DEB48">
      <w:pPr>
        <w:pStyle w:val="Heading1"/>
        <w:keepNext w:val="0"/>
        <w:keepLines w:val="0"/>
        <w:spacing w:before="0" w:after="240"/>
        <w:jc w:val="both"/>
        <w:rPr>
          <w:rFonts w:ascii="Arial" w:hAnsi="Arial" w:cs="Arial"/>
          <w:color w:val="auto"/>
          <w:sz w:val="22"/>
          <w:szCs w:val="22"/>
          <w:lang w:val="en-GB"/>
        </w:rPr>
      </w:pPr>
      <w:r w:rsidRPr="00EB74F7">
        <w:rPr>
          <w:color w:val="auto"/>
        </w:rPr>
        <w:t>The Impact of 10-Minute GP Consultations on Patient Experience in the UK</w:t>
      </w:r>
    </w:p>
    <w:p w14:paraId="3A2FD8BF" w14:textId="3F18F99D" w:rsidR="006F4DA6" w:rsidRPr="005F126E" w:rsidRDefault="2F9DEB48" w:rsidP="2F9DEB48">
      <w:pPr>
        <w:pStyle w:val="Heading1"/>
        <w:keepNext w:val="0"/>
        <w:keepLines w:val="0"/>
        <w:spacing w:before="0" w:after="240"/>
        <w:jc w:val="both"/>
        <w:rPr>
          <w:rFonts w:ascii="Arial" w:eastAsia="Arial" w:hAnsi="Arial" w:cs="Arial"/>
          <w:color w:val="auto"/>
          <w:sz w:val="22"/>
          <w:szCs w:val="22"/>
          <w:lang w:val="en-GB"/>
        </w:rPr>
      </w:pPr>
      <w:r w:rsidRPr="0071450D">
        <w:rPr>
          <w:rFonts w:ascii="Arial" w:hAnsi="Arial" w:cs="Arial"/>
          <w:color w:val="auto"/>
          <w:sz w:val="22"/>
          <w:szCs w:val="22"/>
        </w:rPr>
        <w:t>Introduction</w:t>
      </w:r>
    </w:p>
    <w:p w14:paraId="5A8DA0AD" w14:textId="53137CBA" w:rsidR="70232B27" w:rsidRPr="005F126E" w:rsidRDefault="2F9DEB48" w:rsidP="2F9DEB48">
      <w:pPr>
        <w:spacing w:after="240"/>
        <w:jc w:val="both"/>
        <w:rPr>
          <w:rFonts w:cs="Arial"/>
          <w:lang w:val="en-GB"/>
        </w:rPr>
      </w:pPr>
      <w:r w:rsidRPr="0071450D">
        <w:rPr>
          <w:rFonts w:cs="Arial"/>
        </w:rPr>
        <w:t>Primary care plays a key role in the UK healthcare system, with general practitioners (GPs) often being the first point of contact for patients seeking medical care in the National Health Service (NHS). However, a current problem is the limited duration of consultations with the family doctor, which is often around ten minutes, which can make it difficult to discuss multiple health problems. This topic is also related to my studies and my interest in working in the health field. This report analyses the impact of the duration of PM consultations, evaluating relevant sources and discussing appropriate research methodologies and data collection methods to study this problem.</w:t>
      </w:r>
    </w:p>
    <w:p w14:paraId="531FEBF7" w14:textId="4954C3B8" w:rsidR="70232B27" w:rsidRPr="005F126E" w:rsidRDefault="70232B27" w:rsidP="2F9DEB48">
      <w:pPr>
        <w:spacing w:after="240"/>
        <w:jc w:val="both"/>
        <w:rPr>
          <w:rFonts w:cs="Arial"/>
          <w:lang w:val="en-GB"/>
        </w:rPr>
      </w:pPr>
    </w:p>
    <w:p w14:paraId="7F60234D" w14:textId="09D5B138" w:rsidR="003D6E3A" w:rsidRPr="005F126E" w:rsidRDefault="003D6E3A" w:rsidP="2F9DEB48">
      <w:pPr>
        <w:spacing w:after="240"/>
        <w:jc w:val="both"/>
        <w:rPr>
          <w:rFonts w:cs="Arial"/>
          <w:b/>
          <w:bCs/>
          <w:kern w:val="36"/>
          <w:lang w:val="en-GB" w:eastAsia="en-GB"/>
        </w:rPr>
      </w:pPr>
      <w:r w:rsidRPr="0071450D">
        <w:rPr>
          <w:rFonts w:cs="Arial"/>
          <w:b/>
          <w:bCs/>
          <w:kern w:val="36"/>
          <w:lang w:eastAsia="en-GB"/>
        </w:rPr>
        <w:t>Task 1 – Selection of a research topic</w:t>
      </w:r>
    </w:p>
    <w:p w14:paraId="26373AE2" w14:textId="73063E31" w:rsidR="003D6E3A" w:rsidRPr="005F126E" w:rsidRDefault="2F9DEB48" w:rsidP="2F9DEB48">
      <w:pPr>
        <w:spacing w:after="240"/>
        <w:jc w:val="both"/>
        <w:rPr>
          <w:rFonts w:cs="Arial"/>
          <w:lang w:val="en-GB" w:eastAsia="en-GB"/>
        </w:rPr>
      </w:pPr>
      <w:r w:rsidRPr="0071450D">
        <w:rPr>
          <w:rFonts w:cs="Arial"/>
          <w:lang w:eastAsia="en-GB"/>
        </w:rPr>
        <w:t xml:space="preserve">The limited duration of consultations in General </w:t>
      </w:r>
      <w:r w:rsidR="003A4EE8">
        <w:rPr>
          <w:rFonts w:cs="Arial"/>
          <w:lang w:eastAsia="en-GB"/>
        </w:rPr>
        <w:t xml:space="preserve">Practitioners </w:t>
      </w:r>
      <w:r w:rsidRPr="0071450D">
        <w:rPr>
          <w:rFonts w:cs="Arial"/>
          <w:lang w:eastAsia="en-GB"/>
        </w:rPr>
        <w:t xml:space="preserve">services in the United Kingdom is currently one of the most current problems in the NHS. In many clinics, the standard length of a consultation is approximately ten minutes (Irving et al., 2017). My interest in this topic was also influenced by </w:t>
      </w:r>
      <w:r w:rsidR="00E57668" w:rsidRPr="0071450D">
        <w:rPr>
          <w:rFonts w:cs="Arial"/>
          <w:lang w:eastAsia="en-GB"/>
        </w:rPr>
        <w:t>personal</w:t>
      </w:r>
      <w:r w:rsidRPr="0071450D">
        <w:rPr>
          <w:rFonts w:cs="Arial"/>
          <w:lang w:eastAsia="en-GB"/>
        </w:rPr>
        <w:t xml:space="preserve"> experience during a consultation with my family doctor, which led me to reflect on the impact of limited consultation time on communication between doctors and patients. Evidence suggests that the quality of the physician-patient relationship, including continuity of care, can have a direct impact on health outcomes (Pereira Gray et al., 2018).</w:t>
      </w:r>
    </w:p>
    <w:p w14:paraId="2FDAB7F6" w14:textId="32128CE6" w:rsidR="003D6E3A" w:rsidRPr="005F126E" w:rsidRDefault="2F9DEB48" w:rsidP="2F9DEB48">
      <w:pPr>
        <w:spacing w:after="240"/>
        <w:jc w:val="both"/>
        <w:rPr>
          <w:rFonts w:cs="Arial"/>
          <w:lang w:val="en-GB" w:eastAsia="en-GB"/>
        </w:rPr>
      </w:pPr>
      <w:r w:rsidRPr="0071450D">
        <w:rPr>
          <w:rFonts w:cs="Arial"/>
          <w:lang w:eastAsia="en-GB"/>
        </w:rPr>
        <w:t xml:space="preserve">In recent years, the demand for primary care services has increased considerably. According to The King's Fund, the aging of the population and the increase in chronic diseases have contributed to a significant increase in the number of medical consultations </w:t>
      </w:r>
      <w:r w:rsidRPr="0071450D">
        <w:rPr>
          <w:rFonts w:cs="Arial"/>
          <w:lang w:eastAsia="en-GB"/>
        </w:rPr>
        <w:lastRenderedPageBreak/>
        <w:t>(</w:t>
      </w:r>
      <w:r w:rsidR="00E16660">
        <w:rPr>
          <w:rFonts w:cs="Arial"/>
          <w:lang w:eastAsia="en-GB"/>
        </w:rPr>
        <w:t>Brooks et al</w:t>
      </w:r>
      <w:r w:rsidR="00B05DA3">
        <w:rPr>
          <w:rFonts w:cs="Arial"/>
          <w:lang w:eastAsia="en-GB"/>
        </w:rPr>
        <w:t>., 2022</w:t>
      </w:r>
      <w:r w:rsidRPr="0071450D">
        <w:rPr>
          <w:rFonts w:cs="Arial"/>
          <w:lang w:eastAsia="en-GB"/>
        </w:rPr>
        <w:t>). As a result, many patients come to appointments with multiple symptoms or multiple health conditions that require detailed evaluation.</w:t>
      </w:r>
    </w:p>
    <w:p w14:paraId="6D7FC256" w14:textId="6DB70EC7" w:rsidR="003D6E3A" w:rsidRPr="005F126E" w:rsidRDefault="2F9DEB48" w:rsidP="2F9DEB48">
      <w:pPr>
        <w:spacing w:after="240"/>
        <w:jc w:val="both"/>
        <w:rPr>
          <w:rFonts w:cs="Arial"/>
          <w:lang w:val="en-GB" w:eastAsia="en-GB"/>
        </w:rPr>
      </w:pPr>
      <w:r w:rsidRPr="0071450D">
        <w:rPr>
          <w:rFonts w:cs="Arial"/>
          <w:lang w:eastAsia="en-GB"/>
        </w:rPr>
        <w:t xml:space="preserve">Short appointments can also affect health professionals. </w:t>
      </w:r>
      <w:r w:rsidRPr="0071450D">
        <w:rPr>
          <w:rFonts w:cs="Arial"/>
          <w:color w:val="000000" w:themeColor="text1"/>
        </w:rPr>
        <w:t>When doctors have little time to evaluate a patient, they are not always able to investigate all the symptoms or concerns mentioned.</w:t>
      </w:r>
      <w:r w:rsidRPr="0071450D">
        <w:rPr>
          <w:rFonts w:cs="Arial"/>
          <w:lang w:eastAsia="en-GB"/>
        </w:rPr>
        <w:t xml:space="preserve"> According to the British Medical Association, increased workload and limited consultation time are factors that contribute to stress and burnout among family doctors (BMA, 2022).</w:t>
      </w:r>
    </w:p>
    <w:p w14:paraId="3809E194" w14:textId="77777777" w:rsidR="00834B9E" w:rsidRPr="005F126E" w:rsidRDefault="2F9DEB48" w:rsidP="2F9DEB48">
      <w:pPr>
        <w:pStyle w:val="NormalWeb"/>
        <w:spacing w:before="0" w:beforeAutospacing="0" w:after="240" w:afterAutospacing="0" w:line="360" w:lineRule="auto"/>
        <w:jc w:val="both"/>
        <w:rPr>
          <w:rFonts w:ascii="Arial" w:eastAsia="Arial" w:hAnsi="Arial" w:cs="Arial"/>
          <w:sz w:val="22"/>
          <w:szCs w:val="22"/>
        </w:rPr>
      </w:pPr>
      <w:r w:rsidRPr="0071450D">
        <w:rPr>
          <w:rFonts w:ascii="Arial" w:eastAsia="Arial" w:hAnsi="Arial" w:cs="Arial"/>
          <w:sz w:val="22"/>
          <w:szCs w:val="22"/>
        </w:rPr>
        <w:t xml:space="preserve">The NHS itself recognises the importance of improving access to GP consultations. According to </w:t>
      </w:r>
      <w:r w:rsidRPr="0071450D">
        <w:rPr>
          <w:rStyle w:val="Strong"/>
          <w:rFonts w:ascii="Arial" w:eastAsia="Arial" w:hAnsi="Arial" w:cs="Arial"/>
          <w:b w:val="0"/>
          <w:bCs w:val="0"/>
          <w:sz w:val="22"/>
          <w:szCs w:val="22"/>
        </w:rPr>
        <w:t>NHS England</w:t>
      </w:r>
      <w:r w:rsidRPr="0071450D">
        <w:rPr>
          <w:rFonts w:ascii="Arial" w:eastAsia="Arial" w:hAnsi="Arial" w:cs="Arial"/>
          <w:sz w:val="22"/>
          <w:szCs w:val="22"/>
        </w:rPr>
        <w:t>, general medicine is considered the "gateway to the NHS" and plays a key role in providing health care to the population. Recent changes to the GP contract for 2026/27 include additional investment and new strategies to increase the capacity of services and improve patients' access to primary care (NHS England, 2026).</w:t>
      </w:r>
    </w:p>
    <w:p w14:paraId="6E1FC98C" w14:textId="77777777" w:rsidR="00834B9E" w:rsidRPr="005F126E" w:rsidRDefault="2F9DEB48" w:rsidP="2F9DEB48">
      <w:pPr>
        <w:pStyle w:val="NormalWeb"/>
        <w:spacing w:before="0" w:beforeAutospacing="0" w:after="240" w:afterAutospacing="0" w:line="360" w:lineRule="auto"/>
        <w:jc w:val="both"/>
        <w:rPr>
          <w:rFonts w:ascii="Arial" w:eastAsia="Arial" w:hAnsi="Arial" w:cs="Arial"/>
          <w:sz w:val="22"/>
          <w:szCs w:val="22"/>
        </w:rPr>
      </w:pPr>
      <w:r w:rsidRPr="0071450D">
        <w:rPr>
          <w:rFonts w:ascii="Arial" w:eastAsia="Arial" w:hAnsi="Arial" w:cs="Arial"/>
          <w:sz w:val="22"/>
          <w:szCs w:val="22"/>
        </w:rPr>
        <w:t>I chose this topic because it is a very relevant problem in the UK health system and affects many people in their daily lives. In addition, this topic is related to my studies in the field of health and social care. Better understanding the challenges related to access consultations with family doctors can help identify possible improvements in the organization and delivery of health services.</w:t>
      </w:r>
    </w:p>
    <w:p w14:paraId="1B1BF359" w14:textId="77777777" w:rsidR="00191C65" w:rsidRPr="005F126E" w:rsidRDefault="00191C65" w:rsidP="2F9DEB48">
      <w:pPr>
        <w:spacing w:after="240"/>
        <w:jc w:val="both"/>
        <w:outlineLvl w:val="0"/>
        <w:rPr>
          <w:rFonts w:cs="Arial"/>
          <w:b/>
          <w:bCs/>
          <w:kern w:val="36"/>
          <w:lang w:val="en-GB" w:eastAsia="en-GB"/>
        </w:rPr>
      </w:pPr>
    </w:p>
    <w:p w14:paraId="1A466553" w14:textId="1F550134" w:rsidR="004F7865" w:rsidRPr="005F126E" w:rsidRDefault="004F7865" w:rsidP="2F9DEB48">
      <w:pPr>
        <w:spacing w:after="240"/>
        <w:jc w:val="both"/>
        <w:outlineLvl w:val="0"/>
        <w:rPr>
          <w:rFonts w:cs="Arial"/>
          <w:b/>
          <w:bCs/>
          <w:kern w:val="36"/>
          <w:lang w:val="en-GB" w:eastAsia="en-GB"/>
        </w:rPr>
      </w:pPr>
      <w:r w:rsidRPr="0071450D">
        <w:rPr>
          <w:rFonts w:cs="Arial"/>
          <w:b/>
          <w:bCs/>
          <w:kern w:val="36"/>
          <w:lang w:eastAsia="en-GB"/>
        </w:rPr>
        <w:t>Task 2 – Evaluate sources of information</w:t>
      </w:r>
    </w:p>
    <w:p w14:paraId="19A9D17C" w14:textId="10C1E3B2" w:rsidR="004F7865" w:rsidRPr="005F126E" w:rsidRDefault="2F9DEB48" w:rsidP="2F9DEB48">
      <w:pPr>
        <w:spacing w:after="240"/>
        <w:jc w:val="both"/>
        <w:rPr>
          <w:rFonts w:cs="Arial"/>
          <w:lang w:val="en-GB" w:eastAsia="en-GB"/>
        </w:rPr>
      </w:pPr>
      <w:r w:rsidRPr="0071450D">
        <w:rPr>
          <w:rFonts w:cs="Arial"/>
          <w:lang w:eastAsia="en-GB"/>
        </w:rPr>
        <w:t>To better understand the impact of 10-minute consultations with GPs, I have reviewed several credible sources, but only three of these sources will be further evaluated, namely: a health policy report, a professional report, and a scientific paper.</w:t>
      </w:r>
    </w:p>
    <w:p w14:paraId="547D88D6" w14:textId="1A611322" w:rsidR="007C564A" w:rsidRPr="005F126E" w:rsidRDefault="2F9DEB48" w:rsidP="2F9DEB48">
      <w:pPr>
        <w:spacing w:after="240"/>
        <w:jc w:val="both"/>
        <w:rPr>
          <w:rFonts w:cs="Arial"/>
          <w:lang w:val="en-GB"/>
        </w:rPr>
      </w:pPr>
      <w:r w:rsidRPr="0071450D">
        <w:rPr>
          <w:rFonts w:cs="Arial"/>
        </w:rPr>
        <w:t xml:space="preserve">The first source </w:t>
      </w:r>
      <w:r w:rsidR="00AF09BE" w:rsidRPr="0071450D">
        <w:rPr>
          <w:rFonts w:cs="Arial"/>
        </w:rPr>
        <w:t>analyzed</w:t>
      </w:r>
      <w:r w:rsidRPr="0071450D">
        <w:rPr>
          <w:rFonts w:cs="Arial"/>
        </w:rPr>
        <w:t xml:space="preserve"> is The King's Fund report entitled </w:t>
      </w:r>
      <w:r w:rsidRPr="0071450D">
        <w:rPr>
          <w:rStyle w:val="Emphasis"/>
          <w:rFonts w:cs="Arial"/>
        </w:rPr>
        <w:t>How to make change happen in general practice</w:t>
      </w:r>
      <w:r w:rsidRPr="0071450D">
        <w:rPr>
          <w:rFonts w:cs="Arial"/>
        </w:rPr>
        <w:t xml:space="preserve"> (Brooks et al., 2022). This report analyses the challenges faced by general practitioner services and discusses </w:t>
      </w:r>
      <w:r w:rsidR="00A52688" w:rsidRPr="0071450D">
        <w:rPr>
          <w:rFonts w:cs="Arial"/>
        </w:rPr>
        <w:t>changes</w:t>
      </w:r>
      <w:r w:rsidRPr="0071450D">
        <w:rPr>
          <w:rFonts w:cs="Arial"/>
        </w:rPr>
        <w:t xml:space="preserve"> needed to improve the functioning of these services. The source points out that the demand for consultations with family doctors has increased significantly in recent years and that primary care services face increasing pressure to respond to the needs of patients. This source is useful for the present study because it provides a detailed analysis of the structural challenges faced by general medicine in the UK. In addition, it helps to explain why many patients have difficulties in </w:t>
      </w:r>
      <w:r w:rsidRPr="0071450D">
        <w:rPr>
          <w:rFonts w:cs="Arial"/>
        </w:rPr>
        <w:lastRenderedPageBreak/>
        <w:t xml:space="preserve">making appointments. </w:t>
      </w:r>
      <w:r w:rsidR="00B21E88" w:rsidRPr="00B21E88">
        <w:t>Access to primary care remains a significant challenge in the UK, with evidence demonstrating persistent difficulties in balancing service demand and capacity (Cowling et al., 2015)</w:t>
      </w:r>
      <w:r w:rsidRPr="0071450D">
        <w:rPr>
          <w:rFonts w:cs="Arial"/>
        </w:rPr>
        <w:t>.</w:t>
      </w:r>
    </w:p>
    <w:p w14:paraId="1AB52E68" w14:textId="2B3A6573" w:rsidR="00AB285A" w:rsidRPr="005F126E" w:rsidRDefault="2F9DEB48" w:rsidP="2F9DEB48">
      <w:pPr>
        <w:spacing w:after="240"/>
        <w:jc w:val="both"/>
        <w:rPr>
          <w:rFonts w:cs="Arial"/>
          <w:lang w:val="en-GB"/>
        </w:rPr>
      </w:pPr>
      <w:r w:rsidRPr="0071450D">
        <w:rPr>
          <w:rFonts w:cs="Arial"/>
        </w:rPr>
        <w:t xml:space="preserve">The second source </w:t>
      </w:r>
      <w:r w:rsidR="00C6152B" w:rsidRPr="0071450D">
        <w:rPr>
          <w:rFonts w:cs="Arial"/>
        </w:rPr>
        <w:t>analyzed</w:t>
      </w:r>
      <w:r w:rsidRPr="0071450D">
        <w:rPr>
          <w:rFonts w:cs="Arial"/>
        </w:rPr>
        <w:t xml:space="preserve"> is a report by the British Medical Association on the pressures faced by general practitioner services (British Medical Association, 2020). This report describes the increasing workload of family doctors and the difficulties associated with the growing demand for consultations. The source points out that many family doctors face significant pressure due to the high number of patients and the increasing complexity of clinical cases. This source is relevant to the theme of this work because it helps to understand how pressure on health professionals can influence access to consultations and their duration. By providing a perspective based on the experience of healthcare professionals, this source contributes to a better understanding of the challenges faced by the system. </w:t>
      </w:r>
    </w:p>
    <w:p w14:paraId="2BC49474" w14:textId="291BD155" w:rsidR="000147A7" w:rsidRPr="005F126E" w:rsidRDefault="2F9DEB48" w:rsidP="2F9DEB48">
      <w:pPr>
        <w:spacing w:after="240"/>
        <w:jc w:val="both"/>
        <w:outlineLvl w:val="0"/>
        <w:rPr>
          <w:rFonts w:cs="Arial"/>
          <w:lang w:val="en-GB" w:eastAsia="en-GB"/>
        </w:rPr>
      </w:pPr>
      <w:r w:rsidRPr="0071450D">
        <w:rPr>
          <w:rFonts w:cs="Arial"/>
        </w:rPr>
        <w:t xml:space="preserve">The third source </w:t>
      </w:r>
      <w:r w:rsidR="009F62C2" w:rsidRPr="0071450D">
        <w:rPr>
          <w:rFonts w:cs="Arial"/>
        </w:rPr>
        <w:t>analyzed</w:t>
      </w:r>
      <w:r w:rsidRPr="0071450D">
        <w:rPr>
          <w:rFonts w:cs="Arial"/>
        </w:rPr>
        <w:t xml:space="preserve"> is a study published in the British Journal of General Practice that looks at the duration of general practitioner consultations (Sampson et al., 2013). This study investigates how the time available during consultations can influence the interaction between doctors and patients. Research suggests that the length of appointments can affect the quality of communication and patients' ability to discuss their health concerns. This source is particularly useful for the present work because it directly addresses the issue of consultation time, which is one of the central aspects of the problem analysed in this report. </w:t>
      </w:r>
    </w:p>
    <w:p w14:paraId="55BE463E" w14:textId="040626BE" w:rsidR="053D7C99" w:rsidRPr="005F126E" w:rsidRDefault="2F9DEB48" w:rsidP="2F9DEB48">
      <w:pPr>
        <w:spacing w:after="240"/>
        <w:jc w:val="both"/>
        <w:rPr>
          <w:rFonts w:cs="Arial"/>
          <w:lang w:val="en-GB"/>
        </w:rPr>
      </w:pPr>
      <w:r w:rsidRPr="0071450D">
        <w:rPr>
          <w:rFonts w:cs="Arial"/>
        </w:rPr>
        <w:t xml:space="preserve">While these sources provide </w:t>
      </w:r>
      <w:r w:rsidR="00A52688" w:rsidRPr="0071450D">
        <w:rPr>
          <w:rFonts w:cs="Arial"/>
        </w:rPr>
        <w:t>valuable information</w:t>
      </w:r>
      <w:r w:rsidRPr="0071450D">
        <w:rPr>
          <w:rFonts w:cs="Arial"/>
        </w:rPr>
        <w:t xml:space="preserve"> about the challenges of general medicine, there are still gaps in current research. Many studies focus on pressures on health professionals and the organization of the system, while patients' experience of the duration of consultations is less explored. Therefore, more research is needed to better understand how short appointments can affect patients' well-being and communication between doctors and patients.</w:t>
      </w:r>
    </w:p>
    <w:p w14:paraId="023E38A7" w14:textId="61238C27" w:rsidR="00D9182C" w:rsidRPr="005F126E" w:rsidRDefault="00D9182C" w:rsidP="2F9DEB48">
      <w:pPr>
        <w:spacing w:after="240"/>
        <w:jc w:val="both"/>
        <w:outlineLvl w:val="0"/>
        <w:rPr>
          <w:rFonts w:cs="Arial"/>
          <w:b/>
          <w:bCs/>
          <w:kern w:val="36"/>
          <w:lang w:val="en-GB" w:eastAsia="en-GB"/>
        </w:rPr>
      </w:pPr>
      <w:r w:rsidRPr="0071450D">
        <w:rPr>
          <w:rFonts w:cs="Arial"/>
          <w:b/>
          <w:bCs/>
          <w:kern w:val="36"/>
          <w:lang w:eastAsia="en-GB"/>
        </w:rPr>
        <w:t>Task 3 – Research methodologies</w:t>
      </w:r>
    </w:p>
    <w:p w14:paraId="281017C4" w14:textId="77777777" w:rsidR="00D9182C" w:rsidRPr="005F126E" w:rsidRDefault="2F9DEB48" w:rsidP="2F9DEB48">
      <w:pPr>
        <w:spacing w:after="240"/>
        <w:jc w:val="both"/>
        <w:rPr>
          <w:rFonts w:cs="Arial"/>
          <w:lang w:val="en-GB" w:eastAsia="en-GB"/>
        </w:rPr>
      </w:pPr>
      <w:r w:rsidRPr="0071450D">
        <w:rPr>
          <w:rFonts w:cs="Arial"/>
          <w:lang w:eastAsia="en-GB"/>
        </w:rPr>
        <w:t>In health research, there are different methodologies that can be used to study a problem. The three main approaches are quantitative, qualitative and mixed-methods research.</w:t>
      </w:r>
    </w:p>
    <w:p w14:paraId="0C6C7D6B" w14:textId="0454A529" w:rsidR="00D9182C" w:rsidRPr="005F126E" w:rsidRDefault="2F9DEB48" w:rsidP="2F9DEB48">
      <w:pPr>
        <w:spacing w:after="240"/>
        <w:jc w:val="both"/>
        <w:rPr>
          <w:rFonts w:cs="Arial"/>
          <w:lang w:val="en-GB" w:eastAsia="en-GB"/>
        </w:rPr>
      </w:pPr>
      <w:r w:rsidRPr="0071450D">
        <w:rPr>
          <w:rFonts w:cs="Arial"/>
          <w:lang w:eastAsia="en-GB"/>
        </w:rPr>
        <w:lastRenderedPageBreak/>
        <w:t>Quantitative research involves the collection and analysis of numerical data, allowing the identification of patterns and relationships between variables (University of Southern California, 2022). This type of methodology can be used to analyze statistics on the average time of consultations or the number of patients seen daily. For example, a quantitative study could analyze data from thousands of doctor visits to identify patterns related to visit duration and clinical outcomes.</w:t>
      </w:r>
    </w:p>
    <w:p w14:paraId="391439BA" w14:textId="34D7C3F4" w:rsidR="00D9182C" w:rsidRDefault="2F9DEB48" w:rsidP="2F9DEB48">
      <w:pPr>
        <w:spacing w:after="240"/>
        <w:jc w:val="both"/>
        <w:rPr>
          <w:rFonts w:cs="Arial"/>
          <w:lang w:eastAsia="en-GB"/>
        </w:rPr>
      </w:pPr>
      <w:r w:rsidRPr="0071450D">
        <w:rPr>
          <w:rFonts w:cs="Arial"/>
          <w:lang w:eastAsia="en-GB"/>
        </w:rPr>
        <w:t>Qualitative research focuses on people's experiences and perceptions (Pathak et al., 2013). This type of research may include interviews or focus groups with patients and healthcare professionals. Qualitative research is particularly useful to understand how patients perceive the quality of consultations and whether they consider the time available to discuss their health problems.</w:t>
      </w:r>
    </w:p>
    <w:p w14:paraId="763D528A" w14:textId="7ABB151C" w:rsidR="00BE6A1B" w:rsidRPr="005F126E" w:rsidRDefault="00BE6A1B" w:rsidP="2F9DEB48">
      <w:pPr>
        <w:spacing w:after="240"/>
        <w:jc w:val="both"/>
        <w:rPr>
          <w:rFonts w:cs="Arial"/>
          <w:lang w:val="en-GB" w:eastAsia="en-GB"/>
        </w:rPr>
      </w:pPr>
      <w:r>
        <w:t xml:space="preserve">Mixed </w:t>
      </w:r>
      <w:r w:rsidR="00DB0D96">
        <w:t>methods of</w:t>
      </w:r>
      <w:r>
        <w:t xml:space="preserve"> research </w:t>
      </w:r>
      <w:r w:rsidR="00E57668">
        <w:t>combine</w:t>
      </w:r>
      <w:r>
        <w:t xml:space="preserve"> both quantitative and qualitative approaches to provide a more comprehensive understanding of a research problem, allowing for the integration of numerical data and </w:t>
      </w:r>
      <w:r w:rsidR="00A52688">
        <w:t>individual experiences</w:t>
      </w:r>
      <w:r>
        <w:t xml:space="preserve"> (Johnson et al., 2007; Campbell et al., 2018).</w:t>
      </w:r>
    </w:p>
    <w:p w14:paraId="63FE3A36" w14:textId="65C1870A" w:rsidR="52B4E7E1" w:rsidRPr="005F126E" w:rsidRDefault="2F9DEB48" w:rsidP="2F9DEB48">
      <w:pPr>
        <w:pStyle w:val="NormalWeb"/>
        <w:spacing w:before="0" w:beforeAutospacing="0" w:after="240" w:afterAutospacing="0" w:line="360" w:lineRule="auto"/>
        <w:jc w:val="both"/>
        <w:rPr>
          <w:rFonts w:ascii="Arial" w:eastAsia="Arial" w:hAnsi="Arial" w:cs="Arial"/>
          <w:sz w:val="22"/>
          <w:szCs w:val="22"/>
        </w:rPr>
      </w:pPr>
      <w:r w:rsidRPr="0071450D">
        <w:rPr>
          <w:rFonts w:ascii="Arial" w:eastAsia="Arial" w:hAnsi="Arial" w:cs="Arial"/>
          <w:sz w:val="22"/>
          <w:szCs w:val="22"/>
        </w:rPr>
        <w:t>For this research, the qualitative methodology would be the most appropriate, as it allows an in-depth exploration of patients' experiences and perceptions.  Through methods such as interviews or open questionnaires, it would be possible to better understand how patients feel about the duration of family consultations and whether they consider that they have enough time to discuss their health problems</w:t>
      </w:r>
    </w:p>
    <w:p w14:paraId="63E0C9B5" w14:textId="0CD1DCC4" w:rsidR="00991A9E" w:rsidRPr="005F126E" w:rsidRDefault="00991A9E" w:rsidP="2F9DEB48">
      <w:pPr>
        <w:spacing w:after="240"/>
        <w:jc w:val="both"/>
        <w:rPr>
          <w:rFonts w:cs="Arial"/>
          <w:b/>
          <w:bCs/>
          <w:kern w:val="36"/>
          <w:lang w:val="en-GB" w:eastAsia="en-GB"/>
        </w:rPr>
      </w:pPr>
      <w:r w:rsidRPr="0071450D">
        <w:rPr>
          <w:rFonts w:cs="Arial"/>
          <w:b/>
          <w:bCs/>
          <w:kern w:val="36"/>
          <w:lang w:eastAsia="en-GB"/>
        </w:rPr>
        <w:t>Task 4 – Data collection</w:t>
      </w:r>
    </w:p>
    <w:p w14:paraId="41A71299" w14:textId="464FF2B5" w:rsidR="00991A9E" w:rsidRPr="005F126E" w:rsidRDefault="2F9DEB48" w:rsidP="2F9DEB48">
      <w:pPr>
        <w:pStyle w:val="NormalWeb"/>
        <w:spacing w:before="0" w:beforeAutospacing="0" w:after="240" w:afterAutospacing="0" w:line="360" w:lineRule="auto"/>
        <w:jc w:val="both"/>
        <w:rPr>
          <w:rFonts w:ascii="Arial" w:eastAsia="Arial" w:hAnsi="Arial" w:cs="Arial"/>
          <w:sz w:val="22"/>
          <w:szCs w:val="22"/>
        </w:rPr>
      </w:pPr>
      <w:r w:rsidRPr="0071450D">
        <w:rPr>
          <w:rFonts w:ascii="Arial" w:eastAsia="Arial" w:hAnsi="Arial" w:cs="Arial"/>
          <w:sz w:val="22"/>
          <w:szCs w:val="22"/>
        </w:rPr>
        <w:t>In scientific research there are two main types of data collection: primary data and secondary data. The appropriate choice of data collection methods is also essential to ensure the quality</w:t>
      </w:r>
      <w:r w:rsidR="00A62F94">
        <w:rPr>
          <w:rFonts w:ascii="Arial" w:eastAsia="Arial" w:hAnsi="Arial" w:cs="Arial"/>
          <w:sz w:val="22"/>
          <w:szCs w:val="22"/>
        </w:rPr>
        <w:t>, reliability</w:t>
      </w:r>
      <w:r w:rsidRPr="0071450D">
        <w:rPr>
          <w:rFonts w:ascii="Arial" w:eastAsia="Arial" w:hAnsi="Arial" w:cs="Arial"/>
          <w:sz w:val="22"/>
          <w:szCs w:val="22"/>
        </w:rPr>
        <w:t xml:space="preserve"> and validity of health research (Office for Health Improvement and Disparities, 2018)</w:t>
      </w:r>
    </w:p>
    <w:p w14:paraId="41815C5C" w14:textId="72D3A634" w:rsidR="00991A9E" w:rsidRPr="005F126E" w:rsidRDefault="00E57668" w:rsidP="2F9DEB48">
      <w:pPr>
        <w:spacing w:after="240"/>
        <w:jc w:val="both"/>
        <w:rPr>
          <w:rFonts w:cs="Arial"/>
          <w:lang w:val="en-GB" w:eastAsia="en-GB"/>
        </w:rPr>
      </w:pPr>
      <w:r w:rsidRPr="0071450D">
        <w:rPr>
          <w:rFonts w:cs="Arial"/>
          <w:lang w:eastAsia="en-GB"/>
        </w:rPr>
        <w:t>The researcher collects primary data directly</w:t>
      </w:r>
      <w:r w:rsidR="2F9DEB48" w:rsidRPr="0071450D">
        <w:rPr>
          <w:rFonts w:cs="Arial"/>
          <w:lang w:eastAsia="en-GB"/>
        </w:rPr>
        <w:t xml:space="preserve"> to answer a specific research question</w:t>
      </w:r>
      <w:r w:rsidR="00A22D4A">
        <w:rPr>
          <w:rFonts w:cs="Arial"/>
          <w:lang w:eastAsia="en-GB"/>
        </w:rPr>
        <w:t>, allowing for a more tailored and in-depth investigation</w:t>
      </w:r>
      <w:r w:rsidR="2F9DEB48" w:rsidRPr="0071450D">
        <w:rPr>
          <w:rFonts w:cs="Arial"/>
          <w:lang w:eastAsia="en-GB"/>
        </w:rPr>
        <w:t xml:space="preserve"> (Heaton, 2008; Johnston, 2017). Examples include questionnaires, interviews, or observations made with participants. In a study of consultations with family doctors, primary data could be collected through questionnaires applied to patients to assess whether they consider the consultation time </w:t>
      </w:r>
      <w:r w:rsidR="2F9DEB48" w:rsidRPr="0071450D">
        <w:rPr>
          <w:rFonts w:cs="Arial"/>
          <w:lang w:eastAsia="en-GB"/>
        </w:rPr>
        <w:lastRenderedPageBreak/>
        <w:t>sufficient to discuss their health problems, but this would require more time and resources to be collected.</w:t>
      </w:r>
    </w:p>
    <w:p w14:paraId="1AC11B07" w14:textId="15DE0E75" w:rsidR="00991A9E" w:rsidRPr="005F126E" w:rsidRDefault="00220EA4" w:rsidP="2F9DEB48">
      <w:pPr>
        <w:spacing w:after="240"/>
        <w:jc w:val="both"/>
        <w:rPr>
          <w:rFonts w:cs="Arial"/>
          <w:lang w:val="en-GB" w:eastAsia="en-GB"/>
        </w:rPr>
      </w:pPr>
      <w:r>
        <w:t xml:space="preserve">Secondary data </w:t>
      </w:r>
      <w:r w:rsidR="009F39B2">
        <w:t>refers</w:t>
      </w:r>
      <w:r>
        <w:t xml:space="preserve"> to information that has already been collected by other researchers or organizations and can be reused for new research purposes</w:t>
      </w:r>
      <w:r w:rsidR="00991A9E" w:rsidRPr="0071450D">
        <w:rPr>
          <w:rFonts w:cs="Arial"/>
          <w:lang w:eastAsia="en-GB"/>
        </w:rPr>
        <w:t xml:space="preserve"> (Heaton, 2008; Johnston, 2017)</w:t>
      </w:r>
      <w:r w:rsidR="00A52688" w:rsidRPr="0071450D">
        <w:rPr>
          <w:rFonts w:cs="Arial"/>
          <w:lang w:eastAsia="en-GB"/>
        </w:rPr>
        <w:t xml:space="preserve">. </w:t>
      </w:r>
      <w:r w:rsidR="00991A9E" w:rsidRPr="0071450D">
        <w:rPr>
          <w:rFonts w:cs="Arial"/>
          <w:lang w:eastAsia="en-GB"/>
        </w:rPr>
        <w:t xml:space="preserve">These may include academic articles, institutional reports, or official statistics published by health organizations. </w:t>
      </w:r>
      <w:r w:rsidR="00B54454" w:rsidRPr="0071450D">
        <w:rPr>
          <w:rFonts w:cs="Arial"/>
          <w:kern w:val="2"/>
          <w:lang w:eastAsia="en-GB"/>
          <w14:ligatures w14:val="standardContextual"/>
        </w:rPr>
        <w:t xml:space="preserve">One of the advantages of secondary data is that it is </w:t>
      </w:r>
      <w:r w:rsidR="00A52688" w:rsidRPr="0071450D">
        <w:rPr>
          <w:rFonts w:cs="Arial"/>
          <w:kern w:val="2"/>
          <w:lang w:eastAsia="en-GB"/>
          <w14:ligatures w14:val="standardContextual"/>
        </w:rPr>
        <w:t>easy</w:t>
      </w:r>
      <w:r w:rsidR="00B54454" w:rsidRPr="0071450D">
        <w:rPr>
          <w:rFonts w:cs="Arial"/>
          <w:kern w:val="2"/>
          <w:lang w:eastAsia="en-GB"/>
          <w14:ligatures w14:val="standardContextual"/>
        </w:rPr>
        <w:t xml:space="preserve"> to obtain and allows you to analyze </w:t>
      </w:r>
      <w:r w:rsidR="00A52688" w:rsidRPr="0071450D">
        <w:rPr>
          <w:rFonts w:cs="Arial"/>
          <w:kern w:val="2"/>
          <w:lang w:eastAsia="en-GB"/>
          <w14:ligatures w14:val="standardContextual"/>
        </w:rPr>
        <w:t>substantial amounts</w:t>
      </w:r>
      <w:r w:rsidR="00B54454" w:rsidRPr="0071450D">
        <w:rPr>
          <w:rFonts w:cs="Arial"/>
          <w:kern w:val="2"/>
          <w:lang w:eastAsia="en-GB"/>
          <w14:ligatures w14:val="standardContextual"/>
        </w:rPr>
        <w:t xml:space="preserve"> of information. However, one limitation is that </w:t>
      </w:r>
      <w:r w:rsidR="009F39B2" w:rsidRPr="0071450D">
        <w:rPr>
          <w:rFonts w:cs="Arial"/>
          <w:kern w:val="2"/>
          <w:lang w:eastAsia="en-GB"/>
          <w14:ligatures w14:val="standardContextual"/>
        </w:rPr>
        <w:t>this</w:t>
      </w:r>
      <w:r w:rsidR="00B54454" w:rsidRPr="0071450D">
        <w:rPr>
          <w:rFonts w:cs="Arial"/>
          <w:kern w:val="2"/>
          <w:lang w:eastAsia="en-GB"/>
          <w14:ligatures w14:val="standardContextual"/>
        </w:rPr>
        <w:t xml:space="preserve"> data may not exactly answer the specific questions of the investigation.</w:t>
      </w:r>
    </w:p>
    <w:p w14:paraId="078F3C25" w14:textId="1A0C0839" w:rsidR="70232B27" w:rsidRPr="005F126E" w:rsidRDefault="2F9DEB48" w:rsidP="2F9DEB48">
      <w:pPr>
        <w:spacing w:after="240"/>
        <w:jc w:val="both"/>
        <w:rPr>
          <w:rFonts w:cs="Arial"/>
          <w:lang w:val="en-GB"/>
        </w:rPr>
      </w:pPr>
      <w:r w:rsidRPr="0071450D">
        <w:rPr>
          <w:rFonts w:cs="Arial"/>
        </w:rPr>
        <w:t>The collection of primary data would be particularly useful in this context, as it would allow information to be obtained directly from patients about their experiences during consultations. While secondary data can provide an overview of healthcare system trends, primary data allows for a more detailed understanding of patient experiences. For this reason, the combination of a qualitative methodology with the collection of primary data would be the most appropriate approach to study this topic.</w:t>
      </w:r>
    </w:p>
    <w:p w14:paraId="68F968D5" w14:textId="38BF0FEC" w:rsidR="70232B27" w:rsidRPr="005F126E" w:rsidRDefault="70232B27" w:rsidP="2F9DEB48">
      <w:pPr>
        <w:spacing w:after="240"/>
        <w:jc w:val="both"/>
        <w:rPr>
          <w:rFonts w:cs="Arial"/>
          <w:lang w:val="en-GB" w:eastAsia="en-GB"/>
        </w:rPr>
      </w:pPr>
    </w:p>
    <w:p w14:paraId="64837E00" w14:textId="77777777" w:rsidR="00991A9E" w:rsidRPr="005F126E" w:rsidRDefault="00991A9E" w:rsidP="2F9DEB48">
      <w:pPr>
        <w:spacing w:after="240"/>
        <w:jc w:val="both"/>
        <w:outlineLvl w:val="0"/>
        <w:rPr>
          <w:rFonts w:cs="Arial"/>
          <w:b/>
          <w:bCs/>
          <w:kern w:val="36"/>
          <w:lang w:val="en-GB" w:eastAsia="en-GB"/>
        </w:rPr>
      </w:pPr>
      <w:r w:rsidRPr="0071450D">
        <w:rPr>
          <w:rFonts w:cs="Arial"/>
          <w:b/>
          <w:bCs/>
          <w:kern w:val="36"/>
          <w:lang w:eastAsia="en-GB"/>
        </w:rPr>
        <w:t>Conclusion</w:t>
      </w:r>
    </w:p>
    <w:p w14:paraId="40249B70" w14:textId="65F29DD0" w:rsidR="00FF36F0" w:rsidRPr="005F126E" w:rsidRDefault="2F9DEB48" w:rsidP="2F9DEB48">
      <w:pPr>
        <w:spacing w:after="240"/>
        <w:jc w:val="both"/>
        <w:rPr>
          <w:rFonts w:cs="Arial"/>
          <w:lang w:val="en-GB"/>
        </w:rPr>
      </w:pPr>
      <w:r w:rsidRPr="0071450D">
        <w:rPr>
          <w:rFonts w:cs="Arial"/>
        </w:rPr>
        <w:t>In conclusion, 10-minute consultations in GP services pose a significant challenge to the UK healthcare system. The increased demand for primary care, coupled with the increasing complexity of the population's health needs, means that the limited time of consultations can affect the quality of care and patient safety. Source analysis shows that health policy organizations, professional associations, and academic studies recognize the limitations of this model. However, despite the amount of research already conducted on this topic, there are still important gaps in current knowledge. More research is needed to better understand the experiences of patients and health professionals and to develop effective strategies that can improve access to consultations and the quality of care provided in the health system.</w:t>
      </w:r>
    </w:p>
    <w:p w14:paraId="2C3CF561" w14:textId="77777777" w:rsidR="001A6C23" w:rsidRPr="005F126E" w:rsidRDefault="001A6C23" w:rsidP="002E158A">
      <w:pPr>
        <w:spacing w:after="0"/>
        <w:jc w:val="both"/>
        <w:textAlignment w:val="baseline"/>
        <w:rPr>
          <w:rFonts w:cs="Arial"/>
          <w:lang w:val="en-GB"/>
        </w:rPr>
      </w:pPr>
    </w:p>
    <w:p w14:paraId="26B7E25F" w14:textId="77777777" w:rsidR="00064F62" w:rsidRPr="005F126E" w:rsidRDefault="00064F62" w:rsidP="002E158A">
      <w:pPr>
        <w:spacing w:after="0"/>
        <w:jc w:val="both"/>
        <w:textAlignment w:val="baseline"/>
        <w:rPr>
          <w:rStyle w:val="normaltextrun"/>
          <w:b/>
          <w:bCs/>
          <w:szCs w:val="36"/>
          <w:lang w:val="en-GB"/>
        </w:rPr>
      </w:pPr>
    </w:p>
    <w:p w14:paraId="3EE2E4B4" w14:textId="77777777" w:rsidR="00064F62" w:rsidRPr="005F126E" w:rsidRDefault="00064F62" w:rsidP="002E158A">
      <w:pPr>
        <w:spacing w:after="0"/>
        <w:jc w:val="both"/>
        <w:textAlignment w:val="baseline"/>
        <w:rPr>
          <w:rStyle w:val="normaltextrun"/>
          <w:b/>
          <w:bCs/>
          <w:szCs w:val="36"/>
          <w:lang w:val="en-GB"/>
        </w:rPr>
      </w:pPr>
    </w:p>
    <w:p w14:paraId="61CE034B" w14:textId="77777777" w:rsidR="00064F62" w:rsidRPr="005F126E" w:rsidRDefault="00064F62" w:rsidP="002E158A">
      <w:pPr>
        <w:spacing w:after="0"/>
        <w:jc w:val="both"/>
        <w:textAlignment w:val="baseline"/>
        <w:rPr>
          <w:rStyle w:val="normaltextrun"/>
          <w:b/>
          <w:bCs/>
          <w:szCs w:val="36"/>
          <w:lang w:val="en-GB"/>
        </w:rPr>
      </w:pPr>
    </w:p>
    <w:p w14:paraId="2654521D" w14:textId="77777777" w:rsidR="00064F62" w:rsidRPr="005F126E" w:rsidRDefault="00064F62" w:rsidP="002E158A">
      <w:pPr>
        <w:spacing w:after="0"/>
        <w:jc w:val="both"/>
        <w:textAlignment w:val="baseline"/>
        <w:rPr>
          <w:rStyle w:val="normaltextrun"/>
          <w:b/>
          <w:bCs/>
          <w:szCs w:val="36"/>
          <w:lang w:val="en-GB"/>
        </w:rPr>
      </w:pPr>
    </w:p>
    <w:p w14:paraId="02CA1478" w14:textId="77777777" w:rsidR="00064F62" w:rsidRPr="005F126E" w:rsidRDefault="00064F62" w:rsidP="002E158A">
      <w:pPr>
        <w:spacing w:after="0"/>
        <w:jc w:val="both"/>
        <w:textAlignment w:val="baseline"/>
        <w:rPr>
          <w:rStyle w:val="normaltextrun"/>
          <w:b/>
          <w:bCs/>
          <w:szCs w:val="36"/>
          <w:lang w:val="en-GB"/>
        </w:rPr>
      </w:pPr>
    </w:p>
    <w:p w14:paraId="7DBDED5F" w14:textId="77777777" w:rsidR="003466D2" w:rsidRDefault="16E04463" w:rsidP="001B791B">
      <w:pPr>
        <w:spacing w:after="0"/>
        <w:jc w:val="both"/>
        <w:textAlignment w:val="baseline"/>
        <w:rPr>
          <w:rStyle w:val="normaltextrun"/>
          <w:b/>
          <w:bCs/>
          <w:szCs w:val="36"/>
        </w:rPr>
      </w:pPr>
      <w:r w:rsidRPr="0071450D">
        <w:rPr>
          <w:rStyle w:val="normaltextrun"/>
          <w:b/>
          <w:bCs/>
          <w:szCs w:val="36"/>
        </w:rPr>
        <w:t>List of references</w:t>
      </w:r>
    </w:p>
    <w:p w14:paraId="05D97659" w14:textId="1DB26A4B"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Campbell, M. et al. (2018) </w:t>
      </w:r>
      <w:r w:rsidRPr="003466D2">
        <w:rPr>
          <w:rFonts w:ascii="Times New Roman" w:eastAsia="Times New Roman" w:hAnsi="Times New Roman" w:cs="Times New Roman"/>
          <w:i/>
          <w:iCs/>
          <w:sz w:val="24"/>
          <w:szCs w:val="24"/>
          <w:lang w:val="en-GB" w:eastAsia="en-GB"/>
        </w:rPr>
        <w:t>Improving conduct and reporting of narrative synthesis of quantitative data (ICONS-Quant): protocol for a mixed methods study to develop a reporting guideline</w:t>
      </w:r>
      <w:r w:rsidRPr="003466D2">
        <w:rPr>
          <w:rFonts w:ascii="Times New Roman" w:eastAsia="Times New Roman" w:hAnsi="Times New Roman" w:cs="Times New Roman"/>
          <w:sz w:val="24"/>
          <w:szCs w:val="24"/>
          <w:lang w:val="en-GB" w:eastAsia="en-GB"/>
        </w:rPr>
        <w:t xml:space="preserve">. BMJ Open, 8(2), p. e020064. Available at: </w:t>
      </w:r>
      <w:hyperlink r:id="rId8" w:tgtFrame="_new" w:history="1">
        <w:r w:rsidRPr="003466D2">
          <w:rPr>
            <w:rFonts w:ascii="Times New Roman" w:eastAsia="Times New Roman" w:hAnsi="Times New Roman" w:cs="Times New Roman"/>
            <w:color w:val="0000FF"/>
            <w:sz w:val="24"/>
            <w:szCs w:val="24"/>
            <w:u w:val="single"/>
            <w:lang w:val="en-GB" w:eastAsia="en-GB"/>
          </w:rPr>
          <w:t>https://doi.org/10.1136/bmjopen-2017-020064</w:t>
        </w:r>
      </w:hyperlink>
      <w:r w:rsidR="00917C38">
        <w:t xml:space="preserve"> (Accessed: 20 March 2026)</w:t>
      </w:r>
    </w:p>
    <w:p w14:paraId="029DDA53" w14:textId="2DC40BFF"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Cowling, T.E. et al. (2015) </w:t>
      </w:r>
      <w:r w:rsidRPr="003466D2">
        <w:rPr>
          <w:rFonts w:ascii="Times New Roman" w:eastAsia="Times New Roman" w:hAnsi="Times New Roman" w:cs="Times New Roman"/>
          <w:i/>
          <w:iCs/>
          <w:sz w:val="24"/>
          <w:szCs w:val="24"/>
          <w:lang w:val="en-GB" w:eastAsia="en-GB"/>
        </w:rPr>
        <w:t>Evidence and rhetoric about access to UK primary care</w:t>
      </w:r>
      <w:r w:rsidRPr="003466D2">
        <w:rPr>
          <w:rFonts w:ascii="Times New Roman" w:eastAsia="Times New Roman" w:hAnsi="Times New Roman" w:cs="Times New Roman"/>
          <w:sz w:val="24"/>
          <w:szCs w:val="24"/>
          <w:lang w:val="en-GB" w:eastAsia="en-GB"/>
        </w:rPr>
        <w:t xml:space="preserve">. BMJ, 350, p. h1513. Available at: </w:t>
      </w:r>
      <w:hyperlink r:id="rId9" w:tgtFrame="_new" w:history="1">
        <w:r w:rsidRPr="003466D2">
          <w:rPr>
            <w:rFonts w:ascii="Times New Roman" w:eastAsia="Times New Roman" w:hAnsi="Times New Roman" w:cs="Times New Roman"/>
            <w:color w:val="0000FF"/>
            <w:sz w:val="24"/>
            <w:szCs w:val="24"/>
            <w:u w:val="single"/>
            <w:lang w:val="en-GB" w:eastAsia="en-GB"/>
          </w:rPr>
          <w:t>https://doi.org/10.1136/bmj.h1513</w:t>
        </w:r>
      </w:hyperlink>
      <w:r w:rsidR="00917C38">
        <w:t xml:space="preserve"> (Accessed: 20 March 2026)</w:t>
      </w:r>
    </w:p>
    <w:p w14:paraId="7CCD5925" w14:textId="1FE8274D"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Dyson, M. (2020) </w:t>
      </w:r>
      <w:r w:rsidRPr="003466D2">
        <w:rPr>
          <w:rFonts w:ascii="Times New Roman" w:eastAsia="Times New Roman" w:hAnsi="Times New Roman" w:cs="Times New Roman"/>
          <w:i/>
          <w:iCs/>
          <w:sz w:val="24"/>
          <w:szCs w:val="24"/>
          <w:lang w:val="en-GB" w:eastAsia="en-GB"/>
        </w:rPr>
        <w:t>Pressures in general practice</w:t>
      </w:r>
      <w:r w:rsidRPr="003466D2">
        <w:rPr>
          <w:rFonts w:ascii="Times New Roman" w:eastAsia="Times New Roman" w:hAnsi="Times New Roman" w:cs="Times New Roman"/>
          <w:sz w:val="24"/>
          <w:szCs w:val="24"/>
          <w:lang w:val="en-GB" w:eastAsia="en-GB"/>
        </w:rPr>
        <w:t xml:space="preserve">. British Medical Association. Available at: </w:t>
      </w:r>
      <w:hyperlink r:id="rId10" w:tgtFrame="_new" w:history="1">
        <w:r w:rsidRPr="003466D2">
          <w:rPr>
            <w:rFonts w:ascii="Times New Roman" w:eastAsia="Times New Roman" w:hAnsi="Times New Roman" w:cs="Times New Roman"/>
            <w:color w:val="0000FF"/>
            <w:sz w:val="24"/>
            <w:szCs w:val="24"/>
            <w:u w:val="single"/>
            <w:lang w:val="en-GB" w:eastAsia="en-GB"/>
          </w:rPr>
          <w:t>https://www.bma.org.uk/advice-and-support/nhs-delivery-and-workforce/pressures/pressures-in-general-practice</w:t>
        </w:r>
      </w:hyperlink>
      <w:r w:rsidR="00917C38">
        <w:t xml:space="preserve"> (Accessed: 21 March 2026)</w:t>
      </w:r>
    </w:p>
    <w:p w14:paraId="6CE1ED15" w14:textId="3B0E034C"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NHS England (2026) </w:t>
      </w:r>
      <w:r w:rsidRPr="003466D2">
        <w:rPr>
          <w:rFonts w:ascii="Times New Roman" w:eastAsia="Times New Roman" w:hAnsi="Times New Roman" w:cs="Times New Roman"/>
          <w:i/>
          <w:iCs/>
          <w:sz w:val="24"/>
          <w:szCs w:val="24"/>
          <w:lang w:val="en-GB" w:eastAsia="en-GB"/>
        </w:rPr>
        <w:t>Changes to the GP contract in 2026/27</w:t>
      </w:r>
      <w:r w:rsidRPr="003466D2">
        <w:rPr>
          <w:rFonts w:ascii="Times New Roman" w:eastAsia="Times New Roman" w:hAnsi="Times New Roman" w:cs="Times New Roman"/>
          <w:sz w:val="24"/>
          <w:szCs w:val="24"/>
          <w:lang w:val="en-GB" w:eastAsia="en-GB"/>
        </w:rPr>
        <w:t xml:space="preserve">. Available at: </w:t>
      </w:r>
      <w:hyperlink r:id="rId11" w:tgtFrame="_new" w:history="1">
        <w:r w:rsidRPr="003466D2">
          <w:rPr>
            <w:rFonts w:ascii="Times New Roman" w:eastAsia="Times New Roman" w:hAnsi="Times New Roman" w:cs="Times New Roman"/>
            <w:color w:val="0000FF"/>
            <w:sz w:val="24"/>
            <w:szCs w:val="24"/>
            <w:u w:val="single"/>
            <w:lang w:val="en-GB" w:eastAsia="en-GB"/>
          </w:rPr>
          <w:t>https://www.england.nhs.uk/long-read/changes-to-the-gp-contract-in-2026-27/</w:t>
        </w:r>
      </w:hyperlink>
      <w:r w:rsidR="00917C38">
        <w:t xml:space="preserve"> (Accessed: 19 March 2026)</w:t>
      </w:r>
    </w:p>
    <w:p w14:paraId="32512D26" w14:textId="371C3C0B"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Heaton, J. (2008) </w:t>
      </w:r>
      <w:r w:rsidRPr="003466D2">
        <w:rPr>
          <w:rFonts w:ascii="Times New Roman" w:eastAsia="Times New Roman" w:hAnsi="Times New Roman" w:cs="Times New Roman"/>
          <w:i/>
          <w:iCs/>
          <w:sz w:val="24"/>
          <w:szCs w:val="24"/>
          <w:lang w:val="en-GB" w:eastAsia="en-GB"/>
        </w:rPr>
        <w:t>Secondary analysis of qualitative data: an overview</w:t>
      </w:r>
      <w:r w:rsidRPr="003466D2">
        <w:rPr>
          <w:rFonts w:ascii="Times New Roman" w:eastAsia="Times New Roman" w:hAnsi="Times New Roman" w:cs="Times New Roman"/>
          <w:sz w:val="24"/>
          <w:szCs w:val="24"/>
          <w:lang w:val="en-GB" w:eastAsia="en-GB"/>
        </w:rPr>
        <w:t xml:space="preserve">. Historical Social Research, 33(3), pp. 33–45. Available at: </w:t>
      </w:r>
      <w:hyperlink r:id="rId12" w:tgtFrame="_new" w:history="1">
        <w:r w:rsidRPr="003466D2">
          <w:rPr>
            <w:rFonts w:ascii="Times New Roman" w:eastAsia="Times New Roman" w:hAnsi="Times New Roman" w:cs="Times New Roman"/>
            <w:color w:val="0000FF"/>
            <w:sz w:val="24"/>
            <w:szCs w:val="24"/>
            <w:u w:val="single"/>
            <w:lang w:val="en-GB" w:eastAsia="en-GB"/>
          </w:rPr>
          <w:t>https://www.jstor.org/stable/20762299</w:t>
        </w:r>
      </w:hyperlink>
      <w:r w:rsidR="00917C38">
        <w:t xml:space="preserve"> (Accessed: 20 March 2026)</w:t>
      </w:r>
    </w:p>
    <w:p w14:paraId="6F3DE1A5" w14:textId="0C5EF9C1"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Irving, G. et al. (2017) </w:t>
      </w:r>
      <w:r w:rsidRPr="003466D2">
        <w:rPr>
          <w:rFonts w:ascii="Times New Roman" w:eastAsia="Times New Roman" w:hAnsi="Times New Roman" w:cs="Times New Roman"/>
          <w:i/>
          <w:iCs/>
          <w:sz w:val="24"/>
          <w:szCs w:val="24"/>
          <w:lang w:val="en-GB" w:eastAsia="en-GB"/>
        </w:rPr>
        <w:t>International variations in primary care physician consultation time: a systematic review of 67 countries</w:t>
      </w:r>
      <w:r w:rsidRPr="003466D2">
        <w:rPr>
          <w:rFonts w:ascii="Times New Roman" w:eastAsia="Times New Roman" w:hAnsi="Times New Roman" w:cs="Times New Roman"/>
          <w:sz w:val="24"/>
          <w:szCs w:val="24"/>
          <w:lang w:val="en-GB" w:eastAsia="en-GB"/>
        </w:rPr>
        <w:t xml:space="preserve">. BMJ Open, 7(10), p. e017902. Available at: </w:t>
      </w:r>
      <w:hyperlink r:id="rId13" w:tgtFrame="_new" w:history="1">
        <w:r w:rsidRPr="003466D2">
          <w:rPr>
            <w:rFonts w:ascii="Times New Roman" w:eastAsia="Times New Roman" w:hAnsi="Times New Roman" w:cs="Times New Roman"/>
            <w:color w:val="0000FF"/>
            <w:sz w:val="24"/>
            <w:szCs w:val="24"/>
            <w:u w:val="single"/>
            <w:lang w:val="en-GB" w:eastAsia="en-GB"/>
          </w:rPr>
          <w:t>https://doi.org/10.1136/bmjopen-2017-017902</w:t>
        </w:r>
      </w:hyperlink>
      <w:r w:rsidR="00917C38">
        <w:t xml:space="preserve"> (Accessed: </w:t>
      </w:r>
      <w:r w:rsidR="00954B5B">
        <w:t>19</w:t>
      </w:r>
      <w:r w:rsidR="00917C38">
        <w:t xml:space="preserve"> March 2026)</w:t>
      </w:r>
    </w:p>
    <w:p w14:paraId="340664CA" w14:textId="4DCBB6ED"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Johnson, R.B., Onwuegbuzie, A.J. and Turner, L.A. (2007) </w:t>
      </w:r>
      <w:r w:rsidRPr="003466D2">
        <w:rPr>
          <w:rFonts w:ascii="Times New Roman" w:eastAsia="Times New Roman" w:hAnsi="Times New Roman" w:cs="Times New Roman"/>
          <w:i/>
          <w:iCs/>
          <w:sz w:val="24"/>
          <w:szCs w:val="24"/>
          <w:lang w:val="en-GB" w:eastAsia="en-GB"/>
        </w:rPr>
        <w:t>Toward a definition of mixed methods research</w:t>
      </w:r>
      <w:r w:rsidRPr="003466D2">
        <w:rPr>
          <w:rFonts w:ascii="Times New Roman" w:eastAsia="Times New Roman" w:hAnsi="Times New Roman" w:cs="Times New Roman"/>
          <w:sz w:val="24"/>
          <w:szCs w:val="24"/>
          <w:lang w:val="en-GB" w:eastAsia="en-GB"/>
        </w:rPr>
        <w:t>. Journal of Mixed Methods Research, 1(2), pp. 112–133.</w:t>
      </w:r>
      <w:r w:rsidR="00954B5B">
        <w:rPr>
          <w:rFonts w:ascii="Times New Roman" w:eastAsia="Times New Roman" w:hAnsi="Times New Roman" w:cs="Times New Roman"/>
          <w:sz w:val="24"/>
          <w:szCs w:val="24"/>
          <w:lang w:val="en-GB" w:eastAsia="en-GB"/>
        </w:rPr>
        <w:t xml:space="preserve"> </w:t>
      </w:r>
      <w:r w:rsidR="00954B5B">
        <w:t>(Accessed: 22 March 2026)</w:t>
      </w:r>
    </w:p>
    <w:p w14:paraId="745557F2" w14:textId="71AAA638"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Johnston, M.P. (2017) </w:t>
      </w:r>
      <w:r w:rsidRPr="003466D2">
        <w:rPr>
          <w:rFonts w:ascii="Times New Roman" w:eastAsia="Times New Roman" w:hAnsi="Times New Roman" w:cs="Times New Roman"/>
          <w:i/>
          <w:iCs/>
          <w:sz w:val="24"/>
          <w:szCs w:val="24"/>
          <w:lang w:val="en-GB" w:eastAsia="en-GB"/>
        </w:rPr>
        <w:t>Secondary data analysis: a method of which the time has come</w:t>
      </w:r>
      <w:r w:rsidRPr="003466D2">
        <w:rPr>
          <w:rFonts w:ascii="Times New Roman" w:eastAsia="Times New Roman" w:hAnsi="Times New Roman" w:cs="Times New Roman"/>
          <w:sz w:val="24"/>
          <w:szCs w:val="24"/>
          <w:lang w:val="en-GB" w:eastAsia="en-GB"/>
        </w:rPr>
        <w:t xml:space="preserve">. Qualitative and Quantitative Methods in Libraries, 3(3), pp. 619–626. Available at: </w:t>
      </w:r>
      <w:hyperlink r:id="rId14" w:tgtFrame="_new" w:history="1">
        <w:r w:rsidRPr="003466D2">
          <w:rPr>
            <w:rFonts w:ascii="Times New Roman" w:eastAsia="Times New Roman" w:hAnsi="Times New Roman" w:cs="Times New Roman"/>
            <w:color w:val="0000FF"/>
            <w:sz w:val="24"/>
            <w:szCs w:val="24"/>
            <w:u w:val="single"/>
            <w:lang w:val="en-GB" w:eastAsia="en-GB"/>
          </w:rPr>
          <w:t>http://www.qqml-journal.net/index.php/qqml/article/view/169</w:t>
        </w:r>
      </w:hyperlink>
      <w:r w:rsidR="00954B5B">
        <w:t xml:space="preserve"> (Accessed: 23 March 2026)</w:t>
      </w:r>
    </w:p>
    <w:p w14:paraId="091BD275" w14:textId="684D6DA8"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Office for Health Improvement and Disparities (2018) </w:t>
      </w:r>
      <w:r w:rsidRPr="003466D2">
        <w:rPr>
          <w:rFonts w:ascii="Times New Roman" w:eastAsia="Times New Roman" w:hAnsi="Times New Roman" w:cs="Times New Roman"/>
          <w:i/>
          <w:iCs/>
          <w:sz w:val="24"/>
          <w:szCs w:val="24"/>
          <w:lang w:val="en-GB" w:eastAsia="en-GB"/>
        </w:rPr>
        <w:t>Evaluation in health and wellbeing: overview of methods</w:t>
      </w:r>
      <w:r w:rsidRPr="003466D2">
        <w:rPr>
          <w:rFonts w:ascii="Times New Roman" w:eastAsia="Times New Roman" w:hAnsi="Times New Roman" w:cs="Times New Roman"/>
          <w:sz w:val="24"/>
          <w:szCs w:val="24"/>
          <w:lang w:val="en-GB" w:eastAsia="en-GB"/>
        </w:rPr>
        <w:t xml:space="preserve">. Available at: </w:t>
      </w:r>
      <w:hyperlink r:id="rId15" w:tgtFrame="_new" w:history="1">
        <w:r w:rsidRPr="003466D2">
          <w:rPr>
            <w:rFonts w:ascii="Times New Roman" w:eastAsia="Times New Roman" w:hAnsi="Times New Roman" w:cs="Times New Roman"/>
            <w:color w:val="0000FF"/>
            <w:sz w:val="24"/>
            <w:szCs w:val="24"/>
            <w:u w:val="single"/>
            <w:lang w:val="en-GB" w:eastAsia="en-GB"/>
          </w:rPr>
          <w:t>https://www.gov.uk/guidance/evaluation-in-health-and-wellbeing-methods</w:t>
        </w:r>
      </w:hyperlink>
      <w:r w:rsidR="002A0FA7">
        <w:t xml:space="preserve"> (Accessed: 23 March 2026)</w:t>
      </w:r>
    </w:p>
    <w:p w14:paraId="0B658994" w14:textId="679FCC1C"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lastRenderedPageBreak/>
        <w:t xml:space="preserve">Pathak, V., Jena, B. and Kalra, S. (2013) </w:t>
      </w:r>
      <w:r w:rsidRPr="003466D2">
        <w:rPr>
          <w:rFonts w:ascii="Times New Roman" w:eastAsia="Times New Roman" w:hAnsi="Times New Roman" w:cs="Times New Roman"/>
          <w:i/>
          <w:iCs/>
          <w:sz w:val="24"/>
          <w:szCs w:val="24"/>
          <w:lang w:val="en-GB" w:eastAsia="en-GB"/>
        </w:rPr>
        <w:t>Qualitative research</w:t>
      </w:r>
      <w:r w:rsidRPr="003466D2">
        <w:rPr>
          <w:rFonts w:ascii="Times New Roman" w:eastAsia="Times New Roman" w:hAnsi="Times New Roman" w:cs="Times New Roman"/>
          <w:sz w:val="24"/>
          <w:szCs w:val="24"/>
          <w:lang w:val="en-GB" w:eastAsia="en-GB"/>
        </w:rPr>
        <w:t xml:space="preserve">. Perspectives in Clinical Research, 4(3), pp. 192–192. Available at: </w:t>
      </w:r>
      <w:hyperlink r:id="rId16" w:tgtFrame="_new" w:history="1">
        <w:r w:rsidRPr="003466D2">
          <w:rPr>
            <w:rFonts w:ascii="Times New Roman" w:eastAsia="Times New Roman" w:hAnsi="Times New Roman" w:cs="Times New Roman"/>
            <w:color w:val="0000FF"/>
            <w:sz w:val="24"/>
            <w:szCs w:val="24"/>
            <w:u w:val="single"/>
            <w:lang w:val="en-GB" w:eastAsia="en-GB"/>
          </w:rPr>
          <w:t>https://doi.org/10.4103/2229-3485.115389</w:t>
        </w:r>
      </w:hyperlink>
      <w:r w:rsidR="002A0FA7">
        <w:t xml:space="preserve"> (Accessed: 23 March 2026)</w:t>
      </w:r>
    </w:p>
    <w:p w14:paraId="515BB9A6" w14:textId="759090EE" w:rsidR="003466D2" w:rsidRPr="003466D2" w:rsidRDefault="003466D2" w:rsidP="003466D2">
      <w:pPr>
        <w:spacing w:before="100" w:beforeAutospacing="1" w:after="100" w:afterAutospacing="1" w:line="240" w:lineRule="auto"/>
        <w:rPr>
          <w:rFonts w:ascii="Times New Roman" w:eastAsia="Times New Roman" w:hAnsi="Times New Roman" w:cs="Times New Roman"/>
          <w:sz w:val="24"/>
          <w:szCs w:val="24"/>
          <w:lang w:val="en-GB" w:eastAsia="en-GB"/>
        </w:rPr>
      </w:pPr>
      <w:r w:rsidRPr="003466D2">
        <w:rPr>
          <w:rFonts w:ascii="Times New Roman" w:eastAsia="Times New Roman" w:hAnsi="Times New Roman" w:cs="Times New Roman"/>
          <w:sz w:val="24"/>
          <w:szCs w:val="24"/>
          <w:lang w:val="en-GB" w:eastAsia="en-GB"/>
        </w:rPr>
        <w:t xml:space="preserve">Pereira Gray, D.J. et al. (2018) </w:t>
      </w:r>
      <w:r w:rsidRPr="003466D2">
        <w:rPr>
          <w:rFonts w:ascii="Times New Roman" w:eastAsia="Times New Roman" w:hAnsi="Times New Roman" w:cs="Times New Roman"/>
          <w:i/>
          <w:iCs/>
          <w:sz w:val="24"/>
          <w:szCs w:val="24"/>
          <w:lang w:val="en-GB" w:eastAsia="en-GB"/>
        </w:rPr>
        <w:t>Continuity of care with doctors—a matter of life and death? A systematic review of continuity of care and mortality</w:t>
      </w:r>
      <w:r w:rsidRPr="003466D2">
        <w:rPr>
          <w:rFonts w:ascii="Times New Roman" w:eastAsia="Times New Roman" w:hAnsi="Times New Roman" w:cs="Times New Roman"/>
          <w:sz w:val="24"/>
          <w:szCs w:val="24"/>
          <w:lang w:val="en-GB" w:eastAsia="en-GB"/>
        </w:rPr>
        <w:t xml:space="preserve">. BMJ Open, 8(6), p. e021161. Available at: </w:t>
      </w:r>
      <w:hyperlink r:id="rId17" w:tgtFrame="_new" w:history="1">
        <w:r w:rsidRPr="003466D2">
          <w:rPr>
            <w:rFonts w:ascii="Times New Roman" w:eastAsia="Times New Roman" w:hAnsi="Times New Roman" w:cs="Times New Roman"/>
            <w:color w:val="0000FF"/>
            <w:sz w:val="24"/>
            <w:szCs w:val="24"/>
            <w:u w:val="single"/>
            <w:lang w:val="en-GB" w:eastAsia="en-GB"/>
          </w:rPr>
          <w:t>https://doi.org/10.1136/bmjopen-2017-021161</w:t>
        </w:r>
      </w:hyperlink>
      <w:r w:rsidR="002A0FA7">
        <w:t xml:space="preserve"> (Accessed: 21 March 2026)</w:t>
      </w:r>
    </w:p>
    <w:p w14:paraId="46EDE8B3" w14:textId="2F6D686D" w:rsidR="003466D2" w:rsidRDefault="003466D2" w:rsidP="003466D2">
      <w:pPr>
        <w:spacing w:before="100" w:beforeAutospacing="1" w:after="100" w:afterAutospacing="1" w:line="240" w:lineRule="auto"/>
      </w:pPr>
      <w:r w:rsidRPr="003466D2">
        <w:rPr>
          <w:rFonts w:ascii="Times New Roman" w:eastAsia="Times New Roman" w:hAnsi="Times New Roman" w:cs="Times New Roman"/>
          <w:sz w:val="24"/>
          <w:szCs w:val="24"/>
          <w:lang w:val="en-GB" w:eastAsia="en-GB"/>
        </w:rPr>
        <w:t xml:space="preserve">Sampson, R. et al. (2013) </w:t>
      </w:r>
      <w:r w:rsidRPr="003466D2">
        <w:rPr>
          <w:rFonts w:ascii="Times New Roman" w:eastAsia="Times New Roman" w:hAnsi="Times New Roman" w:cs="Times New Roman"/>
          <w:i/>
          <w:iCs/>
          <w:sz w:val="24"/>
          <w:szCs w:val="24"/>
          <w:lang w:val="en-GB" w:eastAsia="en-GB"/>
        </w:rPr>
        <w:t>Sharing control of appointment length with patients in general practice: a qualitative study</w:t>
      </w:r>
      <w:r w:rsidRPr="003466D2">
        <w:rPr>
          <w:rFonts w:ascii="Times New Roman" w:eastAsia="Times New Roman" w:hAnsi="Times New Roman" w:cs="Times New Roman"/>
          <w:sz w:val="24"/>
          <w:szCs w:val="24"/>
          <w:lang w:val="en-GB" w:eastAsia="en-GB"/>
        </w:rPr>
        <w:t xml:space="preserve">. British Journal of General Practice, 63(608), pp. e185–e191. Available at: </w:t>
      </w:r>
      <w:hyperlink r:id="rId18" w:tgtFrame="_new" w:history="1">
        <w:r w:rsidRPr="003466D2">
          <w:rPr>
            <w:rFonts w:ascii="Times New Roman" w:eastAsia="Times New Roman" w:hAnsi="Times New Roman" w:cs="Times New Roman"/>
            <w:color w:val="0000FF"/>
            <w:sz w:val="24"/>
            <w:szCs w:val="24"/>
            <w:u w:val="single"/>
            <w:lang w:val="en-GB" w:eastAsia="en-GB"/>
          </w:rPr>
          <w:t>https://doi.org/10.3399/bjgp13X664234</w:t>
        </w:r>
      </w:hyperlink>
      <w:r w:rsidR="002A0FA7">
        <w:t xml:space="preserve"> (Accessed: 22 March 2026)</w:t>
      </w:r>
    </w:p>
    <w:p w14:paraId="50346972" w14:textId="77777777" w:rsidR="00EC18C0" w:rsidRDefault="004E4EF6" w:rsidP="00EC18C0">
      <w:pPr>
        <w:spacing w:before="100" w:beforeAutospacing="1" w:after="100" w:afterAutospacing="1" w:line="240" w:lineRule="auto"/>
      </w:pPr>
      <w:r>
        <w:t xml:space="preserve">The King’s Fund (2022) </w:t>
      </w:r>
      <w:r>
        <w:rPr>
          <w:rStyle w:val="Emphasis"/>
        </w:rPr>
        <w:t>How to make change happen in general practice</w:t>
      </w:r>
      <w:r>
        <w:t xml:space="preserve">. Available at: </w:t>
      </w:r>
      <w:hyperlink r:id="rId19" w:history="1">
        <w:r w:rsidRPr="004036FF">
          <w:rPr>
            <w:rStyle w:val="Hyperlink"/>
          </w:rPr>
          <w:t>https://www.kingsfund.org.uk/publications/how-to-make-change-happen-general-practice</w:t>
        </w:r>
      </w:hyperlink>
      <w:r w:rsidR="00EC18C0">
        <w:t xml:space="preserve"> (Accessed: 22 March 2026)</w:t>
      </w:r>
    </w:p>
    <w:p w14:paraId="3B97FFEC" w14:textId="77777777" w:rsidR="00EC18C0" w:rsidRDefault="003466D2" w:rsidP="00EC18C0">
      <w:pPr>
        <w:spacing w:before="100" w:beforeAutospacing="1" w:after="100" w:afterAutospacing="1" w:line="240" w:lineRule="auto"/>
      </w:pPr>
      <w:r w:rsidRPr="003466D2">
        <w:rPr>
          <w:rFonts w:ascii="Times New Roman" w:eastAsia="Times New Roman" w:hAnsi="Times New Roman" w:cs="Times New Roman"/>
          <w:sz w:val="24"/>
          <w:szCs w:val="24"/>
          <w:lang w:val="en-GB" w:eastAsia="en-GB"/>
        </w:rPr>
        <w:t xml:space="preserve">University of Southern California (2022) </w:t>
      </w:r>
      <w:r w:rsidRPr="003466D2">
        <w:rPr>
          <w:rFonts w:ascii="Times New Roman" w:eastAsia="Times New Roman" w:hAnsi="Times New Roman" w:cs="Times New Roman"/>
          <w:i/>
          <w:iCs/>
          <w:sz w:val="24"/>
          <w:szCs w:val="24"/>
          <w:lang w:val="en-GB" w:eastAsia="en-GB"/>
        </w:rPr>
        <w:t>Quantitative methods</w:t>
      </w:r>
      <w:r w:rsidRPr="003466D2">
        <w:rPr>
          <w:rFonts w:ascii="Times New Roman" w:eastAsia="Times New Roman" w:hAnsi="Times New Roman" w:cs="Times New Roman"/>
          <w:sz w:val="24"/>
          <w:szCs w:val="24"/>
          <w:lang w:val="en-GB" w:eastAsia="en-GB"/>
        </w:rPr>
        <w:t xml:space="preserve">. Available at: </w:t>
      </w:r>
      <w:hyperlink r:id="rId20" w:tgtFrame="_new" w:history="1">
        <w:r w:rsidRPr="003466D2">
          <w:rPr>
            <w:rFonts w:ascii="Times New Roman" w:eastAsia="Times New Roman" w:hAnsi="Times New Roman" w:cs="Times New Roman"/>
            <w:color w:val="0000FF"/>
            <w:sz w:val="24"/>
            <w:szCs w:val="24"/>
            <w:u w:val="single"/>
            <w:lang w:val="en-GB" w:eastAsia="en-GB"/>
          </w:rPr>
          <w:t>https://libguides.usc.edu/writingguide/quantitative</w:t>
        </w:r>
      </w:hyperlink>
      <w:r w:rsidR="00EC18C0">
        <w:t xml:space="preserve"> (Accessed: 22 March 2026)</w:t>
      </w:r>
    </w:p>
    <w:p w14:paraId="4A270F54" w14:textId="5141CFB5" w:rsidR="003466D2" w:rsidRPr="00EC18C0" w:rsidRDefault="003466D2" w:rsidP="003466D2">
      <w:pPr>
        <w:spacing w:before="100" w:beforeAutospacing="1" w:after="100" w:afterAutospacing="1" w:line="240" w:lineRule="auto"/>
        <w:rPr>
          <w:rFonts w:ascii="Times New Roman" w:eastAsia="Times New Roman" w:hAnsi="Times New Roman" w:cs="Times New Roman"/>
          <w:sz w:val="24"/>
          <w:szCs w:val="24"/>
          <w:lang w:eastAsia="en-GB"/>
        </w:rPr>
      </w:pPr>
    </w:p>
    <w:p w14:paraId="74CC06DC" w14:textId="4D2ACB16" w:rsidR="00FF36F0" w:rsidRPr="00CD2D96" w:rsidRDefault="001B791B" w:rsidP="001B791B">
      <w:pPr>
        <w:spacing w:after="0"/>
        <w:jc w:val="both"/>
        <w:textAlignment w:val="baseline"/>
        <w:rPr>
          <w:rFonts w:cs="Arial"/>
        </w:rPr>
      </w:pPr>
      <w:r w:rsidRPr="00CD2D96">
        <w:rPr>
          <w:rFonts w:cs="Arial"/>
        </w:rPr>
        <w:t xml:space="preserve"> </w:t>
      </w:r>
    </w:p>
    <w:sectPr w:rsidR="00FF36F0" w:rsidRPr="00CD2D96" w:rsidSect="00034616">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136719" w14:textId="77777777" w:rsidR="00A11795" w:rsidRDefault="00A11795">
      <w:pPr>
        <w:spacing w:after="0" w:line="240" w:lineRule="auto"/>
      </w:pPr>
      <w:r>
        <w:separator/>
      </w:r>
    </w:p>
  </w:endnote>
  <w:endnote w:type="continuationSeparator" w:id="0">
    <w:p w14:paraId="1CDD941E" w14:textId="77777777" w:rsidR="00A11795" w:rsidRDefault="00A11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52DE81" w14:textId="62719E33" w:rsidR="006F4DA6" w:rsidRDefault="006E42D5">
    <w:pPr>
      <w:pStyle w:val="Footer"/>
    </w:pPr>
    <w:r>
      <w:fldChar w:fldCharType="begin"/>
    </w:r>
    <w:r>
      <w:instrText>PAGE</w:instrText>
    </w:r>
    <w:r>
      <w:fldChar w:fldCharType="separate"/>
    </w:r>
    <w:r w:rsidR="008F135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572E4" w14:textId="77777777" w:rsidR="00A11795" w:rsidRDefault="00A11795">
      <w:pPr>
        <w:spacing w:after="0" w:line="240" w:lineRule="auto"/>
      </w:pPr>
      <w:r>
        <w:separator/>
      </w:r>
    </w:p>
  </w:footnote>
  <w:footnote w:type="continuationSeparator" w:id="0">
    <w:p w14:paraId="3056371C" w14:textId="77777777" w:rsidR="00A11795" w:rsidRDefault="00A11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04516236">
    <w:abstractNumId w:val="8"/>
  </w:num>
  <w:num w:numId="2" w16cid:durableId="1907452853">
    <w:abstractNumId w:val="6"/>
  </w:num>
  <w:num w:numId="3" w16cid:durableId="1428696304">
    <w:abstractNumId w:val="5"/>
  </w:num>
  <w:num w:numId="4" w16cid:durableId="1091004963">
    <w:abstractNumId w:val="4"/>
  </w:num>
  <w:num w:numId="5" w16cid:durableId="94063104">
    <w:abstractNumId w:val="7"/>
  </w:num>
  <w:num w:numId="6" w16cid:durableId="792674281">
    <w:abstractNumId w:val="3"/>
  </w:num>
  <w:num w:numId="7" w16cid:durableId="190145882">
    <w:abstractNumId w:val="2"/>
  </w:num>
  <w:num w:numId="8" w16cid:durableId="1509325020">
    <w:abstractNumId w:val="1"/>
  </w:num>
  <w:num w:numId="9" w16cid:durableId="813906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1CB"/>
    <w:rsid w:val="000042F3"/>
    <w:rsid w:val="000147A7"/>
    <w:rsid w:val="00023502"/>
    <w:rsid w:val="00026B4B"/>
    <w:rsid w:val="00033E91"/>
    <w:rsid w:val="00034616"/>
    <w:rsid w:val="000363D3"/>
    <w:rsid w:val="000448F3"/>
    <w:rsid w:val="00056766"/>
    <w:rsid w:val="000600C8"/>
    <w:rsid w:val="0006063C"/>
    <w:rsid w:val="000640F9"/>
    <w:rsid w:val="00064F62"/>
    <w:rsid w:val="00093686"/>
    <w:rsid w:val="000A65A1"/>
    <w:rsid w:val="000B18B1"/>
    <w:rsid w:val="000C0B94"/>
    <w:rsid w:val="000C27F5"/>
    <w:rsid w:val="000C4B3D"/>
    <w:rsid w:val="000E31A3"/>
    <w:rsid w:val="000F4C5B"/>
    <w:rsid w:val="0011138C"/>
    <w:rsid w:val="00114D56"/>
    <w:rsid w:val="001218C0"/>
    <w:rsid w:val="00124D17"/>
    <w:rsid w:val="00145C31"/>
    <w:rsid w:val="0015074B"/>
    <w:rsid w:val="00165957"/>
    <w:rsid w:val="00167F78"/>
    <w:rsid w:val="001837E1"/>
    <w:rsid w:val="00191C65"/>
    <w:rsid w:val="001953DE"/>
    <w:rsid w:val="00197262"/>
    <w:rsid w:val="00197DB8"/>
    <w:rsid w:val="001A65F6"/>
    <w:rsid w:val="001A6C23"/>
    <w:rsid w:val="001B45F9"/>
    <w:rsid w:val="001B529F"/>
    <w:rsid w:val="001B791B"/>
    <w:rsid w:val="001D572F"/>
    <w:rsid w:val="001F18F7"/>
    <w:rsid w:val="001F1D01"/>
    <w:rsid w:val="001F27DB"/>
    <w:rsid w:val="001F2D8D"/>
    <w:rsid w:val="00216421"/>
    <w:rsid w:val="00220EA4"/>
    <w:rsid w:val="00231C9D"/>
    <w:rsid w:val="00232885"/>
    <w:rsid w:val="00236E96"/>
    <w:rsid w:val="002450E1"/>
    <w:rsid w:val="0026218D"/>
    <w:rsid w:val="002709C5"/>
    <w:rsid w:val="0027633D"/>
    <w:rsid w:val="00276526"/>
    <w:rsid w:val="00281B34"/>
    <w:rsid w:val="00295A56"/>
    <w:rsid w:val="0029639D"/>
    <w:rsid w:val="00297F44"/>
    <w:rsid w:val="002A0FA7"/>
    <w:rsid w:val="002A5353"/>
    <w:rsid w:val="002A75F7"/>
    <w:rsid w:val="002C4CA1"/>
    <w:rsid w:val="002D1ED0"/>
    <w:rsid w:val="002D65B8"/>
    <w:rsid w:val="002E158A"/>
    <w:rsid w:val="002F574E"/>
    <w:rsid w:val="00311A5F"/>
    <w:rsid w:val="003177C1"/>
    <w:rsid w:val="00322537"/>
    <w:rsid w:val="00326F90"/>
    <w:rsid w:val="003466D2"/>
    <w:rsid w:val="0036251C"/>
    <w:rsid w:val="0036326C"/>
    <w:rsid w:val="003A1E34"/>
    <w:rsid w:val="003A4BA4"/>
    <w:rsid w:val="003A4EE8"/>
    <w:rsid w:val="003B2D98"/>
    <w:rsid w:val="003C22F3"/>
    <w:rsid w:val="003C63ED"/>
    <w:rsid w:val="003D6E3A"/>
    <w:rsid w:val="003D6ECC"/>
    <w:rsid w:val="003E7BB6"/>
    <w:rsid w:val="003E7CD4"/>
    <w:rsid w:val="0040295C"/>
    <w:rsid w:val="004036FF"/>
    <w:rsid w:val="0041713E"/>
    <w:rsid w:val="00422349"/>
    <w:rsid w:val="00437A0F"/>
    <w:rsid w:val="00440AEC"/>
    <w:rsid w:val="00442FDE"/>
    <w:rsid w:val="00443DAF"/>
    <w:rsid w:val="00446985"/>
    <w:rsid w:val="00450054"/>
    <w:rsid w:val="004A262D"/>
    <w:rsid w:val="004A33D6"/>
    <w:rsid w:val="004A4572"/>
    <w:rsid w:val="004B62F1"/>
    <w:rsid w:val="004C3AF4"/>
    <w:rsid w:val="004E1E67"/>
    <w:rsid w:val="004E4EF6"/>
    <w:rsid w:val="004F7865"/>
    <w:rsid w:val="00516C35"/>
    <w:rsid w:val="0051796F"/>
    <w:rsid w:val="00542901"/>
    <w:rsid w:val="00560316"/>
    <w:rsid w:val="00571A01"/>
    <w:rsid w:val="00581C04"/>
    <w:rsid w:val="005868C5"/>
    <w:rsid w:val="005872E8"/>
    <w:rsid w:val="005A7AC0"/>
    <w:rsid w:val="005B612F"/>
    <w:rsid w:val="005C2F00"/>
    <w:rsid w:val="005C69E5"/>
    <w:rsid w:val="005C7018"/>
    <w:rsid w:val="005D23AC"/>
    <w:rsid w:val="005D2734"/>
    <w:rsid w:val="005F126E"/>
    <w:rsid w:val="005F3625"/>
    <w:rsid w:val="005F7889"/>
    <w:rsid w:val="006518B9"/>
    <w:rsid w:val="00652A2B"/>
    <w:rsid w:val="006557DF"/>
    <w:rsid w:val="00661FAB"/>
    <w:rsid w:val="00681FA4"/>
    <w:rsid w:val="00692DF1"/>
    <w:rsid w:val="006C02D5"/>
    <w:rsid w:val="006C221A"/>
    <w:rsid w:val="006C3385"/>
    <w:rsid w:val="006D2585"/>
    <w:rsid w:val="006D291F"/>
    <w:rsid w:val="006E0BE2"/>
    <w:rsid w:val="006E42D5"/>
    <w:rsid w:val="006F4DA6"/>
    <w:rsid w:val="006F6BA2"/>
    <w:rsid w:val="00711C00"/>
    <w:rsid w:val="00712B02"/>
    <w:rsid w:val="0071450D"/>
    <w:rsid w:val="0072799F"/>
    <w:rsid w:val="007303FB"/>
    <w:rsid w:val="00745F78"/>
    <w:rsid w:val="007465A5"/>
    <w:rsid w:val="00751895"/>
    <w:rsid w:val="00765C62"/>
    <w:rsid w:val="00780B3E"/>
    <w:rsid w:val="0078761A"/>
    <w:rsid w:val="007A6BD3"/>
    <w:rsid w:val="007B40FA"/>
    <w:rsid w:val="007B6636"/>
    <w:rsid w:val="007C564A"/>
    <w:rsid w:val="007C5F75"/>
    <w:rsid w:val="007E00F9"/>
    <w:rsid w:val="007E05E7"/>
    <w:rsid w:val="00814C06"/>
    <w:rsid w:val="00826E78"/>
    <w:rsid w:val="00834B9E"/>
    <w:rsid w:val="00855A11"/>
    <w:rsid w:val="00863566"/>
    <w:rsid w:val="00871994"/>
    <w:rsid w:val="00872A4C"/>
    <w:rsid w:val="00872F02"/>
    <w:rsid w:val="008A6948"/>
    <w:rsid w:val="008B388E"/>
    <w:rsid w:val="008B60F0"/>
    <w:rsid w:val="008B68B5"/>
    <w:rsid w:val="008E06B7"/>
    <w:rsid w:val="008F135B"/>
    <w:rsid w:val="00917C38"/>
    <w:rsid w:val="00943F06"/>
    <w:rsid w:val="00954B5B"/>
    <w:rsid w:val="0097259C"/>
    <w:rsid w:val="009834F5"/>
    <w:rsid w:val="00991A9E"/>
    <w:rsid w:val="0099344F"/>
    <w:rsid w:val="00995C36"/>
    <w:rsid w:val="009A0A14"/>
    <w:rsid w:val="009A2A28"/>
    <w:rsid w:val="009E2F6C"/>
    <w:rsid w:val="009F19E4"/>
    <w:rsid w:val="009F2C64"/>
    <w:rsid w:val="009F39B2"/>
    <w:rsid w:val="009F62C2"/>
    <w:rsid w:val="00A00A61"/>
    <w:rsid w:val="00A01122"/>
    <w:rsid w:val="00A033D6"/>
    <w:rsid w:val="00A11795"/>
    <w:rsid w:val="00A11B34"/>
    <w:rsid w:val="00A22D4A"/>
    <w:rsid w:val="00A37A6B"/>
    <w:rsid w:val="00A52688"/>
    <w:rsid w:val="00A55D8E"/>
    <w:rsid w:val="00A56DEC"/>
    <w:rsid w:val="00A62F94"/>
    <w:rsid w:val="00A640B7"/>
    <w:rsid w:val="00A740AD"/>
    <w:rsid w:val="00A7543D"/>
    <w:rsid w:val="00A80777"/>
    <w:rsid w:val="00A825D6"/>
    <w:rsid w:val="00A902DC"/>
    <w:rsid w:val="00AA1D8D"/>
    <w:rsid w:val="00AA289D"/>
    <w:rsid w:val="00AA4B66"/>
    <w:rsid w:val="00AB285A"/>
    <w:rsid w:val="00AC6EB2"/>
    <w:rsid w:val="00AD0BE6"/>
    <w:rsid w:val="00AD3783"/>
    <w:rsid w:val="00AD7198"/>
    <w:rsid w:val="00AE0A3C"/>
    <w:rsid w:val="00AF09BE"/>
    <w:rsid w:val="00AF1146"/>
    <w:rsid w:val="00B05DA3"/>
    <w:rsid w:val="00B079B3"/>
    <w:rsid w:val="00B145C1"/>
    <w:rsid w:val="00B21E88"/>
    <w:rsid w:val="00B2244C"/>
    <w:rsid w:val="00B47730"/>
    <w:rsid w:val="00B54454"/>
    <w:rsid w:val="00B776B4"/>
    <w:rsid w:val="00B81DF2"/>
    <w:rsid w:val="00B8212E"/>
    <w:rsid w:val="00B91737"/>
    <w:rsid w:val="00B92E11"/>
    <w:rsid w:val="00BA536C"/>
    <w:rsid w:val="00BC49F8"/>
    <w:rsid w:val="00BC737E"/>
    <w:rsid w:val="00BD4C37"/>
    <w:rsid w:val="00BE06AF"/>
    <w:rsid w:val="00BE6A1B"/>
    <w:rsid w:val="00C0174C"/>
    <w:rsid w:val="00C01A58"/>
    <w:rsid w:val="00C036C0"/>
    <w:rsid w:val="00C04EFD"/>
    <w:rsid w:val="00C20EEF"/>
    <w:rsid w:val="00C2105F"/>
    <w:rsid w:val="00C53AF1"/>
    <w:rsid w:val="00C6152B"/>
    <w:rsid w:val="00C726A1"/>
    <w:rsid w:val="00CA336F"/>
    <w:rsid w:val="00CB0664"/>
    <w:rsid w:val="00CC5DAE"/>
    <w:rsid w:val="00CD2D96"/>
    <w:rsid w:val="00CE2DF7"/>
    <w:rsid w:val="00D06104"/>
    <w:rsid w:val="00D267A3"/>
    <w:rsid w:val="00D26F39"/>
    <w:rsid w:val="00D42E40"/>
    <w:rsid w:val="00D61B4C"/>
    <w:rsid w:val="00D73C94"/>
    <w:rsid w:val="00D82182"/>
    <w:rsid w:val="00D83A63"/>
    <w:rsid w:val="00D9182C"/>
    <w:rsid w:val="00DA0E4E"/>
    <w:rsid w:val="00DA410A"/>
    <w:rsid w:val="00DB0D96"/>
    <w:rsid w:val="00DC42A3"/>
    <w:rsid w:val="00DE5DE4"/>
    <w:rsid w:val="00DF0179"/>
    <w:rsid w:val="00DF4A26"/>
    <w:rsid w:val="00DF5A8A"/>
    <w:rsid w:val="00E16660"/>
    <w:rsid w:val="00E35288"/>
    <w:rsid w:val="00E46785"/>
    <w:rsid w:val="00E5659E"/>
    <w:rsid w:val="00E57668"/>
    <w:rsid w:val="00E6241B"/>
    <w:rsid w:val="00E66E46"/>
    <w:rsid w:val="00E6791C"/>
    <w:rsid w:val="00E74384"/>
    <w:rsid w:val="00E74971"/>
    <w:rsid w:val="00E90ACC"/>
    <w:rsid w:val="00E971F9"/>
    <w:rsid w:val="00EA598D"/>
    <w:rsid w:val="00EA78A6"/>
    <w:rsid w:val="00EB0310"/>
    <w:rsid w:val="00EB1733"/>
    <w:rsid w:val="00EB349A"/>
    <w:rsid w:val="00EB5CE9"/>
    <w:rsid w:val="00EB74F7"/>
    <w:rsid w:val="00EC18C0"/>
    <w:rsid w:val="00EC2E63"/>
    <w:rsid w:val="00EE794C"/>
    <w:rsid w:val="00EF5283"/>
    <w:rsid w:val="00F00E8D"/>
    <w:rsid w:val="00F023E8"/>
    <w:rsid w:val="00F0499B"/>
    <w:rsid w:val="00F26E87"/>
    <w:rsid w:val="00F37C58"/>
    <w:rsid w:val="00F5022C"/>
    <w:rsid w:val="00F507A9"/>
    <w:rsid w:val="00F528F0"/>
    <w:rsid w:val="00F67A72"/>
    <w:rsid w:val="00F900C3"/>
    <w:rsid w:val="00F95490"/>
    <w:rsid w:val="00FB532F"/>
    <w:rsid w:val="00FB5A0E"/>
    <w:rsid w:val="00FC346B"/>
    <w:rsid w:val="00FC517A"/>
    <w:rsid w:val="00FC693F"/>
    <w:rsid w:val="00FD1886"/>
    <w:rsid w:val="00FE0F95"/>
    <w:rsid w:val="00FF36F0"/>
    <w:rsid w:val="00FF568F"/>
    <w:rsid w:val="014D8041"/>
    <w:rsid w:val="053D7C99"/>
    <w:rsid w:val="0F05C0CC"/>
    <w:rsid w:val="16A63B7B"/>
    <w:rsid w:val="16E04463"/>
    <w:rsid w:val="2246B09C"/>
    <w:rsid w:val="2A492771"/>
    <w:rsid w:val="2F9DEB48"/>
    <w:rsid w:val="4196C5E6"/>
    <w:rsid w:val="424123B5"/>
    <w:rsid w:val="4F6E7B7E"/>
    <w:rsid w:val="52B4E7E1"/>
    <w:rsid w:val="59B25BE4"/>
    <w:rsid w:val="643C2309"/>
    <w:rsid w:val="65766FA1"/>
    <w:rsid w:val="68C5C373"/>
    <w:rsid w:val="70232B27"/>
    <w:rsid w:val="76B2A546"/>
    <w:rsid w:val="790606EA"/>
    <w:rsid w:val="7ABC79B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ECA70"/>
  <w14:defaultImageDpi w14:val="300"/>
  <w15:docId w15:val="{A3C55A21-6504-4550-AC88-44D38C3CE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7303F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E971F9"/>
    <w:rPr>
      <w:color w:val="0000FF" w:themeColor="hyperlink"/>
      <w:u w:val="single"/>
    </w:rPr>
  </w:style>
  <w:style w:type="character" w:styleId="UnresolvedMention">
    <w:name w:val="Unresolved Mention"/>
    <w:basedOn w:val="DefaultParagraphFont"/>
    <w:uiPriority w:val="99"/>
    <w:semiHidden/>
    <w:unhideWhenUsed/>
    <w:rsid w:val="00E971F9"/>
    <w:rPr>
      <w:color w:val="605E5C"/>
      <w:shd w:val="clear" w:color="auto" w:fill="E1DFDD"/>
    </w:rPr>
  </w:style>
  <w:style w:type="character" w:customStyle="1" w:styleId="whitespace-normal">
    <w:name w:val="whitespace-normal"/>
    <w:basedOn w:val="DefaultParagraphFont"/>
    <w:rsid w:val="000600C8"/>
  </w:style>
  <w:style w:type="character" w:styleId="FollowedHyperlink">
    <w:name w:val="FollowedHyperlink"/>
    <w:basedOn w:val="DefaultParagraphFont"/>
    <w:uiPriority w:val="99"/>
    <w:semiHidden/>
    <w:unhideWhenUsed/>
    <w:rsid w:val="00A01122"/>
    <w:rPr>
      <w:color w:val="800080" w:themeColor="followedHyperlink"/>
      <w:u w:val="single"/>
    </w:rPr>
  </w:style>
  <w:style w:type="paragraph" w:customStyle="1" w:styleId="paragraph">
    <w:name w:val="paragraph"/>
    <w:basedOn w:val="Normal"/>
    <w:rsid w:val="00F0499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F0499B"/>
  </w:style>
  <w:style w:type="character" w:customStyle="1" w:styleId="eop">
    <w:name w:val="eop"/>
    <w:basedOn w:val="DefaultParagraphFont"/>
    <w:rsid w:val="00F0499B"/>
  </w:style>
  <w:style w:type="character" w:styleId="PlaceholderText">
    <w:name w:val="Placeholder Text"/>
    <w:basedOn w:val="DefaultParagraphFont"/>
    <w:uiPriority w:val="99"/>
    <w:semiHidden/>
    <w:rsid w:val="00E7438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17-020064" TargetMode="External"/><Relationship Id="rId13" Type="http://schemas.openxmlformats.org/officeDocument/2006/relationships/hyperlink" Target="https://doi.org/10.1136/bmjopen-2017-017902" TargetMode="External"/><Relationship Id="rId18" Type="http://schemas.openxmlformats.org/officeDocument/2006/relationships/hyperlink" Target="https://doi.org/10.3399/bjgp13X66423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stor.org/stable/20762299" TargetMode="External"/><Relationship Id="rId17" Type="http://schemas.openxmlformats.org/officeDocument/2006/relationships/hyperlink" Target="https://doi.org/10.1136/bmjopen-2017-021161" TargetMode="External"/><Relationship Id="rId2" Type="http://schemas.openxmlformats.org/officeDocument/2006/relationships/numbering" Target="numbering.xml"/><Relationship Id="rId16" Type="http://schemas.openxmlformats.org/officeDocument/2006/relationships/hyperlink" Target="https://doi.org/10.4103/2229-3485.115389" TargetMode="External"/><Relationship Id="rId20" Type="http://schemas.openxmlformats.org/officeDocument/2006/relationships/hyperlink" Target="https://libguides.usc.edu/writingguide/quantita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changes-to-the-gp-contract-in-2026-27/" TargetMode="External"/><Relationship Id="rId5" Type="http://schemas.openxmlformats.org/officeDocument/2006/relationships/webSettings" Target="webSettings.xml"/><Relationship Id="rId15" Type="http://schemas.openxmlformats.org/officeDocument/2006/relationships/hyperlink" Target="https://www.gov.uk/guidance/evaluation-in-health-and-wellbeing-methods" TargetMode="External"/><Relationship Id="rId23" Type="http://schemas.openxmlformats.org/officeDocument/2006/relationships/theme" Target="theme/theme1.xml"/><Relationship Id="rId10" Type="http://schemas.openxmlformats.org/officeDocument/2006/relationships/hyperlink" Target="https://www.bma.org.uk/advice-and-support/nhs-delivery-and-workforce/pressures/pressures-in-general-practice" TargetMode="External"/><Relationship Id="rId19" Type="http://schemas.openxmlformats.org/officeDocument/2006/relationships/hyperlink" Target="https://www.kingsfund.org.uk/publications/how-to-make-change-happen-general-practice" TargetMode="External"/><Relationship Id="rId4" Type="http://schemas.openxmlformats.org/officeDocument/2006/relationships/settings" Target="settings.xml"/><Relationship Id="rId9" Type="http://schemas.openxmlformats.org/officeDocument/2006/relationships/hyperlink" Target="https://doi.org/10.1136/bmj.h1513" TargetMode="External"/><Relationship Id="rId14" Type="http://schemas.openxmlformats.org/officeDocument/2006/relationships/hyperlink" Target="http://www.qqml-journal.net/index.php/qqml/article/view/16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1994</Words>
  <Characters>11964</Characters>
  <Application>Microsoft Office Word</Application>
  <DocSecurity>0</DocSecurity>
  <Lines>198</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marisa penetra</cp:lastModifiedBy>
  <cp:revision>3</cp:revision>
  <dcterms:created xsi:type="dcterms:W3CDTF">2026-03-23T14:47:00Z</dcterms:created>
  <dcterms:modified xsi:type="dcterms:W3CDTF">2026-03-23T14:47:00Z</dcterms:modified>
  <cp:category/>
</cp:coreProperties>
</file>