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D2FAC" w14:textId="77777777" w:rsidR="00B62179" w:rsidRDefault="00B62179" w:rsidP="00DB08D9">
      <w:pPr>
        <w:spacing w:after="0" w:line="360" w:lineRule="auto"/>
        <w:contextualSpacing/>
        <w:jc w:val="right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558DD00F" w14:textId="77777777" w:rsidR="00B62179" w:rsidRP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3C73A8EA" w14:textId="77777777" w:rsidR="00B62179" w:rsidRP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i/>
          <w:kern w:val="0"/>
          <w:sz w:val="27"/>
          <w:szCs w:val="27"/>
          <w:lang w:val="en-US"/>
          <w14:ligatures w14:val="none"/>
        </w:rPr>
      </w:pPr>
      <w:r w:rsidRPr="00B62179">
        <w:rPr>
          <w:rFonts w:ascii="Arial" w:eastAsia="Times New Roman" w:hAnsi="Arial" w:cs="Arial"/>
          <w:b/>
          <w:bCs/>
          <w:i/>
          <w:kern w:val="0"/>
          <w:sz w:val="27"/>
          <w:szCs w:val="27"/>
          <w:lang w:val="en-US"/>
          <w14:ligatures w14:val="none"/>
        </w:rPr>
        <w:t>BMHP6027: Empowering the Older Person</w:t>
      </w:r>
    </w:p>
    <w:p w14:paraId="3C23EE34" w14:textId="77777777" w:rsidR="00B62179" w:rsidRP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  <w:r w:rsidRPr="00B62179"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  <w:t>DEBATE/DISCUSSION</w:t>
      </w:r>
    </w:p>
    <w:p w14:paraId="49760886" w14:textId="77777777" w:rsidR="00B62179" w:rsidRP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7C72D225" w14:textId="77777777" w:rsidR="00DB08D9" w:rsidRPr="00DB08D9" w:rsidRDefault="00DB08D9" w:rsidP="00DB08D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  <w:r w:rsidRPr="00DB08D9"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  <w:t>Telemedicine and Remote Health Care Offer Promising Benefits for Older Adults</w:t>
      </w:r>
    </w:p>
    <w:p w14:paraId="5031C908" w14:textId="77777777" w:rsidR="00B62179" w:rsidRP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10B4EFB4" w14:textId="77777777" w:rsidR="00B62179" w:rsidRP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085C85DD" w14:textId="77777777" w:rsidR="00B62179" w:rsidRP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  <w:proofErr w:type="gramStart"/>
      <w:r w:rsidRPr="00B62179"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  <w:t>NAME :</w:t>
      </w:r>
      <w:proofErr w:type="gramEnd"/>
      <w:r w:rsidRPr="00B62179"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  <w:t xml:space="preserve"> Cristina Petrescu</w:t>
      </w:r>
    </w:p>
    <w:p w14:paraId="60882EF9" w14:textId="77777777" w:rsidR="00B62179" w:rsidRP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  <w:r w:rsidRPr="00B62179"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  <w:t>STUDENT ID: 2237166</w:t>
      </w:r>
    </w:p>
    <w:p w14:paraId="637EEF6E" w14:textId="77777777" w:rsidR="00B62179" w:rsidRP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  <w:proofErr w:type="gramStart"/>
      <w:r w:rsidRPr="00B62179"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  <w:t>DATE :</w:t>
      </w:r>
      <w:proofErr w:type="gramEnd"/>
      <w:r w:rsidRPr="00B62179"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  <w:t xml:space="preserve"> 19</w:t>
      </w:r>
      <w:r w:rsidRPr="00B62179">
        <w:rPr>
          <w:rFonts w:ascii="Arial" w:eastAsia="Times New Roman" w:hAnsi="Arial" w:cs="Arial"/>
          <w:b/>
          <w:bCs/>
          <w:kern w:val="0"/>
          <w:sz w:val="27"/>
          <w:szCs w:val="27"/>
          <w:vertAlign w:val="superscript"/>
          <w:lang w:val="en-US"/>
          <w14:ligatures w14:val="none"/>
        </w:rPr>
        <w:t>th</w:t>
      </w:r>
      <w:r w:rsidRPr="00B62179"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  <w:t xml:space="preserve"> </w:t>
      </w:r>
      <w:proofErr w:type="gramStart"/>
      <w:r w:rsidRPr="00B62179"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  <w:t>November,</w:t>
      </w:r>
      <w:proofErr w:type="gramEnd"/>
      <w:r w:rsidRPr="00B62179"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  <w:t xml:space="preserve"> 2025</w:t>
      </w:r>
    </w:p>
    <w:p w14:paraId="17B43B29" w14:textId="77777777" w:rsidR="00B62179" w:rsidRP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5BE8AE84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138AE77B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518D1520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6DCA0CAE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153602FD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052CBCF3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22BC1175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42900F8A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41819E25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2C9CECEF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69E81B1F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3779A7AC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783B573E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5EA2D2AA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27AE4EFF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2AA9979F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16AEB3D6" w14:textId="77777777" w:rsidR="00B62179" w:rsidRDefault="00B62179" w:rsidP="00B62179">
      <w:pPr>
        <w:spacing w:after="0" w:line="36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kern w:val="0"/>
          <w:sz w:val="27"/>
          <w:szCs w:val="27"/>
          <w:lang w:val="en-US"/>
          <w14:ligatures w14:val="none"/>
        </w:rPr>
      </w:pPr>
    </w:p>
    <w:p w14:paraId="4126C29B" w14:textId="0A39C552" w:rsidR="00B62179" w:rsidRPr="00DB08D9" w:rsidRDefault="00DB08D9" w:rsidP="00B62179">
      <w:pPr>
        <w:spacing w:after="0" w:line="360" w:lineRule="auto"/>
        <w:contextualSpacing/>
        <w:jc w:val="both"/>
        <w:outlineLvl w:val="0"/>
        <w:rPr>
          <w:rFonts w:ascii="Arial" w:eastAsia="Times New Roman" w:hAnsi="Arial" w:cs="Arial"/>
          <w:b/>
          <w:bCs/>
          <w:kern w:val="0"/>
          <w:sz w:val="24"/>
          <w:szCs w:val="24"/>
          <w:lang w:val="en-US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lang w:val="en-US"/>
          <w14:ligatures w14:val="none"/>
        </w:rPr>
        <w:lastRenderedPageBreak/>
        <w:t xml:space="preserve">                                                                   </w:t>
      </w:r>
      <w:r w:rsidR="00B62179" w:rsidRPr="00DB08D9">
        <w:rPr>
          <w:rFonts w:ascii="Arial" w:eastAsia="Times New Roman" w:hAnsi="Arial" w:cs="Arial"/>
          <w:b/>
          <w:bCs/>
          <w:kern w:val="0"/>
          <w:sz w:val="24"/>
          <w:szCs w:val="24"/>
          <w:lang w:val="en-US"/>
          <w14:ligatures w14:val="none"/>
        </w:rPr>
        <w:t>Reference List</w:t>
      </w:r>
    </w:p>
    <w:p w14:paraId="07049292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Agha, Z., et al. (2022)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Remote patient monitoring and chronic disease outcomes: A systematic review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.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Journal of Telemedicine and Telecare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28(3), pp. 147–161.</w:t>
      </w:r>
    </w:p>
    <w:p w14:paraId="5577B1D8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Barlow, J., et al. (2019)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Telecare in Care Homes: Lessons from Airedale NHS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. Leeds: NHS Foundation Trust.</w:t>
      </w:r>
    </w:p>
    <w:p w14:paraId="6BEE9E42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Bujnowska-Fedak, M. and Grata-Borkowska, U. (2019) ‘Use of telemedicine during the COVID-19 pandemic among elderly patients’,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European Geriatric Medicine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10(5), pp. 789–796.</w:t>
      </w:r>
    </w:p>
    <w:p w14:paraId="3C3A2E4E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Cimperman, M., et al. (2019) ‘Older adults’ perceptions of telehealth services’,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Telemedicine Journal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25(2), pp. 120–128.</w:t>
      </w:r>
    </w:p>
    <w:p w14:paraId="1F0F4892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Darkins, A., et al. (2018) ‘Care coordination/home telehealth: The systematic implementation of health informatics, home telehealth, and disease management to support the care of veteran patients with chronic conditions’,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Telemedicine and e-Health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24(10), pp. 831–838.</w:t>
      </w:r>
    </w:p>
    <w:p w14:paraId="285FC189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Gibson, R., et al. (2021) ‘Digital inclusion in healthcare: Challenges and solutions’,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British Journal of Healthcare Management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27(8), pp. 1–7.</w:t>
      </w:r>
    </w:p>
    <w:p w14:paraId="7C907CF5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Greenhalgh, T., et al. (2020)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Adoption and use of telehealth services in primary care: The UK experience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.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BMJ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372, n136.</w:t>
      </w:r>
    </w:p>
    <w:p w14:paraId="4E16BB30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Information Commissioner’s Office (2022)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Guide to the UK GDPR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. London: ICO.</w:t>
      </w:r>
    </w:p>
    <w:p w14:paraId="591807C3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Inglis, S., et al. (2017) ‘Structured telephone support or telemonitoring for patients with chronic heart failure’,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Cochrane Database of Systematic Reviews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Issue 10, CD007228.</w:t>
      </w:r>
    </w:p>
    <w:p w14:paraId="09EEB031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proofErr w:type="spellStart"/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Kichloo</w:t>
      </w:r>
      <w:proofErr w:type="spellEnd"/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A., et al. (</w:t>
      </w:r>
      <w:proofErr w:type="gramStart"/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2020) ‘</w:t>
      </w:r>
      <w:proofErr w:type="gramEnd"/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Telemedicine, the current COVID-19 pandemic and the future: A narrative review and perspectives moving forward’, </w:t>
      </w:r>
      <w:proofErr w:type="spellStart"/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Cureus</w:t>
      </w:r>
      <w:proofErr w:type="spellEnd"/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12(8), e9622.</w:t>
      </w:r>
    </w:p>
    <w:p w14:paraId="24E9EDF1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Kruse, C., et al. (2020) ‘Evaluating barriers to adopting telemedicine worldwide: A systematic review’,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Journal of Telemedicine and Telecare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26(1), pp. 4–12.</w:t>
      </w:r>
    </w:p>
    <w:p w14:paraId="3D59FB7C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Lam, K., et al. (</w:t>
      </w:r>
      <w:proofErr w:type="gramStart"/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2020) ‘</w:t>
      </w:r>
      <w:proofErr w:type="gramEnd"/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Older adults’ acceptance of teleconsultation: A cross-sectional study’,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Journal of Medical Internet Research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22(7), e17395.</w:t>
      </w:r>
    </w:p>
    <w:p w14:paraId="4011A215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Lee, J., et al. (2022) ‘Impact of telehealth interventions on health outcomes in elderly patients’,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International Journal of Medical Informatics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159, pp. 104–112.</w:t>
      </w:r>
    </w:p>
    <w:p w14:paraId="7F83D7E4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NHS Digital (2023)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Digital First Primary Care Framework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. London: NHS England.</w:t>
      </w:r>
    </w:p>
    <w:p w14:paraId="7FFE44FA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NHS England (2019)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The NHS Long Term Plan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. London: NHS.</w:t>
      </w:r>
    </w:p>
    <w:p w14:paraId="58A93476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NHS Kent (2022)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Telehealth COPD Pilot Evaluation Report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. Maidstone: NHS Kent.</w:t>
      </w:r>
    </w:p>
    <w:p w14:paraId="6E4E86A1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NHS Transformation Directorate (2022)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Virtual Wards and Hospital at Home Guidance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. London: NHS England.</w:t>
      </w:r>
    </w:p>
    <w:p w14:paraId="558FC0AE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NHSX (2021)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Digital Inclusion Guide: Supporting Patients to Get Online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. London: NHSX.</w:t>
      </w:r>
    </w:p>
    <w:p w14:paraId="06DFA629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Seifert, A., et al. (2020) ‘Digital exclusion of older adults: Challenges and policy implications’,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Gerontology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66(3), pp. 237–244.</w:t>
      </w:r>
    </w:p>
    <w:p w14:paraId="4CF6294B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lastRenderedPageBreak/>
        <w:t xml:space="preserve">Topol, E. (2021)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The Creative Destruction of Medicine: How the Digital Revolution Will Create Better Health Care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. New York: Basic Books.</w:t>
      </w:r>
    </w:p>
    <w:p w14:paraId="1A9AF724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Tuckson, R., et al. (2017) ‘Telehealth’,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New England Journal of Medicine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377(16), pp. 1585–1592.</w:t>
      </w:r>
    </w:p>
    <w:p w14:paraId="4607F233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Wootton, R. (2021) ‘Twenty years of telemedicine in chronic disease management’,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Journal of Telemedicine and Telecare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, 27(9), pp. 560–570.</w:t>
      </w:r>
    </w:p>
    <w:p w14:paraId="39E36B5D" w14:textId="77777777" w:rsidR="00B62179" w:rsidRPr="00B62179" w:rsidRDefault="00B62179" w:rsidP="00B62179">
      <w:pPr>
        <w:spacing w:after="0" w:line="360" w:lineRule="auto"/>
        <w:ind w:left="720" w:hanging="720"/>
        <w:contextualSpacing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 xml:space="preserve">World Health Organization (2022) </w:t>
      </w:r>
      <w:r w:rsidRPr="00B62179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Global Strategy on Digital Health 2020–2025</w:t>
      </w:r>
      <w:r w:rsidRPr="00B62179">
        <w:rPr>
          <w:rFonts w:ascii="Arial" w:eastAsia="Times New Roman" w:hAnsi="Arial" w:cs="Arial"/>
          <w:kern w:val="0"/>
          <w:lang w:val="en-US"/>
          <w14:ligatures w14:val="none"/>
        </w:rPr>
        <w:t>. Geneva: WHO.</w:t>
      </w:r>
    </w:p>
    <w:p w14:paraId="2DDB348B" w14:textId="77777777" w:rsidR="009B17CE" w:rsidRDefault="009B17CE"/>
    <w:sectPr w:rsidR="009B1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542"/>
    <w:rsid w:val="00594A7B"/>
    <w:rsid w:val="006F2687"/>
    <w:rsid w:val="00774018"/>
    <w:rsid w:val="007A1542"/>
    <w:rsid w:val="009B17CE"/>
    <w:rsid w:val="00B62179"/>
    <w:rsid w:val="00DB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583C8"/>
  <w15:chartTrackingRefBased/>
  <w15:docId w15:val="{2D0253B0-01B6-40B4-A3BA-9D486F39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15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15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15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15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15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15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15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15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15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15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15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15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15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15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15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15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15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15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15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15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15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15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15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15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15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15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15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15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15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492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Petrescu (2237166)</dc:creator>
  <cp:keywords/>
  <dc:description/>
  <cp:lastModifiedBy>Cristina Petrescu (2237166)</cp:lastModifiedBy>
  <cp:revision>3</cp:revision>
  <dcterms:created xsi:type="dcterms:W3CDTF">2025-11-17T09:30:00Z</dcterms:created>
  <dcterms:modified xsi:type="dcterms:W3CDTF">2025-11-17T09:52:00Z</dcterms:modified>
</cp:coreProperties>
</file>