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48486" w14:textId="77777777" w:rsidR="00EF1940" w:rsidRDefault="00EF1940" w:rsidP="00D777DE">
      <w:pPr>
        <w:spacing w:line="360" w:lineRule="auto"/>
        <w:jc w:val="both"/>
        <w:rPr>
          <w:rFonts w:ascii="Arial" w:hAnsi="Arial" w:cs="Arial"/>
          <w:sz w:val="22"/>
          <w:szCs w:val="22"/>
        </w:rPr>
      </w:pPr>
    </w:p>
    <w:p w14:paraId="2F82D47D" w14:textId="21587B0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Chapter 4: RESULTS &amp; DISCUSSION</w:t>
      </w:r>
    </w:p>
    <w:p w14:paraId="491E9308"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4.1 Introduction </w:t>
      </w:r>
    </w:p>
    <w:p w14:paraId="34FB68A8"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This chapter is a presentation of the empirical findings of the systematic literature review that investigated the negative experiences in childhood (ACEs) on psychological, emotional and behavioural outcomes in 10- to 25-year-olds in the UK. The age range of 10–25 years was selected because it represents the developmental transition from late childhood through adolescence into emerging adulthood, during which emotional regulation systems and identity formation are still maturing, making individuals particularly susceptible to the long-term psychological effects of ACEs. Chapter 3 established the types of rigorous procedures: multi-database search, removal of duplicates, two-tier screening with predetermined PICOS criteria, standardised data extraction, CASP quality appraisal and a narrative synthesis based on Braun and Clarke thematic analysis that gave rise to the thematic results below. According to Braun and Clarke (2006), thematic analysis entails the process of systematically identifying, analysing and reporting patterns in the qualitative data to derive themes to express both semantic and latent meaning. </w:t>
      </w:r>
    </w:p>
    <w:p w14:paraId="2BEACB33"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results are reported without their discussion to create space to establish analytical accuracy Section 4.2 describes the quality and features of the six studies involved. Theme 1 that is considered in section 4.3 examines internalising outcomes and psychological distress. Theme 2, which is discussed in section 4.4, is concerned with themes of externalising and risk-taking. In section 4.5, the authors consolidate results on protective and resilience factors (Theme 3). Section 4.6 examines the lived experiences (Theme 4). Lastly, Section 4.7 summarizes all thematic analyses in a single model which prepares the critical review that is to be done in Chapter 5.</w:t>
      </w:r>
    </w:p>
    <w:p w14:paraId="69823905"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4.1.1 Thematic Analysis</w:t>
      </w:r>
    </w:p>
    <w:p w14:paraId="43D25852"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thematic analysis used in this chapter is under the same methodological procedure as explained in Chapter 3, Section 3.7 and 3.8. In a short, the review has used a six-phase thematic methodology of Braun and Clarke (2006) in identifying and interpreting patterns within mixed-method data. All the extracted results were coded through the NVivo 14 software, which facilitated open coding and thereafter, similar statements describing the impact of adversity were assigned corresponding categories and polished into broad themes. As discussed above, this process involved both quantitative and qualitative results so that there would be consistency and richness. The rigour of the coding was enhanced by having the academic supervisor code 30 percent of the codes independently, with the inter-coder </w:t>
      </w:r>
      <w:r w:rsidRPr="00EF1940">
        <w:rPr>
          <w:rFonts w:ascii="Arial" w:hAnsi="Arial" w:cs="Arial"/>
          <w:sz w:val="22"/>
          <w:szCs w:val="22"/>
        </w:rPr>
        <w:lastRenderedPageBreak/>
        <w:t>agreement being more than 0.80 and a complete audit trail provided to enhance the credibility and transparency of the coding.</w:t>
      </w:r>
    </w:p>
    <w:p w14:paraId="77932404"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coded data were subsequently grouped into three broad themes which were internalising outcomes and psychological distress, externalising and risk-taking behaviours, and protective and resilience factors. These are the themes which give the organization of the discussion that follows. The complete codebook and extraction sheet are provided in Appendix A and B, and quality-appraisal scores and methodological notes are provided which are the basis of analysis provided here.</w:t>
      </w:r>
    </w:p>
    <w:p w14:paraId="62D9B2AD"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4.2 Characteristics of included studies </w:t>
      </w:r>
    </w:p>
    <w:p w14:paraId="54A86F30"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six articles include four quantitative research studies and two qualitative studies. Numerical estimates are provided by two prospective cohorts and two large cross-sectional analyses. Avery (2025) and Jones (2022) provide detailed qualitative narratives from service-engaged young people and care leavers. There is also a radical change in sampling width: Smith (2023) studied 157 357 adults (40-69 years) of the UK Biobank who retrospectively reported about childhood adversity and Jones (2022) examined lived experience among young Scottish adults (12) in support settings. The focus on age range persists through the adolescence phase and through to the emerging adulthood; maintenance of the single older-adult study is due to the presence of the United Kingdom setting and the measurement of adversity. Although Smith et al. (2023) included older adults, the study was retained because the ACE exposure was measured retrospectively in childhood, aligning it with the developmental focus of this review. Details of data extraction and coding table that summarize and describe main features of a study and quality scores is described in Appendix A.</w:t>
      </w:r>
    </w:p>
    <w:p w14:paraId="5CBE6432"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Diverse instruments were used to determine the ACE exposure. Three quantitative articles employed versions of the ten-item ACE questionnaire of World Health Organization, one used prospectively documented maltreatment and bullying measurements, and both qualitative studies used semi-structured interviews coded to the identical ten domains of adversity. The outcome measures are related to </w:t>
      </w:r>
      <w:proofErr w:type="gramStart"/>
      <w:r w:rsidRPr="00EF1940">
        <w:rPr>
          <w:rFonts w:ascii="Arial" w:hAnsi="Arial" w:cs="Arial"/>
          <w:sz w:val="22"/>
          <w:szCs w:val="22"/>
        </w:rPr>
        <w:t>a number of</w:t>
      </w:r>
      <w:proofErr w:type="gramEnd"/>
      <w:r w:rsidRPr="00EF1940">
        <w:rPr>
          <w:rFonts w:ascii="Arial" w:hAnsi="Arial" w:cs="Arial"/>
          <w:sz w:val="22"/>
          <w:szCs w:val="22"/>
        </w:rPr>
        <w:t xml:space="preserve"> areas including internalising factors, such as anxiety, depression, and self-harm, externalising factors, such as substance use, school exclusion and risky sexual behaviour, and more general social factors, such as loneliness and support service use.</w:t>
      </w:r>
    </w:p>
    <w:p w14:paraId="0F16B140"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Quality appraisal put two investigations in the high-quality band (less than 80% CASP score), three in moderate quality (60-79%) and one in low quality (&lt;60%). The lowest rated study was qualitative and very small sample, single-site, and all high-quality articles were quantitative cohorts with specified exposure and outcome. The design, sample, ACE instruments and analytic intensity heterogeneity is therefore significant and is considered when heeding the </w:t>
      </w:r>
      <w:r w:rsidRPr="00EF1940">
        <w:rPr>
          <w:rFonts w:ascii="Arial" w:hAnsi="Arial" w:cs="Arial"/>
          <w:sz w:val="22"/>
          <w:szCs w:val="22"/>
        </w:rPr>
        <w:lastRenderedPageBreak/>
        <w:t>findings in subsequent sections. Full appraisal scores and quality bands for each study are presented in Table 4.</w:t>
      </w:r>
    </w:p>
    <w:p w14:paraId="749AAAFB"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4.3 Theme 1 – Internalising Symptoms and Psychological Distress</w:t>
      </w:r>
    </w:p>
    <w:p w14:paraId="6C9E4B01"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This theme is in tandem with Objective 1 that sought to determine the psychological and emotional impact of poor childhood events (ACEs) among young people in the UK. The four studies indicated positive associations between ACEs and mental health issues, including anxiety, depression, and self-harm. </w:t>
      </w:r>
      <w:proofErr w:type="spellStart"/>
      <w:r w:rsidRPr="00EF1940">
        <w:rPr>
          <w:rFonts w:ascii="Arial" w:hAnsi="Arial" w:cs="Arial"/>
          <w:sz w:val="22"/>
          <w:szCs w:val="22"/>
        </w:rPr>
        <w:t>Lereya</w:t>
      </w:r>
      <w:proofErr w:type="spellEnd"/>
      <w:r w:rsidRPr="00EF1940">
        <w:rPr>
          <w:rFonts w:ascii="Arial" w:hAnsi="Arial" w:cs="Arial"/>
          <w:sz w:val="22"/>
          <w:szCs w:val="22"/>
        </w:rPr>
        <w:t xml:space="preserve"> et al. (2015) discovered that multiple adversity exposed children were nearly five times more likely to develop a generalised anxiety disorder at the age of twenty-five. Chandrasekar et al. (2024) also indicated that the distress scores increased linearly with the number of adversities, whereas Bellis et al. (2019) reported that suicide attempts were almost nine times more frequent in case of four or more ACEs. Smith et al. (2023) validated that those adults who received maltreatment in childhood were twice more likely to develop depression despite the socioeconomic factors.</w:t>
      </w:r>
    </w:p>
    <w:p w14:paraId="0FB04DE4"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findings are in line with the toxic stress theory that argues that childhood toxic stress can interfere with brain and hormone regulations, causing emotional issues in later life. </w:t>
      </w:r>
      <w:proofErr w:type="spellStart"/>
      <w:r w:rsidRPr="00EF1940">
        <w:rPr>
          <w:rFonts w:ascii="Arial" w:hAnsi="Arial" w:cs="Arial"/>
          <w:sz w:val="22"/>
          <w:szCs w:val="22"/>
        </w:rPr>
        <w:t>Lereya</w:t>
      </w:r>
      <w:proofErr w:type="spellEnd"/>
      <w:r w:rsidRPr="00EF1940">
        <w:rPr>
          <w:rFonts w:ascii="Arial" w:hAnsi="Arial" w:cs="Arial"/>
          <w:sz w:val="22"/>
          <w:szCs w:val="22"/>
        </w:rPr>
        <w:t xml:space="preserve"> and Chandrasekar (2015 and 2024) propose that four or above adversities significantly increased the scores of </w:t>
      </w:r>
      <w:proofErr w:type="gramStart"/>
      <w:r w:rsidRPr="00EF1940">
        <w:rPr>
          <w:rFonts w:ascii="Arial" w:hAnsi="Arial" w:cs="Arial"/>
          <w:sz w:val="22"/>
          <w:szCs w:val="22"/>
        </w:rPr>
        <w:t>distress</w:t>
      </w:r>
      <w:proofErr w:type="gramEnd"/>
      <w:r w:rsidRPr="00EF1940">
        <w:rPr>
          <w:rFonts w:ascii="Arial" w:hAnsi="Arial" w:cs="Arial"/>
          <w:sz w:val="22"/>
          <w:szCs w:val="22"/>
        </w:rPr>
        <w:t xml:space="preserve"> of a group compared to unexposed groups even when income is adjusted. Self-harm was discovered to be one of the behavioural manifestations of unresolved internal distress. These findings indicate that the ACEs produce biological and psychological long-term changes that make one susceptible to mental illness. The uniformity of the patterns in the studies assures that childhood stress, in the absence of the sufficient coping resources, results in enduring emotional dysregulation in adulthood.</w:t>
      </w:r>
    </w:p>
    <w:p w14:paraId="79A8E649"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These findings are replicated in high-income countries throughout the world. Similar results were discovered by Hughes et al. (2017), who found that toxic stress impacts people universally, regardless of their depression or anxiety. Nevertheless, these effects seem to be exacerbated by social inequalities unique to the UK. Bellis (2019) discovered that women who experienced four or more ACEs were 61 times more susceptible to trying suicide, and Chandrasekar (2024) discovered that sexual-minority youth had almost twice the distress of their heterosexual counterparts. This goes in line with the minority stress theory, which attributes the causes of greater psychological strain to stigma and discrimination. Data on Avery (2025) also revealed that rejection and bullying worsened distress, which is also qualitative. All in all, the evidence shows that there is a dose-response relationship with the more adversity people experience, the more they suffer emotionally, particularly in the marginalised groups, which is why early, trauma-informed interventions are required in the UK.</w:t>
      </w:r>
    </w:p>
    <w:p w14:paraId="5F978324"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lastRenderedPageBreak/>
        <w:t>4.4 Theme 2 – Externalising and Risk-Taking Behaviours</w:t>
      </w:r>
    </w:p>
    <w:p w14:paraId="528EE966"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This theme relates to Objective 1 because it explores the causes of externalising and risk-taking behaviours (substance use and risky sexual activity) caused by adverse childhood experiences (ACEs). The same results were found in several studies which indicated greater exposure to adversity was a predictor of increased such behaviours. Bellis (2019) identified that among those who experienced four or more adversities, 43.7% said they were engaged in heavy drinking, whereas 17.2% said they were not. In a similar case, the percentage of daily smoking increased by 6.1 to 29.4 to the least and highly exposed respectively. A gradual rise in risk-taking, such as substance use, unprotected sex, and fighting, was found in Chandrasekar et al. (2024) with an increase in the number of adversities. </w:t>
      </w:r>
      <w:proofErr w:type="spellStart"/>
      <w:r w:rsidRPr="00EF1940">
        <w:rPr>
          <w:rFonts w:ascii="Arial" w:hAnsi="Arial" w:cs="Arial"/>
          <w:sz w:val="22"/>
          <w:szCs w:val="22"/>
        </w:rPr>
        <w:t>Lereya</w:t>
      </w:r>
      <w:proofErr w:type="spellEnd"/>
      <w:r w:rsidRPr="00EF1940">
        <w:rPr>
          <w:rFonts w:ascii="Arial" w:hAnsi="Arial" w:cs="Arial"/>
          <w:sz w:val="22"/>
          <w:szCs w:val="22"/>
        </w:rPr>
        <w:t xml:space="preserve"> et al. (2015) also found childhood maltreatment and bullying to be associated with a four increased risk of illicit drug use, and Smith et al. (2023) also found these trends in adulthood, with childhood trauma predicting current smoking decades post-exposure.</w:t>
      </w:r>
    </w:p>
    <w:p w14:paraId="4F9CC86B"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These tendencies can be attributed to the social learning theory. Being raised in an environment with violence or substance abuse, children tend to inculcate them as a normal coping behaviour (Bandura, 1977). This mechanism is supported by qualitative accounts. Members of Avery (2025), and Jones (2022) said that they used alcohol or cannabis to cope with stress, which they had developed in their home environment. These results are in tandem with UK reports on safeguarding which found intergenerational substance abuse to be one of the major contributors of youth risk behaviours. It was also in the review that vulnerability is not homogenous, with </w:t>
      </w:r>
      <w:proofErr w:type="spellStart"/>
      <w:r w:rsidRPr="00EF1940">
        <w:rPr>
          <w:rFonts w:ascii="Arial" w:hAnsi="Arial" w:cs="Arial"/>
          <w:sz w:val="22"/>
          <w:szCs w:val="22"/>
        </w:rPr>
        <w:t>Chandasekar</w:t>
      </w:r>
      <w:proofErr w:type="spellEnd"/>
      <w:r w:rsidRPr="00EF1940">
        <w:rPr>
          <w:rFonts w:ascii="Arial" w:hAnsi="Arial" w:cs="Arial"/>
          <w:sz w:val="22"/>
          <w:szCs w:val="22"/>
        </w:rPr>
        <w:t xml:space="preserve"> (2024) showing that adolescents who were sex minority were more connected to adversity and risk, and Bellis (2019) seeing that girls with high numbers of ACE were more likely to attempt suicide. These risks were also enhanced by socioeconomic deprivation (Smith, 2023), which implies that the higher access to positive outlets, the more likely it will be to engage in maladaptive coping.</w:t>
      </w:r>
    </w:p>
    <w:p w14:paraId="4CC18CF5" w14:textId="77777777" w:rsidR="00D777DE" w:rsidRPr="00EF1940" w:rsidRDefault="00D777DE" w:rsidP="00EF1940">
      <w:pPr>
        <w:spacing w:line="360" w:lineRule="auto"/>
        <w:jc w:val="both"/>
        <w:rPr>
          <w:rFonts w:ascii="Arial" w:hAnsi="Arial" w:cs="Arial"/>
          <w:sz w:val="22"/>
          <w:szCs w:val="22"/>
        </w:rPr>
      </w:pPr>
      <w:proofErr w:type="gramStart"/>
      <w:r w:rsidRPr="00EF1940">
        <w:rPr>
          <w:rFonts w:ascii="Arial" w:hAnsi="Arial" w:cs="Arial"/>
          <w:sz w:val="22"/>
          <w:szCs w:val="22"/>
        </w:rPr>
        <w:t>On the whole</w:t>
      </w:r>
      <w:proofErr w:type="gramEnd"/>
      <w:r w:rsidRPr="00EF1940">
        <w:rPr>
          <w:rFonts w:ascii="Arial" w:hAnsi="Arial" w:cs="Arial"/>
          <w:sz w:val="22"/>
          <w:szCs w:val="22"/>
        </w:rPr>
        <w:t xml:space="preserve">, externalising behaviours have been found to be manifestations of internal distress and acquired maladaptive coping among the adversity-affected youth. These studies showed that there was a significant dose-response relationship-risks were proportionately greater with more adversities and particularly above four ACEs which is adequate in UK policy. The reliability of the results was the same through all the studies, although most data was based on self-reports, which indicates that the studies had strong and reliable associations. The presence of moderating factors such as gender, sexual orientation and economic status was a predisposing factor and parental warmth and peer support reduced, but did not eliminate, risk. These findings in combination demonstrate that behavioural risks are psychological outcomes and a reflection of social circumstances. The trauma-informed care, </w:t>
      </w:r>
      <w:r w:rsidRPr="00EF1940">
        <w:rPr>
          <w:rFonts w:ascii="Arial" w:hAnsi="Arial" w:cs="Arial"/>
          <w:sz w:val="22"/>
          <w:szCs w:val="22"/>
        </w:rPr>
        <w:lastRenderedPageBreak/>
        <w:t>emotional regulation skills development, and healthy and peer-supported coping mechanism should thus be integrated to provide prevention.</w:t>
      </w:r>
    </w:p>
    <w:p w14:paraId="384975E9"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4.5 THEME 3 – Protective and Resilience Factors</w:t>
      </w:r>
    </w:p>
    <w:p w14:paraId="753D3C7D"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This theme is </w:t>
      </w:r>
      <w:proofErr w:type="gramStart"/>
      <w:r w:rsidRPr="00EF1940">
        <w:rPr>
          <w:rFonts w:ascii="Arial" w:hAnsi="Arial" w:cs="Arial"/>
          <w:sz w:val="22"/>
          <w:szCs w:val="22"/>
        </w:rPr>
        <w:t>similar to</w:t>
      </w:r>
      <w:proofErr w:type="gramEnd"/>
      <w:r w:rsidRPr="00EF1940">
        <w:rPr>
          <w:rFonts w:ascii="Arial" w:hAnsi="Arial" w:cs="Arial"/>
          <w:sz w:val="22"/>
          <w:szCs w:val="22"/>
        </w:rPr>
        <w:t xml:space="preserve"> Objective 2 that is concerned with resilience and conditions that mitigate the impact of childhood adversity. There are two important studies on how the effect of early trauma can be attenuated by some moderators. </w:t>
      </w:r>
      <w:proofErr w:type="spellStart"/>
      <w:r w:rsidRPr="00EF1940">
        <w:rPr>
          <w:rFonts w:ascii="Arial" w:hAnsi="Arial" w:cs="Arial"/>
          <w:sz w:val="22"/>
          <w:szCs w:val="22"/>
        </w:rPr>
        <w:t>Lereya</w:t>
      </w:r>
      <w:proofErr w:type="spellEnd"/>
      <w:r w:rsidRPr="00EF1940">
        <w:rPr>
          <w:rFonts w:ascii="Arial" w:hAnsi="Arial" w:cs="Arial"/>
          <w:sz w:val="22"/>
          <w:szCs w:val="22"/>
        </w:rPr>
        <w:t xml:space="preserve"> et al. (2015) discovered that parental warmth at 15 years also decreased the chances of developing depression at twenty-five years by 34% in those who were maltreated, irrespective of gender and social economic status. Nevertheless, this was not good enough to cover the risk. Similar results were also found by Chandrasekar et al (2024), who claimed that being in a positive peer group reduced the association of adversity and self-harm by approximately one-third, but not with significance. One common pattern was observed across the studies and that is, safe and supportive relationships always cushioned the youth against the most damaging impacts of adversity.</w:t>
      </w:r>
    </w:p>
    <w:p w14:paraId="4946873D"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These findings were backed up by qualitative studies. Both Avery (2025) and Jones (2022) concluded that young people reported that emotional recovery was based on the trusting, caring relationships. The presence of a stable adult figure assisted them in regaining their sense of self and control even after years of distress. The belonging to a peer was also a strong buffer. Chandrasekar (2024) demonstrated that supportive friendships minimized self-harm, whereas Bellis (2019) discovered that students with close peer associations had fewer chances of abusing hard drinks. The information collected during interviews indicated that friends could be used as sources of emotional support, which gave them an anchor that reassured them and discouraged them to take risks and offered them practical assistance during crises. These results demonstrate the mental wellbeing safety of relational safety and peer cohesion.</w:t>
      </w:r>
    </w:p>
    <w:p w14:paraId="31BF0481"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Traumatized and combined services were also crucial at a more comprehensive level. Counselling reduced the risk of suicide attempts by 50 percent (Bellis, 2019), and Avery (2025) reported an improved state when professionals early in the treatment inquired about past trauma. Maltreatment had long-term health effects that were lessened by exercise and economic stability, which demonstrated the importance of social conditions and lifestyle. All these findings indicate that the effects of toxic stress may be interrupted by family warmth, supportive peers, and informed-by-trauma services and stable living conditions. Nevertheless, some constraints provoke the fact that only two studies tested moderators formally. Nevertheless, the fact that quantitative information and lived experiences are </w:t>
      </w:r>
      <w:proofErr w:type="gramStart"/>
      <w:r w:rsidRPr="00EF1940">
        <w:rPr>
          <w:rFonts w:ascii="Arial" w:hAnsi="Arial" w:cs="Arial"/>
          <w:sz w:val="22"/>
          <w:szCs w:val="22"/>
        </w:rPr>
        <w:t xml:space="preserve">intertwined to a </w:t>
      </w:r>
      <w:r w:rsidRPr="00EF1940">
        <w:rPr>
          <w:rFonts w:ascii="Arial" w:hAnsi="Arial" w:cs="Arial"/>
          <w:sz w:val="22"/>
          <w:szCs w:val="22"/>
        </w:rPr>
        <w:lastRenderedPageBreak/>
        <w:t>large extent</w:t>
      </w:r>
      <w:proofErr w:type="gramEnd"/>
      <w:r w:rsidRPr="00EF1940">
        <w:rPr>
          <w:rFonts w:ascii="Arial" w:hAnsi="Arial" w:cs="Arial"/>
          <w:sz w:val="22"/>
          <w:szCs w:val="22"/>
        </w:rPr>
        <w:t xml:space="preserve"> indicates that the success of creating these multiple layers of support can ensure resilience and enhance mental health outcomes.</w:t>
      </w:r>
    </w:p>
    <w:p w14:paraId="081C9E6F"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4.6 THEME 4 – Qualitative Lived Experience Insights</w:t>
      </w:r>
    </w:p>
    <w:p w14:paraId="4CF6CC6F"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This theme satisfies Objective 3, which is the explanation of lived experiences to put the quantitative results into perspective and understand the processes of harm and healing. Two of them provided qualitative data where Avery 2025 presented semi-structured interviews with 25 service-engaged youth aged 16-24 years old in England, and Jones (2022) presented narrative interviews with 12 care leavers aged 18-25 years old at Scottish youth-support centres. The results of Braun-and-Clarke coding included three superordinate themes that are the result of negative childhood experience and assets of recovery.</w:t>
      </w:r>
    </w:p>
    <w:p w14:paraId="330D9C6F"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4.6.1 Emotional distress and identity fragmentation</w:t>
      </w:r>
    </w:p>
    <w:p w14:paraId="2C372D8F"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respondents expressed universal emotions of shame, guilt and self-accusations in relation to past experiences of early-life victimization and parental instability at home. Some said that they have a constant feeling of worthlessness, with eight out of 37 people interviewed indicating the same. Night flashback and hypervigilance were a common report, as the results of the quantitative research indicated the high results of anxiety. Breaking down of identity came out as the respondents struggled to match who I was at home and who I attempted to be in school. One of the care leavers explained how years of drug and alcohol misuse by parents brought it to my mind that the chaos is normal, a belief that would later cause instability to relationships. Both papers documented the predetermination of such internal explanations by several years compared to official mental-health diagnoses, which implies that a discrepancy exists between the disturbance onset and its acknowledgment by services.</w:t>
      </w:r>
    </w:p>
    <w:p w14:paraId="5BDB9B9E"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4.6.2 Coping and resilience resources</w:t>
      </w:r>
    </w:p>
    <w:p w14:paraId="12EDDFFB"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young people expressed adaptation resources even in the face of overwhelming adversity burdens. The relationships with peers were first and foremost: 28 out of 37 interviewees attributed, at least, one close peer friend with the responsibility of keeping them alive in a time of acute crisis. Trauma-informed practitioners were also appreciated and Avery participants highly recommended staff who inquired about the past before rushing to medication. Firm coping strategies included artistic activities, athletics and organized activities. A minority of the Scottish sample found comfort in cultural and religious identity. Most importantly, the process of resilience was represented. Many of the participants also shifted their negative coping strategies including heavy drinking to more healthy patterns when there was finally an adult support always present in their lives. This flexibility is in line with quantitative studies which show informal warmth as decreased later depression in parents.</w:t>
      </w:r>
    </w:p>
    <w:p w14:paraId="4AB66305"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lastRenderedPageBreak/>
        <w:t>Despite the presence of coping strengths, several participants reported difficulties accessing or remaining engaged with services, including mistrust of professionals, stigma, and delays in trauma recognition.</w:t>
      </w:r>
    </w:p>
    <w:p w14:paraId="5201918E"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4.6.4 Cross-cutting patterns</w:t>
      </w:r>
    </w:p>
    <w:p w14:paraId="2139CD27" w14:textId="665B22C3"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congruence in the </w:t>
      </w:r>
      <w:r w:rsidR="00E5674C" w:rsidRPr="00EF1940">
        <w:rPr>
          <w:rFonts w:ascii="Arial" w:hAnsi="Arial" w:cs="Arial"/>
          <w:sz w:val="22"/>
          <w:szCs w:val="22"/>
        </w:rPr>
        <w:t>crosscutting</w:t>
      </w:r>
      <w:r w:rsidRPr="00EF1940">
        <w:rPr>
          <w:rFonts w:ascii="Arial" w:hAnsi="Arial" w:cs="Arial"/>
          <w:sz w:val="22"/>
          <w:szCs w:val="22"/>
        </w:rPr>
        <w:t xml:space="preserve"> between the various themes shows that emotional distress is more than intricately bound up in the process of identity formation, and that resilience is contingent upon relationship security than on personality factors. Not only is adversity external but it also concentrates internalised shame in a feedback loop which reinforces risk activity. These findings provide the statistical trends formulated in the section 4.3 and 4.4 with a tangible expression and demonstrate the way aggregated adversity is shown in lived experience and why such a strong protective factor as peer support is so influential.</w:t>
      </w:r>
    </w:p>
    <w:p w14:paraId="41801F78"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4.6.5 Qualitative evidence summary</w:t>
      </w:r>
    </w:p>
    <w:p w14:paraId="6B441150"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qualitative data proceeds to describe the subjective connotations that are attached to the numerical correlations. Their primary arguments of the psychological effects are the feeling of shame and the sense of fragmented self, resourceful relationships as a survival mechanism, and the display of service-level failures, which do not help but enhance the damage. Such outcomes will be ready to discuss the protective factors in an elaborate discussion in 4.7 and critically in Chapter 5.</w:t>
      </w:r>
    </w:p>
    <w:p w14:paraId="2D591849"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4.7 Integrated Model</w:t>
      </w:r>
    </w:p>
    <w:p w14:paraId="4E05637D"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Good interactions between the risk factors and negative childhood events leads to placing risks. First, chronic stress will desensitize the HPA axis, altering the emotion-regulating circuits and exposing such individuals to anxiety and depression. Second, children acquire maladaptive scripts, substance use and aggression through observing household behaviour that are reinstated as externalising behaviours during adolescence. Third, damage is dose-by-dose accumulative, with one misfortune leading biological and behavioural systems to the verge of collapse particularly in girls, sexual-minority youth, and those in deprived environments. Protective layers these pathways can be interrupted by protective adult relationships, helpful peer relationships, trauma-sensitive services, physical exercise and economic security and stability, which can dampen the effects of stress, substitute negative scripts and expand access to coping mechanisms.</w:t>
      </w:r>
    </w:p>
    <w:p w14:paraId="3FC68A60"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Nevertheless, it is important to consider the results in the light of some limitations. A vast number of studies on ACEs were conducted retrospectively, thereby increasing the chances of recall bias. The variability in instruments used to measure ACEs, as well as the measures </w:t>
      </w:r>
      <w:r w:rsidRPr="00EF1940">
        <w:rPr>
          <w:rFonts w:ascii="Arial" w:hAnsi="Arial" w:cs="Arial"/>
          <w:sz w:val="22"/>
          <w:szCs w:val="22"/>
        </w:rPr>
        <w:lastRenderedPageBreak/>
        <w:t>of outcome, makes it difficult to generalize. In addition, only two studies tested moderators; hence, conclusions on mechanisms associated with resilience can be considered provisional.</w:t>
      </w:r>
    </w:p>
    <w:p w14:paraId="3EB76828" w14:textId="77777777" w:rsidR="00D777DE" w:rsidRPr="00EF1940" w:rsidRDefault="00D777DE" w:rsidP="00EF1940">
      <w:pPr>
        <w:spacing w:line="360" w:lineRule="auto"/>
        <w:jc w:val="both"/>
        <w:rPr>
          <w:rFonts w:ascii="Arial" w:hAnsi="Arial" w:cs="Arial"/>
          <w:sz w:val="22"/>
          <w:szCs w:val="22"/>
        </w:rPr>
      </w:pPr>
    </w:p>
    <w:p w14:paraId="1D2393DC"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4.8 Chapter Summary</w:t>
      </w:r>
    </w:p>
    <w:p w14:paraId="78EC23C7" w14:textId="4A89A8C0"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This chapter incorporated evidence of six studies in the UK that examined the effect of ACEs on psychological, emotional and behavioural outcomes among </w:t>
      </w:r>
      <w:proofErr w:type="gramStart"/>
      <w:r w:rsidRPr="00EF1940">
        <w:rPr>
          <w:rFonts w:ascii="Arial" w:hAnsi="Arial" w:cs="Arial"/>
          <w:sz w:val="22"/>
          <w:szCs w:val="22"/>
        </w:rPr>
        <w:t>10 to 25 year-olds</w:t>
      </w:r>
      <w:proofErr w:type="gramEnd"/>
      <w:r w:rsidRPr="00EF1940">
        <w:rPr>
          <w:rFonts w:ascii="Arial" w:hAnsi="Arial" w:cs="Arial"/>
          <w:sz w:val="22"/>
          <w:szCs w:val="22"/>
        </w:rPr>
        <w:t xml:space="preserve">. The quantitative results revealed that there were strong and graded correlations that existed between adversity and the symptoms of internalisation such as anxiety and depression, coupled with the externalisation behaviours of substance use and risk taking. Qualitative knowledge enhanced this understanding by showing lived experiences of shame, fragmented identities, and strength gained through the supportive relationships. In the literature, protective mechanisms like parental warmth, peer belonging, trauma informed services and stable socioeconomic conditions had been the same elements that mediated the adverse consequences. The integrated model emphasizes the interplay between biological stress responses and learned coping patterns as well as the interplay between biological stress responses and social environments to form mental health outcomes. The links between the themes reveal how the internal distress may be converted into the external risk behaviours with resilience and relational safety moderating linkages. These interrelations are congruent with the concept of toxic-stress and social-learning theory, which is supported by the national policy that focuses on the use of the trauma-informed practice. These findings combined create a consistent cumulative risk and resilience process of early, relational and trauma informed interventions. </w:t>
      </w:r>
      <w:r w:rsidR="00E5674C" w:rsidRPr="00EF1940">
        <w:rPr>
          <w:rFonts w:ascii="Arial" w:hAnsi="Arial" w:cs="Arial"/>
          <w:sz w:val="22"/>
          <w:szCs w:val="22"/>
        </w:rPr>
        <w:t>All</w:t>
      </w:r>
      <w:r w:rsidRPr="00EF1940">
        <w:rPr>
          <w:rFonts w:ascii="Arial" w:hAnsi="Arial" w:cs="Arial"/>
          <w:sz w:val="22"/>
          <w:szCs w:val="22"/>
        </w:rPr>
        <w:t xml:space="preserve"> these findings collectively facilitate the research objectives by providing insights into how ACEs affect mental health outcomes, risk and resilience factors, and how these findings can be used to inform policy and practice in the UK in a traumatized manner. The second chapter is a continuation of these findings, which is critically evaluated, and </w:t>
      </w:r>
      <w:r w:rsidR="009939CB" w:rsidRPr="00EF1940">
        <w:rPr>
          <w:rFonts w:ascii="Arial" w:hAnsi="Arial" w:cs="Arial"/>
          <w:sz w:val="22"/>
          <w:szCs w:val="22"/>
        </w:rPr>
        <w:t>explains</w:t>
      </w:r>
      <w:r w:rsidRPr="00EF1940">
        <w:rPr>
          <w:rFonts w:ascii="Arial" w:hAnsi="Arial" w:cs="Arial"/>
          <w:sz w:val="22"/>
          <w:szCs w:val="22"/>
        </w:rPr>
        <w:t xml:space="preserve"> the implications of these findings to practice, policy and future research.</w:t>
      </w:r>
    </w:p>
    <w:p w14:paraId="162586BA" w14:textId="0FFAFCE2" w:rsidR="00D777DE" w:rsidRPr="00EF1940" w:rsidRDefault="00D777DE" w:rsidP="00EF1940">
      <w:pPr>
        <w:spacing w:line="360" w:lineRule="auto"/>
        <w:jc w:val="both"/>
        <w:rPr>
          <w:rFonts w:ascii="Arial" w:hAnsi="Arial" w:cs="Arial"/>
          <w:b/>
          <w:bCs/>
          <w:sz w:val="22"/>
          <w:szCs w:val="22"/>
        </w:rPr>
      </w:pPr>
      <w:r w:rsidRPr="00EF1940">
        <w:rPr>
          <w:rFonts w:ascii="Arial" w:hAnsi="Arial" w:cs="Arial"/>
          <w:b/>
          <w:bCs/>
          <w:sz w:val="22"/>
          <w:szCs w:val="22"/>
        </w:rPr>
        <w:t> </w:t>
      </w:r>
      <w:r w:rsidR="00342493" w:rsidRPr="00EF1940">
        <w:rPr>
          <w:rFonts w:ascii="Arial" w:hAnsi="Arial" w:cs="Arial"/>
          <w:b/>
          <w:bCs/>
          <w:sz w:val="22"/>
          <w:szCs w:val="22"/>
        </w:rPr>
        <w:t xml:space="preserve">                                 </w:t>
      </w:r>
      <w:r w:rsidR="006A3385" w:rsidRPr="00EF1940">
        <w:rPr>
          <w:rFonts w:ascii="Arial" w:hAnsi="Arial" w:cs="Arial"/>
          <w:b/>
          <w:bCs/>
          <w:sz w:val="22"/>
          <w:szCs w:val="22"/>
        </w:rPr>
        <w:t>R</w:t>
      </w:r>
      <w:r w:rsidR="00342493" w:rsidRPr="00EF1940">
        <w:rPr>
          <w:rFonts w:ascii="Arial" w:hAnsi="Arial" w:cs="Arial"/>
          <w:b/>
          <w:bCs/>
          <w:sz w:val="22"/>
          <w:szCs w:val="22"/>
        </w:rPr>
        <w:t>esult</w:t>
      </w:r>
      <w:r w:rsidR="006A3385" w:rsidRPr="00EF1940">
        <w:rPr>
          <w:rFonts w:ascii="Arial" w:hAnsi="Arial" w:cs="Arial"/>
          <w:b/>
          <w:bCs/>
          <w:sz w:val="22"/>
          <w:szCs w:val="22"/>
        </w:rPr>
        <w:t xml:space="preserve"> S</w:t>
      </w:r>
      <w:r w:rsidR="00342493" w:rsidRPr="00EF1940">
        <w:rPr>
          <w:rFonts w:ascii="Arial" w:hAnsi="Arial" w:cs="Arial"/>
          <w:b/>
          <w:bCs/>
          <w:sz w:val="22"/>
          <w:szCs w:val="22"/>
        </w:rPr>
        <w:t>ummary</w:t>
      </w:r>
      <w:r w:rsidR="006A3385" w:rsidRPr="00EF1940">
        <w:rPr>
          <w:rFonts w:ascii="Arial" w:hAnsi="Arial" w:cs="Arial"/>
          <w:b/>
          <w:bCs/>
          <w:sz w:val="22"/>
          <w:szCs w:val="22"/>
        </w:rPr>
        <w:t xml:space="preserve"> T</w:t>
      </w:r>
      <w:r w:rsidR="00342493" w:rsidRPr="00EF1940">
        <w:rPr>
          <w:rFonts w:ascii="Arial" w:hAnsi="Arial" w:cs="Arial"/>
          <w:b/>
          <w:bCs/>
          <w:sz w:val="22"/>
          <w:szCs w:val="22"/>
        </w:rPr>
        <w:t>able</w:t>
      </w:r>
      <w:r w:rsidR="006A3385" w:rsidRPr="00EF1940">
        <w:rPr>
          <w:rFonts w:ascii="Arial" w:hAnsi="Arial" w:cs="Arial"/>
          <w:b/>
          <w:bCs/>
          <w:sz w:val="22"/>
          <w:szCs w:val="22"/>
        </w:rPr>
        <w:t xml:space="preserve"> </w:t>
      </w:r>
    </w:p>
    <w:tbl>
      <w:tblPr>
        <w:tblStyle w:val="TableGrid"/>
        <w:tblW w:w="0" w:type="auto"/>
        <w:tblInd w:w="-1310" w:type="dxa"/>
        <w:tblLayout w:type="fixed"/>
        <w:tblLook w:val="04A0" w:firstRow="1" w:lastRow="0" w:firstColumn="1" w:lastColumn="0" w:noHBand="0" w:noVBand="1"/>
      </w:tblPr>
      <w:tblGrid>
        <w:gridCol w:w="997"/>
        <w:gridCol w:w="1555"/>
        <w:gridCol w:w="1276"/>
        <w:gridCol w:w="2538"/>
        <w:gridCol w:w="1438"/>
        <w:gridCol w:w="1335"/>
        <w:gridCol w:w="1027"/>
      </w:tblGrid>
      <w:tr w:rsidR="006A3385" w:rsidRPr="00EF1940" w14:paraId="575EB3A3" w14:textId="77777777" w:rsidTr="001F725C">
        <w:tc>
          <w:tcPr>
            <w:tcW w:w="997" w:type="dxa"/>
            <w:noWrap/>
            <w:hideMark/>
          </w:tcPr>
          <w:p w14:paraId="7C395016" w14:textId="77777777" w:rsidR="006A3385" w:rsidRPr="00EF1940" w:rsidRDefault="006A3385" w:rsidP="00EF1940">
            <w:pPr>
              <w:spacing w:line="360" w:lineRule="auto"/>
              <w:rPr>
                <w:rFonts w:ascii="Arial" w:hAnsi="Arial" w:cs="Arial"/>
                <w:b/>
              </w:rPr>
            </w:pPr>
            <w:r w:rsidRPr="00EF1940">
              <w:rPr>
                <w:rFonts w:ascii="Arial" w:hAnsi="Arial" w:cs="Arial"/>
                <w:b/>
              </w:rPr>
              <w:t>Author &amp; Year</w:t>
            </w:r>
          </w:p>
        </w:tc>
        <w:tc>
          <w:tcPr>
            <w:tcW w:w="1555" w:type="dxa"/>
            <w:noWrap/>
            <w:hideMark/>
          </w:tcPr>
          <w:p w14:paraId="3DC24B90" w14:textId="77777777" w:rsidR="006A3385" w:rsidRPr="00EF1940" w:rsidRDefault="006A3385" w:rsidP="00EF1940">
            <w:pPr>
              <w:spacing w:line="360" w:lineRule="auto"/>
              <w:rPr>
                <w:rFonts w:ascii="Arial" w:hAnsi="Arial" w:cs="Arial"/>
                <w:b/>
              </w:rPr>
            </w:pPr>
            <w:r w:rsidRPr="00EF1940">
              <w:rPr>
                <w:rFonts w:ascii="Arial" w:hAnsi="Arial" w:cs="Arial"/>
                <w:b/>
              </w:rPr>
              <w:t>Article Title</w:t>
            </w:r>
          </w:p>
        </w:tc>
        <w:tc>
          <w:tcPr>
            <w:tcW w:w="1276" w:type="dxa"/>
            <w:noWrap/>
            <w:hideMark/>
          </w:tcPr>
          <w:p w14:paraId="61D9989F" w14:textId="77777777" w:rsidR="006A3385" w:rsidRPr="00EF1940" w:rsidRDefault="006A3385" w:rsidP="00EF1940">
            <w:pPr>
              <w:spacing w:line="360" w:lineRule="auto"/>
              <w:rPr>
                <w:rFonts w:ascii="Arial" w:hAnsi="Arial" w:cs="Arial"/>
                <w:b/>
              </w:rPr>
            </w:pPr>
            <w:r w:rsidRPr="00EF1940">
              <w:rPr>
                <w:rFonts w:ascii="Arial" w:hAnsi="Arial" w:cs="Arial"/>
                <w:b/>
              </w:rPr>
              <w:t>Type of Study</w:t>
            </w:r>
          </w:p>
        </w:tc>
        <w:tc>
          <w:tcPr>
            <w:tcW w:w="2538" w:type="dxa"/>
            <w:noWrap/>
            <w:hideMark/>
          </w:tcPr>
          <w:p w14:paraId="73C0E646" w14:textId="77777777" w:rsidR="006A3385" w:rsidRPr="00EF1940" w:rsidRDefault="006A3385" w:rsidP="00EF1940">
            <w:pPr>
              <w:spacing w:line="360" w:lineRule="auto"/>
              <w:rPr>
                <w:rFonts w:ascii="Arial" w:hAnsi="Arial" w:cs="Arial"/>
                <w:b/>
              </w:rPr>
            </w:pPr>
            <w:r w:rsidRPr="00EF1940">
              <w:rPr>
                <w:rFonts w:ascii="Arial" w:hAnsi="Arial" w:cs="Arial"/>
                <w:b/>
              </w:rPr>
              <w:t>Research Method &amp; Sample/Strengths &amp; Limitations</w:t>
            </w:r>
          </w:p>
        </w:tc>
        <w:tc>
          <w:tcPr>
            <w:tcW w:w="1438" w:type="dxa"/>
            <w:noWrap/>
            <w:hideMark/>
          </w:tcPr>
          <w:p w14:paraId="4A4EF574" w14:textId="77777777" w:rsidR="006A3385" w:rsidRPr="00EF1940" w:rsidRDefault="006A3385" w:rsidP="00EF1940">
            <w:pPr>
              <w:spacing w:line="360" w:lineRule="auto"/>
              <w:rPr>
                <w:rFonts w:ascii="Arial" w:hAnsi="Arial" w:cs="Arial"/>
                <w:b/>
              </w:rPr>
            </w:pPr>
            <w:r w:rsidRPr="00EF1940">
              <w:rPr>
                <w:rFonts w:ascii="Arial" w:hAnsi="Arial" w:cs="Arial"/>
                <w:b/>
              </w:rPr>
              <w:t>Main Findings</w:t>
            </w:r>
          </w:p>
        </w:tc>
        <w:tc>
          <w:tcPr>
            <w:tcW w:w="1335" w:type="dxa"/>
            <w:noWrap/>
            <w:hideMark/>
          </w:tcPr>
          <w:p w14:paraId="522B3DE1" w14:textId="77777777" w:rsidR="006A3385" w:rsidRPr="00EF1940" w:rsidRDefault="006A3385" w:rsidP="00EF1940">
            <w:pPr>
              <w:spacing w:line="360" w:lineRule="auto"/>
              <w:rPr>
                <w:rFonts w:ascii="Arial" w:hAnsi="Arial" w:cs="Arial"/>
                <w:b/>
              </w:rPr>
            </w:pPr>
            <w:r w:rsidRPr="00EF1940">
              <w:rPr>
                <w:rFonts w:ascii="Arial" w:hAnsi="Arial" w:cs="Arial"/>
                <w:b/>
              </w:rPr>
              <w:t>Keywords &amp; Codes</w:t>
            </w:r>
          </w:p>
        </w:tc>
        <w:tc>
          <w:tcPr>
            <w:tcW w:w="1027" w:type="dxa"/>
            <w:noWrap/>
            <w:hideMark/>
          </w:tcPr>
          <w:p w14:paraId="5FF1B94D" w14:textId="77777777" w:rsidR="006A3385" w:rsidRPr="00EF1940" w:rsidRDefault="006A3385" w:rsidP="00EF1940">
            <w:pPr>
              <w:spacing w:line="360" w:lineRule="auto"/>
              <w:rPr>
                <w:rFonts w:ascii="Arial" w:hAnsi="Arial" w:cs="Arial"/>
                <w:b/>
              </w:rPr>
            </w:pPr>
            <w:r w:rsidRPr="00EF1940">
              <w:rPr>
                <w:rFonts w:ascii="Arial" w:hAnsi="Arial" w:cs="Arial"/>
                <w:b/>
              </w:rPr>
              <w:t>Notes and Comments</w:t>
            </w:r>
          </w:p>
        </w:tc>
      </w:tr>
      <w:tr w:rsidR="006A3385" w:rsidRPr="00EF1940" w14:paraId="13B1BADD" w14:textId="77777777" w:rsidTr="001F725C">
        <w:trPr>
          <w:trHeight w:val="4041"/>
        </w:trPr>
        <w:tc>
          <w:tcPr>
            <w:tcW w:w="997" w:type="dxa"/>
            <w:hideMark/>
          </w:tcPr>
          <w:p w14:paraId="671E46EF" w14:textId="77777777" w:rsidR="006A3385" w:rsidRPr="00EF1940" w:rsidRDefault="006A3385" w:rsidP="00EF1940">
            <w:pPr>
              <w:spacing w:line="360" w:lineRule="auto"/>
              <w:rPr>
                <w:rFonts w:ascii="Arial" w:hAnsi="Arial" w:cs="Arial"/>
              </w:rPr>
            </w:pPr>
            <w:r w:rsidRPr="00EF1940">
              <w:rPr>
                <w:rFonts w:ascii="Arial" w:hAnsi="Arial" w:cs="Arial"/>
              </w:rPr>
              <w:lastRenderedPageBreak/>
              <w:t>Baldwin et al. (2023)</w:t>
            </w:r>
          </w:p>
        </w:tc>
        <w:tc>
          <w:tcPr>
            <w:tcW w:w="1555" w:type="dxa"/>
            <w:hideMark/>
          </w:tcPr>
          <w:p w14:paraId="0F942D0C" w14:textId="77777777" w:rsidR="006A3385" w:rsidRPr="00EF1940" w:rsidRDefault="006A3385" w:rsidP="00EF1940">
            <w:pPr>
              <w:spacing w:line="360" w:lineRule="auto"/>
              <w:rPr>
                <w:rFonts w:ascii="Arial" w:hAnsi="Arial" w:cs="Arial"/>
              </w:rPr>
            </w:pPr>
            <w:r w:rsidRPr="00EF1940">
              <w:rPr>
                <w:rFonts w:ascii="Arial" w:hAnsi="Arial" w:cs="Arial"/>
              </w:rPr>
              <w:t>Childhood maltreatment and mental health problems: A systematic review and meta-analysis of quasi-experimental studies</w:t>
            </w:r>
          </w:p>
        </w:tc>
        <w:tc>
          <w:tcPr>
            <w:tcW w:w="1276" w:type="dxa"/>
            <w:hideMark/>
          </w:tcPr>
          <w:p w14:paraId="4290E041" w14:textId="77777777" w:rsidR="006A3385" w:rsidRPr="00EF1940" w:rsidRDefault="006A3385" w:rsidP="00EF1940">
            <w:pPr>
              <w:spacing w:line="360" w:lineRule="auto"/>
              <w:rPr>
                <w:rFonts w:ascii="Arial" w:hAnsi="Arial" w:cs="Arial"/>
              </w:rPr>
            </w:pPr>
            <w:r w:rsidRPr="00EF1940">
              <w:rPr>
                <w:rFonts w:ascii="Arial" w:hAnsi="Arial" w:cs="Arial"/>
              </w:rPr>
              <w:t>Quantitative (Meta-analysis of quasi-experimental studies)</w:t>
            </w:r>
          </w:p>
        </w:tc>
        <w:tc>
          <w:tcPr>
            <w:tcW w:w="2538" w:type="dxa"/>
            <w:hideMark/>
          </w:tcPr>
          <w:p w14:paraId="4AF7EE9C" w14:textId="77777777" w:rsidR="006A3385" w:rsidRPr="00EF1940" w:rsidRDefault="006A3385" w:rsidP="00EF1940">
            <w:pPr>
              <w:spacing w:line="360" w:lineRule="auto"/>
              <w:rPr>
                <w:rFonts w:ascii="Arial" w:hAnsi="Arial" w:cs="Arial"/>
              </w:rPr>
            </w:pPr>
            <w:r w:rsidRPr="00EF1940">
              <w:rPr>
                <w:rFonts w:ascii="Arial" w:hAnsi="Arial" w:cs="Arial"/>
              </w:rPr>
              <w:t xml:space="preserve">Combination of 29 quasi-experimental studies; Sample: Aggregated evidence of different cohorts (youth/adults), Aggression: Due to the nature of the designs used, meta-analysis of the </w:t>
            </w:r>
            <w:proofErr w:type="spellStart"/>
            <w:r w:rsidRPr="00EF1940">
              <w:rPr>
                <w:rFonts w:ascii="Arial" w:hAnsi="Arial" w:cs="Arial"/>
              </w:rPr>
              <w:t>studies</w:t>
            </w:r>
            <w:proofErr w:type="spellEnd"/>
            <w:r w:rsidRPr="00EF1940">
              <w:rPr>
                <w:rFonts w:ascii="Arial" w:hAnsi="Arial" w:cs="Arial"/>
              </w:rPr>
              <w:t xml:space="preserve"> results is possible, and the evidence base is large; Limitations: The study designs were heterogeneous, the results of the study may be biased by publication, and the authors relied on self-reports.</w:t>
            </w:r>
          </w:p>
        </w:tc>
        <w:tc>
          <w:tcPr>
            <w:tcW w:w="1438" w:type="dxa"/>
            <w:hideMark/>
          </w:tcPr>
          <w:p w14:paraId="2489BE13" w14:textId="77777777" w:rsidR="006A3385" w:rsidRPr="00EF1940" w:rsidRDefault="006A3385" w:rsidP="00EF1940">
            <w:pPr>
              <w:spacing w:line="360" w:lineRule="auto"/>
              <w:rPr>
                <w:rFonts w:ascii="Arial" w:hAnsi="Arial" w:cs="Arial"/>
              </w:rPr>
            </w:pPr>
            <w:r w:rsidRPr="00EF1940">
              <w:rPr>
                <w:rFonts w:ascii="Arial" w:hAnsi="Arial" w:cs="Arial"/>
              </w:rPr>
              <w:t>Exposure to ACEs linked to 2.7-3.2 times higher risk of clinical depression/anxiety in early adulthood; Stronger effects in females and deprived areas; Dose-response relationship evident</w:t>
            </w:r>
          </w:p>
        </w:tc>
        <w:tc>
          <w:tcPr>
            <w:tcW w:w="1335" w:type="dxa"/>
            <w:hideMark/>
          </w:tcPr>
          <w:p w14:paraId="534DABDA" w14:textId="77777777" w:rsidR="006A3385" w:rsidRPr="00EF1940" w:rsidRDefault="006A3385" w:rsidP="00EF1940">
            <w:pPr>
              <w:spacing w:line="360" w:lineRule="auto"/>
              <w:rPr>
                <w:rFonts w:ascii="Arial" w:hAnsi="Arial" w:cs="Arial"/>
              </w:rPr>
            </w:pPr>
            <w:r w:rsidRPr="00EF1940">
              <w:rPr>
                <w:rFonts w:ascii="Arial" w:hAnsi="Arial" w:cs="Arial"/>
              </w:rPr>
              <w:t>ACEs, mental health, depression, anxiety, dose-response, gender differences</w:t>
            </w:r>
          </w:p>
        </w:tc>
        <w:tc>
          <w:tcPr>
            <w:tcW w:w="1027" w:type="dxa"/>
            <w:hideMark/>
          </w:tcPr>
          <w:p w14:paraId="65C6B8F0" w14:textId="77777777" w:rsidR="006A3385" w:rsidRPr="00EF1940" w:rsidRDefault="006A3385" w:rsidP="00EF1940">
            <w:pPr>
              <w:spacing w:line="360" w:lineRule="auto"/>
              <w:rPr>
                <w:rFonts w:ascii="Arial" w:hAnsi="Arial" w:cs="Arial"/>
              </w:rPr>
            </w:pPr>
            <w:r w:rsidRPr="00EF1940">
              <w:rPr>
                <w:rFonts w:ascii="Arial" w:hAnsi="Arial" w:cs="Arial"/>
              </w:rPr>
              <w:t>Findings align with toxic stress models; Highlights need for longitudinal UK-specific data to confirm causality</w:t>
            </w:r>
          </w:p>
        </w:tc>
      </w:tr>
      <w:tr w:rsidR="006A3385" w:rsidRPr="00EF1940" w14:paraId="7A309DB5" w14:textId="77777777" w:rsidTr="001F725C">
        <w:tc>
          <w:tcPr>
            <w:tcW w:w="997" w:type="dxa"/>
            <w:hideMark/>
          </w:tcPr>
          <w:p w14:paraId="245A6470" w14:textId="77777777" w:rsidR="006A3385" w:rsidRPr="00EF1940" w:rsidRDefault="006A3385" w:rsidP="00EF1940">
            <w:pPr>
              <w:spacing w:line="360" w:lineRule="auto"/>
              <w:rPr>
                <w:rFonts w:ascii="Arial" w:hAnsi="Arial" w:cs="Arial"/>
              </w:rPr>
            </w:pPr>
            <w:r w:rsidRPr="00EF1940">
              <w:rPr>
                <w:rFonts w:ascii="Arial" w:hAnsi="Arial" w:cs="Arial"/>
              </w:rPr>
              <w:t>Chandrasekar et al. (2024)</w:t>
            </w:r>
          </w:p>
        </w:tc>
        <w:tc>
          <w:tcPr>
            <w:tcW w:w="1555" w:type="dxa"/>
            <w:hideMark/>
          </w:tcPr>
          <w:p w14:paraId="3ACBE059" w14:textId="77777777" w:rsidR="006A3385" w:rsidRPr="00EF1940" w:rsidRDefault="006A3385" w:rsidP="00EF1940">
            <w:pPr>
              <w:spacing w:line="360" w:lineRule="auto"/>
              <w:rPr>
                <w:rFonts w:ascii="Arial" w:hAnsi="Arial" w:cs="Arial"/>
              </w:rPr>
            </w:pPr>
            <w:r w:rsidRPr="00EF1940">
              <w:rPr>
                <w:rFonts w:ascii="Arial" w:hAnsi="Arial" w:cs="Arial"/>
              </w:rPr>
              <w:t>Sexual identity-related inequalities in associations between adverse childhood experiences and health in late adolescence–A national cohort study</w:t>
            </w:r>
          </w:p>
        </w:tc>
        <w:tc>
          <w:tcPr>
            <w:tcW w:w="1276" w:type="dxa"/>
            <w:hideMark/>
          </w:tcPr>
          <w:p w14:paraId="3A6A90FF" w14:textId="77777777" w:rsidR="006A3385" w:rsidRPr="00EF1940" w:rsidRDefault="006A3385" w:rsidP="00EF1940">
            <w:pPr>
              <w:spacing w:line="360" w:lineRule="auto"/>
              <w:rPr>
                <w:rFonts w:ascii="Arial" w:hAnsi="Arial" w:cs="Arial"/>
              </w:rPr>
            </w:pPr>
            <w:r w:rsidRPr="00EF1940">
              <w:rPr>
                <w:rFonts w:ascii="Arial" w:hAnsi="Arial" w:cs="Arial"/>
              </w:rPr>
              <w:t>Quantitative (Cohort study)</w:t>
            </w:r>
          </w:p>
        </w:tc>
        <w:tc>
          <w:tcPr>
            <w:tcW w:w="2538" w:type="dxa"/>
            <w:hideMark/>
          </w:tcPr>
          <w:p w14:paraId="2549583C" w14:textId="77777777" w:rsidR="006A3385" w:rsidRPr="00EF1940" w:rsidRDefault="006A3385" w:rsidP="00EF1940">
            <w:pPr>
              <w:spacing w:line="360" w:lineRule="auto"/>
              <w:rPr>
                <w:rFonts w:ascii="Arial" w:hAnsi="Arial" w:cs="Arial"/>
              </w:rPr>
            </w:pPr>
            <w:r w:rsidRPr="00EF1940">
              <w:rPr>
                <w:rFonts w:ascii="Arial" w:hAnsi="Arial" w:cs="Arial"/>
              </w:rPr>
              <w:t>National cohort study; Sample: Adolescents aged 16-19 (N ≈ 5,000, UK-based); Strengths: Longitudinal tracking, intersectional analysis (e.g., sexual minorities); Limitations: Self-reported data, potential recall bias, limited to late adolescence</w:t>
            </w:r>
          </w:p>
        </w:tc>
        <w:tc>
          <w:tcPr>
            <w:tcW w:w="1438" w:type="dxa"/>
            <w:hideMark/>
          </w:tcPr>
          <w:p w14:paraId="09CAC839" w14:textId="77777777" w:rsidR="006A3385" w:rsidRPr="00EF1940" w:rsidRDefault="006A3385" w:rsidP="00EF1940">
            <w:pPr>
              <w:spacing w:line="360" w:lineRule="auto"/>
              <w:rPr>
                <w:rFonts w:ascii="Arial" w:hAnsi="Arial" w:cs="Arial"/>
              </w:rPr>
            </w:pPr>
            <w:r w:rsidRPr="00EF1940">
              <w:rPr>
                <w:rFonts w:ascii="Arial" w:hAnsi="Arial" w:cs="Arial"/>
              </w:rPr>
              <w:t>4+ ACEs associated with 2-6 times higher risk of anxiety, depression, self-harm in sexual-minority youth; Stronger effects in females and deprived localities</w:t>
            </w:r>
          </w:p>
        </w:tc>
        <w:tc>
          <w:tcPr>
            <w:tcW w:w="1335" w:type="dxa"/>
            <w:hideMark/>
          </w:tcPr>
          <w:p w14:paraId="436FDEB1" w14:textId="77777777" w:rsidR="006A3385" w:rsidRPr="00EF1940" w:rsidRDefault="006A3385" w:rsidP="00EF1940">
            <w:pPr>
              <w:spacing w:line="360" w:lineRule="auto"/>
              <w:rPr>
                <w:rFonts w:ascii="Arial" w:hAnsi="Arial" w:cs="Arial"/>
              </w:rPr>
            </w:pPr>
            <w:r w:rsidRPr="00EF1940">
              <w:rPr>
                <w:rFonts w:ascii="Arial" w:hAnsi="Arial" w:cs="Arial"/>
              </w:rPr>
              <w:t>ACEs, sexual minorities, anxiety, depression, self-harm, intersectionality</w:t>
            </w:r>
          </w:p>
        </w:tc>
        <w:tc>
          <w:tcPr>
            <w:tcW w:w="1027" w:type="dxa"/>
            <w:hideMark/>
          </w:tcPr>
          <w:p w14:paraId="35BEF7AE" w14:textId="77777777" w:rsidR="006A3385" w:rsidRPr="00EF1940" w:rsidRDefault="006A3385" w:rsidP="00EF1940">
            <w:pPr>
              <w:spacing w:line="360" w:lineRule="auto"/>
              <w:rPr>
                <w:rFonts w:ascii="Arial" w:hAnsi="Arial" w:cs="Arial"/>
              </w:rPr>
            </w:pPr>
            <w:r w:rsidRPr="00EF1940">
              <w:rPr>
                <w:rFonts w:ascii="Arial" w:hAnsi="Arial" w:cs="Arial"/>
              </w:rPr>
              <w:t>Emphasizes vulnerabilities in LGBTQ+ youth; Supports need for targeted interventions in marginalized groups</w:t>
            </w:r>
          </w:p>
        </w:tc>
      </w:tr>
      <w:tr w:rsidR="006A3385" w:rsidRPr="00EF1940" w14:paraId="31E08CA7" w14:textId="77777777" w:rsidTr="001F725C">
        <w:tc>
          <w:tcPr>
            <w:tcW w:w="997" w:type="dxa"/>
            <w:hideMark/>
          </w:tcPr>
          <w:p w14:paraId="361F1E3E" w14:textId="77777777" w:rsidR="006A3385" w:rsidRPr="00EF1940" w:rsidRDefault="006A3385" w:rsidP="00EF1940">
            <w:pPr>
              <w:spacing w:line="360" w:lineRule="auto"/>
              <w:rPr>
                <w:rFonts w:ascii="Arial" w:hAnsi="Arial" w:cs="Arial"/>
              </w:rPr>
            </w:pPr>
            <w:r w:rsidRPr="00EF1940">
              <w:rPr>
                <w:rFonts w:ascii="Arial" w:hAnsi="Arial" w:cs="Arial"/>
              </w:rPr>
              <w:lastRenderedPageBreak/>
              <w:t>Lam et al. (2024)</w:t>
            </w:r>
          </w:p>
        </w:tc>
        <w:tc>
          <w:tcPr>
            <w:tcW w:w="1555" w:type="dxa"/>
            <w:hideMark/>
          </w:tcPr>
          <w:p w14:paraId="62D8032B" w14:textId="77777777" w:rsidR="006A3385" w:rsidRPr="00EF1940" w:rsidRDefault="006A3385" w:rsidP="00EF1940">
            <w:pPr>
              <w:spacing w:line="360" w:lineRule="auto"/>
              <w:rPr>
                <w:rFonts w:ascii="Arial" w:hAnsi="Arial" w:cs="Arial"/>
              </w:rPr>
            </w:pPr>
            <w:r w:rsidRPr="00EF1940">
              <w:rPr>
                <w:rFonts w:ascii="Arial" w:hAnsi="Arial" w:cs="Arial"/>
              </w:rPr>
              <w:t>The association between adverse childhood experiences and mental health, behaviour, and educational performance in adolescence: A systematic scoping review</w:t>
            </w:r>
          </w:p>
        </w:tc>
        <w:tc>
          <w:tcPr>
            <w:tcW w:w="1276" w:type="dxa"/>
            <w:hideMark/>
          </w:tcPr>
          <w:p w14:paraId="13FE6FE0" w14:textId="77777777" w:rsidR="006A3385" w:rsidRPr="00EF1940" w:rsidRDefault="006A3385" w:rsidP="00EF1940">
            <w:pPr>
              <w:spacing w:line="360" w:lineRule="auto"/>
              <w:rPr>
                <w:rFonts w:ascii="Arial" w:hAnsi="Arial" w:cs="Arial"/>
              </w:rPr>
            </w:pPr>
            <w:r w:rsidRPr="00EF1940">
              <w:rPr>
                <w:rFonts w:ascii="Arial" w:hAnsi="Arial" w:cs="Arial"/>
              </w:rPr>
              <w:t>Quantitative (Systematic scoping review)</w:t>
            </w:r>
          </w:p>
        </w:tc>
        <w:tc>
          <w:tcPr>
            <w:tcW w:w="2538" w:type="dxa"/>
            <w:hideMark/>
          </w:tcPr>
          <w:p w14:paraId="2316A364" w14:textId="77777777" w:rsidR="006A3385" w:rsidRPr="00EF1940" w:rsidRDefault="006A3385" w:rsidP="00EF1940">
            <w:pPr>
              <w:spacing w:line="360" w:lineRule="auto"/>
              <w:rPr>
                <w:rFonts w:ascii="Arial" w:hAnsi="Arial" w:cs="Arial"/>
              </w:rPr>
            </w:pPr>
            <w:r w:rsidRPr="00EF1940">
              <w:rPr>
                <w:rFonts w:ascii="Arial" w:hAnsi="Arial" w:cs="Arial"/>
              </w:rPr>
              <w:t xml:space="preserve">Scoping review of 47 studies; Sample: Adolescents aged 10-18 (aggregated N &gt; 10,000, UK-focused); Strengths: Broad synthesis, inclusion of </w:t>
            </w:r>
            <w:proofErr w:type="spellStart"/>
            <w:r w:rsidRPr="00EF1940">
              <w:rPr>
                <w:rFonts w:ascii="Arial" w:hAnsi="Arial" w:cs="Arial"/>
              </w:rPr>
              <w:t>behavioral</w:t>
            </w:r>
            <w:proofErr w:type="spellEnd"/>
            <w:r w:rsidRPr="00EF1940">
              <w:rPr>
                <w:rFonts w:ascii="Arial" w:hAnsi="Arial" w:cs="Arial"/>
              </w:rPr>
              <w:t>/educational outcomes; Limitations: Heterogeneity in measures, mostly cross-sectional designs</w:t>
            </w:r>
          </w:p>
        </w:tc>
        <w:tc>
          <w:tcPr>
            <w:tcW w:w="1438" w:type="dxa"/>
            <w:hideMark/>
          </w:tcPr>
          <w:p w14:paraId="368703F4" w14:textId="77777777" w:rsidR="006A3385" w:rsidRPr="00EF1940" w:rsidRDefault="006A3385" w:rsidP="00EF1940">
            <w:pPr>
              <w:spacing w:line="360" w:lineRule="auto"/>
              <w:rPr>
                <w:rFonts w:ascii="Arial" w:hAnsi="Arial" w:cs="Arial"/>
              </w:rPr>
            </w:pPr>
            <w:r w:rsidRPr="00EF1940">
              <w:rPr>
                <w:rFonts w:ascii="Arial" w:hAnsi="Arial" w:cs="Arial"/>
              </w:rPr>
              <w:t xml:space="preserve">ACEs linked to poor mental health (anxiety/depression), </w:t>
            </w:r>
            <w:proofErr w:type="spellStart"/>
            <w:r w:rsidRPr="00EF1940">
              <w:rPr>
                <w:rFonts w:ascii="Arial" w:hAnsi="Arial" w:cs="Arial"/>
              </w:rPr>
              <w:t>behavioral</w:t>
            </w:r>
            <w:proofErr w:type="spellEnd"/>
            <w:r w:rsidRPr="00EF1940">
              <w:rPr>
                <w:rFonts w:ascii="Arial" w:hAnsi="Arial" w:cs="Arial"/>
              </w:rPr>
              <w:t xml:space="preserve"> issues (substance use, aggression), and educational deficits (truancy, exclusion); Neurodevelopmental impacts on working memory/attention</w:t>
            </w:r>
          </w:p>
        </w:tc>
        <w:tc>
          <w:tcPr>
            <w:tcW w:w="1335" w:type="dxa"/>
            <w:hideMark/>
          </w:tcPr>
          <w:p w14:paraId="74AF6C32" w14:textId="77777777" w:rsidR="006A3385" w:rsidRPr="00EF1940" w:rsidRDefault="006A3385" w:rsidP="00EF1940">
            <w:pPr>
              <w:spacing w:line="360" w:lineRule="auto"/>
              <w:rPr>
                <w:rFonts w:ascii="Arial" w:hAnsi="Arial" w:cs="Arial"/>
              </w:rPr>
            </w:pPr>
            <w:r w:rsidRPr="00EF1940">
              <w:rPr>
                <w:rFonts w:ascii="Arial" w:hAnsi="Arial" w:cs="Arial"/>
              </w:rPr>
              <w:t xml:space="preserve">ACEs, mental health, </w:t>
            </w:r>
            <w:proofErr w:type="spellStart"/>
            <w:r w:rsidRPr="00EF1940">
              <w:rPr>
                <w:rFonts w:ascii="Arial" w:hAnsi="Arial" w:cs="Arial"/>
              </w:rPr>
              <w:t>behavior</w:t>
            </w:r>
            <w:proofErr w:type="spellEnd"/>
            <w:r w:rsidRPr="00EF1940">
              <w:rPr>
                <w:rFonts w:ascii="Arial" w:hAnsi="Arial" w:cs="Arial"/>
              </w:rPr>
              <w:t>, education, neurodevelopment, substance use</w:t>
            </w:r>
          </w:p>
        </w:tc>
        <w:tc>
          <w:tcPr>
            <w:tcW w:w="1027" w:type="dxa"/>
            <w:hideMark/>
          </w:tcPr>
          <w:p w14:paraId="08D6C216" w14:textId="77777777" w:rsidR="006A3385" w:rsidRPr="00EF1940" w:rsidRDefault="006A3385" w:rsidP="00EF1940">
            <w:pPr>
              <w:spacing w:line="360" w:lineRule="auto"/>
              <w:rPr>
                <w:rFonts w:ascii="Arial" w:hAnsi="Arial" w:cs="Arial"/>
              </w:rPr>
            </w:pPr>
            <w:r w:rsidRPr="00EF1940">
              <w:rPr>
                <w:rFonts w:ascii="Arial" w:hAnsi="Arial" w:cs="Arial"/>
              </w:rPr>
              <w:t xml:space="preserve">Integrates biological and social pathways; Calls for </w:t>
            </w:r>
            <w:proofErr w:type="gramStart"/>
            <w:r w:rsidRPr="00EF1940">
              <w:rPr>
                <w:rFonts w:ascii="Arial" w:hAnsi="Arial" w:cs="Arial"/>
              </w:rPr>
              <w:t>mixed-methods</w:t>
            </w:r>
            <w:proofErr w:type="gramEnd"/>
            <w:r w:rsidRPr="00EF1940">
              <w:rPr>
                <w:rFonts w:ascii="Arial" w:hAnsi="Arial" w:cs="Arial"/>
              </w:rPr>
              <w:t xml:space="preserve"> to explore educational impacts further</w:t>
            </w:r>
          </w:p>
        </w:tc>
      </w:tr>
      <w:tr w:rsidR="006A3385" w:rsidRPr="00EF1940" w14:paraId="2EDF08EB" w14:textId="77777777" w:rsidTr="001F725C">
        <w:tc>
          <w:tcPr>
            <w:tcW w:w="997" w:type="dxa"/>
            <w:hideMark/>
          </w:tcPr>
          <w:p w14:paraId="0E80A129" w14:textId="77777777" w:rsidR="006A3385" w:rsidRPr="00EF1940" w:rsidRDefault="006A3385" w:rsidP="00EF1940">
            <w:pPr>
              <w:spacing w:line="360" w:lineRule="auto"/>
              <w:rPr>
                <w:rFonts w:ascii="Arial" w:hAnsi="Arial" w:cs="Arial"/>
              </w:rPr>
            </w:pPr>
            <w:r w:rsidRPr="00EF1940">
              <w:rPr>
                <w:rFonts w:ascii="Arial" w:hAnsi="Arial" w:cs="Arial"/>
              </w:rPr>
              <w:t>Bellis et al. (2019)</w:t>
            </w:r>
          </w:p>
        </w:tc>
        <w:tc>
          <w:tcPr>
            <w:tcW w:w="1555" w:type="dxa"/>
            <w:hideMark/>
          </w:tcPr>
          <w:p w14:paraId="77B36819" w14:textId="77777777" w:rsidR="006A3385" w:rsidRPr="00EF1940" w:rsidRDefault="006A3385" w:rsidP="00EF1940">
            <w:pPr>
              <w:spacing w:line="360" w:lineRule="auto"/>
              <w:rPr>
                <w:rFonts w:ascii="Arial" w:hAnsi="Arial" w:cs="Arial"/>
              </w:rPr>
            </w:pPr>
            <w:r w:rsidRPr="00EF1940">
              <w:rPr>
                <w:rFonts w:ascii="Arial" w:hAnsi="Arial" w:cs="Arial"/>
              </w:rPr>
              <w:t>Adverse childhood experiences and associations with health-harming behaviours in young adults: surveys in the European Region</w:t>
            </w:r>
          </w:p>
        </w:tc>
        <w:tc>
          <w:tcPr>
            <w:tcW w:w="1276" w:type="dxa"/>
            <w:hideMark/>
          </w:tcPr>
          <w:p w14:paraId="38AD8EDA" w14:textId="77777777" w:rsidR="006A3385" w:rsidRPr="00EF1940" w:rsidRDefault="006A3385" w:rsidP="00EF1940">
            <w:pPr>
              <w:spacing w:line="360" w:lineRule="auto"/>
              <w:rPr>
                <w:rFonts w:ascii="Arial" w:hAnsi="Arial" w:cs="Arial"/>
              </w:rPr>
            </w:pPr>
            <w:r w:rsidRPr="00EF1940">
              <w:rPr>
                <w:rFonts w:ascii="Arial" w:hAnsi="Arial" w:cs="Arial"/>
              </w:rPr>
              <w:t>Quantitative (Cross-sectional survey)</w:t>
            </w:r>
          </w:p>
        </w:tc>
        <w:tc>
          <w:tcPr>
            <w:tcW w:w="2538" w:type="dxa"/>
            <w:hideMark/>
          </w:tcPr>
          <w:p w14:paraId="754E2020" w14:textId="77777777" w:rsidR="006A3385" w:rsidRPr="00EF1940" w:rsidRDefault="006A3385" w:rsidP="00EF1940">
            <w:pPr>
              <w:spacing w:line="360" w:lineRule="auto"/>
              <w:rPr>
                <w:rFonts w:ascii="Arial" w:hAnsi="Arial" w:cs="Arial"/>
              </w:rPr>
            </w:pPr>
            <w:r w:rsidRPr="00EF1940">
              <w:rPr>
                <w:rFonts w:ascii="Arial" w:hAnsi="Arial" w:cs="Arial"/>
              </w:rPr>
              <w:t>Cross-sectional surveys; Sample: Young adults aged 18-25 (N = 10,000+, UK subset emphasized); Strengths: Large sample, standardized ACE questionnaire; Limitations: Retrospective self-reports, cross-sectional (no causality), regional variations</w:t>
            </w:r>
          </w:p>
        </w:tc>
        <w:tc>
          <w:tcPr>
            <w:tcW w:w="1438" w:type="dxa"/>
            <w:hideMark/>
          </w:tcPr>
          <w:p w14:paraId="51337126" w14:textId="77777777" w:rsidR="006A3385" w:rsidRPr="00EF1940" w:rsidRDefault="006A3385" w:rsidP="00EF1940">
            <w:pPr>
              <w:spacing w:line="360" w:lineRule="auto"/>
              <w:rPr>
                <w:rFonts w:ascii="Arial" w:hAnsi="Arial" w:cs="Arial"/>
              </w:rPr>
            </w:pPr>
            <w:r w:rsidRPr="00EF1940">
              <w:rPr>
                <w:rFonts w:ascii="Arial" w:hAnsi="Arial" w:cs="Arial"/>
              </w:rPr>
              <w:t xml:space="preserve">4+ ACEs increase risk of substance misuse (alcohol/cannabis) by 2-3 times, early sexual </w:t>
            </w:r>
            <w:proofErr w:type="spellStart"/>
            <w:r w:rsidRPr="00EF1940">
              <w:rPr>
                <w:rFonts w:ascii="Arial" w:hAnsi="Arial" w:cs="Arial"/>
              </w:rPr>
              <w:t>behavior</w:t>
            </w:r>
            <w:proofErr w:type="spellEnd"/>
            <w:r w:rsidRPr="00EF1940">
              <w:rPr>
                <w:rFonts w:ascii="Arial" w:hAnsi="Arial" w:cs="Arial"/>
              </w:rPr>
              <w:t xml:space="preserve">, and health-harming actions; Higher </w:t>
            </w:r>
            <w:r w:rsidRPr="00EF1940">
              <w:rPr>
                <w:rFonts w:ascii="Arial" w:hAnsi="Arial" w:cs="Arial"/>
              </w:rPr>
              <w:lastRenderedPageBreak/>
              <w:t>prevalence in deprived areas</w:t>
            </w:r>
          </w:p>
        </w:tc>
        <w:tc>
          <w:tcPr>
            <w:tcW w:w="1335" w:type="dxa"/>
            <w:hideMark/>
          </w:tcPr>
          <w:p w14:paraId="3D888CA8" w14:textId="77777777" w:rsidR="006A3385" w:rsidRPr="00EF1940" w:rsidRDefault="006A3385" w:rsidP="00EF1940">
            <w:pPr>
              <w:spacing w:line="360" w:lineRule="auto"/>
              <w:rPr>
                <w:rFonts w:ascii="Arial" w:hAnsi="Arial" w:cs="Arial"/>
              </w:rPr>
            </w:pPr>
            <w:r w:rsidRPr="00EF1940">
              <w:rPr>
                <w:rFonts w:ascii="Arial" w:hAnsi="Arial" w:cs="Arial"/>
              </w:rPr>
              <w:lastRenderedPageBreak/>
              <w:t xml:space="preserve">ACEs, substance misuse, health-harming </w:t>
            </w:r>
            <w:proofErr w:type="spellStart"/>
            <w:r w:rsidRPr="00EF1940">
              <w:rPr>
                <w:rFonts w:ascii="Arial" w:hAnsi="Arial" w:cs="Arial"/>
              </w:rPr>
              <w:t>behaviors</w:t>
            </w:r>
            <w:proofErr w:type="spellEnd"/>
            <w:r w:rsidRPr="00EF1940">
              <w:rPr>
                <w:rFonts w:ascii="Arial" w:hAnsi="Arial" w:cs="Arial"/>
              </w:rPr>
              <w:t>, socioeconomic disparities, young adults</w:t>
            </w:r>
          </w:p>
        </w:tc>
        <w:tc>
          <w:tcPr>
            <w:tcW w:w="1027" w:type="dxa"/>
            <w:hideMark/>
          </w:tcPr>
          <w:p w14:paraId="3A88D84E" w14:textId="77777777" w:rsidR="006A3385" w:rsidRPr="00EF1940" w:rsidRDefault="006A3385" w:rsidP="00EF1940">
            <w:pPr>
              <w:spacing w:line="360" w:lineRule="auto"/>
              <w:rPr>
                <w:rFonts w:ascii="Arial" w:hAnsi="Arial" w:cs="Arial"/>
              </w:rPr>
            </w:pPr>
            <w:r w:rsidRPr="00EF1940">
              <w:rPr>
                <w:rFonts w:ascii="Arial" w:hAnsi="Arial" w:cs="Arial"/>
              </w:rPr>
              <w:t xml:space="preserve">UK-specific data shows higher rates in Northern England; Aligns with dose-response model </w:t>
            </w:r>
            <w:r w:rsidRPr="00EF1940">
              <w:rPr>
                <w:rFonts w:ascii="Arial" w:hAnsi="Arial" w:cs="Arial"/>
              </w:rPr>
              <w:lastRenderedPageBreak/>
              <w:t xml:space="preserve">for </w:t>
            </w:r>
            <w:proofErr w:type="spellStart"/>
            <w:r w:rsidRPr="00EF1940">
              <w:rPr>
                <w:rFonts w:ascii="Arial" w:hAnsi="Arial" w:cs="Arial"/>
              </w:rPr>
              <w:t>behavioral</w:t>
            </w:r>
            <w:proofErr w:type="spellEnd"/>
            <w:r w:rsidRPr="00EF1940">
              <w:rPr>
                <w:rFonts w:ascii="Arial" w:hAnsi="Arial" w:cs="Arial"/>
              </w:rPr>
              <w:t xml:space="preserve"> risks</w:t>
            </w:r>
          </w:p>
        </w:tc>
      </w:tr>
      <w:tr w:rsidR="006A3385" w:rsidRPr="00EF1940" w14:paraId="576EE487" w14:textId="77777777" w:rsidTr="001F725C">
        <w:tc>
          <w:tcPr>
            <w:tcW w:w="997" w:type="dxa"/>
            <w:hideMark/>
          </w:tcPr>
          <w:p w14:paraId="3D65FE61" w14:textId="77777777" w:rsidR="006A3385" w:rsidRPr="00EF1940" w:rsidRDefault="006A3385" w:rsidP="00EF1940">
            <w:pPr>
              <w:spacing w:line="360" w:lineRule="auto"/>
              <w:rPr>
                <w:rFonts w:ascii="Arial" w:hAnsi="Arial" w:cs="Arial"/>
              </w:rPr>
            </w:pPr>
            <w:r w:rsidRPr="00EF1940">
              <w:rPr>
                <w:rFonts w:ascii="Arial" w:hAnsi="Arial" w:cs="Arial"/>
              </w:rPr>
              <w:lastRenderedPageBreak/>
              <w:t>Avery et al. (2025)</w:t>
            </w:r>
          </w:p>
        </w:tc>
        <w:tc>
          <w:tcPr>
            <w:tcW w:w="1555" w:type="dxa"/>
            <w:hideMark/>
          </w:tcPr>
          <w:p w14:paraId="0CDCB55E" w14:textId="77777777" w:rsidR="006A3385" w:rsidRPr="00EF1940" w:rsidRDefault="006A3385" w:rsidP="00EF1940">
            <w:pPr>
              <w:spacing w:line="360" w:lineRule="auto"/>
              <w:rPr>
                <w:rFonts w:ascii="Arial" w:hAnsi="Arial" w:cs="Arial"/>
              </w:rPr>
            </w:pPr>
            <w:r w:rsidRPr="00EF1940">
              <w:rPr>
                <w:rFonts w:ascii="Arial" w:hAnsi="Arial" w:cs="Arial"/>
              </w:rPr>
              <w:t>“Support for my dad would have benefited me because I was the one looking after him”: A qualitative analysis of the support needs of young people exposed to Adverse Childhood Experiences</w:t>
            </w:r>
          </w:p>
        </w:tc>
        <w:tc>
          <w:tcPr>
            <w:tcW w:w="1276" w:type="dxa"/>
            <w:hideMark/>
          </w:tcPr>
          <w:p w14:paraId="0A26A0BB" w14:textId="77777777" w:rsidR="006A3385" w:rsidRPr="00EF1940" w:rsidRDefault="006A3385" w:rsidP="00EF1940">
            <w:pPr>
              <w:spacing w:line="360" w:lineRule="auto"/>
              <w:rPr>
                <w:rFonts w:ascii="Arial" w:hAnsi="Arial" w:cs="Arial"/>
              </w:rPr>
            </w:pPr>
            <w:r w:rsidRPr="00EF1940">
              <w:rPr>
                <w:rFonts w:ascii="Arial" w:hAnsi="Arial" w:cs="Arial"/>
              </w:rPr>
              <w:t>Qualitative (Interview study)</w:t>
            </w:r>
          </w:p>
        </w:tc>
        <w:tc>
          <w:tcPr>
            <w:tcW w:w="2538" w:type="dxa"/>
            <w:hideMark/>
          </w:tcPr>
          <w:p w14:paraId="06F0E7A6" w14:textId="77777777" w:rsidR="006A3385" w:rsidRPr="00EF1940" w:rsidRDefault="006A3385" w:rsidP="00EF1940">
            <w:pPr>
              <w:spacing w:line="360" w:lineRule="auto"/>
              <w:rPr>
                <w:rFonts w:ascii="Arial" w:hAnsi="Arial" w:cs="Arial"/>
              </w:rPr>
            </w:pPr>
            <w:r w:rsidRPr="00EF1940">
              <w:rPr>
                <w:rFonts w:ascii="Arial" w:hAnsi="Arial" w:cs="Arial"/>
              </w:rPr>
              <w:t>Semi-structured interviews; Sample: 25 youth aged 16-24 in England; Strengths: In-depth lived experiences, thematic analysis; Limitations: Small sample, potential selection bias (service-engaged youth), subjective interpretations</w:t>
            </w:r>
          </w:p>
        </w:tc>
        <w:tc>
          <w:tcPr>
            <w:tcW w:w="1438" w:type="dxa"/>
            <w:hideMark/>
          </w:tcPr>
          <w:p w14:paraId="62F38A3E" w14:textId="77777777" w:rsidR="006A3385" w:rsidRPr="00EF1940" w:rsidRDefault="006A3385" w:rsidP="00EF1940">
            <w:pPr>
              <w:spacing w:line="360" w:lineRule="auto"/>
              <w:rPr>
                <w:rFonts w:ascii="Arial" w:hAnsi="Arial" w:cs="Arial"/>
              </w:rPr>
            </w:pPr>
            <w:r w:rsidRPr="00EF1940">
              <w:rPr>
                <w:rFonts w:ascii="Arial" w:hAnsi="Arial" w:cs="Arial"/>
              </w:rPr>
              <w:t>Themes: Emotional distress/shame, identity fragmentation, coping via peer support/artistic activities, service mistrust; Resilience through stable adult relationships</w:t>
            </w:r>
          </w:p>
        </w:tc>
        <w:tc>
          <w:tcPr>
            <w:tcW w:w="1335" w:type="dxa"/>
            <w:hideMark/>
          </w:tcPr>
          <w:p w14:paraId="340B5C8B" w14:textId="77777777" w:rsidR="006A3385" w:rsidRPr="00EF1940" w:rsidRDefault="006A3385" w:rsidP="00EF1940">
            <w:pPr>
              <w:spacing w:line="360" w:lineRule="auto"/>
              <w:rPr>
                <w:rFonts w:ascii="Arial" w:hAnsi="Arial" w:cs="Arial"/>
              </w:rPr>
            </w:pPr>
            <w:r w:rsidRPr="00EF1940">
              <w:rPr>
                <w:rFonts w:ascii="Arial" w:hAnsi="Arial" w:cs="Arial"/>
              </w:rPr>
              <w:t>ACEs, shame, identity, resilience, peer support, trauma-informed care</w:t>
            </w:r>
          </w:p>
        </w:tc>
        <w:tc>
          <w:tcPr>
            <w:tcW w:w="1027" w:type="dxa"/>
            <w:hideMark/>
          </w:tcPr>
          <w:p w14:paraId="32EA092D" w14:textId="77777777" w:rsidR="006A3385" w:rsidRPr="00EF1940" w:rsidRDefault="006A3385" w:rsidP="00EF1940">
            <w:pPr>
              <w:spacing w:line="360" w:lineRule="auto"/>
              <w:rPr>
                <w:rFonts w:ascii="Arial" w:hAnsi="Arial" w:cs="Arial"/>
              </w:rPr>
            </w:pPr>
            <w:r w:rsidRPr="00EF1940">
              <w:rPr>
                <w:rFonts w:ascii="Arial" w:hAnsi="Arial" w:cs="Arial"/>
              </w:rPr>
              <w:t>Provides narrative depth to quantitative trends; Highlights gaps in early service recognition</w:t>
            </w:r>
          </w:p>
        </w:tc>
      </w:tr>
      <w:tr w:rsidR="006A3385" w:rsidRPr="00EF1940" w14:paraId="732E45C9" w14:textId="77777777" w:rsidTr="001F725C">
        <w:trPr>
          <w:trHeight w:val="3234"/>
        </w:trPr>
        <w:tc>
          <w:tcPr>
            <w:tcW w:w="997" w:type="dxa"/>
            <w:hideMark/>
          </w:tcPr>
          <w:p w14:paraId="5441FF6F" w14:textId="77777777" w:rsidR="006A3385" w:rsidRPr="00EF1940" w:rsidRDefault="006A3385" w:rsidP="00EF1940">
            <w:pPr>
              <w:spacing w:line="360" w:lineRule="auto"/>
              <w:rPr>
                <w:rFonts w:ascii="Arial" w:hAnsi="Arial" w:cs="Arial"/>
              </w:rPr>
            </w:pPr>
            <w:r w:rsidRPr="00EF1940">
              <w:rPr>
                <w:rFonts w:ascii="Arial" w:hAnsi="Arial" w:cs="Arial"/>
              </w:rPr>
              <w:t>Jones (2022)</w:t>
            </w:r>
          </w:p>
        </w:tc>
        <w:tc>
          <w:tcPr>
            <w:tcW w:w="1555" w:type="dxa"/>
            <w:hideMark/>
          </w:tcPr>
          <w:p w14:paraId="02F130DA" w14:textId="77777777" w:rsidR="006A3385" w:rsidRPr="00EF1940" w:rsidRDefault="006A3385" w:rsidP="00EF1940">
            <w:pPr>
              <w:spacing w:line="360" w:lineRule="auto"/>
              <w:rPr>
                <w:rFonts w:ascii="Arial" w:hAnsi="Arial" w:cs="Arial"/>
              </w:rPr>
            </w:pPr>
            <w:r w:rsidRPr="00EF1940">
              <w:rPr>
                <w:rFonts w:ascii="Arial" w:hAnsi="Arial" w:cs="Arial"/>
              </w:rPr>
              <w:t>Lived experiences of care leavers with ACEs</w:t>
            </w:r>
          </w:p>
        </w:tc>
        <w:tc>
          <w:tcPr>
            <w:tcW w:w="1276" w:type="dxa"/>
            <w:hideMark/>
          </w:tcPr>
          <w:p w14:paraId="79EBC168" w14:textId="77777777" w:rsidR="006A3385" w:rsidRPr="00EF1940" w:rsidRDefault="006A3385" w:rsidP="00EF1940">
            <w:pPr>
              <w:spacing w:line="360" w:lineRule="auto"/>
              <w:rPr>
                <w:rFonts w:ascii="Arial" w:hAnsi="Arial" w:cs="Arial"/>
              </w:rPr>
            </w:pPr>
            <w:r w:rsidRPr="00EF1940">
              <w:rPr>
                <w:rFonts w:ascii="Arial" w:hAnsi="Arial" w:cs="Arial"/>
              </w:rPr>
              <w:t>Qualitative (Narrative interview study)</w:t>
            </w:r>
          </w:p>
        </w:tc>
        <w:tc>
          <w:tcPr>
            <w:tcW w:w="2538" w:type="dxa"/>
            <w:hideMark/>
          </w:tcPr>
          <w:p w14:paraId="6467A50C" w14:textId="77777777" w:rsidR="006A3385" w:rsidRPr="00EF1940" w:rsidRDefault="006A3385" w:rsidP="00EF1940">
            <w:pPr>
              <w:spacing w:line="360" w:lineRule="auto"/>
              <w:rPr>
                <w:rFonts w:ascii="Arial" w:hAnsi="Arial" w:cs="Arial"/>
              </w:rPr>
            </w:pPr>
            <w:r w:rsidRPr="00EF1940">
              <w:rPr>
                <w:rFonts w:ascii="Arial" w:hAnsi="Arial" w:cs="Arial"/>
              </w:rPr>
              <w:t>Narrative interviews; Sample: 12 care leavers aged 18-25 in Scotland; Strengths: Focus on care-experienced youth, rich personal stories; Limitations: Small sample, regional focus (Scotland), retrospective narratives</w:t>
            </w:r>
          </w:p>
        </w:tc>
        <w:tc>
          <w:tcPr>
            <w:tcW w:w="1438" w:type="dxa"/>
            <w:hideMark/>
          </w:tcPr>
          <w:p w14:paraId="7733AE46" w14:textId="77777777" w:rsidR="006A3385" w:rsidRPr="00EF1940" w:rsidRDefault="006A3385" w:rsidP="00EF1940">
            <w:pPr>
              <w:spacing w:line="360" w:lineRule="auto"/>
              <w:rPr>
                <w:rFonts w:ascii="Arial" w:hAnsi="Arial" w:cs="Arial"/>
              </w:rPr>
            </w:pPr>
            <w:r w:rsidRPr="00EF1940">
              <w:rPr>
                <w:rFonts w:ascii="Arial" w:hAnsi="Arial" w:cs="Arial"/>
              </w:rPr>
              <w:t xml:space="preserve">Themes: Guilt/self-blame from parental instability, adaptive coping (e.g., religious/cultural identity), mistrust of services, shift from negative to healthy </w:t>
            </w:r>
            <w:r w:rsidRPr="00EF1940">
              <w:rPr>
                <w:rFonts w:ascii="Arial" w:hAnsi="Arial" w:cs="Arial"/>
              </w:rPr>
              <w:lastRenderedPageBreak/>
              <w:t>coping with support</w:t>
            </w:r>
          </w:p>
        </w:tc>
        <w:tc>
          <w:tcPr>
            <w:tcW w:w="1335" w:type="dxa"/>
            <w:hideMark/>
          </w:tcPr>
          <w:p w14:paraId="14B1A95F" w14:textId="77777777" w:rsidR="006A3385" w:rsidRPr="00EF1940" w:rsidRDefault="006A3385" w:rsidP="00EF1940">
            <w:pPr>
              <w:spacing w:line="360" w:lineRule="auto"/>
              <w:rPr>
                <w:rFonts w:ascii="Arial" w:hAnsi="Arial" w:cs="Arial"/>
              </w:rPr>
            </w:pPr>
            <w:r w:rsidRPr="00EF1940">
              <w:rPr>
                <w:rFonts w:ascii="Arial" w:hAnsi="Arial" w:cs="Arial"/>
              </w:rPr>
              <w:lastRenderedPageBreak/>
              <w:t>ACEs, guilt, coping strategies, service mistrust, resilience, care leavers</w:t>
            </w:r>
          </w:p>
        </w:tc>
        <w:tc>
          <w:tcPr>
            <w:tcW w:w="1027" w:type="dxa"/>
            <w:hideMark/>
          </w:tcPr>
          <w:p w14:paraId="7EBB5163" w14:textId="77777777" w:rsidR="006A3385" w:rsidRPr="00EF1940" w:rsidRDefault="006A3385" w:rsidP="00EF1940">
            <w:pPr>
              <w:spacing w:line="360" w:lineRule="auto"/>
              <w:rPr>
                <w:rFonts w:ascii="Arial" w:hAnsi="Arial" w:cs="Arial"/>
              </w:rPr>
            </w:pPr>
            <w:r w:rsidRPr="00EF1940">
              <w:rPr>
                <w:rFonts w:ascii="Arial" w:hAnsi="Arial" w:cs="Arial"/>
              </w:rPr>
              <w:t>Complements Avery's findings; Emphasizes cultural resilience factors in Scottish context</w:t>
            </w:r>
          </w:p>
        </w:tc>
      </w:tr>
    </w:tbl>
    <w:p w14:paraId="513835EA" w14:textId="77777777" w:rsidR="006A3385" w:rsidRPr="00EF1940" w:rsidRDefault="006A3385" w:rsidP="00EF1940">
      <w:pPr>
        <w:spacing w:line="360" w:lineRule="auto"/>
        <w:rPr>
          <w:rFonts w:ascii="Arial" w:hAnsi="Arial" w:cs="Arial"/>
          <w:sz w:val="22"/>
          <w:szCs w:val="22"/>
        </w:rPr>
      </w:pPr>
    </w:p>
    <w:p w14:paraId="3094E63A" w14:textId="77777777" w:rsidR="009939CB" w:rsidRPr="00EF1940" w:rsidRDefault="009939CB" w:rsidP="00EF1940">
      <w:pPr>
        <w:spacing w:line="360" w:lineRule="auto"/>
        <w:jc w:val="both"/>
        <w:rPr>
          <w:rFonts w:ascii="Arial" w:hAnsi="Arial" w:cs="Arial"/>
          <w:sz w:val="22"/>
          <w:szCs w:val="22"/>
        </w:rPr>
      </w:pPr>
    </w:p>
    <w:p w14:paraId="4EF0CE71" w14:textId="77777777" w:rsidR="009939CB" w:rsidRPr="00EF1940" w:rsidRDefault="009939CB" w:rsidP="00EF1940">
      <w:pPr>
        <w:spacing w:line="360" w:lineRule="auto"/>
        <w:jc w:val="both"/>
        <w:rPr>
          <w:rFonts w:ascii="Arial" w:hAnsi="Arial" w:cs="Arial"/>
          <w:sz w:val="22"/>
          <w:szCs w:val="22"/>
        </w:rPr>
      </w:pPr>
    </w:p>
    <w:p w14:paraId="540C7731" w14:textId="77777777" w:rsidR="009939CB" w:rsidRPr="00EF1940" w:rsidRDefault="009939CB" w:rsidP="00EF1940">
      <w:pPr>
        <w:spacing w:line="360" w:lineRule="auto"/>
        <w:jc w:val="both"/>
        <w:rPr>
          <w:rFonts w:ascii="Arial" w:hAnsi="Arial" w:cs="Arial"/>
          <w:sz w:val="22"/>
          <w:szCs w:val="22"/>
        </w:rPr>
      </w:pPr>
    </w:p>
    <w:p w14:paraId="6C68559C" w14:textId="77777777" w:rsidR="009939CB" w:rsidRPr="00EF1940" w:rsidRDefault="009939CB" w:rsidP="00EF1940">
      <w:pPr>
        <w:spacing w:line="360" w:lineRule="auto"/>
        <w:jc w:val="both"/>
        <w:rPr>
          <w:rFonts w:ascii="Arial" w:hAnsi="Arial" w:cs="Arial"/>
          <w:sz w:val="22"/>
          <w:szCs w:val="22"/>
        </w:rPr>
      </w:pPr>
    </w:p>
    <w:p w14:paraId="6968AD20" w14:textId="77777777" w:rsidR="009939CB" w:rsidRPr="00EF1940" w:rsidRDefault="009939CB" w:rsidP="00EF1940">
      <w:pPr>
        <w:spacing w:line="360" w:lineRule="auto"/>
        <w:jc w:val="both"/>
        <w:rPr>
          <w:rFonts w:ascii="Arial" w:hAnsi="Arial" w:cs="Arial"/>
          <w:sz w:val="22"/>
          <w:szCs w:val="22"/>
        </w:rPr>
      </w:pPr>
    </w:p>
    <w:p w14:paraId="301EC82D" w14:textId="77777777" w:rsidR="009939CB" w:rsidRPr="00EF1940" w:rsidRDefault="009939CB" w:rsidP="00EF1940">
      <w:pPr>
        <w:spacing w:line="360" w:lineRule="auto"/>
        <w:jc w:val="both"/>
        <w:rPr>
          <w:rFonts w:ascii="Arial" w:hAnsi="Arial" w:cs="Arial"/>
          <w:sz w:val="22"/>
          <w:szCs w:val="22"/>
        </w:rPr>
      </w:pPr>
    </w:p>
    <w:p w14:paraId="109E6541" w14:textId="77777777" w:rsidR="009939CB" w:rsidRPr="00EF1940" w:rsidRDefault="009939CB" w:rsidP="00EF1940">
      <w:pPr>
        <w:spacing w:line="360" w:lineRule="auto"/>
        <w:jc w:val="both"/>
        <w:rPr>
          <w:rFonts w:ascii="Arial" w:hAnsi="Arial" w:cs="Arial"/>
          <w:sz w:val="22"/>
          <w:szCs w:val="22"/>
        </w:rPr>
      </w:pPr>
    </w:p>
    <w:p w14:paraId="20EB4702" w14:textId="77777777" w:rsidR="009939CB" w:rsidRPr="00EF1940" w:rsidRDefault="009939CB" w:rsidP="00EF1940">
      <w:pPr>
        <w:spacing w:line="360" w:lineRule="auto"/>
        <w:jc w:val="both"/>
        <w:rPr>
          <w:rFonts w:ascii="Arial" w:hAnsi="Arial" w:cs="Arial"/>
          <w:sz w:val="22"/>
          <w:szCs w:val="22"/>
        </w:rPr>
      </w:pPr>
    </w:p>
    <w:p w14:paraId="66EFA224" w14:textId="77777777" w:rsidR="009939CB" w:rsidRPr="00EF1940" w:rsidRDefault="009939CB" w:rsidP="00EF1940">
      <w:pPr>
        <w:spacing w:line="360" w:lineRule="auto"/>
        <w:jc w:val="both"/>
        <w:rPr>
          <w:rFonts w:ascii="Arial" w:hAnsi="Arial" w:cs="Arial"/>
          <w:sz w:val="22"/>
          <w:szCs w:val="22"/>
        </w:rPr>
      </w:pPr>
    </w:p>
    <w:p w14:paraId="4279AD63" w14:textId="77777777" w:rsidR="009939CB" w:rsidRPr="00EF1940" w:rsidRDefault="009939CB" w:rsidP="00EF1940">
      <w:pPr>
        <w:spacing w:line="360" w:lineRule="auto"/>
        <w:jc w:val="both"/>
        <w:rPr>
          <w:rFonts w:ascii="Arial" w:hAnsi="Arial" w:cs="Arial"/>
          <w:sz w:val="22"/>
          <w:szCs w:val="22"/>
        </w:rPr>
      </w:pPr>
    </w:p>
    <w:p w14:paraId="362EE657" w14:textId="77777777" w:rsidR="00EF1940" w:rsidRPr="00EF1940" w:rsidRDefault="00EF1940" w:rsidP="00EF1940">
      <w:pPr>
        <w:spacing w:line="360" w:lineRule="auto"/>
        <w:jc w:val="both"/>
        <w:rPr>
          <w:rFonts w:ascii="Arial" w:hAnsi="Arial" w:cs="Arial"/>
          <w:sz w:val="22"/>
          <w:szCs w:val="22"/>
        </w:rPr>
      </w:pPr>
    </w:p>
    <w:p w14:paraId="0E178844" w14:textId="77777777" w:rsidR="00EF1940" w:rsidRPr="00EF1940" w:rsidRDefault="00EF1940" w:rsidP="00EF1940">
      <w:pPr>
        <w:spacing w:line="360" w:lineRule="auto"/>
        <w:jc w:val="both"/>
        <w:rPr>
          <w:rFonts w:ascii="Arial" w:hAnsi="Arial" w:cs="Arial"/>
          <w:sz w:val="22"/>
          <w:szCs w:val="22"/>
        </w:rPr>
      </w:pPr>
    </w:p>
    <w:p w14:paraId="3EA8A332" w14:textId="77777777" w:rsidR="00EF1940" w:rsidRPr="00EF1940" w:rsidRDefault="00EF1940" w:rsidP="00EF1940">
      <w:pPr>
        <w:spacing w:line="360" w:lineRule="auto"/>
        <w:jc w:val="both"/>
        <w:rPr>
          <w:rFonts w:ascii="Arial" w:hAnsi="Arial" w:cs="Arial"/>
          <w:sz w:val="22"/>
          <w:szCs w:val="22"/>
        </w:rPr>
      </w:pPr>
    </w:p>
    <w:p w14:paraId="45FAEE24" w14:textId="77777777" w:rsidR="00EF1940" w:rsidRPr="00EF1940" w:rsidRDefault="00EF1940" w:rsidP="00EF1940">
      <w:pPr>
        <w:spacing w:line="360" w:lineRule="auto"/>
        <w:jc w:val="both"/>
        <w:rPr>
          <w:rFonts w:ascii="Arial" w:hAnsi="Arial" w:cs="Arial"/>
          <w:sz w:val="22"/>
          <w:szCs w:val="22"/>
        </w:rPr>
      </w:pPr>
    </w:p>
    <w:p w14:paraId="694149C0" w14:textId="77777777" w:rsidR="00EF1940" w:rsidRPr="00EF1940" w:rsidRDefault="00EF1940" w:rsidP="00EF1940">
      <w:pPr>
        <w:spacing w:line="360" w:lineRule="auto"/>
        <w:jc w:val="both"/>
        <w:rPr>
          <w:rFonts w:ascii="Arial" w:hAnsi="Arial" w:cs="Arial"/>
          <w:sz w:val="22"/>
          <w:szCs w:val="22"/>
        </w:rPr>
      </w:pPr>
    </w:p>
    <w:p w14:paraId="79D1CF2C" w14:textId="77777777" w:rsidR="00EF1940" w:rsidRPr="00EF1940" w:rsidRDefault="00EF1940" w:rsidP="00EF1940">
      <w:pPr>
        <w:spacing w:line="360" w:lineRule="auto"/>
        <w:jc w:val="both"/>
        <w:rPr>
          <w:rFonts w:ascii="Arial" w:hAnsi="Arial" w:cs="Arial"/>
          <w:sz w:val="22"/>
          <w:szCs w:val="22"/>
        </w:rPr>
      </w:pPr>
    </w:p>
    <w:p w14:paraId="56620168" w14:textId="77777777" w:rsidR="00EF1940" w:rsidRPr="00EF1940" w:rsidRDefault="00EF1940" w:rsidP="00EF1940">
      <w:pPr>
        <w:spacing w:line="360" w:lineRule="auto"/>
        <w:jc w:val="both"/>
        <w:rPr>
          <w:rFonts w:ascii="Arial" w:hAnsi="Arial" w:cs="Arial"/>
          <w:sz w:val="22"/>
          <w:szCs w:val="22"/>
        </w:rPr>
      </w:pPr>
    </w:p>
    <w:p w14:paraId="1CA80A1D" w14:textId="77777777" w:rsidR="00EF1940" w:rsidRPr="00EF1940" w:rsidRDefault="00EF1940" w:rsidP="00EF1940">
      <w:pPr>
        <w:spacing w:line="360" w:lineRule="auto"/>
        <w:jc w:val="both"/>
        <w:rPr>
          <w:rFonts w:ascii="Arial" w:hAnsi="Arial" w:cs="Arial"/>
          <w:sz w:val="22"/>
          <w:szCs w:val="22"/>
        </w:rPr>
      </w:pPr>
    </w:p>
    <w:p w14:paraId="7CAC0285" w14:textId="77777777" w:rsidR="00EF1940" w:rsidRPr="00EF1940" w:rsidRDefault="00EF1940" w:rsidP="00EF1940">
      <w:pPr>
        <w:spacing w:line="360" w:lineRule="auto"/>
        <w:jc w:val="both"/>
        <w:rPr>
          <w:rFonts w:ascii="Arial" w:hAnsi="Arial" w:cs="Arial"/>
          <w:sz w:val="22"/>
          <w:szCs w:val="22"/>
        </w:rPr>
      </w:pPr>
    </w:p>
    <w:p w14:paraId="34B6ED4F" w14:textId="77777777" w:rsidR="00EF1940" w:rsidRPr="00EF1940" w:rsidRDefault="00EF1940" w:rsidP="00EF1940">
      <w:pPr>
        <w:spacing w:line="360" w:lineRule="auto"/>
        <w:jc w:val="both"/>
        <w:rPr>
          <w:rFonts w:ascii="Arial" w:hAnsi="Arial" w:cs="Arial"/>
          <w:sz w:val="22"/>
          <w:szCs w:val="22"/>
        </w:rPr>
      </w:pPr>
    </w:p>
    <w:p w14:paraId="61737D90" w14:textId="77777777" w:rsidR="00EF1940" w:rsidRPr="00EF1940" w:rsidRDefault="00EF1940" w:rsidP="00EF1940">
      <w:pPr>
        <w:spacing w:line="360" w:lineRule="auto"/>
        <w:jc w:val="both"/>
        <w:rPr>
          <w:rFonts w:ascii="Arial" w:hAnsi="Arial" w:cs="Arial"/>
          <w:sz w:val="22"/>
          <w:szCs w:val="22"/>
        </w:rPr>
      </w:pPr>
    </w:p>
    <w:p w14:paraId="1CB686A7" w14:textId="77777777" w:rsidR="00EF1940" w:rsidRPr="00EF1940" w:rsidRDefault="00EF1940" w:rsidP="00EF1940">
      <w:pPr>
        <w:spacing w:line="360" w:lineRule="auto"/>
        <w:jc w:val="both"/>
        <w:rPr>
          <w:rFonts w:ascii="Arial" w:hAnsi="Arial" w:cs="Arial"/>
          <w:sz w:val="22"/>
          <w:szCs w:val="22"/>
        </w:rPr>
      </w:pPr>
    </w:p>
    <w:p w14:paraId="38AE43BF" w14:textId="26A4D61B"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 CONCLUSION AND RECOMMENDATIONS</w:t>
      </w:r>
    </w:p>
    <w:p w14:paraId="1069B661"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5.1 Chapter introduction </w:t>
      </w:r>
    </w:p>
    <w:p w14:paraId="42865F5C"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last chapter summarizes the output of the systematic review into recommendations and closes the dissertation. The purpose of the review was to assess the influence of adverse childhood experiences (ACEs) on the psychological and behavioural wellbeing of youths between the age groups of 10 and 25 years in the UK. Chapter 4 concentrated on three major themes, including the externalising behaviours, internalising symptoms, and the protective factors. These were then combined into a model that demonstrated the interaction between biological, social, and environmental factors in Chapter 5 with the support of relationships and structural supports. The chapter expands on that model by proposing policy and practice recommendations, priorities in the research, and the contributions and limitations of the study.</w:t>
      </w:r>
    </w:p>
    <w:p w14:paraId="38052823" w14:textId="77777777" w:rsidR="00D777DE" w:rsidRPr="00EF1940" w:rsidRDefault="00D777DE" w:rsidP="00EF1940">
      <w:pPr>
        <w:spacing w:line="360" w:lineRule="auto"/>
        <w:jc w:val="both"/>
        <w:rPr>
          <w:rFonts w:ascii="Arial" w:hAnsi="Arial" w:cs="Arial"/>
          <w:sz w:val="22"/>
          <w:szCs w:val="22"/>
        </w:rPr>
      </w:pPr>
    </w:p>
    <w:p w14:paraId="38E186C7"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review established that there was a strong correlation between ACEs and negative outcomes. Youth who had been subjected to at least four adversities were two to six times more prone to anxiety, depression, self-harm or substance abuse. Such conclusions were made in large-scale studies, which include considering the social and economic disparities. Qualitative information revealed the harmfulness of trauma to identity and trust, postponing help-seeking. There was a high impact of protective factors on depression, self-harm, and suicide attempts as parental affection, peer support, and trauma-informed care were found to reduce risks. Stress was also minimised by exercise and financial stability. These results collectively address the objectives of the study and inform policy and interventions in the future.</w:t>
      </w:r>
    </w:p>
    <w:p w14:paraId="3EFC65BF"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5.2 Achievement of aim and objectives</w:t>
      </w:r>
    </w:p>
    <w:p w14:paraId="73D827FA"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primary objective of the study was to examine the impact of Adverse Childhood Experiences (ACEs) on the psychological, emotional, and behavioural consequences of young adults between the age of 10 and 25 in the United Kingdom and how these factors were likely to raise or decrease these consequences. This section provides an overview of the way each of the objectives was met by referring to the results of Chapter 4.</w:t>
      </w:r>
    </w:p>
    <w:p w14:paraId="4682889F"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lastRenderedPageBreak/>
        <w:t>Find out the psychological, emotional, and behavioural consequences of ACEs among the youths.</w:t>
      </w:r>
    </w:p>
    <w:p w14:paraId="18C01DB2"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This goal was met to the latter. Four studies have provided quantitative evidence indicating obvious correlations between the level of adversity exposure and internalising consequences including anxiety, depression, and self-harm. It also demonstrated interconnections with externalising behaviours such as substance use, aggression and taking risks. These findings are in line with the toxic-stress and social-learning accounts presented in 4.3 and 4.4.</w:t>
      </w:r>
    </w:p>
    <w:p w14:paraId="1D3FF8A7"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Look at moderators and factors of resilience to these outcomes.</w:t>
      </w:r>
    </w:p>
    <w:p w14:paraId="3A32E0FB"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Chandrasekar (2024), Smith (2023), and Bellis (2019) discovered that they were at risk if they were female, were sexual minorities, and lived in socioeconomic deprivation and were less likely to be at risk when parents were warm, they felt a sense of belonging with their peers and were supported by trauma-informed care. Despite restrained testing of moderators, the data were invariably consistent in supporting the relationship and environment protective effects against the impact of adversity as explained in Section 4.5.</w:t>
      </w:r>
    </w:p>
    <w:p w14:paraId="4CEDCD82" w14:textId="44F18A92"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various </w:t>
      </w:r>
      <w:r w:rsidR="00E5674C" w:rsidRPr="00EF1940">
        <w:rPr>
          <w:rFonts w:ascii="Arial" w:hAnsi="Arial" w:cs="Arial"/>
          <w:sz w:val="22"/>
          <w:szCs w:val="22"/>
        </w:rPr>
        <w:t>lived experiences</w:t>
      </w:r>
      <w:r w:rsidRPr="00EF1940">
        <w:rPr>
          <w:rFonts w:ascii="Arial" w:hAnsi="Arial" w:cs="Arial"/>
          <w:sz w:val="22"/>
          <w:szCs w:val="22"/>
        </w:rPr>
        <w:t xml:space="preserve"> seek to contextualise quantitative data.</w:t>
      </w:r>
    </w:p>
    <w:p w14:paraId="59F1C346"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Avery (2025) and Jones (2022) have provided qualitative data that illustrated personal experience of adversity, demonstrating how the youngsters managed the problems of shame, identity crisis, and recovery with the help of stable and care-governing relationships. These anecdotes were used to interpret the more underlying processes of the quantitative results.</w:t>
      </w:r>
    </w:p>
    <w:p w14:paraId="2ADD4679"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The findings to be integrated to contribute to trauma-informed policy and practice.</w:t>
      </w:r>
    </w:p>
    <w:p w14:paraId="05E554F8"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Section 4.7 model of the biological, behavioural and social factors has integrated the results, demonstrating that secure relationships, supportive peers, and fair systems may break the adverse impact of toxic stress. In general, the four objectives were met, which fulfilled the purpose of the study, and offered a clear and evidence-based knowledge that can be used to drive trauma-informed policies and interventions in the UK. This qualitative and quantitative evidence demonstrates that both methods must be used to develop well-rounded and effective trauma-informed strategies.</w:t>
      </w:r>
    </w:p>
    <w:p w14:paraId="49F96CBC"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5.3 Recommendations for practice</w:t>
      </w:r>
    </w:p>
    <w:p w14:paraId="00CD3C72" w14:textId="3F203125"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results have a direct implication on mental-health nursing and other related professionals. To begin with, the standard inquiry into ACEs needs to be accompanied by trauma-informed responses in the form of safety focus, choice and collaboration to avoid re-traumatisation (Stevens, Murdoch &amp; Barnes 2020). Second, it can be amended by integrating the structured parental-warmth interventions i.e. the family-based psychoeducation and parenting </w:t>
      </w:r>
      <w:r w:rsidRPr="00EF1940">
        <w:rPr>
          <w:rFonts w:ascii="Arial" w:hAnsi="Arial" w:cs="Arial"/>
          <w:sz w:val="22"/>
          <w:szCs w:val="22"/>
        </w:rPr>
        <w:lastRenderedPageBreak/>
        <w:t xml:space="preserve">programmes that can lower subsequent depression and anxiety in high-risk youth. Third, the protective power of friendships networks in peer-support groups facilitated by trained professionals can be used to harness the power of friendship networks and provide validation and coping strategies. Fourth, the services should embrace integrated care pathways to facilitate smooth transfer of care between the child and adult mental-health </w:t>
      </w:r>
      <w:r w:rsidR="00E5674C" w:rsidRPr="00EF1940">
        <w:rPr>
          <w:rFonts w:ascii="Arial" w:hAnsi="Arial" w:cs="Arial"/>
          <w:sz w:val="22"/>
          <w:szCs w:val="22"/>
        </w:rPr>
        <w:t>teams and</w:t>
      </w:r>
      <w:r w:rsidRPr="00EF1940">
        <w:rPr>
          <w:rFonts w:ascii="Arial" w:hAnsi="Arial" w:cs="Arial"/>
          <w:sz w:val="22"/>
          <w:szCs w:val="22"/>
        </w:rPr>
        <w:t xml:space="preserve"> reduce disengagement at essential developmental stages. Lastly, lifestyle buffers through promotion of physical activities and unconventional outlets in the community setting can be used to tune stress physiology. The practices to be put in place to achieve this entail workforce education in ACE awareness, family and peer intervention and cross-sectoral health, education and social-care collaborations.</w:t>
      </w:r>
    </w:p>
    <w:p w14:paraId="5C949437"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5.4 Recommendations for policy</w:t>
      </w:r>
    </w:p>
    <w:p w14:paraId="4B06E1AA" w14:textId="0B5F395A"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data highlights the necessity to implement policy actions that can enable the integration of the principles of trauma-informed care into the service sectors. The policymakers of health and education must make ACE screening in schools and primary care mandatory and ensure that there are clear referral channels to specialist assistance. The funding systems should promote multiagency coordination so that the social care, education and health services can be able to share information and make interventions in vulnerable families. Family-centred programmes to encourage parental affection and ensure </w:t>
      </w:r>
      <w:r w:rsidR="00E5674C" w:rsidRPr="00EF1940">
        <w:rPr>
          <w:rFonts w:ascii="Arial" w:hAnsi="Arial" w:cs="Arial"/>
          <w:sz w:val="22"/>
          <w:szCs w:val="22"/>
        </w:rPr>
        <w:t>attachments and</w:t>
      </w:r>
      <w:r w:rsidRPr="00EF1940">
        <w:rPr>
          <w:rFonts w:ascii="Arial" w:hAnsi="Arial" w:cs="Arial"/>
          <w:sz w:val="22"/>
          <w:szCs w:val="22"/>
        </w:rPr>
        <w:t xml:space="preserve"> normalise peer-support programmes in youth centres should be approved on a national level. Material foundations will be further cushioned by economic policies that deal with child poverty and housing instability. Such policy measures built into the NHS Long Term Plan and school health initiatives might produce significant public-health outcomes and decrease the disparities in mental-health inequalities in the long-term.</w:t>
      </w:r>
    </w:p>
    <w:p w14:paraId="620C1A56"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5.5 Limitations of the study</w:t>
      </w:r>
    </w:p>
    <w:p w14:paraId="055B3E72" w14:textId="16B55B80"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review has </w:t>
      </w:r>
      <w:r w:rsidR="00E5674C" w:rsidRPr="00EF1940">
        <w:rPr>
          <w:rFonts w:ascii="Arial" w:hAnsi="Arial" w:cs="Arial"/>
          <w:sz w:val="22"/>
          <w:szCs w:val="22"/>
        </w:rPr>
        <w:t>several</w:t>
      </w:r>
      <w:r w:rsidRPr="00EF1940">
        <w:rPr>
          <w:rFonts w:ascii="Arial" w:hAnsi="Arial" w:cs="Arial"/>
          <w:sz w:val="22"/>
          <w:szCs w:val="22"/>
        </w:rPr>
        <w:t xml:space="preserve"> limitations, regardless of its methodological rigour. To begin with, search restrictions to English language and UK setting could have left out of the sample study that is relevant to devolved countries or non-English-speaking target groups, which reduces transferability. Second, n=6 studies have been included, the evidence base is narrow and heterogeneous in design, ACE measures and outcome definitions, which does not allow to carry out a meta-analysis and makes the interpretation of the results less generalisable. Third, four quantitative studies were based on retrospective self-reported childhood adversity, which added recall bias, which can overstate relationships. Fourth, the study designs were mainly cross-sectional (4/6), which makes it impossible to clearly define the temporal direction of effects. Fifth, single-reviewer screening and extraction (with 30% supervisor verification) is associated with a chance of selection or transcription error. Sixth, the results of the study could </w:t>
      </w:r>
      <w:r w:rsidRPr="00EF1940">
        <w:rPr>
          <w:rFonts w:ascii="Arial" w:hAnsi="Arial" w:cs="Arial"/>
          <w:sz w:val="22"/>
          <w:szCs w:val="22"/>
        </w:rPr>
        <w:lastRenderedPageBreak/>
        <w:t>be biased by publication bias whereby studies that present significant relationships have higher chances of being published than those that do not. Lastly, moderators were formally tested only in two studies, which limited the understanding of the functioning of protective factors by subgroups. It is important to note that these limitations highlight the necessity of bigger prospective UK cohorts that were measured using standardised ACE instruments and more stringent mixed-method synthesis in future studies. Irrespective of these limitations, cross-methodological triangulation enhanced the trustworthiness of the noted relationships.</w:t>
      </w:r>
    </w:p>
    <w:p w14:paraId="18774FCB"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5.6 Future research</w:t>
      </w:r>
    </w:p>
    <w:p w14:paraId="343CD0F3" w14:textId="42AD9A6B"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There were multiple evidence gaps in the UK that should be filled in the future. First, there is a need to agree the temporal pathways by employing large-scale prospective cohorts with standardised ACE instruments to reduce the burden of retrospective recall. Second, the intersectional analyses are supposed to explore the effects of ethnicity, sexual orientation and socio-economic status on ACE outcomes and resilience together. Third, causality in relational interventions will be tested using rigorous mixed-method trials of the interventions including family-focused psychoeducation and peer-support programmes that will be informative </w:t>
      </w:r>
      <w:r w:rsidR="00E5674C" w:rsidRPr="00EF1940">
        <w:rPr>
          <w:rFonts w:ascii="Arial" w:hAnsi="Arial" w:cs="Arial"/>
          <w:sz w:val="22"/>
          <w:szCs w:val="22"/>
        </w:rPr>
        <w:t>in-service</w:t>
      </w:r>
      <w:r w:rsidRPr="00EF1940">
        <w:rPr>
          <w:rFonts w:ascii="Arial" w:hAnsi="Arial" w:cs="Arial"/>
          <w:sz w:val="22"/>
          <w:szCs w:val="22"/>
        </w:rPr>
        <w:t xml:space="preserve"> design. Fourth, there are biomarker analyses carried out with cortisol or inflammatory markers that would confirm the biological entrenchment of stress. Fifth, trauma-informed and resilience-building efforts must be evaluated economically to direct resource distribution in the NHS and social care. Lastly, there is an opportunity to consider digital health platforms, which provide ACE screening and early support, as potentially acceptable, effective, and equitable while working with different youth groups in the UK.</w:t>
      </w:r>
    </w:p>
    <w:p w14:paraId="1C28C894"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5.7 Overall conclusion</w:t>
      </w:r>
    </w:p>
    <w:p w14:paraId="63A3A87C" w14:textId="77777777"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This is the concluding chapter that has summarized the findings and implications of the systematic review. ACEs have significant and lasting implications on psychological, emotional and behavioural well-being in youth in the UK, and there are apparent dose-response relations in the variables of anxiety, depression, self-harm and substance consumption. Nevertheless, relational safety, peer cohesion, trauma-informed care, healthy lifestyles, and material stability can be measured to provide protection. Response should be effective, therefore, through coordinated practice, policy and research interventions: making ACE enquiry routine, investing in family and peer intervention, institutionalization of trauma-informed standards, and prospective and intersectional, economic research.</w:t>
      </w:r>
    </w:p>
    <w:p w14:paraId="2ECDC81D" w14:textId="18838B45" w:rsidR="00D777DE" w:rsidRPr="00EF1940" w:rsidRDefault="00D777DE" w:rsidP="00EF1940">
      <w:pPr>
        <w:spacing w:line="360" w:lineRule="auto"/>
        <w:jc w:val="both"/>
        <w:rPr>
          <w:rFonts w:ascii="Arial" w:hAnsi="Arial" w:cs="Arial"/>
          <w:sz w:val="22"/>
          <w:szCs w:val="22"/>
        </w:rPr>
      </w:pPr>
      <w:r w:rsidRPr="00EF1940">
        <w:rPr>
          <w:rFonts w:ascii="Arial" w:hAnsi="Arial" w:cs="Arial"/>
          <w:sz w:val="22"/>
          <w:szCs w:val="22"/>
        </w:rPr>
        <w:t xml:space="preserve">The method used to carry out this systematic review strengthened the role of methodological rigour, transparency and reflexivity in secondary research. It also increased the understanding of how complicated trauma and resilience are, and it is important to use compassionate evidence-based practice. Altogether, this research paper can add to the current professional </w:t>
      </w:r>
      <w:r w:rsidRPr="00EF1940">
        <w:rPr>
          <w:rFonts w:ascii="Arial" w:hAnsi="Arial" w:cs="Arial"/>
          <w:sz w:val="22"/>
          <w:szCs w:val="22"/>
        </w:rPr>
        <w:lastRenderedPageBreak/>
        <w:t>and policy debates by transforming empirical evidence into practical preventive, early-intervention and mental-health equity strategies. The purpose of the review is to inform and guide the UK services and policymakers by synthesising the existing evidence into a logical model and specific recommendations to enhance resilience and decrease the impact of adversity in childhood.</w:t>
      </w:r>
    </w:p>
    <w:sectPr w:rsidR="00D777DE" w:rsidRPr="00EF1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7DE"/>
    <w:rsid w:val="00342493"/>
    <w:rsid w:val="003F28ED"/>
    <w:rsid w:val="004F164D"/>
    <w:rsid w:val="006A3385"/>
    <w:rsid w:val="007A2DA8"/>
    <w:rsid w:val="009939CB"/>
    <w:rsid w:val="00BA0428"/>
    <w:rsid w:val="00C42856"/>
    <w:rsid w:val="00D777DE"/>
    <w:rsid w:val="00E5674C"/>
    <w:rsid w:val="00EF1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A7C049"/>
  <w15:chartTrackingRefBased/>
  <w15:docId w15:val="{9752BD04-E262-4C22-8A8E-8BF2A985B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7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7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7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7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7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7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7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7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7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7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7DE"/>
    <w:rPr>
      <w:rFonts w:eastAsiaTheme="majorEastAsia" w:cstheme="majorBidi"/>
      <w:color w:val="272727" w:themeColor="text1" w:themeTint="D8"/>
    </w:rPr>
  </w:style>
  <w:style w:type="paragraph" w:styleId="Title">
    <w:name w:val="Title"/>
    <w:basedOn w:val="Normal"/>
    <w:next w:val="Normal"/>
    <w:link w:val="TitleChar"/>
    <w:uiPriority w:val="10"/>
    <w:qFormat/>
    <w:rsid w:val="00D77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7DE"/>
    <w:pPr>
      <w:spacing w:before="160"/>
      <w:jc w:val="center"/>
    </w:pPr>
    <w:rPr>
      <w:i/>
      <w:iCs/>
      <w:color w:val="404040" w:themeColor="text1" w:themeTint="BF"/>
    </w:rPr>
  </w:style>
  <w:style w:type="character" w:customStyle="1" w:styleId="QuoteChar">
    <w:name w:val="Quote Char"/>
    <w:basedOn w:val="DefaultParagraphFont"/>
    <w:link w:val="Quote"/>
    <w:uiPriority w:val="29"/>
    <w:rsid w:val="00D777DE"/>
    <w:rPr>
      <w:i/>
      <w:iCs/>
      <w:color w:val="404040" w:themeColor="text1" w:themeTint="BF"/>
    </w:rPr>
  </w:style>
  <w:style w:type="paragraph" w:styleId="ListParagraph">
    <w:name w:val="List Paragraph"/>
    <w:basedOn w:val="Normal"/>
    <w:uiPriority w:val="34"/>
    <w:qFormat/>
    <w:rsid w:val="00D777DE"/>
    <w:pPr>
      <w:ind w:left="720"/>
      <w:contextualSpacing/>
    </w:pPr>
  </w:style>
  <w:style w:type="character" w:styleId="IntenseEmphasis">
    <w:name w:val="Intense Emphasis"/>
    <w:basedOn w:val="DefaultParagraphFont"/>
    <w:uiPriority w:val="21"/>
    <w:qFormat/>
    <w:rsid w:val="00D777DE"/>
    <w:rPr>
      <w:i/>
      <w:iCs/>
      <w:color w:val="0F4761" w:themeColor="accent1" w:themeShade="BF"/>
    </w:rPr>
  </w:style>
  <w:style w:type="paragraph" w:styleId="IntenseQuote">
    <w:name w:val="Intense Quote"/>
    <w:basedOn w:val="Normal"/>
    <w:next w:val="Normal"/>
    <w:link w:val="IntenseQuoteChar"/>
    <w:uiPriority w:val="30"/>
    <w:qFormat/>
    <w:rsid w:val="00D777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7DE"/>
    <w:rPr>
      <w:i/>
      <w:iCs/>
      <w:color w:val="0F4761" w:themeColor="accent1" w:themeShade="BF"/>
    </w:rPr>
  </w:style>
  <w:style w:type="character" w:styleId="IntenseReference">
    <w:name w:val="Intense Reference"/>
    <w:basedOn w:val="DefaultParagraphFont"/>
    <w:uiPriority w:val="32"/>
    <w:qFormat/>
    <w:rsid w:val="00D777DE"/>
    <w:rPr>
      <w:b/>
      <w:bCs/>
      <w:smallCaps/>
      <w:color w:val="0F4761" w:themeColor="accent1" w:themeShade="BF"/>
      <w:spacing w:val="5"/>
    </w:rPr>
  </w:style>
  <w:style w:type="table" w:styleId="TableGrid">
    <w:name w:val="Table Grid"/>
    <w:basedOn w:val="TableNormal"/>
    <w:uiPriority w:val="59"/>
    <w:rsid w:val="006A3385"/>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5457</Words>
  <Characters>33076</Characters>
  <Application>Microsoft Office Word</Application>
  <DocSecurity>0</DocSecurity>
  <Lines>918</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Agada (2224942)</dc:creator>
  <cp:keywords/>
  <dc:description/>
  <cp:lastModifiedBy>Deborah Agada (2224942)</cp:lastModifiedBy>
  <cp:revision>2</cp:revision>
  <dcterms:created xsi:type="dcterms:W3CDTF">2025-11-17T22:05:00Z</dcterms:created>
  <dcterms:modified xsi:type="dcterms:W3CDTF">2025-11-17T22:05:00Z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ebc9b0ff-4cdb-40ea-a089-8630cc94eeb7</vt:lpwstr>
  </property>
</Properties>
</file>