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44814218"/>
        <w:docPartObj>
          <w:docPartGallery w:val="Cover Pages"/>
          <w:docPartUnique/>
        </w:docPartObj>
      </w:sdtPr>
      <w:sdtEndPr>
        <w:rPr>
          <w:rFonts w:ascii="Arial" w:eastAsia="Arial" w:hAnsi="Arial" w:cs="Arial"/>
          <w:b/>
          <w:bCs/>
          <w:sz w:val="30"/>
          <w:szCs w:val="30"/>
        </w:rPr>
      </w:sdtEndPr>
      <w:sdtContent>
        <w:p w14:paraId="2243F331" w14:textId="79C1F056" w:rsidR="000133C6" w:rsidRPr="000133C6" w:rsidRDefault="000133C6">
          <w:r w:rsidRPr="000133C6">
            <w:rPr>
              <w:noProof/>
            </w:rPr>
            <mc:AlternateContent>
              <mc:Choice Requires="wpg">
                <w:drawing>
                  <wp:anchor distT="0" distB="0" distL="114300" distR="114300" simplePos="0" relativeHeight="251661312" behindDoc="1" locked="0" layoutInCell="1" allowOverlap="1" wp14:anchorId="202E1C37" wp14:editId="6D9F5D66">
                    <wp:simplePos x="0" y="0"/>
                    <wp:positionH relativeFrom="page">
                      <wp:posOffset>438150</wp:posOffset>
                    </wp:positionH>
                    <wp:positionV relativeFrom="page">
                      <wp:posOffset>495300</wp:posOffset>
                    </wp:positionV>
                    <wp:extent cx="6864824" cy="9123528"/>
                    <wp:effectExtent l="0" t="0" r="2540" b="635"/>
                    <wp:wrapNone/>
                    <wp:docPr id="1" name="Group 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2" name="Rectangle 2"/>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086D25" w14:textId="77777777" w:rsidR="000133C6" w:rsidRPr="002F183C" w:rsidRDefault="000133C6" w:rsidP="000133C6">
                                  <w:pPr>
                                    <w:pStyle w:val="NoSpacing"/>
                                    <w:spacing w:before="120"/>
                                    <w:jc w:val="center"/>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w:t>
                                  </w:r>
                                </w:p>
                                <w:p w14:paraId="2E0D1955" w14:textId="3C8DB93F" w:rsidR="000133C6" w:rsidRPr="002F183C" w:rsidRDefault="000133C6" w:rsidP="000133C6">
                                  <w:pPr>
                                    <w:pStyle w:val="NoSpacing"/>
                                    <w:spacing w:before="120"/>
                                    <w:jc w:val="center"/>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 xml:space="preserve"> Wales Trinity Saint David</w:t>
                                  </w:r>
                                </w:p>
                                <w:p w14:paraId="47919F94" w14:textId="77777777" w:rsidR="000133C6" w:rsidRDefault="000133C6" w:rsidP="000133C6">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4" name="Text Box 4"/>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A69A1B5" w14:textId="50230F03" w:rsidR="000133C6" w:rsidRDefault="000133C6" w:rsidP="000133C6">
                                  <w:pPr>
                                    <w:pStyle w:val="Heading1"/>
                                    <w:jc w:val="center"/>
                                  </w:pPr>
                                  <w:r w:rsidRPr="000133C6">
                                    <w:rPr>
                                      <w:rFonts w:ascii="Times New Roman" w:eastAsia="Times New Roman" w:hAnsi="Times New Roman" w:cs="Times New Roman"/>
                                      <w:b/>
                                      <w:bCs/>
                                      <w:sz w:val="56"/>
                                      <w:szCs w:val="56"/>
                                    </w:rPr>
                                    <w:t>Data Security, Governance &amp; Compliance</w:t>
                                  </w:r>
                                  <w:r>
                                    <w:rPr>
                                      <w:rFonts w:ascii="Times New Roman" w:eastAsia="Times New Roman" w:hAnsi="Times New Roman" w:cs="Times New Roman"/>
                                      <w:b/>
                                      <w:bCs/>
                                      <w:sz w:val="28"/>
                                      <w:szCs w:val="28"/>
                                    </w:rPr>
                                    <w:br/>
                                  </w:r>
                                  <w:r w:rsidRPr="005F088A">
                                    <w:rPr>
                                      <w:rFonts w:ascii="Times New Roman" w:eastAsia="Times New Roman" w:hAnsi="Times New Roman" w:cs="Times New Roman"/>
                                      <w:b/>
                                      <w:bCs/>
                                      <w:sz w:val="28"/>
                                      <w:szCs w:val="28"/>
                                    </w:rPr>
                                    <w:t>Module</w:t>
                                  </w:r>
                                  <w:r>
                                    <w:rPr>
                                      <w:b/>
                                      <w:caps/>
                                      <w:color w:val="156082" w:themeColor="accent1"/>
                                      <w:sz w:val="28"/>
                                      <w:szCs w:val="28"/>
                                    </w:rPr>
                                    <w:t xml:space="preserve">: </w:t>
                                  </w:r>
                                  <w:r>
                                    <w:t>Data Security, Governance and Compliance (ACCA7028</w:t>
                                  </w:r>
                                  <w:proofErr w:type="gramStart"/>
                                  <w:r>
                                    <w:t>)</w:t>
                                  </w:r>
                                  <w:proofErr w:type="gramEnd"/>
                                  <w:r>
                                    <w:br/>
                                  </w:r>
                                  <w:r w:rsidRPr="005F088A">
                                    <w:rPr>
                                      <w:rFonts w:ascii="Times New Roman" w:eastAsia="Times New Roman" w:hAnsi="Times New Roman" w:cs="Times New Roman"/>
                                      <w:b/>
                                      <w:bCs/>
                                      <w:sz w:val="28"/>
                                      <w:szCs w:val="28"/>
                                    </w:rPr>
                                    <w:t>Programme:</w:t>
                                  </w:r>
                                  <w:r w:rsidRPr="005F088A">
                                    <w:rPr>
                                      <w:rFonts w:ascii="Times New Roman" w:eastAsia="Times New Roman" w:hAnsi="Times New Roman" w:cs="Times New Roman"/>
                                      <w:sz w:val="28"/>
                                      <w:szCs w:val="28"/>
                                    </w:rPr>
                                    <w:t xml:space="preserve"> MSc Cyber security and Digital Forensics</w:t>
                                  </w:r>
                                </w:p>
                                <w:p w14:paraId="0B903E25" w14:textId="097B0D8B" w:rsidR="000133C6" w:rsidRPr="005F088A" w:rsidRDefault="000133C6" w:rsidP="000133C6">
                                  <w:pPr>
                                    <w:pStyle w:val="Heading4"/>
                                    <w:jc w:val="center"/>
                                    <w:rPr>
                                      <w:b/>
                                      <w:caps/>
                                      <w:color w:val="156082" w:themeColor="accent1"/>
                                      <w:sz w:val="28"/>
                                      <w:szCs w:val="2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2E1C37" id="Group 1" o:spid="_x0000_s1026" style="position:absolute;margin-left:34.5pt;margin-top:39pt;width:540.55pt;height:718.4pt;z-index:-251655168;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qi4rgMAANQOAAAOAAAAZHJzL2Uyb0RvYy54bWzsV9tu3DYQfS/QfyD4XuuyF68Fy4Hr1EYB&#10;IzFiF3nmUtQFpUiW5Fpyvr5DUtKu13ZibFAjRQsstLwMZziHM4fD03d9y9E906aRIsfJUYwRE1QW&#10;jahy/Mfd5S8rjIwloiBcCpbjB2bwu7OffzrtVMZSWUteMI1AiTBZp3JcW6uyKDK0Zi0xR1IxAZOl&#10;1C2x0NVVVGjSgfaWR2kcL6NO6kJpSZkxMPo+TOIzr78sGbUfy9Iwi3iOYW/Wf7X/rt03OjslWaWJ&#10;qhs6bIMcsIuWNAKMTqreE0vQRjdPVLUN1dLI0h5R2UayLBvKvA/gTRLveXOl5UZ5X6qsq9QEE0C7&#10;h9PBaumH+xuNmgLODiNBWjgibxUlDppOVRlIXGl1q270MFCFnvO2L3Xr/sEP1HtQHyZQWW8RhcHl&#10;ajlfpXOMKMydJOlska4C7LSGs3myjta/fWNlNBqO3P6m7XQKQshsUTLfh9JtTRTz4BuHwYBSOqL0&#10;CUKLiIozlAakvNQEk8kMIPZ6jBarOIb4dBgls+NkCR2Ae/KUZEobe8Vki1wjxxrM+4Aj99fGBtFR&#10;xFk1kjfFZcO577hsYhdco3sCeUAoZcL6AwYDjyS5cPJCupVBqRsBnEd/fMs+cObkuPjESggeOOXU&#10;b8an7VNDfg81KViwvwBXR/emFd5Zr9BJl2B/0p18TXfY5SDvljKf9dPi+NuLpxXeshR2Wtw2Qurn&#10;FPAJvjLIjyAFaBxKa1k8QNBoGTjHKHrZwNFdE2NviAaSgeMG4rQf4VNy2eVYDi2Maqm/PDfu5CGq&#10;YRajDkgrx+avDdEMI/67gHg/SeZzx3K+M18cp9DRuzPr3RmxaS8kxANkPuzON5285WOz1LL9DPx6&#10;7qzCFBEUbOeYWj12LmwgU2Boys7PvRgwmyL2Wtwq6pQ7VF1o3vWfiVZD/Fqghw9yzDGS7YVxkHUr&#10;hTzfWFk2Psa3uA54Q747lnqDxJ89TfzZAYk/j0/ms5EAtxS5k/6LOD2Bm+3/9B+p5d+Z/rZf98BN&#10;24h9WybwyT9RwfEsWWy5YJzbIQOQPJgN1v85LoBiJpRKdy6Df5U9mu9RAbI9DDv2G2LghWpg6Suj&#10;x5c+XGFTAbTDC+lxCj9fOv0zZcG6eqEkQHA3LWeLcJPu1wbjhTtUIS7eg6++9Uyl8IoL+fky4BUL&#10;37oMKP4cIXuxDHA8MNTXPwwdDGVCqAwes8EwdTAZ/GClgX8hwNPJV5fDM8+9zXb7vpTYPkbP/gYA&#10;AP//AwBQSwMEFAAGAAgAAAAhAHB3bRHgAAAACwEAAA8AAABkcnMvZG93bnJldi54bWxMjzFvwjAQ&#10;hfdK/Q/WVepWnKAS0hAHVUh0agcISzdjH0lEfI5iA+m/7zG1093pPb37XrmeXC+uOIbOk4J0loBA&#10;Mt521Cg41NuXHESImqzuPaGCHwywrh4fSl1Yf6MdXvexERxCodAK2hiHQspgWnQ6zPyAxNrJj05H&#10;PsdG2lHfONz1cp4kmXS6I/7Q6gE3LZrz/uIUnHdfATfbujkYZ7ps+vyYf9dOqeen6X0FIuIU/8xw&#10;x2d0qJjp6C9kg+gVZG9cJSpY5jzverpIUhBH3hbpaw6yKuX/DtUvAAAA//8DAFBLAQItABQABgAI&#10;AAAAIQC2gziS/gAAAOEBAAATAAAAAAAAAAAAAAAAAAAAAABbQ29udGVudF9UeXBlc10ueG1sUEsB&#10;Ai0AFAAGAAgAAAAhADj9If/WAAAAlAEAAAsAAAAAAAAAAAAAAAAALwEAAF9yZWxzLy5yZWxzUEsB&#10;Ai0AFAAGAAgAAAAhAMZaqLiuAwAA1A4AAA4AAAAAAAAAAAAAAAAALgIAAGRycy9lMm9Eb2MueG1s&#10;UEsBAi0AFAAGAAgAAAAhAHB3bRHgAAAACwEAAA8AAAAAAAAAAAAAAAAACAYAAGRycy9kb3ducmV2&#10;LnhtbFBLBQYAAAAABAAEAPMAAAAVBwAAAAA=&#10;">
                    <v:rect id="Rectangle 2"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1C3PMQA&#10;AADaAAAADwAAAGRycy9kb3ducmV2LnhtbESPQWvCQBSE70L/w/IKvemmCrWkboIIQpFSMG0OvT2y&#10;r9lo9m3IrjHtr3cFweMwM98wq3y0rRio941jBc+zBARx5XTDtYLvr+30FYQPyBpbx6Tgjzzk2cNk&#10;hal2Z97TUIRaRAj7FBWYELpUSl8ZsuhnriOO3q/rLYYo+1rqHs8Rbls5T5IXabHhuGCwo42h6lic&#10;rILdYbkozLAe/hefVBpXfvxsN16pp8dx/QYi0Bju4Vv7XSuYw/VKvAEyu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9QtzzEAAAA2gAAAA8AAAAAAAAAAAAAAAAAmAIAAGRycy9k&#10;b3ducmV2LnhtbFBLBQYAAAAABAAEAPUAAACJAwAAAAA=&#10;" fillcolor="#156082 [3204]" stroked="f" strokeweight="1pt"/>
                    <v:rect id="Rectangle 3"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dcTA8UA&#10;AADaAAAADwAAAGRycy9kb3ducmV2LnhtbESPQWvCQBSE70L/w/IKXoputKVo6ipFEaqUYmMu3p7Z&#10;12xo9m3Irhr/vVsoeBxm5htmtuhsLc7U+sqxgtEwAUFcOF1xqSDfrwcTED4ga6wdk4IreVjMH3oz&#10;TLW78Deds1CKCGGfogITQpNK6QtDFv3QNcTR+3GtxRBlW0rd4iXCbS3HSfIqLVYcFww2tDRU/GYn&#10;qyDLV/mRwst0+3XYuF3+ZHaf406p/mP3/gYiUBfu4f/2h1bwDH9X4g2Q8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1xMDxQAAANoAAAAPAAAAAAAAAAAAAAAAAJgCAABkcnMv&#10;ZG93bnJldi54bWxQSwUGAAAAAAQABAD1AAAAigMAAAAA&#10;" fillcolor="#156082 [3204]" stroked="f" strokeweight="1pt">
                      <v:textbox inset="36pt,57.6pt,36pt,36pt">
                        <w:txbxContent>
                          <w:p w14:paraId="24086D25" w14:textId="77777777" w:rsidR="000133C6" w:rsidRPr="002F183C" w:rsidRDefault="000133C6" w:rsidP="000133C6">
                            <w:pPr>
                              <w:pStyle w:val="NoSpacing"/>
                              <w:spacing w:before="120"/>
                              <w:jc w:val="center"/>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w:t>
                            </w:r>
                          </w:p>
                          <w:p w14:paraId="2E0D1955" w14:textId="3C8DB93F" w:rsidR="000133C6" w:rsidRPr="002F183C" w:rsidRDefault="000133C6" w:rsidP="000133C6">
                            <w:pPr>
                              <w:pStyle w:val="NoSpacing"/>
                              <w:spacing w:before="120"/>
                              <w:jc w:val="center"/>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 xml:space="preserve"> Wales Trinity Saint David</w:t>
                            </w:r>
                          </w:p>
                          <w:p w14:paraId="47919F94" w14:textId="77777777" w:rsidR="000133C6" w:rsidRDefault="000133C6" w:rsidP="000133C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4"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pl1MQA&#10;AADaAAAADwAAAGRycy9kb3ducmV2LnhtbESPQWvCQBSE74L/YXlCL6XZtClao6tURdoeo4WS2yP7&#10;TILZtzG7avz33ULB4zAz3zDzZW8acaHO1ZYVPEcxCOLC6ppLBd/77dMbCOeRNTaWScGNHCwXw8Ec&#10;U22vnNFl50sRIOxSVFB536ZSuqIigy6yLXHwDrYz6IPsSqk7vAa4aeRLHI+lwZrDQoUtrSsqjruz&#10;UTBd+Sx5/MmT9uNkNliev/bJJFfqYdS/z0B46v09/N/+1Ape4e9KuA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BKZdTEAAAA2gAAAA8AAAAAAAAAAAAAAAAAmAIAAGRycy9k&#10;b3ducmV2LnhtbFBLBQYAAAAABAAEAPUAAACJAwAAAAA=&#10;" fillcolor="white [3212]" stroked="f" strokeweight=".5pt">
                      <v:textbox inset="36pt,7.2pt,36pt,7.2pt">
                        <w:txbxContent>
                          <w:p w14:paraId="3A69A1B5" w14:textId="50230F03" w:rsidR="000133C6" w:rsidRDefault="000133C6" w:rsidP="000133C6">
                            <w:pPr>
                              <w:pStyle w:val="Heading1"/>
                              <w:jc w:val="center"/>
                            </w:pPr>
                            <w:r w:rsidRPr="000133C6">
                              <w:rPr>
                                <w:rFonts w:ascii="Times New Roman" w:eastAsia="Times New Roman" w:hAnsi="Times New Roman" w:cs="Times New Roman"/>
                                <w:b/>
                                <w:bCs/>
                                <w:sz w:val="56"/>
                                <w:szCs w:val="56"/>
                              </w:rPr>
                              <w:t>Data Security, Governance &amp; Compliance</w:t>
                            </w:r>
                            <w:r>
                              <w:rPr>
                                <w:rFonts w:ascii="Times New Roman" w:eastAsia="Times New Roman" w:hAnsi="Times New Roman" w:cs="Times New Roman"/>
                                <w:b/>
                                <w:bCs/>
                                <w:sz w:val="28"/>
                                <w:szCs w:val="28"/>
                              </w:rPr>
                              <w:br/>
                            </w:r>
                            <w:r w:rsidRPr="005F088A">
                              <w:rPr>
                                <w:rFonts w:ascii="Times New Roman" w:eastAsia="Times New Roman" w:hAnsi="Times New Roman" w:cs="Times New Roman"/>
                                <w:b/>
                                <w:bCs/>
                                <w:sz w:val="28"/>
                                <w:szCs w:val="28"/>
                              </w:rPr>
                              <w:t>Module</w:t>
                            </w:r>
                            <w:r>
                              <w:rPr>
                                <w:b/>
                                <w:caps/>
                                <w:color w:val="156082" w:themeColor="accent1"/>
                                <w:sz w:val="28"/>
                                <w:szCs w:val="28"/>
                              </w:rPr>
                              <w:t xml:space="preserve">: </w:t>
                            </w:r>
                            <w:r>
                              <w:t>Data Security, Governance and Compliance (ACCA7028</w:t>
                            </w:r>
                            <w:proofErr w:type="gramStart"/>
                            <w:r>
                              <w:t>)</w:t>
                            </w:r>
                            <w:proofErr w:type="gramEnd"/>
                            <w:r>
                              <w:br/>
                            </w:r>
                            <w:r w:rsidRPr="005F088A">
                              <w:rPr>
                                <w:rFonts w:ascii="Times New Roman" w:eastAsia="Times New Roman" w:hAnsi="Times New Roman" w:cs="Times New Roman"/>
                                <w:b/>
                                <w:bCs/>
                                <w:sz w:val="28"/>
                                <w:szCs w:val="28"/>
                              </w:rPr>
                              <w:t>Programme:</w:t>
                            </w:r>
                            <w:r w:rsidRPr="005F088A">
                              <w:rPr>
                                <w:rFonts w:ascii="Times New Roman" w:eastAsia="Times New Roman" w:hAnsi="Times New Roman" w:cs="Times New Roman"/>
                                <w:sz w:val="28"/>
                                <w:szCs w:val="28"/>
                              </w:rPr>
                              <w:t xml:space="preserve"> MSc Cyber security and Digital Forensics</w:t>
                            </w:r>
                          </w:p>
                          <w:p w14:paraId="0B903E25" w14:textId="097B0D8B" w:rsidR="000133C6" w:rsidRPr="005F088A" w:rsidRDefault="000133C6" w:rsidP="000133C6">
                            <w:pPr>
                              <w:pStyle w:val="Heading4"/>
                              <w:jc w:val="center"/>
                              <w:rPr>
                                <w:b/>
                                <w:caps/>
                                <w:color w:val="156082" w:themeColor="accent1"/>
                                <w:sz w:val="28"/>
                                <w:szCs w:val="28"/>
                              </w:rPr>
                            </w:pPr>
                          </w:p>
                        </w:txbxContent>
                      </v:textbox>
                    </v:shape>
                    <w10:wrap anchorx="page" anchory="page"/>
                  </v:group>
                </w:pict>
              </mc:Fallback>
            </mc:AlternateContent>
          </w:r>
          <w:r w:rsidRPr="000133C6">
            <w:rPr>
              <w:noProof/>
            </w:rPr>
            <mc:AlternateContent>
              <mc:Choice Requires="wpg">
                <w:drawing>
                  <wp:anchor distT="0" distB="0" distL="114300" distR="114300" simplePos="0" relativeHeight="251659264" behindDoc="1" locked="0" layoutInCell="1" allowOverlap="1" wp14:anchorId="23D56336" wp14:editId="4C4BE23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5F4A45" w14:textId="532D3443" w:rsidR="000133C6" w:rsidRDefault="000133C6">
                                      <w:pPr>
                                        <w:pStyle w:val="NoSpacing"/>
                                        <w:spacing w:before="120"/>
                                        <w:jc w:val="center"/>
                                        <w:rPr>
                                          <w:color w:val="FFFFFF" w:themeColor="background1"/>
                                        </w:rPr>
                                      </w:pPr>
                                      <w:proofErr w:type="spellStart"/>
                                      <w:r>
                                        <w:rPr>
                                          <w:color w:val="FFFFFF" w:themeColor="background1"/>
                                          <w:lang w:val="en-GB"/>
                                        </w:rPr>
                                        <w:t>Hridoy</w:t>
                                      </w:r>
                                      <w:proofErr w:type="spellEnd"/>
                                      <w:r>
                                        <w:rPr>
                                          <w:color w:val="FFFFFF" w:themeColor="background1"/>
                                          <w:lang w:val="en-GB"/>
                                        </w:rPr>
                                        <w:t xml:space="preserve"> </w:t>
                                      </w:r>
                                      <w:proofErr w:type="spellStart"/>
                                      <w:r>
                                        <w:rPr>
                                          <w:color w:val="FFFFFF" w:themeColor="background1"/>
                                          <w:lang w:val="en-GB"/>
                                        </w:rPr>
                                        <w:t>Majumder</w:t>
                                      </w:r>
                                      <w:proofErr w:type="spellEnd"/>
                                      <w:r>
                                        <w:rPr>
                                          <w:color w:val="FFFFFF" w:themeColor="background1"/>
                                          <w:lang w:val="en-GB"/>
                                        </w:rPr>
                                        <w:t xml:space="preserve"> (2522065)</w:t>
                                      </w:r>
                                    </w:p>
                                  </w:sdtContent>
                                </w:sdt>
                                <w:p w14:paraId="4EB13299" w14:textId="77777777" w:rsidR="000133C6" w:rsidRDefault="000133C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3342A4C8" w14:textId="77777777" w:rsidR="000133C6" w:rsidRDefault="000133C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3D56336" id="Group 193" o:spid="_x0000_s1030"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yRpvgMAAOsOAAAOAAAAZHJzL2Uyb0RvYy54bWzsV1tv2zYUfh+w/0DwfbEkW44tRCmydAkG&#10;BG3QZOgzTVEXTCI5ko6U/fodkqLsJu4aeFgvaAFD5uXwkOfj4cePZ6+GrkUPTOlG8BzHJxFGjFNR&#10;NLzK8R/3V7+sMNKG8IK0grMcPzKNX53//NNZLzOWiFq0BVMInHCd9TLHtTEym800rVlH9ImQjENn&#10;KVRHDFRVNSsU6cF7186SKFrOeqEKqQRlWkPra9+Jz53/smTUvC1LzQxqcwxrM+6r3Hdjv7PzM5JV&#10;isi6oeMyyBGr6EjDYdLJ1WtiCNqq5pmrrqFKaFGaEyq6mSjLhjIXA0QTR0+iuVZiK10sVdZXcoIJ&#10;oH2C09Fu6ZuHW4WaAvZuPceIkw42yc2LbAPA08sqA6trJe/krRobKl+zEQ+l6uw/xIIGB+zjBCwb&#10;DKLQuFwtF6tkgRGFvnWczNNk5aGnNezPs3G0/u0TI2dh4pld37ScXkIa6R1S+r8hdVcTydwGaIvB&#10;hBRE4pF6BwlGeNUyQGvh0XKWE1Q604Day3FKV1EEeWpxiuen8RIqAPkULcmk0uaaiQ7ZQo4VLMAl&#10;Hnm40cabBhM7qxZtU1w1besq9lSxy1ahBwLngVDKuInHCT6wbLm158KO9E5tC2Ad4nEl89gya9fy&#10;d6yEJIKdTtxi3PF9PpFbQ00K5udPIdQQ3jTCBescWusS5p98x//m269ytLdDmTv90+Do04OnEW5m&#10;wc00uGu4UIcctBN8pbcPIHloLEobUTxC4ijhuUdLetXA1t0QbW6JArKB7QYCNW/hU7aiz7EYSxjV&#10;Qv19qN3aQ2ZDL0Y9kFeO9V9bohhG7e8ccn4dLxaW7VxlkZ4mUFH7PZv9Hr7tLgXkQwxULakrWnvT&#10;hmKpRPceePbCzgpdhFOYO8fUqFC5NJ5Ugakpu7hwZsBwkpgbfiepdW5Rtal5P7wnSo75a4Ai3ohw&#10;zkj2JI29rR3JxcXWiLJxOb7DdcQbzrxlqs9y+NNDhz894vAvovViHohwR5V7FJBGyRpuuR8UEOjl&#10;26QAM2wGd8cmIUu+BCk4HphY4XQepztaCH17vACWRxPD5jukhWWghXt7lH8VA0iCZdhvEA9WEiAz&#10;QIclQ7iu3BV6WBwsnVj6UAPAjTZpoj2KSE4T+Dk19f+ohE31EYWA4KpazlN/sT6VCuH+HUXJLlZX&#10;OiAcXnA/H1YFLxj4uVVB8WeA7KOqYKKEUWN/GZ0Qjr0XCqNq8EIhdHlGGLuOJoSvTCm4RwO8qJzY&#10;HF9/9sm2X3fKYvdGPf8HAAD//wMAUEsDBBQABgAIAAAAIQC0xIOw3AAAAAcBAAAPAAAAZHJzL2Rv&#10;d25yZXYueG1sTI8xb8IwEIX3SvwH6yp1K05oFUUhDqqQYGoHCAubsY8kIj5HsYH03/fo0i6nd3qn&#10;974rV5PrxQ3H0HlSkM4TEEjG244aBYd685qDCFGT1b0nVPCNAVbV7KnUhfV32uFtHxvBIRQKraCN&#10;cSikDKZFp8PcD0jsnf3odOR1bKQd9Z3DXS8XSZJJpzvihlYPuG7RXPZXp+Cy+wq43tTNwTjTZdPn&#10;dnGsnVIvz9PHEkTEKf4dwwOf0aFippO/kg2iV8CPxN/58JI8TUGcWL2/ZTnIqpT/+asfAAAA//8D&#10;AFBLAQItABQABgAIAAAAIQC2gziS/gAAAOEBAAATAAAAAAAAAAAAAAAAAAAAAABbQ29udGVudF9U&#10;eXBlc10ueG1sUEsBAi0AFAAGAAgAAAAhADj9If/WAAAAlAEAAAsAAAAAAAAAAAAAAAAALwEAAF9y&#10;ZWxzLy5yZWxzUEsBAi0AFAAGAAgAAAAhAC43JGm+AwAA6w4AAA4AAAAAAAAAAAAAAAAALgIAAGRy&#10;cy9lMm9Eb2MueG1sUEsBAi0AFAAGAAgAAAAhALTEg7DcAAAABwEAAA8AAAAAAAAAAAAAAAAAGAYA&#10;AGRycy9kb3ducmV2LnhtbFBLBQYAAAAABAAEAPMAAAAhBwAAAAA=&#10;">
                    <v:rect id="Rectangle 194" o:spid="_x0000_s1031"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156082 [3204]" stroked="f" strokeweight="1pt"/>
                    <v:rect id="Rectangle 195" o:spid="_x0000_s1032"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C5F4A45" w14:textId="532D3443" w:rsidR="000133C6" w:rsidRDefault="000133C6">
                                <w:pPr>
                                  <w:pStyle w:val="NoSpacing"/>
                                  <w:spacing w:before="120"/>
                                  <w:jc w:val="center"/>
                                  <w:rPr>
                                    <w:color w:val="FFFFFF" w:themeColor="background1"/>
                                  </w:rPr>
                                </w:pPr>
                                <w:proofErr w:type="spellStart"/>
                                <w:r>
                                  <w:rPr>
                                    <w:color w:val="FFFFFF" w:themeColor="background1"/>
                                    <w:lang w:val="en-GB"/>
                                  </w:rPr>
                                  <w:t>Hridoy</w:t>
                                </w:r>
                                <w:proofErr w:type="spellEnd"/>
                                <w:r>
                                  <w:rPr>
                                    <w:color w:val="FFFFFF" w:themeColor="background1"/>
                                    <w:lang w:val="en-GB"/>
                                  </w:rPr>
                                  <w:t xml:space="preserve"> </w:t>
                                </w:r>
                                <w:proofErr w:type="spellStart"/>
                                <w:r>
                                  <w:rPr>
                                    <w:color w:val="FFFFFF" w:themeColor="background1"/>
                                    <w:lang w:val="en-GB"/>
                                  </w:rPr>
                                  <w:t>Majumder</w:t>
                                </w:r>
                                <w:proofErr w:type="spellEnd"/>
                                <w:r>
                                  <w:rPr>
                                    <w:color w:val="FFFFFF" w:themeColor="background1"/>
                                    <w:lang w:val="en-GB"/>
                                  </w:rPr>
                                  <w:t xml:space="preserve"> (2522065)</w:t>
                                </w:r>
                              </w:p>
                            </w:sdtContent>
                          </w:sdt>
                          <w:p w14:paraId="4EB13299" w14:textId="77777777" w:rsidR="000133C6" w:rsidRDefault="000133C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 id="Text Box 196" o:spid="_x0000_s1033"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3342A4C8" w14:textId="77777777" w:rsidR="000133C6" w:rsidRDefault="000133C6">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[Document title]</w:t>
                                </w:r>
                              </w:p>
                            </w:sdtContent>
                          </w:sdt>
                        </w:txbxContent>
                      </v:textbox>
                    </v:shape>
                    <w10:wrap anchorx="page" anchory="page"/>
                  </v:group>
                </w:pict>
              </mc:Fallback>
            </mc:AlternateContent>
          </w:r>
        </w:p>
        <w:tbl>
          <w:tblPr>
            <w:tblStyle w:val="TableGrid"/>
            <w:tblpPr w:leftFromText="180" w:rightFromText="180" w:vertAnchor="text" w:horzAnchor="margin" w:tblpY="5911"/>
            <w:tblW w:w="9574" w:type="dxa"/>
            <w:tblLook w:val="04A0" w:firstRow="1" w:lastRow="0" w:firstColumn="1" w:lastColumn="0" w:noHBand="0" w:noVBand="1"/>
          </w:tblPr>
          <w:tblGrid>
            <w:gridCol w:w="9574"/>
          </w:tblGrid>
          <w:tr w:rsidR="000133C6" w:rsidRPr="000133C6" w14:paraId="6B7621CA" w14:textId="77777777" w:rsidTr="000133C6">
            <w:trPr>
              <w:trHeight w:val="711"/>
            </w:trPr>
            <w:tc>
              <w:tcPr>
                <w:tcW w:w="9574" w:type="dxa"/>
              </w:tcPr>
              <w:p w14:paraId="0F6D3425" w14:textId="77777777" w:rsidR="000133C6" w:rsidRPr="000133C6" w:rsidRDefault="000133C6" w:rsidP="000133C6">
                <w:pPr>
                  <w:pStyle w:val="NoSpacing"/>
                  <w:tabs>
                    <w:tab w:val="left" w:pos="675"/>
                    <w:tab w:val="center" w:pos="4602"/>
                  </w:tabs>
                  <w:spacing w:before="120"/>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to: </w:t>
                </w:r>
                <w:proofErr w:type="spellStart"/>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w:t>
                </w:r>
                <w:proofErr w:type="spellEnd"/>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Carlene Campbell</w:t>
                </w:r>
              </w:p>
            </w:tc>
          </w:tr>
          <w:tr w:rsidR="000133C6" w:rsidRPr="000133C6" w14:paraId="1B92421A" w14:textId="77777777" w:rsidTr="000133C6">
            <w:trPr>
              <w:trHeight w:val="683"/>
            </w:trPr>
            <w:tc>
              <w:tcPr>
                <w:tcW w:w="9574" w:type="dxa"/>
              </w:tcPr>
              <w:p w14:paraId="2DFB44FC" w14:textId="77777777" w:rsidR="000133C6" w:rsidRPr="000133C6" w:rsidRDefault="000133C6" w:rsidP="000133C6">
                <w:pPr>
                  <w:pStyle w:val="NoSpacing"/>
                  <w:tabs>
                    <w:tab w:val="left" w:pos="675"/>
                    <w:tab w:val="center" w:pos="4602"/>
                  </w:tabs>
                  <w:spacing w:before="120"/>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33C6">
                  <w:rPr>
                    <w:rFonts w:ascii="Times New Roman" w:eastAsia="Times New Roman" w:hAnsi="Times New Roman" w:cs="Times New Roman"/>
                    <w:b/>
                    <w:bCs/>
                    <w:kern w:val="36"/>
                    <w:sz w:val="48"/>
                    <w:szCs w:val="48"/>
                    <w:lang w:val="en-GB"/>
                  </w:rPr>
                  <w:t xml:space="preserve"> </w:t>
                </w:r>
                <w:r w:rsidRPr="000133C6">
                  <w:rPr>
                    <w:rFonts w:ascii="Times New Roman" w:eastAsia="Times New Roman" w:hAnsi="Times New Roman" w:cs="Times New Roman"/>
                    <w:sz w:val="24"/>
                    <w:szCs w:val="24"/>
                    <w:lang w:val="en-GB"/>
                  </w:rPr>
                  <w:t xml:space="preserve"> </w:t>
                </w:r>
                <w:r w:rsidRPr="000133C6">
                  <w:rPr>
                    <w:sz w:val="28"/>
                    <w:szCs w:val="28"/>
                    <w:lang w:val="en-GB"/>
                  </w:rPr>
                  <w:t>Data Security, Governance and Compliance (ACCA7028)</w:t>
                </w:r>
              </w:p>
            </w:tc>
          </w:tr>
          <w:tr w:rsidR="000133C6" w:rsidRPr="000133C6" w14:paraId="498D28E9" w14:textId="77777777" w:rsidTr="000133C6">
            <w:trPr>
              <w:trHeight w:val="683"/>
            </w:trPr>
            <w:tc>
              <w:tcPr>
                <w:tcW w:w="9574" w:type="dxa"/>
              </w:tcPr>
              <w:p w14:paraId="54FEAF05" w14:textId="77777777" w:rsidR="000133C6" w:rsidRPr="000133C6" w:rsidRDefault="000133C6" w:rsidP="000133C6">
                <w:pPr>
                  <w:pStyle w:val="NoSpacing"/>
                  <w:tabs>
                    <w:tab w:val="left" w:pos="675"/>
                    <w:tab w:val="center" w:pos="4602"/>
                  </w:tabs>
                  <w:spacing w:before="120"/>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Hridoy</w:t>
                </w:r>
                <w:proofErr w:type="spellEnd"/>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Majumder</w:t>
                </w:r>
                <w:proofErr w:type="spellEnd"/>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r>
          <w:tr w:rsidR="000133C6" w:rsidRPr="000133C6" w14:paraId="5F3BF63F" w14:textId="77777777" w:rsidTr="000133C6">
            <w:trPr>
              <w:trHeight w:val="683"/>
            </w:trPr>
            <w:tc>
              <w:tcPr>
                <w:tcW w:w="9574" w:type="dxa"/>
              </w:tcPr>
              <w:p w14:paraId="4767412B" w14:textId="77777777" w:rsidR="000133C6" w:rsidRPr="000133C6" w:rsidRDefault="000133C6" w:rsidP="000133C6">
                <w:pPr>
                  <w:pStyle w:val="NoSpacing"/>
                  <w:tabs>
                    <w:tab w:val="left" w:pos="675"/>
                    <w:tab w:val="center" w:pos="4602"/>
                  </w:tabs>
                  <w:spacing w:before="120"/>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w:t>
                </w:r>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 security &amp; Digital Forensics</w:t>
                </w:r>
              </w:p>
            </w:tc>
          </w:tr>
          <w:tr w:rsidR="000133C6" w:rsidRPr="000133C6" w14:paraId="57234B67" w14:textId="77777777" w:rsidTr="000133C6">
            <w:trPr>
              <w:trHeight w:val="683"/>
            </w:trPr>
            <w:tc>
              <w:tcPr>
                <w:tcW w:w="9574" w:type="dxa"/>
              </w:tcPr>
              <w:p w14:paraId="1A62B0BF" w14:textId="77777777" w:rsidR="000133C6" w:rsidRPr="000133C6" w:rsidRDefault="000133C6" w:rsidP="000133C6">
                <w:pPr>
                  <w:pStyle w:val="NoSpacing"/>
                  <w:tabs>
                    <w:tab w:val="left" w:pos="675"/>
                    <w:tab w:val="center" w:pos="4602"/>
                  </w:tabs>
                  <w:spacing w:before="120"/>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133C6">
                  <w:rPr>
                    <w:rFonts w:ascii="Times New Roman" w:hAnsi="Times New Roman" w:cs="Times New Roman"/>
                    <w:b/>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0133C6">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2522065</w:t>
                </w:r>
              </w:p>
            </w:tc>
          </w:tr>
        </w:tbl>
        <w:p w14:paraId="4E3405B1" w14:textId="16330CEA" w:rsidR="000133C6" w:rsidRPr="000133C6" w:rsidRDefault="000133C6">
          <w:pPr>
            <w:rPr>
              <w:rFonts w:ascii="Arial" w:eastAsia="Arial" w:hAnsi="Arial" w:cs="Arial"/>
              <w:b/>
              <w:bCs/>
              <w:sz w:val="30"/>
              <w:szCs w:val="30"/>
            </w:rPr>
          </w:pPr>
          <w:r w:rsidRPr="000133C6">
            <w:rPr>
              <w:rFonts w:ascii="Arial" w:eastAsia="Arial" w:hAnsi="Arial" w:cs="Arial"/>
              <w:b/>
              <w:bCs/>
              <w:sz w:val="30"/>
              <w:szCs w:val="30"/>
            </w:rPr>
            <w:br w:type="page"/>
          </w:r>
        </w:p>
      </w:sdtContent>
    </w:sdt>
    <w:p w14:paraId="2B948295" w14:textId="0913A9CF" w:rsidR="0031499F" w:rsidRPr="000133C6" w:rsidRDefault="11E33889" w:rsidP="5756BB46">
      <w:pPr>
        <w:spacing w:line="257" w:lineRule="auto"/>
        <w:rPr>
          <w:rFonts w:ascii="Times New Roman" w:eastAsia="Times New Roman" w:hAnsi="Times New Roman" w:cs="Times New Roman"/>
        </w:rPr>
      </w:pPr>
      <w:bookmarkStart w:id="0" w:name="_GoBack"/>
      <w:bookmarkEnd w:id="0"/>
      <w:r w:rsidRPr="000133C6">
        <w:rPr>
          <w:rFonts w:ascii="Arial" w:eastAsia="Arial" w:hAnsi="Arial" w:cs="Arial"/>
          <w:b/>
          <w:bCs/>
          <w:sz w:val="30"/>
          <w:szCs w:val="30"/>
        </w:rPr>
        <w:lastRenderedPageBreak/>
        <w:t>Abstract</w:t>
      </w:r>
      <w:r w:rsidR="00916DCB" w:rsidRPr="000133C6">
        <w:br/>
      </w:r>
      <w:r w:rsidR="00916DCB" w:rsidRPr="000133C6">
        <w:br/>
      </w:r>
      <w:r w:rsidRPr="000133C6">
        <w:rPr>
          <w:rFonts w:ascii="Calibri" w:eastAsia="Calibri" w:hAnsi="Calibri" w:cs="Calibri"/>
          <w:b/>
          <w:bCs/>
          <w:sz w:val="22"/>
          <w:szCs w:val="22"/>
        </w:rPr>
        <w:t xml:space="preserve"> </w:t>
      </w:r>
      <w:r w:rsidR="00916DCB" w:rsidRPr="000133C6">
        <w:br/>
      </w:r>
      <w:r w:rsidRPr="000133C6">
        <w:rPr>
          <w:rFonts w:ascii="Times New Roman" w:eastAsia="Times New Roman" w:hAnsi="Times New Roman" w:cs="Times New Roman"/>
        </w:rPr>
        <w:t xml:space="preserve">Contemporary logistics networks are </w:t>
      </w:r>
      <w:r w:rsidR="2103EFF7" w:rsidRPr="000133C6">
        <w:rPr>
          <w:rFonts w:ascii="Times New Roman" w:eastAsia="Times New Roman" w:hAnsi="Times New Roman" w:cs="Times New Roman"/>
        </w:rPr>
        <w:t>increasingly</w:t>
      </w:r>
      <w:r w:rsidRPr="000133C6">
        <w:rPr>
          <w:rFonts w:ascii="Times New Roman" w:eastAsia="Times New Roman" w:hAnsi="Times New Roman" w:cs="Times New Roman"/>
        </w:rPr>
        <w:t xml:space="preserve"> built upon heterogeneous digital ecosystems composed of cloud infrastructure, Internet of Things (</w:t>
      </w:r>
      <w:proofErr w:type="spellStart"/>
      <w:r w:rsidRPr="000133C6">
        <w:rPr>
          <w:rFonts w:ascii="Times New Roman" w:eastAsia="Times New Roman" w:hAnsi="Times New Roman" w:cs="Times New Roman"/>
        </w:rPr>
        <w:t>IoT</w:t>
      </w:r>
      <w:proofErr w:type="spellEnd"/>
      <w:r w:rsidRPr="000133C6">
        <w:rPr>
          <w:rFonts w:ascii="Times New Roman" w:eastAsia="Times New Roman" w:hAnsi="Times New Roman" w:cs="Times New Roman"/>
        </w:rPr>
        <w:t>) edge sensors and artificial intelligence (AI) predictive models</w:t>
      </w:r>
      <w:r w:rsidR="3400377C" w:rsidRPr="000133C6">
        <w:rPr>
          <w:rFonts w:ascii="Times New Roman" w:eastAsia="Times New Roman" w:hAnsi="Times New Roman" w:cs="Times New Roman"/>
        </w:rPr>
        <w:t xml:space="preserve"> </w:t>
      </w:r>
      <w:r w:rsidR="3400377C" w:rsidRPr="000133C6">
        <w:rPr>
          <w:rFonts w:ascii="Times New Roman" w:eastAsia="Times New Roman" w:hAnsi="Times New Roman" w:cs="Times New Roman"/>
          <w:b/>
          <w:bCs/>
        </w:rPr>
        <w:t>[1], [2]</w:t>
      </w:r>
      <w:r w:rsidR="3400377C" w:rsidRPr="000133C6">
        <w:rPr>
          <w:rFonts w:ascii="Times New Roman" w:eastAsia="Times New Roman" w:hAnsi="Times New Roman" w:cs="Times New Roman"/>
        </w:rPr>
        <w:t xml:space="preserve">. </w:t>
      </w:r>
      <w:r w:rsidRPr="000133C6">
        <w:rPr>
          <w:rFonts w:ascii="Times New Roman" w:eastAsia="Times New Roman" w:hAnsi="Times New Roman" w:cs="Times New Roman"/>
        </w:rPr>
        <w:t>While these technologies accelerate digital transformation, they also expand an organization’s attack surface to adversaries</w:t>
      </w:r>
      <w:r w:rsidR="37BD91AF" w:rsidRPr="000133C6">
        <w:rPr>
          <w:rFonts w:ascii="Times New Roman" w:eastAsia="Times New Roman" w:hAnsi="Times New Roman" w:cs="Times New Roman"/>
          <w:b/>
          <w:bCs/>
        </w:rPr>
        <w:t xml:space="preserve"> [1], [2]</w:t>
      </w:r>
      <w:r w:rsidRPr="000133C6">
        <w:rPr>
          <w:rFonts w:ascii="Times New Roman" w:eastAsia="Times New Roman" w:hAnsi="Times New Roman" w:cs="Times New Roman"/>
        </w:rPr>
        <w:t xml:space="preserve">. This report describes a comprehensive master-level security governance architecture for </w:t>
      </w:r>
      <w:proofErr w:type="spellStart"/>
      <w:r w:rsidRPr="000133C6">
        <w:rPr>
          <w:rFonts w:ascii="Times New Roman" w:eastAsia="Times New Roman" w:hAnsi="Times New Roman" w:cs="Times New Roman"/>
        </w:rPr>
        <w:t>AeroLink</w:t>
      </w:r>
      <w:proofErr w:type="spellEnd"/>
      <w:r w:rsidRPr="000133C6">
        <w:rPr>
          <w:rFonts w:ascii="Times New Roman" w:eastAsia="Times New Roman" w:hAnsi="Times New Roman" w:cs="Times New Roman"/>
        </w:rPr>
        <w:t xml:space="preserve"> Logistics (ALL) a multinational supply chain enterprise plagued by persistent data breaches, unmanaged remote devices, and an immature regulatory compliance posture. </w:t>
      </w:r>
      <w:r w:rsidR="00916DCB" w:rsidRPr="000133C6">
        <w:br/>
      </w:r>
      <w:r w:rsidR="00916DCB" w:rsidRPr="000133C6">
        <w:br/>
      </w:r>
      <w:r w:rsidRPr="000133C6">
        <w:rPr>
          <w:rFonts w:ascii="Times New Roman" w:eastAsia="Times New Roman" w:hAnsi="Times New Roman" w:cs="Times New Roman"/>
        </w:rPr>
        <w:t xml:space="preserve">The study synthesises a bespoke hybrid framework through critical comparison of established information technology and </w:t>
      </w:r>
      <w:proofErr w:type="spellStart"/>
      <w:r w:rsidRPr="000133C6">
        <w:rPr>
          <w:rFonts w:ascii="Times New Roman" w:eastAsia="Times New Roman" w:hAnsi="Times New Roman" w:cs="Times New Roman"/>
        </w:rPr>
        <w:t>cybersecurity</w:t>
      </w:r>
      <w:proofErr w:type="spellEnd"/>
      <w:r w:rsidRPr="000133C6">
        <w:rPr>
          <w:rFonts w:ascii="Times New Roman" w:eastAsia="Times New Roman" w:hAnsi="Times New Roman" w:cs="Times New Roman"/>
        </w:rPr>
        <w:t xml:space="preserve"> frameworks, namely, the National Institute of Standards and Technology </w:t>
      </w:r>
      <w:proofErr w:type="spellStart"/>
      <w:r w:rsidRPr="000133C6">
        <w:rPr>
          <w:rFonts w:ascii="Times New Roman" w:eastAsia="Times New Roman" w:hAnsi="Times New Roman" w:cs="Times New Roman"/>
        </w:rPr>
        <w:t>Cybersecurity</w:t>
      </w:r>
      <w:proofErr w:type="spellEnd"/>
      <w:r w:rsidRPr="000133C6">
        <w:rPr>
          <w:rFonts w:ascii="Times New Roman" w:eastAsia="Times New Roman" w:hAnsi="Times New Roman" w:cs="Times New Roman"/>
        </w:rPr>
        <w:t xml:space="preserve"> Framework (NIST CSF 2.0), ISO/IEC 27001:2022, COBIT 2019, and ITIL v4</w:t>
      </w:r>
      <w:r w:rsidR="000A80D6" w:rsidRPr="000133C6">
        <w:rPr>
          <w:rFonts w:ascii="Times New Roman" w:eastAsia="Times New Roman" w:hAnsi="Times New Roman" w:cs="Times New Roman"/>
          <w:b/>
          <w:bCs/>
        </w:rPr>
        <w:t xml:space="preserve"> [4], [5], [6], [8] .</w:t>
      </w:r>
      <w:r w:rsidRPr="000133C6">
        <w:rPr>
          <w:rFonts w:ascii="Times New Roman" w:eastAsia="Times New Roman" w:hAnsi="Times New Roman" w:cs="Times New Roman"/>
        </w:rPr>
        <w:t xml:space="preserve"> The proposed solution </w:t>
      </w:r>
      <w:proofErr w:type="spellStart"/>
      <w:r w:rsidRPr="000133C6">
        <w:rPr>
          <w:rFonts w:ascii="Times New Roman" w:eastAsia="Times New Roman" w:hAnsi="Times New Roman" w:cs="Times New Roman"/>
        </w:rPr>
        <w:t>operationalises</w:t>
      </w:r>
      <w:proofErr w:type="spellEnd"/>
      <w:r w:rsidRPr="000133C6">
        <w:rPr>
          <w:rFonts w:ascii="Times New Roman" w:eastAsia="Times New Roman" w:hAnsi="Times New Roman" w:cs="Times New Roman"/>
        </w:rPr>
        <w:t xml:space="preserve"> Zero Trust Architecture (ZTA) for unmanaged remote assets,</w:t>
      </w:r>
      <w:r w:rsidR="79A493BD" w:rsidRPr="000133C6">
        <w:rPr>
          <w:rFonts w:ascii="Times New Roman" w:eastAsia="Times New Roman" w:hAnsi="Times New Roman" w:cs="Times New Roman"/>
          <w:b/>
          <w:bCs/>
        </w:rPr>
        <w:t xml:space="preserve"> [11], [12]</w:t>
      </w:r>
      <w:r w:rsidRPr="000133C6">
        <w:rPr>
          <w:rFonts w:ascii="Times New Roman" w:eastAsia="Times New Roman" w:hAnsi="Times New Roman" w:cs="Times New Roman"/>
        </w:rPr>
        <w:t xml:space="preserve"> institutes centralised cryptographic key governance for multi-cloud deployments</w:t>
      </w:r>
      <w:r w:rsidR="7B8D8EA5" w:rsidRPr="000133C6">
        <w:rPr>
          <w:rFonts w:ascii="Times New Roman" w:eastAsia="Times New Roman" w:hAnsi="Times New Roman" w:cs="Times New Roman"/>
        </w:rPr>
        <w:t xml:space="preserve"> </w:t>
      </w:r>
      <w:r w:rsidR="7B8D8EA5" w:rsidRPr="000133C6">
        <w:rPr>
          <w:rFonts w:ascii="Times New Roman" w:eastAsia="Times New Roman" w:hAnsi="Times New Roman" w:cs="Times New Roman"/>
          <w:b/>
          <w:bCs/>
        </w:rPr>
        <w:t>[2], [13]</w:t>
      </w:r>
      <w:r w:rsidRPr="000133C6">
        <w:rPr>
          <w:rFonts w:ascii="Times New Roman" w:eastAsia="Times New Roman" w:hAnsi="Times New Roman" w:cs="Times New Roman"/>
        </w:rPr>
        <w:t xml:space="preserve"> and establishes a robust Vendor Risk Management (VRM) protocol to govern ALL’s 88% outsourced infrastructure</w:t>
      </w:r>
      <w:r w:rsidR="6C976EBF" w:rsidRPr="000133C6">
        <w:rPr>
          <w:rFonts w:ascii="Times New Roman" w:eastAsia="Times New Roman" w:hAnsi="Times New Roman" w:cs="Times New Roman"/>
          <w:b/>
          <w:bCs/>
        </w:rPr>
        <w:t xml:space="preserve"> [6], [14]</w:t>
      </w:r>
      <w:r w:rsidRPr="000133C6">
        <w:rPr>
          <w:rFonts w:ascii="Times New Roman" w:eastAsia="Times New Roman" w:hAnsi="Times New Roman" w:cs="Times New Roman"/>
        </w:rPr>
        <w:t>. In addition, a dynamic business continuity and incident response model is outlined to mitigate systemic operational disruptions</w:t>
      </w:r>
      <w:r w:rsidR="51EA1578" w:rsidRPr="000133C6">
        <w:rPr>
          <w:rFonts w:ascii="Times New Roman" w:eastAsia="Times New Roman" w:hAnsi="Times New Roman" w:cs="Times New Roman"/>
          <w:b/>
          <w:bCs/>
        </w:rPr>
        <w:t xml:space="preserve"> [8], [15]</w:t>
      </w:r>
      <w:r w:rsidRPr="000133C6">
        <w:rPr>
          <w:rFonts w:ascii="Times New Roman" w:eastAsia="Times New Roman" w:hAnsi="Times New Roman" w:cs="Times New Roman"/>
        </w:rPr>
        <w:t>. This blueprint demonstrates that embedding security governance directly into corporate strategy mitigates current threat vectors, enforces regulatory compliance with GDPR, and protects corporate equity.</w:t>
      </w:r>
    </w:p>
    <w:p w14:paraId="5511950C" w14:textId="734B1EFE" w:rsidR="0031499F" w:rsidRPr="000133C6" w:rsidRDefault="0031499F" w:rsidP="5756BB46">
      <w:pPr>
        <w:spacing w:line="257" w:lineRule="auto"/>
      </w:pPr>
    </w:p>
    <w:p w14:paraId="4AEA6648" w14:textId="06C1530D" w:rsidR="0031499F" w:rsidRPr="000133C6" w:rsidRDefault="0031499F" w:rsidP="5756BB46">
      <w:pPr>
        <w:spacing w:line="257" w:lineRule="auto"/>
      </w:pPr>
    </w:p>
    <w:p w14:paraId="2433E271" w14:textId="5EE0D127" w:rsidR="0031499F" w:rsidRPr="000133C6" w:rsidRDefault="11E33889" w:rsidP="5756BB46">
      <w:pPr>
        <w:spacing w:line="257" w:lineRule="auto"/>
        <w:rPr>
          <w:rFonts w:ascii="Times New Roman" w:eastAsia="Times New Roman" w:hAnsi="Times New Roman" w:cs="Times New Roman"/>
        </w:rPr>
      </w:pPr>
      <w:r w:rsidRPr="000133C6">
        <w:rPr>
          <w:rFonts w:ascii="Arial" w:eastAsia="Arial" w:hAnsi="Arial" w:cs="Arial"/>
          <w:b/>
          <w:bCs/>
          <w:sz w:val="30"/>
          <w:szCs w:val="30"/>
        </w:rPr>
        <w:t>1. Introduction</w:t>
      </w:r>
      <w:r w:rsidR="00916DCB" w:rsidRPr="000133C6">
        <w:br/>
      </w:r>
      <w:r w:rsidR="00916DCB" w:rsidRPr="000133C6">
        <w:br/>
      </w:r>
      <w:r w:rsidRPr="000133C6">
        <w:rPr>
          <w:rFonts w:ascii="Calibri" w:eastAsia="Calibri" w:hAnsi="Calibri" w:cs="Calibri"/>
          <w:b/>
          <w:bCs/>
          <w:sz w:val="22"/>
          <w:szCs w:val="22"/>
        </w:rPr>
        <w:t xml:space="preserve"> </w:t>
      </w:r>
      <w:r w:rsidR="00916DCB" w:rsidRPr="000133C6">
        <w:br/>
      </w:r>
      <w:r w:rsidRPr="000133C6">
        <w:rPr>
          <w:rFonts w:ascii="Times New Roman" w:eastAsia="Times New Roman" w:hAnsi="Times New Roman" w:cs="Times New Roman"/>
        </w:rPr>
        <w:t>The supply chain today is hyper-connected, cloud adoption is rampant and data is driving operational optimisation</w:t>
      </w:r>
      <w:r w:rsidR="491D26BB" w:rsidRPr="000133C6">
        <w:rPr>
          <w:rFonts w:ascii="Times New Roman" w:eastAsia="Times New Roman" w:hAnsi="Times New Roman" w:cs="Times New Roman"/>
          <w:b/>
          <w:bCs/>
        </w:rPr>
        <w:t xml:space="preserve"> [1], [2]</w:t>
      </w:r>
      <w:r w:rsidRPr="000133C6">
        <w:rPr>
          <w:rFonts w:ascii="Times New Roman" w:eastAsia="Times New Roman" w:hAnsi="Times New Roman" w:cs="Times New Roman"/>
        </w:rPr>
        <w:t>. As organisations evolve from traditional logistics paradigms to intelligent, automated systems, the perimeter-based security model has become obsolete. With the integration of Infrastructure-as-a-Service (</w:t>
      </w:r>
      <w:proofErr w:type="spellStart"/>
      <w:r w:rsidRPr="000133C6">
        <w:rPr>
          <w:rFonts w:ascii="Times New Roman" w:eastAsia="Times New Roman" w:hAnsi="Times New Roman" w:cs="Times New Roman"/>
        </w:rPr>
        <w:t>IaaS</w:t>
      </w:r>
      <w:proofErr w:type="spellEnd"/>
      <w:r w:rsidRPr="000133C6">
        <w:rPr>
          <w:rFonts w:ascii="Times New Roman" w:eastAsia="Times New Roman" w:hAnsi="Times New Roman" w:cs="Times New Roman"/>
        </w:rPr>
        <w:t>) and Software-as-a-Service (</w:t>
      </w:r>
      <w:proofErr w:type="spellStart"/>
      <w:r w:rsidRPr="000133C6">
        <w:rPr>
          <w:rFonts w:ascii="Times New Roman" w:eastAsia="Times New Roman" w:hAnsi="Times New Roman" w:cs="Times New Roman"/>
        </w:rPr>
        <w:t>SaaS</w:t>
      </w:r>
      <w:proofErr w:type="spellEnd"/>
      <w:r w:rsidRPr="000133C6">
        <w:rPr>
          <w:rFonts w:ascii="Times New Roman" w:eastAsia="Times New Roman" w:hAnsi="Times New Roman" w:cs="Times New Roman"/>
        </w:rPr>
        <w:t xml:space="preserve">) environments, with real-time </w:t>
      </w:r>
      <w:proofErr w:type="spellStart"/>
      <w:r w:rsidRPr="000133C6">
        <w:rPr>
          <w:rFonts w:ascii="Times New Roman" w:eastAsia="Times New Roman" w:hAnsi="Times New Roman" w:cs="Times New Roman"/>
        </w:rPr>
        <w:t>IoT</w:t>
      </w:r>
      <w:proofErr w:type="spellEnd"/>
      <w:r w:rsidRPr="000133C6">
        <w:rPr>
          <w:rFonts w:ascii="Times New Roman" w:eastAsia="Times New Roman" w:hAnsi="Times New Roman" w:cs="Times New Roman"/>
        </w:rPr>
        <w:t xml:space="preserve"> tracking and AI analytics, comes sophisticated multi-vector vulnerabilities</w:t>
      </w:r>
      <w:r w:rsidR="700238EE" w:rsidRPr="000133C6">
        <w:rPr>
          <w:rFonts w:ascii="Times New Roman" w:eastAsia="Times New Roman" w:hAnsi="Times New Roman" w:cs="Times New Roman"/>
          <w:b/>
          <w:bCs/>
        </w:rPr>
        <w:t xml:space="preserve"> [1], [2], [10]</w:t>
      </w:r>
      <w:r w:rsidRPr="000133C6">
        <w:rPr>
          <w:rFonts w:ascii="Times New Roman" w:eastAsia="Times New Roman" w:hAnsi="Times New Roman" w:cs="Times New Roman"/>
        </w:rPr>
        <w:t xml:space="preserve">. </w:t>
      </w:r>
      <w:r w:rsidR="00916DCB" w:rsidRPr="000133C6">
        <w:br/>
      </w:r>
      <w:r w:rsidR="00916DCB" w:rsidRPr="000133C6">
        <w:br/>
      </w:r>
      <w:r w:rsidRPr="000133C6">
        <w:rPr>
          <w:rFonts w:ascii="Times New Roman" w:eastAsia="Times New Roman" w:hAnsi="Times New Roman" w:cs="Times New Roman"/>
        </w:rPr>
        <w:t xml:space="preserve">A case in point for </w:t>
      </w:r>
      <w:proofErr w:type="spellStart"/>
      <w:r w:rsidRPr="000133C6">
        <w:rPr>
          <w:rFonts w:ascii="Times New Roman" w:eastAsia="Times New Roman" w:hAnsi="Times New Roman" w:cs="Times New Roman"/>
        </w:rPr>
        <w:t>AeroLink</w:t>
      </w:r>
      <w:proofErr w:type="spellEnd"/>
      <w:r w:rsidRPr="000133C6">
        <w:rPr>
          <w:rFonts w:ascii="Times New Roman" w:eastAsia="Times New Roman" w:hAnsi="Times New Roman" w:cs="Times New Roman"/>
        </w:rPr>
        <w:t xml:space="preserve"> Logistics (ALL), a multinational supply chain corporation, is the friction in the system that hampers the growth of fast-scaling digital companies. ALL provides services worldwide via automated tracking and cloud architecture. But its rapid adoption of remote work and unmanaged endpoints has circumvented traditional security controls and resulted in high-profile data breaches involving customer Personally Identifiable Information (PII) and corporate shipment metadata</w:t>
      </w:r>
      <w:r w:rsidR="60DAB0DA" w:rsidRPr="000133C6">
        <w:rPr>
          <w:rFonts w:ascii="Times New Roman" w:eastAsia="Times New Roman" w:hAnsi="Times New Roman" w:cs="Times New Roman"/>
        </w:rPr>
        <w:t xml:space="preserve"> [2], [11], </w:t>
      </w:r>
      <w:proofErr w:type="gramStart"/>
      <w:r w:rsidR="60DAB0DA" w:rsidRPr="000133C6">
        <w:rPr>
          <w:rFonts w:ascii="Times New Roman" w:eastAsia="Times New Roman" w:hAnsi="Times New Roman" w:cs="Times New Roman"/>
        </w:rPr>
        <w:t>[</w:t>
      </w:r>
      <w:proofErr w:type="gramEnd"/>
      <w:r w:rsidR="60DAB0DA" w:rsidRPr="000133C6">
        <w:rPr>
          <w:rFonts w:ascii="Times New Roman" w:eastAsia="Times New Roman" w:hAnsi="Times New Roman" w:cs="Times New Roman"/>
        </w:rPr>
        <w:t>12]</w:t>
      </w:r>
      <w:r w:rsidRPr="000133C6">
        <w:rPr>
          <w:rFonts w:ascii="Times New Roman" w:eastAsia="Times New Roman" w:hAnsi="Times New Roman" w:cs="Times New Roman"/>
        </w:rPr>
        <w:t xml:space="preserve">. </w:t>
      </w:r>
      <w:r w:rsidR="00916DCB" w:rsidRPr="000133C6">
        <w:br/>
      </w:r>
      <w:r w:rsidR="00916DCB" w:rsidRPr="000133C6">
        <w:br/>
      </w:r>
      <w:r w:rsidRPr="000133C6">
        <w:rPr>
          <w:rFonts w:ascii="Times New Roman" w:eastAsia="Times New Roman" w:hAnsi="Times New Roman" w:cs="Times New Roman"/>
        </w:rPr>
        <w:lastRenderedPageBreak/>
        <w:t xml:space="preserve">These operational vulnerabilities are compounded by an inherently immature governance structure. ALL currently operates without a centralised risk register, lacks departmental coordination, lacks a formalised compliance auditing protocol and maintains minimal transparency over its </w:t>
      </w:r>
      <w:r w:rsidR="4302FEA5" w:rsidRPr="000133C6">
        <w:rPr>
          <w:rFonts w:ascii="Times New Roman" w:eastAsia="Times New Roman" w:hAnsi="Times New Roman" w:cs="Times New Roman"/>
        </w:rPr>
        <w:t>third-party</w:t>
      </w:r>
      <w:r w:rsidRPr="000133C6">
        <w:rPr>
          <w:rFonts w:ascii="Times New Roman" w:eastAsia="Times New Roman" w:hAnsi="Times New Roman" w:cs="Times New Roman"/>
        </w:rPr>
        <w:t xml:space="preserve"> service providers</w:t>
      </w:r>
      <w:r w:rsidR="166B278F" w:rsidRPr="000133C6">
        <w:rPr>
          <w:rFonts w:ascii="Times New Roman" w:eastAsia="Times New Roman" w:hAnsi="Times New Roman" w:cs="Times New Roman"/>
        </w:rPr>
        <w:t xml:space="preserve"> [3], [6]</w:t>
      </w:r>
      <w:r w:rsidRPr="000133C6">
        <w:rPr>
          <w:rFonts w:ascii="Times New Roman" w:eastAsia="Times New Roman" w:hAnsi="Times New Roman" w:cs="Times New Roman"/>
        </w:rPr>
        <w:t xml:space="preserve">. </w:t>
      </w:r>
      <w:r w:rsidR="00916DCB" w:rsidRPr="000133C6">
        <w:br/>
      </w:r>
      <w:r w:rsidR="00916DCB" w:rsidRPr="000133C6">
        <w:br/>
      </w:r>
      <w:r w:rsidRPr="000133C6">
        <w:rPr>
          <w:rFonts w:ascii="Times New Roman" w:eastAsia="Times New Roman" w:hAnsi="Times New Roman" w:cs="Times New Roman"/>
        </w:rPr>
        <w:t>This academic paper provides a strategic blueprint for an overhaul of ALL’s security architecture. It offers a comprehensive review of mainstream governance models, creates a bespoke hybrid security program and promotes the adoption of strict data protection measures. The end goal is to evolve ALL’s security posture from an ad-hoc, reactive state to a proactive, resilient and legally compliant enterprise.</w:t>
      </w:r>
    </w:p>
    <w:p w14:paraId="7C219BAE" w14:textId="2A637700" w:rsidR="0031499F" w:rsidRPr="000133C6" w:rsidRDefault="0031499F" w:rsidP="5756BB46">
      <w:pPr>
        <w:spacing w:before="360" w:after="180"/>
      </w:pPr>
    </w:p>
    <w:p w14:paraId="1CD97C5E" w14:textId="0A0682E3" w:rsidR="0031499F" w:rsidRPr="000133C6" w:rsidRDefault="0031499F" w:rsidP="5756BB46">
      <w:pPr>
        <w:spacing w:before="360" w:after="180"/>
      </w:pPr>
    </w:p>
    <w:p w14:paraId="37A02B08" w14:textId="51441390" w:rsidR="0031499F" w:rsidRPr="000133C6" w:rsidRDefault="11E33889" w:rsidP="5756BB46">
      <w:pPr>
        <w:spacing w:before="360" w:after="180"/>
        <w:rPr>
          <w:rFonts w:ascii="Arial" w:eastAsia="Arial" w:hAnsi="Arial" w:cs="Arial"/>
          <w:sz w:val="30"/>
          <w:szCs w:val="30"/>
        </w:rPr>
      </w:pPr>
      <w:r w:rsidRPr="000133C6">
        <w:rPr>
          <w:rFonts w:ascii="Arial" w:eastAsia="Arial" w:hAnsi="Arial" w:cs="Arial"/>
          <w:b/>
          <w:bCs/>
          <w:sz w:val="30"/>
          <w:szCs w:val="30"/>
        </w:rPr>
        <w:t>1.1 Document Assumptions</w:t>
      </w:r>
      <w:r w:rsidRPr="000133C6">
        <w:rPr>
          <w:rFonts w:ascii="Arial" w:eastAsia="Arial" w:hAnsi="Arial" w:cs="Arial"/>
          <w:sz w:val="30"/>
          <w:szCs w:val="30"/>
        </w:rPr>
        <w:t xml:space="preserve"> </w:t>
      </w:r>
    </w:p>
    <w:p w14:paraId="417A02B1" w14:textId="27B9B846" w:rsidR="0031499F" w:rsidRPr="000133C6" w:rsidRDefault="0031499F" w:rsidP="5756BB46">
      <w:pPr>
        <w:spacing w:line="257" w:lineRule="auto"/>
      </w:pPr>
    </w:p>
    <w:p w14:paraId="08A0D7A2" w14:textId="3F0D3BC7" w:rsidR="0031499F" w:rsidRPr="000133C6" w:rsidRDefault="0031499F" w:rsidP="5756BB46">
      <w:pPr>
        <w:spacing w:line="257" w:lineRule="auto"/>
      </w:pPr>
    </w:p>
    <w:p w14:paraId="4F2AECA9" w14:textId="7FE2076A" w:rsidR="0031499F" w:rsidRPr="000133C6" w:rsidRDefault="11E33889" w:rsidP="5756BB46">
      <w:pPr>
        <w:spacing w:line="257" w:lineRule="auto"/>
        <w:rPr>
          <w:rFonts w:ascii="Times New Roman" w:eastAsia="Times New Roman" w:hAnsi="Times New Roman" w:cs="Times New Roman"/>
        </w:rPr>
      </w:pPr>
      <w:r w:rsidRPr="000133C6">
        <w:rPr>
          <w:rFonts w:ascii="Times New Roman" w:eastAsia="Times New Roman" w:hAnsi="Times New Roman" w:cs="Times New Roman"/>
        </w:rPr>
        <w:t xml:space="preserve">The following baseline organisational parameters are established for </w:t>
      </w:r>
      <w:proofErr w:type="spellStart"/>
      <w:r w:rsidRPr="000133C6">
        <w:rPr>
          <w:rFonts w:ascii="Times New Roman" w:eastAsia="Times New Roman" w:hAnsi="Times New Roman" w:cs="Times New Roman"/>
        </w:rPr>
        <w:t>AeroLink</w:t>
      </w:r>
      <w:proofErr w:type="spellEnd"/>
      <w:r w:rsidRPr="000133C6">
        <w:rPr>
          <w:rFonts w:ascii="Times New Roman" w:eastAsia="Times New Roman" w:hAnsi="Times New Roman" w:cs="Times New Roman"/>
        </w:rPr>
        <w:t xml:space="preserve"> Logistics to ensure the recommended solutions’ contextual validity and engineering precision: </w:t>
      </w:r>
      <w:r w:rsidR="00916DCB" w:rsidRPr="000133C6">
        <w:br/>
      </w:r>
      <w:r w:rsidR="00916DCB" w:rsidRPr="000133C6">
        <w:br/>
      </w:r>
      <w:r w:rsidRPr="000133C6">
        <w:rPr>
          <w:rFonts w:ascii="Times New Roman" w:eastAsia="Times New Roman" w:hAnsi="Times New Roman" w:cs="Times New Roman"/>
        </w:rPr>
        <w:t xml:space="preserve">Enterprise Scale &amp; Footprint: ALL has around 8,500 employees globally, working out of four major transcontinental logistics hubs (UK/Europe, North America, Asia-Pacific and Latin America). </w:t>
      </w:r>
      <w:r w:rsidR="00916DCB" w:rsidRPr="000133C6">
        <w:br/>
      </w:r>
      <w:r w:rsidR="00916DCB" w:rsidRPr="000133C6">
        <w:br/>
      </w:r>
      <w:r w:rsidRPr="000133C6">
        <w:rPr>
          <w:rFonts w:ascii="Times New Roman" w:eastAsia="Times New Roman" w:hAnsi="Times New Roman" w:cs="Times New Roman"/>
        </w:rPr>
        <w:t xml:space="preserve">Financial &amp; Capital Allocation: The Board of Directors is allocating 8.5% of the gross IT budget to </w:t>
      </w:r>
      <w:proofErr w:type="spellStart"/>
      <w:r w:rsidRPr="000133C6">
        <w:rPr>
          <w:rFonts w:ascii="Times New Roman" w:eastAsia="Times New Roman" w:hAnsi="Times New Roman" w:cs="Times New Roman"/>
        </w:rPr>
        <w:t>cybersecurity</w:t>
      </w:r>
      <w:proofErr w:type="spellEnd"/>
      <w:r w:rsidRPr="000133C6">
        <w:rPr>
          <w:rFonts w:ascii="Times New Roman" w:eastAsia="Times New Roman" w:hAnsi="Times New Roman" w:cs="Times New Roman"/>
        </w:rPr>
        <w:t xml:space="preserve"> remediation and governance implementation with a </w:t>
      </w:r>
      <w:r w:rsidR="15D99CD6" w:rsidRPr="000133C6">
        <w:rPr>
          <w:rFonts w:ascii="Times New Roman" w:eastAsia="Times New Roman" w:hAnsi="Times New Roman" w:cs="Times New Roman"/>
        </w:rPr>
        <w:t>36-month</w:t>
      </w:r>
      <w:r w:rsidRPr="000133C6">
        <w:rPr>
          <w:rFonts w:ascii="Times New Roman" w:eastAsia="Times New Roman" w:hAnsi="Times New Roman" w:cs="Times New Roman"/>
        </w:rPr>
        <w:t xml:space="preserve"> horizon and with an annualised corporate revenue of £1.2 billion. </w:t>
      </w:r>
      <w:r w:rsidR="00916DCB" w:rsidRPr="000133C6">
        <w:br/>
      </w:r>
      <w:r w:rsidR="00916DCB" w:rsidRPr="000133C6">
        <w:br/>
      </w:r>
      <w:r w:rsidRPr="000133C6">
        <w:rPr>
          <w:rFonts w:ascii="Times New Roman" w:eastAsia="Times New Roman" w:hAnsi="Times New Roman" w:cs="Times New Roman"/>
        </w:rPr>
        <w:t xml:space="preserve">Infrastructure Makeup: The 88% outsourced IT footprint is made up of multi-region public cloud environments, primarily split between AWS for </w:t>
      </w:r>
      <w:proofErr w:type="spellStart"/>
      <w:r w:rsidRPr="000133C6">
        <w:rPr>
          <w:rFonts w:ascii="Times New Roman" w:eastAsia="Times New Roman" w:hAnsi="Times New Roman" w:cs="Times New Roman"/>
        </w:rPr>
        <w:t>IaaS</w:t>
      </w:r>
      <w:proofErr w:type="spellEnd"/>
      <w:r w:rsidRPr="000133C6">
        <w:rPr>
          <w:rFonts w:ascii="Times New Roman" w:eastAsia="Times New Roman" w:hAnsi="Times New Roman" w:cs="Times New Roman"/>
        </w:rPr>
        <w:t xml:space="preserve"> data warehousing and Salesforce/SAP systems for </w:t>
      </w:r>
      <w:proofErr w:type="spellStart"/>
      <w:r w:rsidRPr="000133C6">
        <w:rPr>
          <w:rFonts w:ascii="Times New Roman" w:eastAsia="Times New Roman" w:hAnsi="Times New Roman" w:cs="Times New Roman"/>
        </w:rPr>
        <w:t>SaaS</w:t>
      </w:r>
      <w:proofErr w:type="spellEnd"/>
      <w:r w:rsidRPr="000133C6">
        <w:rPr>
          <w:rFonts w:ascii="Times New Roman" w:eastAsia="Times New Roman" w:hAnsi="Times New Roman" w:cs="Times New Roman"/>
        </w:rPr>
        <w:t xml:space="preserve"> logistics scheduling. The remaining 12% are legacy </w:t>
      </w:r>
      <w:r w:rsidR="5FC08F34" w:rsidRPr="000133C6">
        <w:rPr>
          <w:rFonts w:ascii="Times New Roman" w:eastAsia="Times New Roman" w:hAnsi="Times New Roman" w:cs="Times New Roman"/>
        </w:rPr>
        <w:t>on-premises</w:t>
      </w:r>
      <w:r w:rsidRPr="000133C6">
        <w:rPr>
          <w:rFonts w:ascii="Times New Roman" w:eastAsia="Times New Roman" w:hAnsi="Times New Roman" w:cs="Times New Roman"/>
        </w:rPr>
        <w:t xml:space="preserve"> mainframe architectures at centralised distribution hubs. </w:t>
      </w:r>
      <w:r w:rsidR="00916DCB" w:rsidRPr="000133C6">
        <w:br/>
      </w:r>
      <w:r w:rsidR="00916DCB" w:rsidRPr="000133C6">
        <w:br/>
      </w:r>
      <w:r w:rsidRPr="000133C6">
        <w:rPr>
          <w:rFonts w:ascii="Times New Roman" w:eastAsia="Times New Roman" w:hAnsi="Times New Roman" w:cs="Times New Roman"/>
        </w:rPr>
        <w:t xml:space="preserve">Regulatory Jurisdiction: ALL is involved in transcontinental logistics that includes data on European citizens. As such, it is subject to the General Data Protection Regulation (GDPR), the UK Data Protection Act 2018, and international maritime and transport security directives. </w:t>
      </w:r>
      <w:r w:rsidR="00916DCB" w:rsidRPr="000133C6">
        <w:br/>
      </w:r>
      <w:r w:rsidR="00916DCB" w:rsidRPr="000133C6">
        <w:br/>
      </w:r>
      <w:r w:rsidRPr="000133C6">
        <w:rPr>
          <w:rFonts w:ascii="Times New Roman" w:eastAsia="Times New Roman" w:hAnsi="Times New Roman" w:cs="Times New Roman"/>
        </w:rPr>
        <w:t>Current State of Security Maturity: Currently rated at Level 1 (Initial/Ad-hoc) on the Capability Maturity Model Integration (CMMI) scale, defined as undocumented, reactive security processes with no internal ownership.</w:t>
      </w:r>
      <w:r w:rsidR="00916DCB" w:rsidRPr="000133C6">
        <w:br/>
      </w:r>
      <w:r w:rsidR="00916DCB" w:rsidRPr="000133C6">
        <w:lastRenderedPageBreak/>
        <w:br/>
      </w:r>
      <w:r w:rsidRPr="000133C6">
        <w:rPr>
          <w:rFonts w:ascii="Arial" w:eastAsia="Arial" w:hAnsi="Arial" w:cs="Arial"/>
          <w:b/>
          <w:bCs/>
          <w:sz w:val="30"/>
          <w:szCs w:val="30"/>
        </w:rPr>
        <w:t>2. Comprehensive Research and Comparative Analysis of Security Frameworks</w:t>
      </w:r>
      <w:r w:rsidR="00916DCB" w:rsidRPr="000133C6">
        <w:br/>
      </w:r>
      <w:r w:rsidRPr="000133C6">
        <w:rPr>
          <w:rFonts w:ascii="Calibri" w:eastAsia="Calibri" w:hAnsi="Calibri" w:cs="Calibri"/>
          <w:b/>
          <w:bCs/>
          <w:sz w:val="22"/>
          <w:szCs w:val="22"/>
        </w:rPr>
        <w:t xml:space="preserve"> </w:t>
      </w:r>
      <w:r w:rsidR="00916DCB" w:rsidRPr="000133C6">
        <w:br/>
      </w:r>
      <w:r w:rsidR="00916DCB" w:rsidRPr="000133C6">
        <w:br/>
      </w:r>
      <w:r w:rsidRPr="000133C6">
        <w:rPr>
          <w:rFonts w:ascii="Times New Roman" w:eastAsia="Times New Roman" w:hAnsi="Times New Roman" w:cs="Times New Roman"/>
        </w:rPr>
        <w:t xml:space="preserve">To build a resilient foundation for </w:t>
      </w:r>
      <w:proofErr w:type="spellStart"/>
      <w:r w:rsidRPr="000133C6">
        <w:rPr>
          <w:rFonts w:ascii="Times New Roman" w:eastAsia="Times New Roman" w:hAnsi="Times New Roman" w:cs="Times New Roman"/>
        </w:rPr>
        <w:t>AeroLink</w:t>
      </w:r>
      <w:proofErr w:type="spellEnd"/>
      <w:r w:rsidRPr="000133C6">
        <w:rPr>
          <w:rFonts w:ascii="Times New Roman" w:eastAsia="Times New Roman" w:hAnsi="Times New Roman" w:cs="Times New Roman"/>
        </w:rPr>
        <w:t xml:space="preserve"> Logistics, it is essential to critically evaluate four major information security, governance, and operational frameworks: NIST </w:t>
      </w:r>
      <w:proofErr w:type="spellStart"/>
      <w:r w:rsidRPr="000133C6">
        <w:rPr>
          <w:rFonts w:ascii="Times New Roman" w:eastAsia="Times New Roman" w:hAnsi="Times New Roman" w:cs="Times New Roman"/>
        </w:rPr>
        <w:t>Cybersecurity</w:t>
      </w:r>
      <w:proofErr w:type="spellEnd"/>
      <w:r w:rsidRPr="000133C6">
        <w:rPr>
          <w:rFonts w:ascii="Times New Roman" w:eastAsia="Times New Roman" w:hAnsi="Times New Roman" w:cs="Times New Roman"/>
        </w:rPr>
        <w:t xml:space="preserve"> Framework (CSF 2.0), ISO/IEC 27001:2022, COBIT 2019, and ITIL v4. Each framework provides its own architectural paradigms from validation of technical control to governance at the corporate macro level.</w:t>
      </w:r>
    </w:p>
    <w:p w14:paraId="1958D7D5" w14:textId="73285921" w:rsidR="0031499F" w:rsidRPr="000133C6" w:rsidRDefault="0031499F" w:rsidP="5756BB46">
      <w:pPr>
        <w:spacing w:line="257" w:lineRule="auto"/>
      </w:pPr>
    </w:p>
    <w:p w14:paraId="1643177D" w14:textId="2EC413F0" w:rsidR="0031499F" w:rsidRPr="000133C6" w:rsidRDefault="437C239F" w:rsidP="5756BB46">
      <w:pPr>
        <w:spacing w:before="180" w:after="240"/>
        <w:rPr>
          <w:rFonts w:ascii="Arial" w:eastAsia="Arial" w:hAnsi="Arial" w:cs="Arial"/>
          <w:b/>
          <w:bCs/>
          <w:sz w:val="30"/>
          <w:szCs w:val="30"/>
        </w:rPr>
      </w:pPr>
      <w:r w:rsidRPr="000133C6">
        <w:rPr>
          <w:noProof/>
          <w:lang w:eastAsia="en-US"/>
        </w:rPr>
        <w:drawing>
          <wp:inline distT="0" distB="0" distL="0" distR="0" wp14:anchorId="4C18C096" wp14:editId="080847A4">
            <wp:extent cx="6076950" cy="5677753"/>
            <wp:effectExtent l="9525" t="9525" r="9525" b="9525"/>
            <wp:docPr id="15114831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262762" name="Picture 1231262762"/>
                    <pic:cNvPicPr/>
                  </pic:nvPicPr>
                  <pic:blipFill>
                    <a:blip r:embed="rId8">
                      <a:extLst>
                        <a:ext uri="{28A0092B-C50C-407E-A947-70E740481C1C}">
                          <a14:useLocalDpi xmlns:a14="http://schemas.microsoft.com/office/drawing/2010/main"/>
                        </a:ext>
                      </a:extLst>
                    </a:blip>
                    <a:stretch>
                      <a:fillRect/>
                    </a:stretch>
                  </pic:blipFill>
                  <pic:spPr>
                    <a:xfrm>
                      <a:off x="0" y="0"/>
                      <a:ext cx="6076950" cy="5677753"/>
                    </a:xfrm>
                    <a:prstGeom prst="rect">
                      <a:avLst/>
                    </a:prstGeom>
                    <a:ln w="9525">
                      <a:solidFill>
                        <a:schemeClr val="tx1"/>
                      </a:solidFill>
                      <a:prstDash val="solid"/>
                    </a:ln>
                  </pic:spPr>
                </pic:pic>
              </a:graphicData>
            </a:graphic>
          </wp:inline>
        </w:drawing>
      </w:r>
    </w:p>
    <w:p w14:paraId="26DC50E5" w14:textId="0C57D2F7" w:rsidR="0031499F" w:rsidRPr="000133C6" w:rsidRDefault="5ED3BFE7" w:rsidP="5756BB46">
      <w:pPr>
        <w:spacing w:before="180" w:after="240"/>
        <w:rPr>
          <w:rFonts w:ascii="Arial" w:eastAsia="Arial" w:hAnsi="Arial" w:cs="Arial"/>
          <w:b/>
          <w:bCs/>
          <w:sz w:val="30"/>
          <w:szCs w:val="30"/>
        </w:rPr>
      </w:pPr>
      <w:r w:rsidRPr="000133C6">
        <w:rPr>
          <w:rFonts w:ascii="Arial" w:eastAsia="Arial" w:hAnsi="Arial" w:cs="Arial"/>
          <w:b/>
          <w:bCs/>
          <w:sz w:val="30"/>
          <w:szCs w:val="30"/>
        </w:rPr>
        <w:lastRenderedPageBreak/>
        <w:t xml:space="preserve">2.1 NIST </w:t>
      </w:r>
      <w:proofErr w:type="spellStart"/>
      <w:r w:rsidRPr="000133C6">
        <w:rPr>
          <w:rFonts w:ascii="Arial" w:eastAsia="Arial" w:hAnsi="Arial" w:cs="Arial"/>
          <w:b/>
          <w:bCs/>
          <w:sz w:val="30"/>
          <w:szCs w:val="30"/>
        </w:rPr>
        <w:t>Cybersecurity</w:t>
      </w:r>
      <w:proofErr w:type="spellEnd"/>
      <w:r w:rsidRPr="000133C6">
        <w:rPr>
          <w:rFonts w:ascii="Arial" w:eastAsia="Arial" w:hAnsi="Arial" w:cs="Arial"/>
          <w:b/>
          <w:bCs/>
          <w:sz w:val="30"/>
          <w:szCs w:val="30"/>
        </w:rPr>
        <w:t xml:space="preserve"> Framework (CSF 2.0)</w:t>
      </w:r>
      <w:r w:rsidR="00916DCB" w:rsidRPr="000133C6">
        <w:br/>
      </w:r>
      <w:r w:rsidR="00916DCB" w:rsidRPr="000133C6">
        <w:br/>
      </w:r>
    </w:p>
    <w:p w14:paraId="3975D04B" w14:textId="5D009807" w:rsidR="67248599" w:rsidRPr="000133C6" w:rsidRDefault="67248599" w:rsidP="5756BB46">
      <w:pPr>
        <w:rPr>
          <w:rFonts w:ascii="Arial" w:eastAsia="Arial" w:hAnsi="Arial" w:cs="Arial"/>
        </w:rPr>
      </w:pPr>
      <w:r w:rsidRPr="000133C6">
        <w:rPr>
          <w:rFonts w:ascii="Arial" w:eastAsia="Arial" w:hAnsi="Arial" w:cs="Arial"/>
        </w:rPr>
        <w:t>The NIST CSF 2.0 is a risk-focused taxonomy designed for ongoing control enhancement</w:t>
      </w:r>
      <w:r w:rsidR="6D2EE2ED" w:rsidRPr="000133C6">
        <w:rPr>
          <w:rFonts w:ascii="Arial" w:eastAsia="Arial" w:hAnsi="Arial" w:cs="Arial"/>
        </w:rPr>
        <w:t xml:space="preserve"> [5]</w:t>
      </w:r>
      <w:r w:rsidRPr="000133C6">
        <w:rPr>
          <w:rFonts w:ascii="Arial" w:eastAsia="Arial" w:hAnsi="Arial" w:cs="Arial"/>
        </w:rPr>
        <w:t>. CSF 2.0 builds on the previous generation by adding the core “Govern” function to Identify, Protect, Detect, Respond, and Recover</w:t>
      </w:r>
      <w:r w:rsidR="472CF071" w:rsidRPr="000133C6">
        <w:rPr>
          <w:rFonts w:ascii="Arial" w:eastAsia="Arial" w:hAnsi="Arial" w:cs="Arial"/>
        </w:rPr>
        <w:t xml:space="preserve"> [5]</w:t>
      </w:r>
      <w:r w:rsidRPr="000133C6">
        <w:rPr>
          <w:rFonts w:ascii="Arial" w:eastAsia="Arial" w:hAnsi="Arial" w:cs="Arial"/>
        </w:rPr>
        <w:t xml:space="preserve">. This requires that </w:t>
      </w:r>
      <w:proofErr w:type="spellStart"/>
      <w:r w:rsidRPr="000133C6">
        <w:rPr>
          <w:rFonts w:ascii="Arial" w:eastAsia="Arial" w:hAnsi="Arial" w:cs="Arial"/>
        </w:rPr>
        <w:t>cybersecurity</w:t>
      </w:r>
      <w:proofErr w:type="spellEnd"/>
      <w:r w:rsidRPr="000133C6">
        <w:rPr>
          <w:rFonts w:ascii="Arial" w:eastAsia="Arial" w:hAnsi="Arial" w:cs="Arial"/>
        </w:rPr>
        <w:t xml:space="preserve"> risk management be integrated directly into the overall organisational governance, business strategies and capital allocation models</w:t>
      </w:r>
      <w:r w:rsidR="2F3F9EE6" w:rsidRPr="000133C6">
        <w:rPr>
          <w:rFonts w:ascii="Arial" w:eastAsia="Arial" w:hAnsi="Arial" w:cs="Arial"/>
          <w:b/>
          <w:bCs/>
        </w:rPr>
        <w:t xml:space="preserve"> [5]</w:t>
      </w:r>
      <w:r w:rsidRPr="000133C6">
        <w:rPr>
          <w:rFonts w:ascii="Arial" w:eastAsia="Arial" w:hAnsi="Arial" w:cs="Arial"/>
        </w:rPr>
        <w:t xml:space="preserve">. </w:t>
      </w:r>
    </w:p>
    <w:p w14:paraId="74FB1975" w14:textId="5429F5F5" w:rsidR="5756BB46" w:rsidRPr="000133C6" w:rsidRDefault="5756BB46" w:rsidP="5756BB46"/>
    <w:p w14:paraId="19FE07ED" w14:textId="533E96BB" w:rsidR="67248599" w:rsidRPr="000133C6" w:rsidRDefault="67248599" w:rsidP="5756BB46">
      <w:pPr>
        <w:spacing w:before="180" w:after="240"/>
        <w:rPr>
          <w:rFonts w:ascii="Arial" w:eastAsia="Arial" w:hAnsi="Arial" w:cs="Arial"/>
        </w:rPr>
      </w:pPr>
      <w:r w:rsidRPr="000133C6">
        <w:rPr>
          <w:rFonts w:ascii="Arial" w:eastAsia="Arial" w:hAnsi="Arial" w:cs="Arial"/>
        </w:rPr>
        <w:t>The NIST CSF 2.0 offers very actionable sub-categories for an enterprise such as ALL to address cloud security misconfigurations and remote workspace risks. Its strength is in flexibility and outcome-orientation, enabling security teams to map technical objectives without being bound to rigid bureaucratic procedures</w:t>
      </w:r>
      <w:r w:rsidR="35754456" w:rsidRPr="000133C6">
        <w:rPr>
          <w:rFonts w:ascii="Arial" w:eastAsia="Arial" w:hAnsi="Arial" w:cs="Arial"/>
          <w:b/>
          <w:bCs/>
        </w:rPr>
        <w:t xml:space="preserve"> [2], [5]</w:t>
      </w:r>
      <w:r w:rsidRPr="000133C6">
        <w:rPr>
          <w:rFonts w:ascii="Arial" w:eastAsia="Arial" w:hAnsi="Arial" w:cs="Arial"/>
        </w:rPr>
        <w:t xml:space="preserve">. However, NIST CSF is non-prescriptive meaning it does not prescribe specific technical </w:t>
      </w:r>
      <w:r w:rsidR="39390E6E" w:rsidRPr="000133C6">
        <w:rPr>
          <w:rFonts w:ascii="Arial" w:eastAsia="Arial" w:hAnsi="Arial" w:cs="Arial"/>
        </w:rPr>
        <w:t>solutions,</w:t>
      </w:r>
      <w:r w:rsidRPr="000133C6">
        <w:rPr>
          <w:rFonts w:ascii="Arial" w:eastAsia="Arial" w:hAnsi="Arial" w:cs="Arial"/>
        </w:rPr>
        <w:t xml:space="preserve"> nor does it offer formal certification paths which are required for ALL to demonstrate security compliance to high value global clients</w:t>
      </w:r>
      <w:r w:rsidR="2D9449E0" w:rsidRPr="000133C6">
        <w:rPr>
          <w:rFonts w:ascii="Arial" w:eastAsia="Arial" w:hAnsi="Arial" w:cs="Arial"/>
        </w:rPr>
        <w:t xml:space="preserve"> [4], [5]</w:t>
      </w:r>
      <w:r w:rsidRPr="000133C6">
        <w:rPr>
          <w:rFonts w:ascii="Arial" w:eastAsia="Arial" w:hAnsi="Arial" w:cs="Arial"/>
        </w:rPr>
        <w:t>.</w:t>
      </w:r>
    </w:p>
    <w:p w14:paraId="46CF99B6" w14:textId="63D1B032" w:rsidR="0031499F" w:rsidRPr="000133C6" w:rsidRDefault="00916DCB" w:rsidP="5756BB46">
      <w:pPr>
        <w:spacing w:before="360" w:after="180"/>
        <w:rPr>
          <w:rFonts w:ascii="Arial" w:eastAsia="Arial" w:hAnsi="Arial" w:cs="Arial"/>
          <w:b/>
          <w:bCs/>
          <w:sz w:val="30"/>
          <w:szCs w:val="30"/>
        </w:rPr>
      </w:pPr>
      <w:r w:rsidRPr="000133C6">
        <w:br/>
      </w:r>
      <w:r w:rsidRPr="000133C6">
        <w:br/>
      </w:r>
      <w:r w:rsidR="1080F1AC" w:rsidRPr="000133C6">
        <w:rPr>
          <w:rFonts w:ascii="Arial" w:eastAsia="Arial" w:hAnsi="Arial" w:cs="Arial"/>
          <w:b/>
          <w:bCs/>
          <w:sz w:val="30"/>
          <w:szCs w:val="30"/>
        </w:rPr>
        <w:t>2.2 ISO/IEC 27001:2022</w:t>
      </w:r>
      <w:r w:rsidRPr="000133C6">
        <w:br/>
      </w:r>
      <w:r w:rsidRPr="000133C6">
        <w:br/>
      </w:r>
    </w:p>
    <w:p w14:paraId="10505C6C" w14:textId="344E9EA3" w:rsidR="0031499F" w:rsidRPr="000133C6" w:rsidRDefault="60C9F049" w:rsidP="5756BB46">
      <w:pPr>
        <w:spacing w:before="180" w:after="240"/>
        <w:rPr>
          <w:rFonts w:ascii="Arial" w:eastAsia="Arial" w:hAnsi="Arial" w:cs="Arial"/>
        </w:rPr>
      </w:pPr>
      <w:r w:rsidRPr="000133C6">
        <w:rPr>
          <w:rFonts w:ascii="Arial" w:eastAsia="Arial" w:hAnsi="Arial" w:cs="Arial"/>
        </w:rPr>
        <w:t>ISO/IEC 27001:2022 is the definitive international standard for establishing, implementing, maintaining and continually improving an Information Security Management System (ISMS). ISO 27001 is a binary certification standard, unlike NIST. The essence of it is clauses 4 to 10, which require strict administrative requirements such as leadership commitment, continuous internal auditing, comprehensive risk treatment plans and the Plan-Do-Check-Act (PDCA) continuous optimisation cycle</w:t>
      </w:r>
      <w:r w:rsidR="74B1AC13" w:rsidRPr="000133C6">
        <w:rPr>
          <w:rFonts w:ascii="Arial" w:eastAsia="Arial" w:hAnsi="Arial" w:cs="Arial"/>
          <w:b/>
          <w:bCs/>
        </w:rPr>
        <w:t xml:space="preserve"> [4]</w:t>
      </w:r>
      <w:r w:rsidRPr="000133C6">
        <w:rPr>
          <w:rFonts w:ascii="Arial" w:eastAsia="Arial" w:hAnsi="Arial" w:cs="Arial"/>
        </w:rPr>
        <w:t xml:space="preserve">. </w:t>
      </w:r>
    </w:p>
    <w:p w14:paraId="668A136D" w14:textId="22175F3B" w:rsidR="0031499F" w:rsidRPr="000133C6" w:rsidRDefault="0031499F" w:rsidP="5756BB46">
      <w:pPr>
        <w:spacing w:before="180" w:after="240"/>
      </w:pPr>
    </w:p>
    <w:p w14:paraId="5873CCAE" w14:textId="3D145CB5" w:rsidR="0031499F" w:rsidRPr="000133C6" w:rsidRDefault="60C9F049" w:rsidP="5756BB46">
      <w:pPr>
        <w:spacing w:before="180" w:after="240"/>
        <w:rPr>
          <w:rFonts w:ascii="Arial" w:eastAsia="Arial" w:hAnsi="Arial" w:cs="Arial"/>
        </w:rPr>
      </w:pPr>
      <w:r w:rsidRPr="000133C6">
        <w:rPr>
          <w:rFonts w:ascii="Arial" w:eastAsia="Arial" w:hAnsi="Arial" w:cs="Arial"/>
        </w:rPr>
        <w:t>The updated Annex A controls include some new requirements for the consumption of cloud services, integration of threat intelligence, and data leakage prevention</w:t>
      </w:r>
      <w:r w:rsidR="5DB6A0AF" w:rsidRPr="000133C6">
        <w:rPr>
          <w:rFonts w:ascii="Arial" w:eastAsia="Arial" w:hAnsi="Arial" w:cs="Arial"/>
          <w:b/>
          <w:bCs/>
        </w:rPr>
        <w:t xml:space="preserve"> [2], [4]</w:t>
      </w:r>
      <w:r w:rsidRPr="000133C6">
        <w:rPr>
          <w:rFonts w:ascii="Arial" w:eastAsia="Arial" w:hAnsi="Arial" w:cs="Arial"/>
        </w:rPr>
        <w:t xml:space="preserve">. ISO 27001 implementation provides ALL with an internationally recognised validation mechanism, which forces the organization to formalise documented policies and break down departmental silos. The biggest downside to this framework is the administrative </w:t>
      </w:r>
      <w:r w:rsidRPr="000133C6">
        <w:rPr>
          <w:rFonts w:ascii="Arial" w:eastAsia="Arial" w:hAnsi="Arial" w:cs="Arial"/>
        </w:rPr>
        <w:lastRenderedPageBreak/>
        <w:t>overhead. It can inadvertently cause security teams to focus on paper-driven compliance versus hunting down threats.</w:t>
      </w:r>
    </w:p>
    <w:p w14:paraId="245F1D8B" w14:textId="7EC726AC" w:rsidR="0031499F" w:rsidRPr="000133C6" w:rsidRDefault="5FFE6D2F" w:rsidP="5756BB46">
      <w:pPr>
        <w:spacing w:before="360" w:after="180"/>
        <w:rPr>
          <w:rFonts w:ascii="Arial" w:eastAsia="Arial" w:hAnsi="Arial" w:cs="Arial"/>
          <w:b/>
          <w:bCs/>
          <w:sz w:val="30"/>
          <w:szCs w:val="30"/>
        </w:rPr>
      </w:pPr>
      <w:r w:rsidRPr="000133C6">
        <w:rPr>
          <w:rFonts w:ascii="Arial" w:eastAsia="Arial" w:hAnsi="Arial" w:cs="Arial"/>
          <w:b/>
          <w:bCs/>
          <w:sz w:val="30"/>
          <w:szCs w:val="30"/>
        </w:rPr>
        <w:t>2.3 COBIT 2019</w:t>
      </w:r>
      <w:r w:rsidR="00916DCB" w:rsidRPr="000133C6">
        <w:br/>
      </w:r>
    </w:p>
    <w:p w14:paraId="716A2D5B" w14:textId="78E4DBD0" w:rsidR="0031499F" w:rsidRPr="000133C6" w:rsidRDefault="20D63432" w:rsidP="5756BB46">
      <w:pPr>
        <w:spacing w:before="180" w:after="240"/>
        <w:rPr>
          <w:rFonts w:ascii="Arial" w:eastAsia="Arial" w:hAnsi="Arial" w:cs="Arial"/>
        </w:rPr>
      </w:pPr>
      <w:r w:rsidRPr="000133C6">
        <w:rPr>
          <w:rFonts w:ascii="Arial" w:eastAsia="Arial" w:hAnsi="Arial" w:cs="Arial"/>
        </w:rPr>
        <w:t>Control Objectives for Information and Related Technology (COBIT 2019) is a macro-governance framework created by ISACA to connect technical IT operations with corporate strategic objectives</w:t>
      </w:r>
      <w:r w:rsidR="684975D1" w:rsidRPr="000133C6">
        <w:rPr>
          <w:rFonts w:ascii="Arial" w:eastAsia="Arial" w:hAnsi="Arial" w:cs="Arial"/>
          <w:b/>
          <w:bCs/>
        </w:rPr>
        <w:t xml:space="preserve"> [6]</w:t>
      </w:r>
      <w:r w:rsidRPr="000133C6">
        <w:rPr>
          <w:rFonts w:ascii="Arial" w:eastAsia="Arial" w:hAnsi="Arial" w:cs="Arial"/>
        </w:rPr>
        <w:t xml:space="preserve">. The foundation of COBIT 2019 is the division of enterprise governance into two distinct components: Governance (Evaluate, Direct, </w:t>
      </w:r>
      <w:proofErr w:type="gramStart"/>
      <w:r w:rsidRPr="000133C6">
        <w:rPr>
          <w:rFonts w:ascii="Arial" w:eastAsia="Arial" w:hAnsi="Arial" w:cs="Arial"/>
        </w:rPr>
        <w:t>Monitor</w:t>
      </w:r>
      <w:proofErr w:type="gramEnd"/>
      <w:r w:rsidRPr="000133C6">
        <w:rPr>
          <w:rFonts w:ascii="Arial" w:eastAsia="Arial" w:hAnsi="Arial" w:cs="Arial"/>
        </w:rPr>
        <w:t>) and Management (Plan, Build, Run, Monitor)</w:t>
      </w:r>
      <w:r w:rsidR="304C4C22" w:rsidRPr="000133C6">
        <w:rPr>
          <w:rFonts w:ascii="Arial" w:eastAsia="Arial" w:hAnsi="Arial" w:cs="Arial"/>
        </w:rPr>
        <w:t xml:space="preserve"> [6]</w:t>
      </w:r>
      <w:r w:rsidRPr="000133C6">
        <w:rPr>
          <w:rFonts w:ascii="Arial" w:eastAsia="Arial" w:hAnsi="Arial" w:cs="Arial"/>
        </w:rPr>
        <w:t>. It prescribes 40 core objectives for governance and management across five different domains, allowing executives to tailor the IT governance to specific design factors such as the threat landscape, enterprise strategy and risk profile</w:t>
      </w:r>
      <w:r w:rsidR="5BC73D24" w:rsidRPr="000133C6">
        <w:rPr>
          <w:rFonts w:ascii="Arial" w:eastAsia="Arial" w:hAnsi="Arial" w:cs="Arial"/>
        </w:rPr>
        <w:t xml:space="preserve"> [6]</w:t>
      </w:r>
      <w:r w:rsidRPr="000133C6">
        <w:rPr>
          <w:rFonts w:ascii="Arial" w:eastAsia="Arial" w:hAnsi="Arial" w:cs="Arial"/>
        </w:rPr>
        <w:t xml:space="preserve">. </w:t>
      </w:r>
    </w:p>
    <w:p w14:paraId="6C371199" w14:textId="15A9A527" w:rsidR="0031499F" w:rsidRPr="000133C6" w:rsidRDefault="0031499F" w:rsidP="5756BB46">
      <w:pPr>
        <w:spacing w:before="180" w:after="240"/>
      </w:pPr>
    </w:p>
    <w:p w14:paraId="1DF4C3AF" w14:textId="1773178E" w:rsidR="0031499F" w:rsidRPr="000133C6" w:rsidRDefault="20D63432" w:rsidP="5756BB46">
      <w:pPr>
        <w:spacing w:before="180" w:after="240"/>
        <w:rPr>
          <w:rFonts w:ascii="Arial" w:eastAsia="Arial" w:hAnsi="Arial" w:cs="Arial"/>
        </w:rPr>
      </w:pPr>
      <w:r w:rsidRPr="000133C6">
        <w:rPr>
          <w:rFonts w:ascii="Arial" w:eastAsia="Arial" w:hAnsi="Arial" w:cs="Arial"/>
        </w:rPr>
        <w:t xml:space="preserve">COBIT 2019 is the ideal vehicle to solve the urgent problem of the lack of coordination between business departments and IT teams FOR ALL. It offers measurable statistics to measure the return on security investment (ROSI) and assures that </w:t>
      </w:r>
      <w:proofErr w:type="spellStart"/>
      <w:r w:rsidRPr="000133C6">
        <w:rPr>
          <w:rFonts w:ascii="Arial" w:eastAsia="Arial" w:hAnsi="Arial" w:cs="Arial"/>
        </w:rPr>
        <w:t>cybersecurity</w:t>
      </w:r>
      <w:proofErr w:type="spellEnd"/>
      <w:r w:rsidRPr="000133C6">
        <w:rPr>
          <w:rFonts w:ascii="Arial" w:eastAsia="Arial" w:hAnsi="Arial" w:cs="Arial"/>
        </w:rPr>
        <w:t xml:space="preserve"> statistics are reported directly to the Board of Directors</w:t>
      </w:r>
      <w:r w:rsidR="2E9F7873" w:rsidRPr="000133C6">
        <w:rPr>
          <w:rFonts w:ascii="Arial" w:eastAsia="Arial" w:hAnsi="Arial" w:cs="Arial"/>
          <w:b/>
          <w:bCs/>
        </w:rPr>
        <w:t xml:space="preserve"> [7]</w:t>
      </w:r>
      <w:r w:rsidRPr="000133C6">
        <w:rPr>
          <w:rFonts w:ascii="Arial" w:eastAsia="Arial" w:hAnsi="Arial" w:cs="Arial"/>
        </w:rPr>
        <w:t>. Yet, COBIT 2019 is abstract and high-level, and needs to be combined with more detailed frameworks to implement tangible engineering defences.</w:t>
      </w:r>
    </w:p>
    <w:p w14:paraId="41C734AB" w14:textId="7332BFDF" w:rsidR="0031499F" w:rsidRPr="000133C6" w:rsidRDefault="00916DCB" w:rsidP="5756BB46">
      <w:pPr>
        <w:spacing w:before="360" w:after="180"/>
        <w:rPr>
          <w:rFonts w:ascii="Arial" w:eastAsia="Arial" w:hAnsi="Arial" w:cs="Arial"/>
          <w:b/>
          <w:bCs/>
          <w:sz w:val="30"/>
          <w:szCs w:val="30"/>
        </w:rPr>
      </w:pPr>
      <w:r w:rsidRPr="000133C6">
        <w:br/>
      </w:r>
      <w:r w:rsidRPr="000133C6">
        <w:br/>
      </w:r>
      <w:r w:rsidR="351FC212" w:rsidRPr="000133C6">
        <w:rPr>
          <w:rFonts w:ascii="Arial" w:eastAsia="Arial" w:hAnsi="Arial" w:cs="Arial"/>
          <w:b/>
          <w:bCs/>
          <w:sz w:val="30"/>
          <w:szCs w:val="30"/>
        </w:rPr>
        <w:t>2.4 ITIL v4</w:t>
      </w:r>
      <w:r w:rsidRPr="000133C6">
        <w:br/>
      </w:r>
      <w:r w:rsidRPr="000133C6">
        <w:br/>
      </w:r>
    </w:p>
    <w:p w14:paraId="7AE13E5F" w14:textId="57199BA3" w:rsidR="71AA8874" w:rsidRPr="000133C6" w:rsidRDefault="71AA8874" w:rsidP="5756BB46">
      <w:pPr>
        <w:rPr>
          <w:rFonts w:ascii="Arial" w:eastAsia="Arial" w:hAnsi="Arial" w:cs="Arial"/>
        </w:rPr>
      </w:pPr>
      <w:r w:rsidRPr="000133C6">
        <w:rPr>
          <w:rFonts w:ascii="Arial" w:eastAsia="Arial" w:hAnsi="Arial" w:cs="Arial"/>
        </w:rPr>
        <w:t>ITIL v4 highlights the IT Service Value System (SVS) and Service Value Chain which are intended to improve the delivery, management and continual improvement of digital services</w:t>
      </w:r>
      <w:r w:rsidR="51B39CA3" w:rsidRPr="000133C6">
        <w:rPr>
          <w:rFonts w:ascii="Arial" w:eastAsia="Arial" w:hAnsi="Arial" w:cs="Arial"/>
          <w:b/>
          <w:bCs/>
        </w:rPr>
        <w:t xml:space="preserve"> [8]</w:t>
      </w:r>
      <w:r w:rsidRPr="000133C6">
        <w:rPr>
          <w:rFonts w:ascii="Arial" w:eastAsia="Arial" w:hAnsi="Arial" w:cs="Arial"/>
        </w:rPr>
        <w:t>. While ITIL v4 is not a security standard as such, it is an operational framework and does include Information Security Management as an integrated practice through all phases of service delivery</w:t>
      </w:r>
      <w:r w:rsidR="5A9A9EAB" w:rsidRPr="000133C6">
        <w:rPr>
          <w:rFonts w:ascii="Arial" w:eastAsia="Arial" w:hAnsi="Arial" w:cs="Arial"/>
          <w:b/>
          <w:bCs/>
        </w:rPr>
        <w:t xml:space="preserve"> [8]</w:t>
      </w:r>
      <w:r w:rsidRPr="000133C6">
        <w:rPr>
          <w:rFonts w:ascii="Arial" w:eastAsia="Arial" w:hAnsi="Arial" w:cs="Arial"/>
        </w:rPr>
        <w:t xml:space="preserve">. </w:t>
      </w:r>
    </w:p>
    <w:p w14:paraId="179D24D2" w14:textId="4D82602B" w:rsidR="5756BB46" w:rsidRPr="000133C6" w:rsidRDefault="5756BB46" w:rsidP="5756BB46"/>
    <w:p w14:paraId="40B8349D" w14:textId="77BDA52C" w:rsidR="71AA8874" w:rsidRPr="000133C6" w:rsidRDefault="71AA8874" w:rsidP="5756BB46">
      <w:pPr>
        <w:spacing w:before="180" w:after="240"/>
        <w:rPr>
          <w:rFonts w:ascii="Arial" w:eastAsia="Arial" w:hAnsi="Arial" w:cs="Arial"/>
        </w:rPr>
      </w:pPr>
      <w:r w:rsidRPr="000133C6">
        <w:rPr>
          <w:rFonts w:ascii="Arial" w:eastAsia="Arial" w:hAnsi="Arial" w:cs="Arial"/>
        </w:rPr>
        <w:t xml:space="preserve">ALL’s heavily outsourced environment (88% </w:t>
      </w:r>
      <w:proofErr w:type="spellStart"/>
      <w:r w:rsidRPr="000133C6">
        <w:rPr>
          <w:rFonts w:ascii="Arial" w:eastAsia="Arial" w:hAnsi="Arial" w:cs="Arial"/>
        </w:rPr>
        <w:t>IaaS</w:t>
      </w:r>
      <w:proofErr w:type="spellEnd"/>
      <w:r w:rsidRPr="000133C6">
        <w:rPr>
          <w:rFonts w:ascii="Arial" w:eastAsia="Arial" w:hAnsi="Arial" w:cs="Arial"/>
        </w:rPr>
        <w:t>/</w:t>
      </w:r>
      <w:proofErr w:type="spellStart"/>
      <w:r w:rsidRPr="000133C6">
        <w:rPr>
          <w:rFonts w:ascii="Arial" w:eastAsia="Arial" w:hAnsi="Arial" w:cs="Arial"/>
        </w:rPr>
        <w:t>SaaS</w:t>
      </w:r>
      <w:proofErr w:type="spellEnd"/>
      <w:r w:rsidRPr="000133C6">
        <w:rPr>
          <w:rFonts w:ascii="Arial" w:eastAsia="Arial" w:hAnsi="Arial" w:cs="Arial"/>
        </w:rPr>
        <w:t xml:space="preserve">) means that ITIL v4 is critical to operational protocols in Service Level Agreement (SLA) construction, change management workflows, configuration management databases (CMDB), and formalised </w:t>
      </w:r>
      <w:r w:rsidRPr="000133C6">
        <w:rPr>
          <w:rFonts w:ascii="Arial" w:eastAsia="Arial" w:hAnsi="Arial" w:cs="Arial"/>
        </w:rPr>
        <w:lastRenderedPageBreak/>
        <w:t>incident, problem, and event management</w:t>
      </w:r>
      <w:r w:rsidR="0625AB34" w:rsidRPr="000133C6">
        <w:rPr>
          <w:rFonts w:ascii="Arial" w:eastAsia="Arial" w:hAnsi="Arial" w:cs="Arial"/>
          <w:b/>
          <w:bCs/>
        </w:rPr>
        <w:t xml:space="preserve"> [8], [14]</w:t>
      </w:r>
      <w:r w:rsidRPr="000133C6">
        <w:rPr>
          <w:rFonts w:ascii="Arial" w:eastAsia="Arial" w:hAnsi="Arial" w:cs="Arial"/>
        </w:rPr>
        <w:t xml:space="preserve">. This enables the management of security incidents through defined escalation paths, ensuring there is no operational downtime during a breach. However, ITIL v4 does not offer comprehensive technical security validation capabilities and is not sufficient on its own to address targeted </w:t>
      </w:r>
      <w:r w:rsidR="4F84A740" w:rsidRPr="000133C6">
        <w:rPr>
          <w:rFonts w:ascii="Arial" w:eastAsia="Arial" w:hAnsi="Arial" w:cs="Arial"/>
        </w:rPr>
        <w:t>cyber-attacks</w:t>
      </w:r>
      <w:r w:rsidRPr="000133C6">
        <w:rPr>
          <w:rFonts w:ascii="Arial" w:eastAsia="Arial" w:hAnsi="Arial" w:cs="Arial"/>
        </w:rPr>
        <w:t>.</w:t>
      </w:r>
    </w:p>
    <w:p w14:paraId="1C9AD615" w14:textId="5E95956F" w:rsidR="0031499F" w:rsidRPr="000133C6" w:rsidRDefault="00916DCB" w:rsidP="5756BB46">
      <w:pPr>
        <w:spacing w:before="360" w:after="180"/>
        <w:rPr>
          <w:rFonts w:ascii="Arial" w:eastAsia="Arial" w:hAnsi="Arial" w:cs="Arial"/>
          <w:b/>
          <w:bCs/>
          <w:sz w:val="30"/>
          <w:szCs w:val="30"/>
        </w:rPr>
      </w:pPr>
      <w:r w:rsidRPr="000133C6">
        <w:br/>
      </w:r>
      <w:r w:rsidRPr="000133C6">
        <w:br/>
      </w:r>
      <w:r w:rsidRPr="000133C6">
        <w:br/>
      </w:r>
      <w:r w:rsidR="7E8CD104" w:rsidRPr="000133C6">
        <w:rPr>
          <w:rFonts w:ascii="Arial" w:eastAsia="Arial" w:hAnsi="Arial" w:cs="Arial"/>
          <w:b/>
          <w:bCs/>
          <w:sz w:val="30"/>
          <w:szCs w:val="30"/>
        </w:rPr>
        <w:t>2.5 Strategic Framework Evaluation and Compatibility Matrix</w:t>
      </w:r>
      <w:r w:rsidRPr="000133C6">
        <w:br/>
      </w:r>
      <w:r w:rsidRPr="000133C6">
        <w:br/>
      </w:r>
    </w:p>
    <w:tbl>
      <w:tblPr>
        <w:tblStyle w:val="TableGrid"/>
        <w:tblW w:w="9513" w:type="dxa"/>
        <w:tblLook w:val="06A0" w:firstRow="1" w:lastRow="0" w:firstColumn="1" w:lastColumn="0" w:noHBand="1" w:noVBand="1"/>
      </w:tblPr>
      <w:tblGrid>
        <w:gridCol w:w="2248"/>
        <w:gridCol w:w="1777"/>
        <w:gridCol w:w="1788"/>
        <w:gridCol w:w="1779"/>
        <w:gridCol w:w="1921"/>
      </w:tblGrid>
      <w:tr w:rsidR="2A29F782" w:rsidRPr="000133C6" w14:paraId="777D7DA3" w14:textId="77777777" w:rsidTr="5756BB46">
        <w:trPr>
          <w:trHeight w:val="300"/>
        </w:trPr>
        <w:tc>
          <w:tcPr>
            <w:tcW w:w="1872" w:type="dxa"/>
          </w:tcPr>
          <w:p w14:paraId="3B6738B5" w14:textId="2BB25252" w:rsidR="2A29F782" w:rsidRPr="000133C6" w:rsidRDefault="0DFD9A34" w:rsidP="5756BB46">
            <w:pPr>
              <w:jc w:val="center"/>
              <w:rPr>
                <w:rFonts w:ascii="Arial" w:eastAsia="Arial" w:hAnsi="Arial" w:cs="Arial"/>
                <w:b/>
                <w:bCs/>
                <w:sz w:val="21"/>
                <w:szCs w:val="21"/>
              </w:rPr>
            </w:pPr>
            <w:r w:rsidRPr="000133C6">
              <w:rPr>
                <w:rFonts w:ascii="Arial" w:eastAsia="Arial" w:hAnsi="Arial" w:cs="Arial"/>
                <w:b/>
                <w:bCs/>
                <w:sz w:val="21"/>
                <w:szCs w:val="21"/>
              </w:rPr>
              <w:t>Evaluation Dimension</w:t>
            </w:r>
          </w:p>
        </w:tc>
        <w:tc>
          <w:tcPr>
            <w:tcW w:w="1872" w:type="dxa"/>
          </w:tcPr>
          <w:p w14:paraId="03F24541" w14:textId="50219B99" w:rsidR="2A29F782" w:rsidRPr="000133C6" w:rsidRDefault="0DFD9A34" w:rsidP="5756BB46">
            <w:pPr>
              <w:jc w:val="center"/>
            </w:pPr>
            <w:r w:rsidRPr="000133C6">
              <w:rPr>
                <w:rFonts w:ascii="Arial" w:eastAsia="Arial" w:hAnsi="Arial" w:cs="Arial"/>
                <w:b/>
                <w:bCs/>
                <w:sz w:val="21"/>
                <w:szCs w:val="21"/>
              </w:rPr>
              <w:t>NIST CSF 2.0</w:t>
            </w:r>
            <w:r w:rsidR="161E6CA3" w:rsidRPr="000133C6">
              <w:rPr>
                <w:rFonts w:ascii="Arial" w:eastAsia="Arial" w:hAnsi="Arial" w:cs="Arial"/>
                <w:b/>
                <w:bCs/>
                <w:sz w:val="21"/>
                <w:szCs w:val="21"/>
              </w:rPr>
              <w:t xml:space="preserve"> [5]</w:t>
            </w:r>
          </w:p>
        </w:tc>
        <w:tc>
          <w:tcPr>
            <w:tcW w:w="1872" w:type="dxa"/>
          </w:tcPr>
          <w:p w14:paraId="22CA681D" w14:textId="1C8F1764" w:rsidR="2A29F782" w:rsidRPr="000133C6" w:rsidRDefault="0DFD9A34" w:rsidP="5756BB46">
            <w:pPr>
              <w:jc w:val="center"/>
            </w:pPr>
            <w:r w:rsidRPr="000133C6">
              <w:rPr>
                <w:rFonts w:ascii="Arial" w:eastAsia="Arial" w:hAnsi="Arial" w:cs="Arial"/>
                <w:b/>
                <w:bCs/>
                <w:sz w:val="21"/>
                <w:szCs w:val="21"/>
              </w:rPr>
              <w:t>ISO/IEC 27001:2022</w:t>
            </w:r>
            <w:r w:rsidR="24CBD899" w:rsidRPr="000133C6">
              <w:rPr>
                <w:rFonts w:ascii="Arial" w:eastAsia="Arial" w:hAnsi="Arial" w:cs="Arial"/>
                <w:b/>
                <w:bCs/>
                <w:sz w:val="21"/>
                <w:szCs w:val="21"/>
              </w:rPr>
              <w:t xml:space="preserve"> [4]</w:t>
            </w:r>
          </w:p>
        </w:tc>
        <w:tc>
          <w:tcPr>
            <w:tcW w:w="1872" w:type="dxa"/>
          </w:tcPr>
          <w:p w14:paraId="16684661" w14:textId="4FD8CD4C" w:rsidR="2A29F782" w:rsidRPr="000133C6" w:rsidRDefault="0DFD9A34" w:rsidP="5756BB46">
            <w:pPr>
              <w:jc w:val="center"/>
            </w:pPr>
            <w:r w:rsidRPr="000133C6">
              <w:rPr>
                <w:rFonts w:ascii="Arial" w:eastAsia="Arial" w:hAnsi="Arial" w:cs="Arial"/>
                <w:b/>
                <w:bCs/>
                <w:sz w:val="21"/>
                <w:szCs w:val="21"/>
              </w:rPr>
              <w:t>COBIT 2019</w:t>
            </w:r>
            <w:r w:rsidR="1754B98C" w:rsidRPr="000133C6">
              <w:rPr>
                <w:rFonts w:ascii="Arial" w:eastAsia="Arial" w:hAnsi="Arial" w:cs="Arial"/>
                <w:sz w:val="21"/>
                <w:szCs w:val="21"/>
              </w:rPr>
              <w:t xml:space="preserve"> [6], [7]</w:t>
            </w:r>
          </w:p>
        </w:tc>
        <w:tc>
          <w:tcPr>
            <w:tcW w:w="2025" w:type="dxa"/>
          </w:tcPr>
          <w:p w14:paraId="791746F9" w14:textId="4E68D5F2" w:rsidR="2A29F782" w:rsidRPr="000133C6" w:rsidRDefault="0DFD9A34" w:rsidP="5756BB46">
            <w:pPr>
              <w:jc w:val="center"/>
            </w:pPr>
            <w:r w:rsidRPr="000133C6">
              <w:rPr>
                <w:rFonts w:ascii="Arial" w:eastAsia="Arial" w:hAnsi="Arial" w:cs="Arial"/>
                <w:b/>
                <w:bCs/>
                <w:sz w:val="21"/>
                <w:szCs w:val="21"/>
              </w:rPr>
              <w:t>ITIL v4</w:t>
            </w:r>
            <w:r w:rsidR="7075C71F" w:rsidRPr="000133C6">
              <w:rPr>
                <w:rFonts w:ascii="Arial" w:eastAsia="Arial" w:hAnsi="Arial" w:cs="Arial"/>
                <w:sz w:val="21"/>
                <w:szCs w:val="21"/>
              </w:rPr>
              <w:t xml:space="preserve"> [8]</w:t>
            </w:r>
          </w:p>
        </w:tc>
      </w:tr>
      <w:tr w:rsidR="2A29F782" w:rsidRPr="000133C6" w14:paraId="0D00BC10" w14:textId="77777777" w:rsidTr="5756BB46">
        <w:trPr>
          <w:trHeight w:val="300"/>
        </w:trPr>
        <w:tc>
          <w:tcPr>
            <w:tcW w:w="1872" w:type="dxa"/>
          </w:tcPr>
          <w:p w14:paraId="401CDCE8" w14:textId="6B7596CB"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Primary Structural Focus</w:t>
            </w:r>
          </w:p>
        </w:tc>
        <w:tc>
          <w:tcPr>
            <w:tcW w:w="1872" w:type="dxa"/>
          </w:tcPr>
          <w:p w14:paraId="470D140E" w14:textId="40867374" w:rsidR="2A29F782" w:rsidRPr="000133C6" w:rsidRDefault="0DFD9A34" w:rsidP="5756BB46">
            <w:pPr>
              <w:rPr>
                <w:rFonts w:ascii="Arial" w:eastAsia="Arial" w:hAnsi="Arial" w:cs="Arial"/>
                <w:b/>
                <w:bCs/>
                <w:sz w:val="21"/>
                <w:szCs w:val="21"/>
              </w:rPr>
            </w:pPr>
            <w:r w:rsidRPr="000133C6">
              <w:rPr>
                <w:rFonts w:ascii="Arial" w:eastAsia="Arial" w:hAnsi="Arial" w:cs="Arial"/>
                <w:sz w:val="21"/>
                <w:szCs w:val="21"/>
              </w:rPr>
              <w:t>Risk Lifecycle &amp; Technical Outcomes</w:t>
            </w:r>
          </w:p>
        </w:tc>
        <w:tc>
          <w:tcPr>
            <w:tcW w:w="1872" w:type="dxa"/>
          </w:tcPr>
          <w:p w14:paraId="4E8A4E9E" w14:textId="6CF13CEB"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Information Security Management System (ISMS)</w:t>
            </w:r>
          </w:p>
        </w:tc>
        <w:tc>
          <w:tcPr>
            <w:tcW w:w="1872" w:type="dxa"/>
          </w:tcPr>
          <w:p w14:paraId="63C20072" w14:textId="5C3520BB"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Macro Enterprise IT Governance &amp; Alignment</w:t>
            </w:r>
          </w:p>
        </w:tc>
        <w:tc>
          <w:tcPr>
            <w:tcW w:w="2025" w:type="dxa"/>
          </w:tcPr>
          <w:p w14:paraId="0132EBBB" w14:textId="78F2F13A"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IT Service Delivery &amp; Operations Management</w:t>
            </w:r>
          </w:p>
        </w:tc>
      </w:tr>
      <w:tr w:rsidR="2A29F782" w:rsidRPr="000133C6" w14:paraId="31B1A618" w14:textId="77777777" w:rsidTr="5756BB46">
        <w:trPr>
          <w:trHeight w:val="300"/>
        </w:trPr>
        <w:tc>
          <w:tcPr>
            <w:tcW w:w="1872" w:type="dxa"/>
          </w:tcPr>
          <w:p w14:paraId="42C9953A" w14:textId="5D631D1D"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Target Audience</w:t>
            </w:r>
          </w:p>
        </w:tc>
        <w:tc>
          <w:tcPr>
            <w:tcW w:w="1872" w:type="dxa"/>
          </w:tcPr>
          <w:p w14:paraId="6BF17199" w14:textId="129BD77A"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Security Engineers &amp; CISO</w:t>
            </w:r>
          </w:p>
        </w:tc>
        <w:tc>
          <w:tcPr>
            <w:tcW w:w="1872" w:type="dxa"/>
          </w:tcPr>
          <w:p w14:paraId="34DEDC8F" w14:textId="2B819F4B"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Compliance Officers &amp; External Auditors</w:t>
            </w:r>
          </w:p>
        </w:tc>
        <w:tc>
          <w:tcPr>
            <w:tcW w:w="1872" w:type="dxa"/>
          </w:tcPr>
          <w:p w14:paraId="1A2EE4DC" w14:textId="25D378C4"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Executive Board &amp; CIO</w:t>
            </w:r>
          </w:p>
        </w:tc>
        <w:tc>
          <w:tcPr>
            <w:tcW w:w="2025" w:type="dxa"/>
          </w:tcPr>
          <w:p w14:paraId="3E462317" w14:textId="78919AD3"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IT Operations &amp; Service Desk Personnel</w:t>
            </w:r>
          </w:p>
        </w:tc>
      </w:tr>
      <w:tr w:rsidR="2A29F782" w:rsidRPr="000133C6" w14:paraId="21DF790F" w14:textId="77777777" w:rsidTr="5756BB46">
        <w:trPr>
          <w:trHeight w:val="300"/>
        </w:trPr>
        <w:tc>
          <w:tcPr>
            <w:tcW w:w="1872" w:type="dxa"/>
          </w:tcPr>
          <w:p w14:paraId="49076579" w14:textId="685B162C"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Implementation Nature</w:t>
            </w:r>
          </w:p>
        </w:tc>
        <w:tc>
          <w:tcPr>
            <w:tcW w:w="1872" w:type="dxa"/>
          </w:tcPr>
          <w:p w14:paraId="3A2600BA" w14:textId="354E36D6"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Voluntary, highly flexible guidelines</w:t>
            </w:r>
          </w:p>
        </w:tc>
        <w:tc>
          <w:tcPr>
            <w:tcW w:w="1872" w:type="dxa"/>
          </w:tcPr>
          <w:p w14:paraId="04CC4A17" w14:textId="4D8CD61C"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Strict, document-driven binary certification</w:t>
            </w:r>
          </w:p>
        </w:tc>
        <w:tc>
          <w:tcPr>
            <w:tcW w:w="1872" w:type="dxa"/>
          </w:tcPr>
          <w:p w14:paraId="1587F21D" w14:textId="3886B2E6"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High-level customized governance matrices</w:t>
            </w:r>
          </w:p>
        </w:tc>
        <w:tc>
          <w:tcPr>
            <w:tcW w:w="2025" w:type="dxa"/>
          </w:tcPr>
          <w:p w14:paraId="1013B597" w14:textId="5FFBCEA9"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Process-oriented operational practices</w:t>
            </w:r>
          </w:p>
        </w:tc>
      </w:tr>
      <w:tr w:rsidR="2A29F782" w:rsidRPr="000133C6" w14:paraId="5EA5A1A3" w14:textId="77777777" w:rsidTr="5756BB46">
        <w:trPr>
          <w:trHeight w:val="300"/>
        </w:trPr>
        <w:tc>
          <w:tcPr>
            <w:tcW w:w="1872" w:type="dxa"/>
          </w:tcPr>
          <w:p w14:paraId="3D0BDD19" w14:textId="4A5462E1"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Applicability to ALL’s Cloud Ecosystem</w:t>
            </w:r>
          </w:p>
        </w:tc>
        <w:tc>
          <w:tcPr>
            <w:tcW w:w="1872" w:type="dxa"/>
          </w:tcPr>
          <w:p w14:paraId="26351639" w14:textId="02663AD2"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 xml:space="preserve">High (Provides specific outcomes for cloud </w:t>
            </w:r>
            <w:proofErr w:type="spellStart"/>
            <w:r w:rsidRPr="000133C6">
              <w:rPr>
                <w:rFonts w:ascii="Arial" w:eastAsia="Arial" w:hAnsi="Arial" w:cs="Arial"/>
                <w:sz w:val="21"/>
                <w:szCs w:val="21"/>
              </w:rPr>
              <w:t>config</w:t>
            </w:r>
            <w:proofErr w:type="spellEnd"/>
            <w:r w:rsidRPr="000133C6">
              <w:rPr>
                <w:rFonts w:ascii="Arial" w:eastAsia="Arial" w:hAnsi="Arial" w:cs="Arial"/>
                <w:sz w:val="21"/>
                <w:szCs w:val="21"/>
              </w:rPr>
              <w:t>)</w:t>
            </w:r>
          </w:p>
        </w:tc>
        <w:tc>
          <w:tcPr>
            <w:tcW w:w="1872" w:type="dxa"/>
          </w:tcPr>
          <w:p w14:paraId="641EDA33" w14:textId="08E050DE"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High (Annex A.5.23 strictly governs cloud services)</w:t>
            </w:r>
          </w:p>
        </w:tc>
        <w:tc>
          <w:tcPr>
            <w:tcW w:w="1872" w:type="dxa"/>
          </w:tcPr>
          <w:p w14:paraId="00C1CDAE" w14:textId="2BDB1DA0"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Medium (Focuses on cloud vendor strategic selection)</w:t>
            </w:r>
          </w:p>
        </w:tc>
        <w:tc>
          <w:tcPr>
            <w:tcW w:w="2025" w:type="dxa"/>
          </w:tcPr>
          <w:p w14:paraId="2E372540" w14:textId="2D6B3DE5"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High (Defines operational service lifecycle metrics)</w:t>
            </w:r>
          </w:p>
        </w:tc>
      </w:tr>
      <w:tr w:rsidR="2A29F782" w:rsidRPr="000133C6" w14:paraId="5D221E41" w14:textId="77777777" w:rsidTr="5756BB46">
        <w:trPr>
          <w:trHeight w:val="300"/>
        </w:trPr>
        <w:tc>
          <w:tcPr>
            <w:tcW w:w="1872" w:type="dxa"/>
          </w:tcPr>
          <w:p w14:paraId="1DCC3640" w14:textId="16CE2882"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Mitigation of Remote/Unmanaged Devices</w:t>
            </w:r>
          </w:p>
        </w:tc>
        <w:tc>
          <w:tcPr>
            <w:tcW w:w="1872" w:type="dxa"/>
          </w:tcPr>
          <w:p w14:paraId="1F00F07F" w14:textId="0A1220E5"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Excellent (Explicit device identification metrics)</w:t>
            </w:r>
          </w:p>
        </w:tc>
        <w:tc>
          <w:tcPr>
            <w:tcW w:w="1872" w:type="dxa"/>
          </w:tcPr>
          <w:p w14:paraId="1285CBE7" w14:textId="4A5E2CB1"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Moderate (Requires policy enforcement bounds)</w:t>
            </w:r>
          </w:p>
        </w:tc>
        <w:tc>
          <w:tcPr>
            <w:tcW w:w="1872" w:type="dxa"/>
          </w:tcPr>
          <w:p w14:paraId="3910FF9C" w14:textId="1624033F"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Low (Deals with policies rather than assets)</w:t>
            </w:r>
          </w:p>
        </w:tc>
        <w:tc>
          <w:tcPr>
            <w:tcW w:w="2025" w:type="dxa"/>
          </w:tcPr>
          <w:p w14:paraId="0C6B25C1" w14:textId="755BCA8A"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Moderate (Governed via asset configuration)</w:t>
            </w:r>
          </w:p>
        </w:tc>
      </w:tr>
      <w:tr w:rsidR="2A29F782" w:rsidRPr="000133C6" w14:paraId="04AB347D" w14:textId="77777777" w:rsidTr="5756BB46">
        <w:trPr>
          <w:trHeight w:val="1350"/>
        </w:trPr>
        <w:tc>
          <w:tcPr>
            <w:tcW w:w="1872" w:type="dxa"/>
          </w:tcPr>
          <w:p w14:paraId="023A7874" w14:textId="4601C03C" w:rsidR="2A29F782" w:rsidRPr="000133C6" w:rsidRDefault="0DFD9A34" w:rsidP="5756BB46">
            <w:pPr>
              <w:rPr>
                <w:rFonts w:ascii="Arial" w:eastAsia="Arial" w:hAnsi="Arial" w:cs="Arial"/>
                <w:b/>
                <w:bCs/>
                <w:sz w:val="21"/>
                <w:szCs w:val="21"/>
              </w:rPr>
            </w:pPr>
            <w:r w:rsidRPr="000133C6">
              <w:rPr>
                <w:rFonts w:ascii="Arial" w:eastAsia="Arial" w:hAnsi="Arial" w:cs="Arial"/>
                <w:b/>
                <w:bCs/>
                <w:sz w:val="21"/>
                <w:szCs w:val="21"/>
              </w:rPr>
              <w:t>Audit &amp; Certification Value</w:t>
            </w:r>
          </w:p>
        </w:tc>
        <w:tc>
          <w:tcPr>
            <w:tcW w:w="1872" w:type="dxa"/>
          </w:tcPr>
          <w:p w14:paraId="1C5B1CEA" w14:textId="560190B6"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None (Self-assessment capability only)</w:t>
            </w:r>
          </w:p>
        </w:tc>
        <w:tc>
          <w:tcPr>
            <w:tcW w:w="1872" w:type="dxa"/>
          </w:tcPr>
          <w:p w14:paraId="2EAA1CFC" w14:textId="1ACADA12"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Maximum (International certification standard)</w:t>
            </w:r>
          </w:p>
        </w:tc>
        <w:tc>
          <w:tcPr>
            <w:tcW w:w="1872" w:type="dxa"/>
          </w:tcPr>
          <w:p w14:paraId="526ADF8F" w14:textId="76D7F4DA"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Low (Internal performance capability scoring)</w:t>
            </w:r>
          </w:p>
        </w:tc>
        <w:tc>
          <w:tcPr>
            <w:tcW w:w="2025" w:type="dxa"/>
          </w:tcPr>
          <w:p w14:paraId="7953BFDB" w14:textId="4224A21D" w:rsidR="2A29F782" w:rsidRPr="000133C6" w:rsidRDefault="0DFD9A34" w:rsidP="5756BB46">
            <w:pPr>
              <w:rPr>
                <w:rFonts w:ascii="Arial" w:eastAsia="Arial" w:hAnsi="Arial" w:cs="Arial"/>
                <w:sz w:val="21"/>
                <w:szCs w:val="21"/>
              </w:rPr>
            </w:pPr>
            <w:r w:rsidRPr="000133C6">
              <w:rPr>
                <w:rFonts w:ascii="Arial" w:eastAsia="Arial" w:hAnsi="Arial" w:cs="Arial"/>
                <w:sz w:val="21"/>
                <w:szCs w:val="21"/>
              </w:rPr>
              <w:t>None (Individual certifications only)</w:t>
            </w:r>
          </w:p>
        </w:tc>
      </w:tr>
    </w:tbl>
    <w:p w14:paraId="73B4ACF9" w14:textId="2BB5199A" w:rsidR="0031499F" w:rsidRPr="000133C6" w:rsidRDefault="00916DCB" w:rsidP="5756BB46">
      <w:pPr>
        <w:spacing w:before="360" w:after="180"/>
        <w:rPr>
          <w:rFonts w:ascii="Arial" w:eastAsia="Arial" w:hAnsi="Arial" w:cs="Arial"/>
          <w:b/>
          <w:bCs/>
          <w:sz w:val="30"/>
          <w:szCs w:val="30"/>
        </w:rPr>
      </w:pPr>
      <w:r w:rsidRPr="000133C6">
        <w:br/>
      </w:r>
      <w:r w:rsidRPr="000133C6">
        <w:br/>
      </w:r>
      <w:r w:rsidRPr="000133C6">
        <w:br/>
      </w:r>
      <w:r w:rsidRPr="000133C6">
        <w:br/>
      </w:r>
      <w:r w:rsidRPr="000133C6">
        <w:lastRenderedPageBreak/>
        <w:br/>
      </w:r>
      <w:r w:rsidRPr="000133C6">
        <w:br/>
      </w:r>
      <w:r w:rsidR="2FE14133" w:rsidRPr="000133C6">
        <w:rPr>
          <w:rFonts w:ascii="Arial" w:eastAsia="Arial" w:hAnsi="Arial" w:cs="Arial"/>
          <w:b/>
          <w:bCs/>
          <w:sz w:val="30"/>
          <w:szCs w:val="30"/>
        </w:rPr>
        <w:t>3. Bespoke Security, Governance, and Compliance Design for ALL</w:t>
      </w:r>
      <w:r w:rsidRPr="000133C6">
        <w:br/>
      </w:r>
      <w:r w:rsidRPr="000133C6">
        <w:br/>
      </w:r>
    </w:p>
    <w:p w14:paraId="3A452B98" w14:textId="4F3DF0BD" w:rsidR="237ECA47" w:rsidRPr="000133C6" w:rsidRDefault="237ECA47" w:rsidP="5756BB46">
      <w:pPr>
        <w:spacing w:before="180" w:after="240"/>
        <w:rPr>
          <w:rFonts w:ascii="Arial" w:eastAsia="Arial" w:hAnsi="Arial" w:cs="Arial"/>
        </w:rPr>
      </w:pPr>
      <w:r w:rsidRPr="000133C6">
        <w:rPr>
          <w:rFonts w:ascii="Arial" w:eastAsia="Arial" w:hAnsi="Arial" w:cs="Arial"/>
        </w:rPr>
        <w:t>Given the complexity of ALL’s operations (unmanaged remote endpoints, heavy outsourcing of infrastructure, lack of internal accountability), one framework is not enough</w:t>
      </w:r>
      <w:r w:rsidR="0B3F8238" w:rsidRPr="000133C6">
        <w:rPr>
          <w:rFonts w:ascii="Arial" w:eastAsia="Arial" w:hAnsi="Arial" w:cs="Arial"/>
        </w:rPr>
        <w:t xml:space="preserve"> [3], [6]</w:t>
      </w:r>
      <w:r w:rsidRPr="000133C6">
        <w:rPr>
          <w:rFonts w:ascii="Arial" w:eastAsia="Arial" w:hAnsi="Arial" w:cs="Arial"/>
        </w:rPr>
        <w:t xml:space="preserve">. The report develops a custom, unified hybrid architecture that incorporates elements of all four frameworks. This hybrid approach leverages COBIT 2019 for executive alignment, ISO 27001:2022 for compliance structure, NIST CSF 2.0 for tactical risk mitigation, and ITIL v4 for cloud service </w:t>
      </w:r>
      <w:proofErr w:type="spellStart"/>
      <w:r w:rsidRPr="000133C6">
        <w:rPr>
          <w:rFonts w:ascii="Arial" w:eastAsia="Arial" w:hAnsi="Arial" w:cs="Arial"/>
        </w:rPr>
        <w:t>operationalisation</w:t>
      </w:r>
      <w:proofErr w:type="spellEnd"/>
      <w:r w:rsidR="3C919FBC" w:rsidRPr="000133C6">
        <w:rPr>
          <w:rFonts w:ascii="Arial" w:eastAsia="Arial" w:hAnsi="Arial" w:cs="Arial"/>
        </w:rPr>
        <w:t xml:space="preserve"> [4], [5], [6], [8]</w:t>
      </w:r>
      <w:r w:rsidRPr="000133C6">
        <w:rPr>
          <w:rFonts w:ascii="Arial" w:eastAsia="Arial" w:hAnsi="Arial" w:cs="Arial"/>
        </w:rPr>
        <w:t>.</w:t>
      </w:r>
      <w:r w:rsidRPr="000133C6">
        <w:br/>
      </w:r>
    </w:p>
    <w:p w14:paraId="6C8BCEB3" w14:textId="11D43D20" w:rsidR="0031499F" w:rsidRPr="000133C6" w:rsidRDefault="2FE14133" w:rsidP="5756BB46">
      <w:pPr>
        <w:spacing w:before="360" w:after="180"/>
        <w:rPr>
          <w:rFonts w:ascii="Arial" w:eastAsia="Arial" w:hAnsi="Arial" w:cs="Arial"/>
          <w:b/>
          <w:bCs/>
          <w:sz w:val="30"/>
          <w:szCs w:val="30"/>
        </w:rPr>
      </w:pPr>
      <w:r w:rsidRPr="000133C6">
        <w:rPr>
          <w:rFonts w:ascii="Arial" w:eastAsia="Arial" w:hAnsi="Arial" w:cs="Arial"/>
          <w:b/>
          <w:bCs/>
          <w:sz w:val="30"/>
          <w:szCs w:val="30"/>
        </w:rPr>
        <w:t>3.1 Framework Synthesis and Structural Governance</w:t>
      </w:r>
      <w:r w:rsidR="00916DCB" w:rsidRPr="000133C6">
        <w:br/>
      </w:r>
      <w:r w:rsidR="00916DCB" w:rsidRPr="000133C6">
        <w:br/>
      </w:r>
    </w:p>
    <w:p w14:paraId="542E7C2F" w14:textId="2A115885" w:rsidR="0031499F" w:rsidRPr="000133C6" w:rsidRDefault="76361E9A" w:rsidP="5756BB46">
      <w:pPr>
        <w:spacing w:before="180" w:after="240"/>
        <w:rPr>
          <w:rFonts w:ascii="Arial" w:eastAsia="Arial" w:hAnsi="Arial" w:cs="Arial"/>
        </w:rPr>
      </w:pPr>
      <w:r w:rsidRPr="000133C6">
        <w:rPr>
          <w:rFonts w:ascii="Arial" w:eastAsia="Arial" w:hAnsi="Arial" w:cs="Arial"/>
        </w:rPr>
        <w:t>The governance structure of ALL will be re-configured with the creation of an Enterprise Information Security Working Group (EISWG) reporting directly to the Board of Directors</w:t>
      </w:r>
      <w:r w:rsidR="4ACB69E8" w:rsidRPr="000133C6">
        <w:rPr>
          <w:rFonts w:ascii="Arial" w:eastAsia="Arial" w:hAnsi="Arial" w:cs="Arial"/>
          <w:b/>
          <w:bCs/>
        </w:rPr>
        <w:t xml:space="preserve"> [3], [6], </w:t>
      </w:r>
      <w:proofErr w:type="gramStart"/>
      <w:r w:rsidR="4ACB69E8" w:rsidRPr="000133C6">
        <w:rPr>
          <w:rFonts w:ascii="Arial" w:eastAsia="Arial" w:hAnsi="Arial" w:cs="Arial"/>
          <w:b/>
          <w:bCs/>
        </w:rPr>
        <w:t>[</w:t>
      </w:r>
      <w:proofErr w:type="gramEnd"/>
      <w:r w:rsidR="4ACB69E8" w:rsidRPr="000133C6">
        <w:rPr>
          <w:rFonts w:ascii="Arial" w:eastAsia="Arial" w:hAnsi="Arial" w:cs="Arial"/>
          <w:b/>
          <w:bCs/>
        </w:rPr>
        <w:t>7]</w:t>
      </w:r>
      <w:r w:rsidRPr="000133C6">
        <w:rPr>
          <w:rFonts w:ascii="Arial" w:eastAsia="Arial" w:hAnsi="Arial" w:cs="Arial"/>
        </w:rPr>
        <w:t>. This structural change creates clear lines of communication and accountability throughout the organization.</w:t>
      </w:r>
    </w:p>
    <w:p w14:paraId="184B3DCB" w14:textId="7659AA65" w:rsidR="3E4C69D9" w:rsidRPr="000133C6" w:rsidRDefault="3E4C69D9" w:rsidP="5756BB46">
      <w:pPr>
        <w:spacing w:before="180" w:after="240"/>
      </w:pPr>
      <w:r w:rsidRPr="000133C6">
        <w:rPr>
          <w:noProof/>
          <w:lang w:eastAsia="en-US"/>
        </w:rPr>
        <w:lastRenderedPageBreak/>
        <w:drawing>
          <wp:inline distT="0" distB="0" distL="0" distR="0" wp14:anchorId="1F43EC30" wp14:editId="47C22257">
            <wp:extent cx="5895975" cy="8067675"/>
            <wp:effectExtent l="0" t="0" r="0" b="0"/>
            <wp:docPr id="11818810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881004" name="Picture 1181881004"/>
                    <pic:cNvPicPr/>
                  </pic:nvPicPr>
                  <pic:blipFill>
                    <a:blip r:embed="rId9">
                      <a:extLst>
                        <a:ext uri="{28A0092B-C50C-407E-A947-70E740481C1C}">
                          <a14:useLocalDpi xmlns:a14="http://schemas.microsoft.com/office/drawing/2010/main"/>
                        </a:ext>
                      </a:extLst>
                    </a:blip>
                    <a:stretch>
                      <a:fillRect/>
                    </a:stretch>
                  </pic:blipFill>
                  <pic:spPr>
                    <a:xfrm>
                      <a:off x="0" y="0"/>
                      <a:ext cx="5895975" cy="8067675"/>
                    </a:xfrm>
                    <a:prstGeom prst="rect">
                      <a:avLst/>
                    </a:prstGeom>
                  </pic:spPr>
                </pic:pic>
              </a:graphicData>
            </a:graphic>
          </wp:inline>
        </w:drawing>
      </w:r>
      <w:r w:rsidRPr="000133C6">
        <w:br/>
      </w:r>
      <w:r w:rsidR="4377A89C" w:rsidRPr="000133C6">
        <w:lastRenderedPageBreak/>
        <w:t xml:space="preserve">To address the historical lack of departmental coordination, formal roles are defined below: </w:t>
      </w:r>
    </w:p>
    <w:p w14:paraId="1BB03EE8" w14:textId="39D637CB" w:rsidR="5756BB46" w:rsidRPr="000133C6" w:rsidRDefault="5756BB46" w:rsidP="5756BB46">
      <w:pPr>
        <w:pStyle w:val="ListParagraph"/>
      </w:pPr>
    </w:p>
    <w:p w14:paraId="2CEDAA87" w14:textId="088B0B36" w:rsidR="4377A89C" w:rsidRPr="000133C6" w:rsidRDefault="4377A89C" w:rsidP="5756BB46">
      <w:pPr>
        <w:pStyle w:val="ListParagraph"/>
        <w:numPr>
          <w:ilvl w:val="0"/>
          <w:numId w:val="9"/>
        </w:numPr>
      </w:pPr>
      <w:r w:rsidRPr="000133C6">
        <w:rPr>
          <w:b/>
          <w:bCs/>
        </w:rPr>
        <w:t>Chief Information Security Officer (CISO):</w:t>
      </w:r>
      <w:r w:rsidRPr="000133C6">
        <w:t xml:space="preserve"> A new executive role created with full ownership of the information security program, authorisation of risk mitigation capital and reporting directly to the Board bi-</w:t>
      </w:r>
      <w:r w:rsidR="6E2E02CF" w:rsidRPr="000133C6">
        <w:t>monthly [</w:t>
      </w:r>
      <w:r w:rsidR="6E2E02CF" w:rsidRPr="000133C6">
        <w:rPr>
          <w:b/>
          <w:bCs/>
        </w:rPr>
        <w:t>6], [7]</w:t>
      </w:r>
      <w:r w:rsidRPr="000133C6">
        <w:t xml:space="preserve">. </w:t>
      </w:r>
    </w:p>
    <w:p w14:paraId="0437C6B2" w14:textId="222D6839" w:rsidR="5756BB46" w:rsidRPr="000133C6" w:rsidRDefault="5756BB46" w:rsidP="5756BB46">
      <w:pPr>
        <w:pStyle w:val="ListParagraph"/>
      </w:pPr>
    </w:p>
    <w:p w14:paraId="68DD11B0" w14:textId="67AEB60F" w:rsidR="4377A89C" w:rsidRPr="000133C6" w:rsidRDefault="4377A89C" w:rsidP="5756BB46">
      <w:pPr>
        <w:pStyle w:val="ListParagraph"/>
        <w:numPr>
          <w:ilvl w:val="0"/>
          <w:numId w:val="9"/>
        </w:numPr>
      </w:pPr>
      <w:r w:rsidRPr="000133C6">
        <w:rPr>
          <w:b/>
          <w:bCs/>
        </w:rPr>
        <w:t>Data Protection Officer (DPO):</w:t>
      </w:r>
      <w:r w:rsidRPr="000133C6">
        <w:t xml:space="preserve"> Required by Article 37 of the GDPR for the systematic tracking of global </w:t>
      </w:r>
      <w:r w:rsidR="1E5EDA35" w:rsidRPr="000133C6">
        <w:t>PII [9]</w:t>
      </w:r>
      <w:r w:rsidRPr="000133C6">
        <w:t xml:space="preserve">. The DPO is independent, controls the flow of data and reports directly to the Board and the regulatory authorities on any non-compliance. </w:t>
      </w:r>
    </w:p>
    <w:p w14:paraId="01930313" w14:textId="76AB7F7E" w:rsidR="5756BB46" w:rsidRPr="000133C6" w:rsidRDefault="5756BB46" w:rsidP="5756BB46">
      <w:pPr>
        <w:pStyle w:val="ListParagraph"/>
      </w:pPr>
    </w:p>
    <w:p w14:paraId="43FC8C73" w14:textId="10BF136E" w:rsidR="4377A89C" w:rsidRPr="000133C6" w:rsidRDefault="4377A89C" w:rsidP="5756BB46">
      <w:pPr>
        <w:pStyle w:val="ListParagraph"/>
        <w:numPr>
          <w:ilvl w:val="0"/>
          <w:numId w:val="9"/>
        </w:numPr>
      </w:pPr>
      <w:r w:rsidRPr="000133C6">
        <w:rPr>
          <w:b/>
          <w:bCs/>
        </w:rPr>
        <w:t xml:space="preserve">Data Owners (Logistics, HR, </w:t>
      </w:r>
      <w:proofErr w:type="gramStart"/>
      <w:r w:rsidRPr="000133C6">
        <w:rPr>
          <w:b/>
          <w:bCs/>
        </w:rPr>
        <w:t>Finance</w:t>
      </w:r>
      <w:proofErr w:type="gramEnd"/>
      <w:r w:rsidRPr="000133C6">
        <w:rPr>
          <w:b/>
          <w:bCs/>
        </w:rPr>
        <w:t xml:space="preserve"> Executives):</w:t>
      </w:r>
      <w:r w:rsidRPr="000133C6">
        <w:t xml:space="preserve"> Accountable for defining classification levels, verifying data accuracy and authorising access permissions to information assets created in their respective business units. </w:t>
      </w:r>
    </w:p>
    <w:p w14:paraId="749C32E7" w14:textId="07B61E1B" w:rsidR="5756BB46" w:rsidRPr="000133C6" w:rsidRDefault="5756BB46" w:rsidP="5756BB46">
      <w:pPr>
        <w:pStyle w:val="ListParagraph"/>
      </w:pPr>
    </w:p>
    <w:p w14:paraId="795F09FE" w14:textId="1C0B0930" w:rsidR="4377A89C" w:rsidRPr="000133C6" w:rsidRDefault="4377A89C" w:rsidP="5756BB46">
      <w:pPr>
        <w:pStyle w:val="ListParagraph"/>
        <w:numPr>
          <w:ilvl w:val="0"/>
          <w:numId w:val="9"/>
        </w:numPr>
      </w:pPr>
      <w:r w:rsidRPr="000133C6">
        <w:rPr>
          <w:b/>
          <w:bCs/>
        </w:rPr>
        <w:t>Data Custodians (Cloud Operations Team):</w:t>
      </w:r>
      <w:r w:rsidR="6CCE8EF0" w:rsidRPr="000133C6">
        <w:t xml:space="preserve"> </w:t>
      </w:r>
      <w:r w:rsidRPr="000133C6">
        <w:t xml:space="preserve"> Implement technical protection mechanisms, manage backup routines and apply encryption keys as instructed by Data Owners.</w:t>
      </w:r>
      <w:r w:rsidRPr="000133C6">
        <w:br/>
      </w:r>
      <w:r w:rsidRPr="000133C6">
        <w:br/>
      </w:r>
    </w:p>
    <w:p w14:paraId="773856EF" w14:textId="75DDB10D" w:rsidR="0031499F" w:rsidRPr="000133C6" w:rsidRDefault="09F2484F" w:rsidP="5756BB46">
      <w:pPr>
        <w:spacing w:before="360" w:after="180"/>
        <w:rPr>
          <w:rFonts w:ascii="Arial" w:eastAsia="Arial" w:hAnsi="Arial" w:cs="Arial"/>
          <w:b/>
          <w:bCs/>
          <w:sz w:val="30"/>
          <w:szCs w:val="30"/>
        </w:rPr>
      </w:pPr>
      <w:r w:rsidRPr="000133C6">
        <w:rPr>
          <w:rFonts w:ascii="Arial" w:eastAsia="Arial" w:hAnsi="Arial" w:cs="Arial"/>
          <w:b/>
          <w:bCs/>
          <w:sz w:val="30"/>
          <w:szCs w:val="30"/>
        </w:rPr>
        <w:t>3.2 Compliance Infrastructure (Laws, Ethics, and Auditing)</w:t>
      </w:r>
      <w:r w:rsidR="00916DCB" w:rsidRPr="000133C6">
        <w:br/>
      </w:r>
      <w:r w:rsidR="00916DCB" w:rsidRPr="000133C6">
        <w:br/>
      </w:r>
    </w:p>
    <w:p w14:paraId="5BF2BDDB" w14:textId="7832593F" w:rsidR="20FABCDF" w:rsidRPr="000133C6" w:rsidRDefault="20FABCDF" w:rsidP="5756BB46">
      <w:pPr>
        <w:rPr>
          <w:rFonts w:ascii="Arial" w:eastAsia="Arial" w:hAnsi="Arial" w:cs="Arial"/>
        </w:rPr>
      </w:pPr>
      <w:r w:rsidRPr="000133C6">
        <w:rPr>
          <w:rFonts w:ascii="Arial" w:eastAsia="Arial" w:hAnsi="Arial" w:cs="Arial"/>
        </w:rPr>
        <w:t>A multi-jurisdictional compliance framework must be deployed immediately to address ALL’s exposure to regulatory penalties. Under GDPR Article 32 ALL is required to implement technical and organisational measures to ensure a level of security appropriate to the risk of processing data</w:t>
      </w:r>
      <w:r w:rsidR="5E2A5251" w:rsidRPr="000133C6">
        <w:rPr>
          <w:rFonts w:ascii="Arial" w:eastAsia="Arial" w:hAnsi="Arial" w:cs="Arial"/>
        </w:rPr>
        <w:t xml:space="preserve"> [9]</w:t>
      </w:r>
      <w:r w:rsidRPr="000133C6">
        <w:rPr>
          <w:rFonts w:ascii="Arial" w:eastAsia="Arial" w:hAnsi="Arial" w:cs="Arial"/>
        </w:rPr>
        <w:t>. Failure to comply could lead to administrative sanctions of a maximum of €20 million or 4% of the company's worldwide annual turnover</w:t>
      </w:r>
      <w:r w:rsidR="1BC70827" w:rsidRPr="000133C6">
        <w:rPr>
          <w:rFonts w:ascii="Arial" w:eastAsia="Arial" w:hAnsi="Arial" w:cs="Arial"/>
        </w:rPr>
        <w:t xml:space="preserve"> [9]</w:t>
      </w:r>
      <w:r w:rsidRPr="000133C6">
        <w:rPr>
          <w:rFonts w:ascii="Arial" w:eastAsia="Arial" w:hAnsi="Arial" w:cs="Arial"/>
        </w:rPr>
        <w:t xml:space="preserve">. </w:t>
      </w:r>
    </w:p>
    <w:p w14:paraId="1DD880AB" w14:textId="0B4B9033" w:rsidR="5756BB46" w:rsidRPr="000133C6" w:rsidRDefault="5756BB46" w:rsidP="5756BB46"/>
    <w:p w14:paraId="59AB0C4A" w14:textId="1B43E495" w:rsidR="20FABCDF" w:rsidRPr="000133C6" w:rsidRDefault="20FABCDF" w:rsidP="5756BB46">
      <w:pPr>
        <w:rPr>
          <w:rFonts w:ascii="Arial" w:eastAsia="Arial" w:hAnsi="Arial" w:cs="Arial"/>
        </w:rPr>
      </w:pPr>
      <w:r w:rsidRPr="000133C6">
        <w:rPr>
          <w:rFonts w:ascii="Arial" w:eastAsia="Arial" w:hAnsi="Arial" w:cs="Arial"/>
        </w:rPr>
        <w:t xml:space="preserve">ALL should have a formal Data Protection Impact Assessment (DPIA) process in place before deploying any new AI-driven analytics models or </w:t>
      </w:r>
      <w:proofErr w:type="spellStart"/>
      <w:r w:rsidRPr="000133C6">
        <w:rPr>
          <w:rFonts w:ascii="Arial" w:eastAsia="Arial" w:hAnsi="Arial" w:cs="Arial"/>
        </w:rPr>
        <w:t>IoT</w:t>
      </w:r>
      <w:proofErr w:type="spellEnd"/>
      <w:r w:rsidRPr="000133C6">
        <w:rPr>
          <w:rFonts w:ascii="Arial" w:eastAsia="Arial" w:hAnsi="Arial" w:cs="Arial"/>
        </w:rPr>
        <w:t xml:space="preserve"> configurations</w:t>
      </w:r>
      <w:r w:rsidR="16FD64C1" w:rsidRPr="000133C6">
        <w:rPr>
          <w:rFonts w:ascii="Arial" w:eastAsia="Arial" w:hAnsi="Arial" w:cs="Arial"/>
        </w:rPr>
        <w:t xml:space="preserve"> </w:t>
      </w:r>
      <w:r w:rsidR="16FD64C1" w:rsidRPr="000133C6">
        <w:rPr>
          <w:rFonts w:ascii="Arial" w:eastAsia="Arial" w:hAnsi="Arial" w:cs="Arial"/>
          <w:b/>
          <w:bCs/>
        </w:rPr>
        <w:t>[9], [10]</w:t>
      </w:r>
      <w:r w:rsidRPr="000133C6">
        <w:rPr>
          <w:rFonts w:ascii="Arial" w:eastAsia="Arial" w:hAnsi="Arial" w:cs="Arial"/>
        </w:rPr>
        <w:t xml:space="preserve">. From an ethical point of view, ALL must move from intrusive employee monitoring on unmanaged devices to a transparent, privacy-preserving paradigm. The change can be </w:t>
      </w:r>
      <w:r w:rsidRPr="000133C6">
        <w:rPr>
          <w:rFonts w:ascii="Arial" w:eastAsia="Arial" w:hAnsi="Arial" w:cs="Arial"/>
        </w:rPr>
        <w:lastRenderedPageBreak/>
        <w:t xml:space="preserve">made by using containerised enterprise workspaces that separate personal activity from corporate data streams. </w:t>
      </w:r>
    </w:p>
    <w:p w14:paraId="3ECB2B56" w14:textId="3056E6C2" w:rsidR="5756BB46" w:rsidRPr="000133C6" w:rsidRDefault="5756BB46" w:rsidP="5756BB46"/>
    <w:p w14:paraId="3F99CBD3" w14:textId="01450327" w:rsidR="20FABCDF" w:rsidRPr="000133C6" w:rsidRDefault="20FABCDF" w:rsidP="5756BB46">
      <w:pPr>
        <w:spacing w:before="180" w:after="240"/>
        <w:rPr>
          <w:rFonts w:ascii="Arial" w:eastAsia="Arial" w:hAnsi="Arial" w:cs="Arial"/>
        </w:rPr>
      </w:pPr>
      <w:r w:rsidRPr="000133C6">
        <w:rPr>
          <w:rFonts w:ascii="Arial" w:eastAsia="Arial" w:hAnsi="Arial" w:cs="Arial"/>
        </w:rPr>
        <w:t>The audit architecture will be a continuous compliance model based on ISO 27001 Clause 9.2</w:t>
      </w:r>
      <w:r w:rsidR="0F81F822" w:rsidRPr="000133C6">
        <w:rPr>
          <w:rFonts w:ascii="Arial" w:eastAsia="Arial" w:hAnsi="Arial" w:cs="Arial"/>
        </w:rPr>
        <w:t xml:space="preserve"> </w:t>
      </w:r>
      <w:r w:rsidR="0F81F822" w:rsidRPr="000133C6">
        <w:rPr>
          <w:rFonts w:ascii="Arial" w:eastAsia="Arial" w:hAnsi="Arial" w:cs="Arial"/>
          <w:b/>
          <w:bCs/>
        </w:rPr>
        <w:t>[4]</w:t>
      </w:r>
      <w:r w:rsidRPr="000133C6">
        <w:rPr>
          <w:rFonts w:ascii="Arial" w:eastAsia="Arial" w:hAnsi="Arial" w:cs="Arial"/>
        </w:rPr>
        <w:t>. Automated compliance software will continuously monitor ALL’s multi-cloud environments rather than doing checks on an annual basis. This software detects non-compliant data storage and unencrypted stores of PII in real-time, immediately bringing potential compliance issues to light.</w:t>
      </w:r>
    </w:p>
    <w:p w14:paraId="611A9EE9" w14:textId="4D45D243" w:rsidR="0031499F" w:rsidRPr="000133C6" w:rsidRDefault="00916DCB" w:rsidP="5756BB46">
      <w:pPr>
        <w:spacing w:before="360" w:after="180"/>
        <w:rPr>
          <w:rFonts w:ascii="Arial" w:eastAsia="Arial" w:hAnsi="Arial" w:cs="Arial"/>
          <w:b/>
          <w:bCs/>
          <w:sz w:val="30"/>
          <w:szCs w:val="30"/>
        </w:rPr>
      </w:pPr>
      <w:r w:rsidRPr="000133C6">
        <w:br/>
      </w:r>
      <w:r w:rsidRPr="000133C6">
        <w:br/>
      </w:r>
      <w:r w:rsidR="656806C2" w:rsidRPr="000133C6">
        <w:rPr>
          <w:rFonts w:ascii="Arial" w:eastAsia="Arial" w:hAnsi="Arial" w:cs="Arial"/>
          <w:b/>
          <w:bCs/>
          <w:sz w:val="30"/>
          <w:szCs w:val="30"/>
        </w:rPr>
        <w:t>3.3 Protection Mechanisms, Access Controls, and Zero Trust Architecture</w:t>
      </w:r>
      <w:r w:rsidRPr="000133C6">
        <w:br/>
      </w:r>
      <w:r w:rsidRPr="000133C6">
        <w:br/>
      </w:r>
    </w:p>
    <w:p w14:paraId="6C1E5D5A" w14:textId="50B45C1B" w:rsidR="0031499F" w:rsidRPr="000133C6" w:rsidRDefault="34D951E3" w:rsidP="5756BB46">
      <w:pPr>
        <w:spacing w:before="180" w:after="240"/>
        <w:rPr>
          <w:rFonts w:ascii="Arial" w:eastAsia="Arial" w:hAnsi="Arial" w:cs="Arial"/>
        </w:rPr>
      </w:pPr>
      <w:r w:rsidRPr="000133C6">
        <w:rPr>
          <w:rFonts w:ascii="Arial" w:eastAsia="Arial" w:hAnsi="Arial" w:cs="Arial"/>
        </w:rPr>
        <w:t>The prevalence of data breaches from unmanaged devices across multiple time zones necessitates the decommissioning of old perimeter-based security logic. ALL must implement a Zero Trust Architecture (ZTA) which is based on the core tenet: Never Trust, Always Verify</w:t>
      </w:r>
      <w:r w:rsidR="1DAFFCC6" w:rsidRPr="000133C6">
        <w:rPr>
          <w:rFonts w:ascii="Arial" w:eastAsia="Arial" w:hAnsi="Arial" w:cs="Arial"/>
        </w:rPr>
        <w:t xml:space="preserve"> [11]</w:t>
      </w:r>
      <w:r w:rsidRPr="000133C6">
        <w:rPr>
          <w:rFonts w:ascii="Arial" w:eastAsia="Arial" w:hAnsi="Arial" w:cs="Arial"/>
        </w:rPr>
        <w:t>.</w:t>
      </w:r>
      <w:r w:rsidR="00916DCB" w:rsidRPr="000133C6">
        <w:br/>
      </w:r>
      <w:r w:rsidR="00916DCB" w:rsidRPr="000133C6">
        <w:br/>
      </w:r>
    </w:p>
    <w:p w14:paraId="6C9D2CEB" w14:textId="5ED2738E" w:rsidR="0031499F" w:rsidRPr="000133C6" w:rsidRDefault="656806C2" w:rsidP="5756BB46">
      <w:pPr>
        <w:spacing w:before="360" w:after="180"/>
        <w:rPr>
          <w:rFonts w:ascii="Arial" w:eastAsia="Arial" w:hAnsi="Arial" w:cs="Arial"/>
          <w:b/>
          <w:bCs/>
        </w:rPr>
      </w:pPr>
      <w:r w:rsidRPr="000133C6">
        <w:rPr>
          <w:rFonts w:ascii="Arial" w:eastAsia="Arial" w:hAnsi="Arial" w:cs="Arial"/>
          <w:b/>
          <w:bCs/>
        </w:rPr>
        <w:t>3.3.1 Identity and Access Management (IAM)</w:t>
      </w:r>
      <w:r w:rsidR="00916DCB" w:rsidRPr="000133C6">
        <w:br/>
      </w:r>
      <w:r w:rsidR="00916DCB" w:rsidRPr="000133C6">
        <w:br/>
      </w:r>
    </w:p>
    <w:p w14:paraId="380347BC" w14:textId="194CD3FD" w:rsidR="0031499F" w:rsidRPr="000133C6" w:rsidRDefault="0BF80591" w:rsidP="5756BB46">
      <w:pPr>
        <w:spacing w:before="180" w:after="240"/>
        <w:rPr>
          <w:rFonts w:ascii="Arial" w:eastAsia="Arial" w:hAnsi="Arial" w:cs="Arial"/>
        </w:rPr>
      </w:pPr>
      <w:r w:rsidRPr="000133C6">
        <w:rPr>
          <w:rFonts w:ascii="Arial" w:eastAsia="Arial" w:hAnsi="Arial" w:cs="Arial"/>
        </w:rPr>
        <w:t>ALL will be implementing a unified Identity-as-a-Service (</w:t>
      </w:r>
      <w:proofErr w:type="spellStart"/>
      <w:r w:rsidRPr="000133C6">
        <w:rPr>
          <w:rFonts w:ascii="Arial" w:eastAsia="Arial" w:hAnsi="Arial" w:cs="Arial"/>
        </w:rPr>
        <w:t>IDaaS</w:t>
      </w:r>
      <w:proofErr w:type="spellEnd"/>
      <w:r w:rsidRPr="000133C6">
        <w:rPr>
          <w:rFonts w:ascii="Arial" w:eastAsia="Arial" w:hAnsi="Arial" w:cs="Arial"/>
        </w:rPr>
        <w:t>) platform to enable the deployment of context-aware Micro-Segmentation and Role-Based Access Control (RBAC)</w:t>
      </w:r>
      <w:r w:rsidR="1077DED6" w:rsidRPr="000133C6">
        <w:rPr>
          <w:rFonts w:ascii="Arial" w:eastAsia="Arial" w:hAnsi="Arial" w:cs="Arial"/>
        </w:rPr>
        <w:t xml:space="preserve"> </w:t>
      </w:r>
      <w:r w:rsidR="1077DED6" w:rsidRPr="000133C6">
        <w:rPr>
          <w:rFonts w:ascii="Arial" w:eastAsia="Arial" w:hAnsi="Arial" w:cs="Arial"/>
          <w:b/>
          <w:bCs/>
        </w:rPr>
        <w:t>[11]</w:t>
      </w:r>
      <w:r w:rsidRPr="000133C6">
        <w:rPr>
          <w:rFonts w:ascii="Arial" w:eastAsia="Arial" w:hAnsi="Arial" w:cs="Arial"/>
        </w:rPr>
        <w:t>. All employee, supplier or logistics partner access requests must be explicitly multi-factor verified before access is granted.</w:t>
      </w:r>
    </w:p>
    <w:p w14:paraId="02CDFAD8" w14:textId="4120BCAC" w:rsidR="0031499F" w:rsidRPr="000133C6" w:rsidRDefault="4AC51873" w:rsidP="5756BB46">
      <w:pPr>
        <w:spacing w:before="180" w:after="240"/>
        <w:rPr>
          <w:rFonts w:ascii="Arial" w:eastAsia="Arial" w:hAnsi="Arial" w:cs="Arial"/>
        </w:rPr>
      </w:pPr>
      <w:r w:rsidRPr="000133C6">
        <w:rPr>
          <w:noProof/>
          <w:lang w:eastAsia="en-US"/>
        </w:rPr>
        <w:lastRenderedPageBreak/>
        <w:drawing>
          <wp:inline distT="0" distB="0" distL="0" distR="0" wp14:anchorId="50430EDF" wp14:editId="01DCE3E5">
            <wp:extent cx="6029325" cy="6048375"/>
            <wp:effectExtent l="0" t="0" r="0" b="0"/>
            <wp:docPr id="1014089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89910" name="Picture 1014089910"/>
                    <pic:cNvPicPr/>
                  </pic:nvPicPr>
                  <pic:blipFill>
                    <a:blip r:embed="rId10">
                      <a:extLst>
                        <a:ext uri="{28A0092B-C50C-407E-A947-70E740481C1C}">
                          <a14:useLocalDpi xmlns:a14="http://schemas.microsoft.com/office/drawing/2010/main"/>
                        </a:ext>
                      </a:extLst>
                    </a:blip>
                    <a:stretch>
                      <a:fillRect/>
                    </a:stretch>
                  </pic:blipFill>
                  <pic:spPr>
                    <a:xfrm>
                      <a:off x="0" y="0"/>
                      <a:ext cx="6029325" cy="6048375"/>
                    </a:xfrm>
                    <a:prstGeom prst="rect">
                      <a:avLst/>
                    </a:prstGeom>
                  </pic:spPr>
                </pic:pic>
              </a:graphicData>
            </a:graphic>
          </wp:inline>
        </w:drawing>
      </w:r>
      <w:r w:rsidR="00916DCB" w:rsidRPr="000133C6">
        <w:br/>
      </w:r>
      <w:r w:rsidR="00916DCB" w:rsidRPr="000133C6">
        <w:br/>
      </w:r>
    </w:p>
    <w:p w14:paraId="642AF271" w14:textId="72FAB5EE" w:rsidR="4660C8F0" w:rsidRPr="000133C6" w:rsidRDefault="4660C8F0" w:rsidP="5756BB46">
      <w:pPr>
        <w:pStyle w:val="ListParagraph"/>
        <w:spacing w:before="180" w:after="240"/>
      </w:pPr>
      <w:r w:rsidRPr="000133C6">
        <w:t xml:space="preserve">Access authorisation criteria must dynamically assess four context-aware dimensions: </w:t>
      </w:r>
    </w:p>
    <w:p w14:paraId="3844F36E" w14:textId="5B46F980" w:rsidR="5756BB46" w:rsidRPr="000133C6" w:rsidRDefault="5756BB46" w:rsidP="5756BB46">
      <w:pPr>
        <w:pStyle w:val="ListParagraph"/>
      </w:pPr>
    </w:p>
    <w:p w14:paraId="0FFD5276" w14:textId="20002ECD" w:rsidR="4660C8F0" w:rsidRPr="000133C6" w:rsidRDefault="4660C8F0" w:rsidP="5756BB46">
      <w:pPr>
        <w:pStyle w:val="ListParagraph"/>
        <w:numPr>
          <w:ilvl w:val="0"/>
          <w:numId w:val="8"/>
        </w:numPr>
      </w:pPr>
      <w:r w:rsidRPr="000133C6">
        <w:rPr>
          <w:b/>
          <w:bCs/>
        </w:rPr>
        <w:t>User Identity:</w:t>
      </w:r>
      <w:r w:rsidRPr="000133C6">
        <w:t xml:space="preserve"> Enforced via phishing resistant FIDO2 cryptographic Multi-factor Authentication (MFA). </w:t>
      </w:r>
    </w:p>
    <w:p w14:paraId="020076D4" w14:textId="7A018367" w:rsidR="5756BB46" w:rsidRPr="000133C6" w:rsidRDefault="5756BB46" w:rsidP="5756BB46">
      <w:pPr>
        <w:pStyle w:val="ListParagraph"/>
      </w:pPr>
    </w:p>
    <w:p w14:paraId="39F7429C" w14:textId="3DB51881" w:rsidR="4660C8F0" w:rsidRPr="000133C6" w:rsidRDefault="4660C8F0" w:rsidP="5756BB46">
      <w:pPr>
        <w:pStyle w:val="ListParagraph"/>
        <w:numPr>
          <w:ilvl w:val="0"/>
          <w:numId w:val="8"/>
        </w:numPr>
      </w:pPr>
      <w:r w:rsidRPr="000133C6">
        <w:rPr>
          <w:b/>
          <w:bCs/>
        </w:rPr>
        <w:lastRenderedPageBreak/>
        <w:t>Device Health Assertions:</w:t>
      </w:r>
      <w:r w:rsidRPr="000133C6">
        <w:t xml:space="preserve"> Verified by an Endpoint Detection and Response (EDR) agent</w:t>
      </w:r>
      <w:r w:rsidR="5EB4D406" w:rsidRPr="000133C6">
        <w:t xml:space="preserve"> </w:t>
      </w:r>
      <w:r w:rsidR="5EB4D406" w:rsidRPr="000133C6">
        <w:rPr>
          <w:b/>
          <w:bCs/>
        </w:rPr>
        <w:t>[11], [12</w:t>
      </w:r>
      <w:r w:rsidRPr="000133C6">
        <w:t xml:space="preserve">. Access will only be granted to unmanaged devices after a security posture check for validating an active firewall state, OS patch validation, and absence of malware. </w:t>
      </w:r>
    </w:p>
    <w:p w14:paraId="772F0E9C" w14:textId="2DD197E0" w:rsidR="5756BB46" w:rsidRPr="000133C6" w:rsidRDefault="5756BB46" w:rsidP="5756BB46">
      <w:pPr>
        <w:pStyle w:val="ListParagraph"/>
      </w:pPr>
    </w:p>
    <w:p w14:paraId="0635EF48" w14:textId="0C27B99E" w:rsidR="4660C8F0" w:rsidRPr="000133C6" w:rsidRDefault="4660C8F0" w:rsidP="5756BB46">
      <w:pPr>
        <w:pStyle w:val="ListParagraph"/>
        <w:numPr>
          <w:ilvl w:val="0"/>
          <w:numId w:val="8"/>
        </w:numPr>
      </w:pPr>
      <w:r w:rsidRPr="000133C6">
        <w:rPr>
          <w:b/>
          <w:bCs/>
        </w:rPr>
        <w:t>Geographic and Time Boundaries:</w:t>
      </w:r>
      <w:r w:rsidRPr="000133C6">
        <w:t xml:space="preserve"> If access attempts originate from unusual locations or outside of normal operational shifts compared to standard logistics schedules, step-up authentication challenges or immediate denial will occur. </w:t>
      </w:r>
    </w:p>
    <w:p w14:paraId="3470578F" w14:textId="79CD678A" w:rsidR="5756BB46" w:rsidRPr="000133C6" w:rsidRDefault="5756BB46" w:rsidP="5756BB46">
      <w:pPr>
        <w:pStyle w:val="ListParagraph"/>
      </w:pPr>
    </w:p>
    <w:p w14:paraId="73990494" w14:textId="0E562FCA" w:rsidR="4660C8F0" w:rsidRPr="000133C6" w:rsidRDefault="4660C8F0" w:rsidP="5756BB46">
      <w:pPr>
        <w:pStyle w:val="ListParagraph"/>
        <w:numPr>
          <w:ilvl w:val="0"/>
          <w:numId w:val="8"/>
        </w:numPr>
      </w:pPr>
      <w:r w:rsidRPr="000133C6">
        <w:rPr>
          <w:b/>
          <w:bCs/>
        </w:rPr>
        <w:t>Principle of Least Privilege:</w:t>
      </w:r>
      <w:r w:rsidRPr="000133C6">
        <w:t xml:space="preserve"> We limit access to sensitive client shipment manifests and customer PII to the duration necessary to fulfil a specific logistics order</w:t>
      </w:r>
      <w:r w:rsidR="5B500D34" w:rsidRPr="000133C6">
        <w:t xml:space="preserve"> </w:t>
      </w:r>
      <w:r w:rsidR="5B500D34" w:rsidRPr="000133C6">
        <w:rPr>
          <w:b/>
          <w:bCs/>
        </w:rPr>
        <w:t>[11]</w:t>
      </w:r>
      <w:r w:rsidRPr="000133C6">
        <w:t>.</w:t>
      </w:r>
      <w:r w:rsidRPr="000133C6">
        <w:br/>
      </w:r>
      <w:r w:rsidRPr="000133C6">
        <w:br/>
      </w:r>
    </w:p>
    <w:p w14:paraId="257693D3" w14:textId="381F0788" w:rsidR="0031499F" w:rsidRPr="000133C6" w:rsidRDefault="73C68EF0" w:rsidP="5756BB46">
      <w:pPr>
        <w:spacing w:before="360" w:after="180"/>
        <w:rPr>
          <w:rFonts w:ascii="Arial" w:eastAsia="Arial" w:hAnsi="Arial" w:cs="Arial"/>
          <w:b/>
          <w:bCs/>
        </w:rPr>
      </w:pPr>
      <w:r w:rsidRPr="000133C6">
        <w:rPr>
          <w:rFonts w:ascii="Arial" w:eastAsia="Arial" w:hAnsi="Arial" w:cs="Arial"/>
          <w:b/>
          <w:bCs/>
        </w:rPr>
        <w:t>3.3.2 Cryptographic Data Protection Blueprint</w:t>
      </w:r>
      <w:r w:rsidR="00916DCB" w:rsidRPr="000133C6">
        <w:br/>
      </w:r>
      <w:r w:rsidR="00916DCB" w:rsidRPr="000133C6">
        <w:br/>
      </w:r>
    </w:p>
    <w:p w14:paraId="2F17F2BD" w14:textId="20ED6D32" w:rsidR="392A5935" w:rsidRPr="000133C6" w:rsidRDefault="392A5935" w:rsidP="5756BB46">
      <w:pPr>
        <w:pStyle w:val="ListParagraph"/>
        <w:spacing w:before="180" w:after="240"/>
      </w:pPr>
      <w:r w:rsidRPr="000133C6">
        <w:t xml:space="preserve">ALL requires a comprehensive cryptographic lifecycle protocol to protect data assets in its distributed infrastructure in three different states: </w:t>
      </w:r>
    </w:p>
    <w:p w14:paraId="43B60A53" w14:textId="33819A8A" w:rsidR="5756BB46" w:rsidRPr="000133C6" w:rsidRDefault="5756BB46" w:rsidP="5756BB46">
      <w:pPr>
        <w:pStyle w:val="ListParagraph"/>
      </w:pPr>
    </w:p>
    <w:p w14:paraId="42BAABE8" w14:textId="482AFEF3" w:rsidR="392A5935" w:rsidRPr="000133C6" w:rsidRDefault="392A5935" w:rsidP="5756BB46">
      <w:pPr>
        <w:pStyle w:val="ListParagraph"/>
        <w:numPr>
          <w:ilvl w:val="0"/>
          <w:numId w:val="7"/>
        </w:numPr>
      </w:pPr>
      <w:r w:rsidRPr="000133C6">
        <w:rPr>
          <w:b/>
          <w:bCs/>
        </w:rPr>
        <w:t>Data-at-Rest:</w:t>
      </w:r>
      <w:r w:rsidRPr="000133C6">
        <w:t xml:space="preserve"> Customer PII and shipment databases hosted on </w:t>
      </w:r>
      <w:proofErr w:type="spellStart"/>
      <w:r w:rsidRPr="000133C6">
        <w:t>IaaS</w:t>
      </w:r>
      <w:proofErr w:type="spellEnd"/>
      <w:r w:rsidRPr="000133C6">
        <w:t xml:space="preserve"> platforms will be encrypted using the Advanced Encryption Standard (AES-256) with a 256-bit key length</w:t>
      </w:r>
      <w:r w:rsidR="1EAA7E8E" w:rsidRPr="000133C6">
        <w:t xml:space="preserve"> [2]</w:t>
      </w:r>
      <w:r w:rsidRPr="000133C6">
        <w:t xml:space="preserve">. Cryptographic keys should never be touched by the cloud service provider. ALL will utilise a centralised Key Management Service (KMS) using a hardware security module (HSM) under the exclusive administration of ALL’s internal security team. </w:t>
      </w:r>
    </w:p>
    <w:p w14:paraId="0E721650" w14:textId="1439B7EA" w:rsidR="5756BB46" w:rsidRPr="000133C6" w:rsidRDefault="5756BB46" w:rsidP="5756BB46">
      <w:pPr>
        <w:pStyle w:val="ListParagraph"/>
      </w:pPr>
    </w:p>
    <w:p w14:paraId="4612A363" w14:textId="64E5A918" w:rsidR="392A5935" w:rsidRPr="000133C6" w:rsidRDefault="392A5935" w:rsidP="5756BB46">
      <w:pPr>
        <w:pStyle w:val="ListParagraph"/>
        <w:numPr>
          <w:ilvl w:val="0"/>
          <w:numId w:val="7"/>
        </w:numPr>
      </w:pPr>
      <w:r w:rsidRPr="000133C6">
        <w:rPr>
          <w:b/>
          <w:bCs/>
        </w:rPr>
        <w:t>Data-in-Transit:</w:t>
      </w:r>
      <w:r w:rsidRPr="000133C6">
        <w:t xml:space="preserve"> All data in transit over the internet, particularly telemetry streaming from </w:t>
      </w:r>
      <w:proofErr w:type="spellStart"/>
      <w:r w:rsidRPr="000133C6">
        <w:t>IoT</w:t>
      </w:r>
      <w:proofErr w:type="spellEnd"/>
      <w:r w:rsidRPr="000133C6">
        <w:t>-enabled tracking sensors to cloud analytics platforms, must be protected with Transport Layer Security (TLS 1.3)</w:t>
      </w:r>
      <w:r w:rsidR="7D561F71" w:rsidRPr="000133C6">
        <w:t xml:space="preserve"> [1], [2]</w:t>
      </w:r>
      <w:r w:rsidRPr="000133C6">
        <w:t xml:space="preserve">. The cloud load balancer should turn off legacy protocols (TLS 1.0, 1.1, and unencrypted HTTP). </w:t>
      </w:r>
    </w:p>
    <w:p w14:paraId="60D8041B" w14:textId="6C2A90D7" w:rsidR="5756BB46" w:rsidRPr="000133C6" w:rsidRDefault="5756BB46" w:rsidP="5756BB46">
      <w:pPr>
        <w:pStyle w:val="ListParagraph"/>
      </w:pPr>
    </w:p>
    <w:p w14:paraId="5D05CF5E" w14:textId="0EE2924D" w:rsidR="392A5935" w:rsidRPr="000133C6" w:rsidRDefault="392A5935" w:rsidP="5756BB46">
      <w:pPr>
        <w:pStyle w:val="ListParagraph"/>
        <w:numPr>
          <w:ilvl w:val="0"/>
          <w:numId w:val="7"/>
        </w:numPr>
      </w:pPr>
      <w:r w:rsidRPr="000133C6">
        <w:rPr>
          <w:b/>
          <w:bCs/>
        </w:rPr>
        <w:t>Data-in-Use:</w:t>
      </w:r>
      <w:r w:rsidRPr="000133C6">
        <w:t xml:space="preserve"> ALL will pilot </w:t>
      </w:r>
      <w:proofErr w:type="spellStart"/>
      <w:r w:rsidRPr="000133C6">
        <w:t>homomorphic</w:t>
      </w:r>
      <w:proofErr w:type="spellEnd"/>
      <w:r w:rsidRPr="000133C6">
        <w:t xml:space="preserve"> encryption options and secure enclave environments</w:t>
      </w:r>
      <w:r w:rsidR="259D559F" w:rsidRPr="000133C6">
        <w:t xml:space="preserve"> </w:t>
      </w:r>
      <w:r w:rsidR="259D559F" w:rsidRPr="000133C6">
        <w:rPr>
          <w:b/>
          <w:bCs/>
        </w:rPr>
        <w:t>[13]</w:t>
      </w:r>
      <w:r w:rsidRPr="000133C6">
        <w:t xml:space="preserve"> for AI-driven predictive analytics processing sensitive customer metrics. This means that the data is encrypted in system memory during execution cycles.</w:t>
      </w:r>
    </w:p>
    <w:p w14:paraId="39D656E5" w14:textId="45C0C953" w:rsidR="0031499F" w:rsidRPr="000133C6" w:rsidRDefault="00916DCB" w:rsidP="5756BB46">
      <w:pPr>
        <w:spacing w:before="360" w:after="180"/>
        <w:rPr>
          <w:rFonts w:ascii="Arial" w:eastAsia="Arial" w:hAnsi="Arial" w:cs="Arial"/>
          <w:b/>
          <w:bCs/>
          <w:sz w:val="30"/>
          <w:szCs w:val="30"/>
        </w:rPr>
      </w:pPr>
      <w:r w:rsidRPr="000133C6">
        <w:lastRenderedPageBreak/>
        <w:br/>
      </w:r>
      <w:r w:rsidRPr="000133C6">
        <w:br/>
      </w:r>
      <w:r w:rsidRPr="000133C6">
        <w:br/>
      </w:r>
      <w:r w:rsidR="73C68EF0" w:rsidRPr="000133C6">
        <w:rPr>
          <w:rFonts w:ascii="Arial" w:eastAsia="Arial" w:hAnsi="Arial" w:cs="Arial"/>
          <w:b/>
          <w:bCs/>
          <w:sz w:val="30"/>
          <w:szCs w:val="30"/>
        </w:rPr>
        <w:t xml:space="preserve">3.4 Risk Management and Threat </w:t>
      </w:r>
      <w:proofErr w:type="spellStart"/>
      <w:r w:rsidR="73C68EF0" w:rsidRPr="000133C6">
        <w:rPr>
          <w:rFonts w:ascii="Arial" w:eastAsia="Arial" w:hAnsi="Arial" w:cs="Arial"/>
          <w:b/>
          <w:bCs/>
          <w:sz w:val="30"/>
          <w:szCs w:val="30"/>
        </w:rPr>
        <w:t>Modeling</w:t>
      </w:r>
      <w:proofErr w:type="spellEnd"/>
      <w:r w:rsidR="73C68EF0" w:rsidRPr="000133C6">
        <w:rPr>
          <w:rFonts w:ascii="Arial" w:eastAsia="Arial" w:hAnsi="Arial" w:cs="Arial"/>
          <w:b/>
          <w:bCs/>
          <w:sz w:val="30"/>
          <w:szCs w:val="30"/>
        </w:rPr>
        <w:t xml:space="preserve"> Methodology</w:t>
      </w:r>
      <w:r w:rsidRPr="000133C6">
        <w:br/>
      </w:r>
      <w:r w:rsidRPr="000133C6">
        <w:br/>
      </w:r>
    </w:p>
    <w:p w14:paraId="5B84E004" w14:textId="0D7C5EBA" w:rsidR="0031499F" w:rsidRPr="000133C6" w:rsidRDefault="70097EF3" w:rsidP="5756BB46">
      <w:pPr>
        <w:spacing w:before="180" w:after="240"/>
        <w:rPr>
          <w:rFonts w:ascii="Arial" w:eastAsia="Arial" w:hAnsi="Arial" w:cs="Arial"/>
        </w:rPr>
      </w:pPr>
      <w:r w:rsidRPr="000133C6">
        <w:rPr>
          <w:rFonts w:ascii="Aptos" w:eastAsia="Aptos" w:hAnsi="Aptos" w:cs="Aptos"/>
        </w:rPr>
        <w:t>ALL will set up a company-wide risk management process in accordance with ISO 31000 and NIST SP 800-30. The risk assessment process is a systematic 5 step process</w:t>
      </w:r>
      <w:r w:rsidR="64AE6FCB" w:rsidRPr="000133C6">
        <w:rPr>
          <w:rFonts w:ascii="Aptos" w:eastAsia="Aptos" w:hAnsi="Aptos" w:cs="Aptos"/>
        </w:rPr>
        <w:t xml:space="preserve"> [5], [10]</w:t>
      </w:r>
      <w:r w:rsidR="00916DCB" w:rsidRPr="000133C6">
        <w:br/>
      </w:r>
      <w:r w:rsidR="00916DCB" w:rsidRPr="000133C6">
        <w:br/>
      </w:r>
      <w:r w:rsidR="00916DCB" w:rsidRPr="000133C6">
        <w:br/>
      </w:r>
      <w:r w:rsidR="0CBD7C83" w:rsidRPr="000133C6">
        <w:rPr>
          <w:noProof/>
          <w:lang w:eastAsia="en-US"/>
        </w:rPr>
        <w:drawing>
          <wp:inline distT="0" distB="0" distL="0" distR="0" wp14:anchorId="6BF8A47C" wp14:editId="1EE14B49">
            <wp:extent cx="5943600" cy="3962400"/>
            <wp:effectExtent l="0" t="0" r="0" b="0"/>
            <wp:docPr id="1764969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6981" name="Picture 176496981"/>
                    <pic:cNvPicPr/>
                  </pic:nvPicPr>
                  <pic:blipFill>
                    <a:blip r:embed="rId11">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14:paraId="3FD1D8A6" w14:textId="0FA71C93" w:rsidR="28AE7512" w:rsidRPr="000133C6" w:rsidRDefault="28AE7512" w:rsidP="5756BB46">
      <w:pPr>
        <w:pStyle w:val="ListParagraph"/>
        <w:numPr>
          <w:ilvl w:val="0"/>
          <w:numId w:val="5"/>
        </w:numPr>
        <w:spacing w:before="180" w:after="240"/>
      </w:pPr>
      <w:r w:rsidRPr="000133C6">
        <w:rPr>
          <w:b/>
          <w:bCs/>
        </w:rPr>
        <w:t>Asset Identification &amp; Value Mapping</w:t>
      </w:r>
      <w:r w:rsidR="0D25213E" w:rsidRPr="000133C6">
        <w:rPr>
          <w:b/>
          <w:bCs/>
        </w:rPr>
        <w:t xml:space="preserve">: </w:t>
      </w:r>
      <w:r w:rsidRPr="000133C6">
        <w:t>Automatically identify hardware and software assets to create a comprehensive Configuration Management Database (CMDB)</w:t>
      </w:r>
      <w:r w:rsidR="66EDA2BF" w:rsidRPr="000133C6">
        <w:t xml:space="preserve"> 5], [8]</w:t>
      </w:r>
      <w:r w:rsidRPr="000133C6">
        <w:t xml:space="preserve">. Data fields are classified as High, Medium or Low depending on their regulatory and financial value. </w:t>
      </w:r>
    </w:p>
    <w:p w14:paraId="5814A025" w14:textId="27649682" w:rsidR="5756BB46" w:rsidRPr="000133C6" w:rsidRDefault="5756BB46" w:rsidP="5756BB46">
      <w:pPr>
        <w:pStyle w:val="ListParagraph"/>
      </w:pPr>
    </w:p>
    <w:p w14:paraId="76B7F05D" w14:textId="7B946205" w:rsidR="28AE7512" w:rsidRPr="000133C6" w:rsidRDefault="28AE7512" w:rsidP="5756BB46">
      <w:pPr>
        <w:pStyle w:val="ListParagraph"/>
        <w:numPr>
          <w:ilvl w:val="0"/>
          <w:numId w:val="5"/>
        </w:numPr>
      </w:pPr>
      <w:r w:rsidRPr="000133C6">
        <w:rPr>
          <w:b/>
          <w:bCs/>
        </w:rPr>
        <w:t>Vulnerability Identification:</w:t>
      </w:r>
      <w:r w:rsidRPr="000133C6">
        <w:t xml:space="preserve"> Conduct weekly automated vulnerability scans on cloud environments and external network perimeters, supplemented by semi-annual professional penetration testing</w:t>
      </w:r>
      <w:r w:rsidR="0D2168C9" w:rsidRPr="000133C6">
        <w:t xml:space="preserve"> </w:t>
      </w:r>
      <w:r w:rsidR="0D2168C9" w:rsidRPr="000133C6">
        <w:rPr>
          <w:b/>
          <w:bCs/>
        </w:rPr>
        <w:t>[2], [5]</w:t>
      </w:r>
      <w:r w:rsidRPr="000133C6">
        <w:t xml:space="preserve">. </w:t>
      </w:r>
    </w:p>
    <w:p w14:paraId="7705EFCF" w14:textId="6D823EE1" w:rsidR="5756BB46" w:rsidRPr="000133C6" w:rsidRDefault="5756BB46" w:rsidP="5756BB46">
      <w:pPr>
        <w:pStyle w:val="ListParagraph"/>
      </w:pPr>
    </w:p>
    <w:p w14:paraId="6FEBC512" w14:textId="57E9D5CB" w:rsidR="28AE7512" w:rsidRPr="000133C6" w:rsidRDefault="28AE7512" w:rsidP="5756BB46">
      <w:pPr>
        <w:pStyle w:val="ListParagraph"/>
        <w:numPr>
          <w:ilvl w:val="0"/>
          <w:numId w:val="5"/>
        </w:numPr>
      </w:pPr>
      <w:r w:rsidRPr="000133C6">
        <w:rPr>
          <w:b/>
          <w:bCs/>
        </w:rPr>
        <w:t>Threat Profiling</w:t>
      </w:r>
      <w:r w:rsidR="24275589" w:rsidRPr="000133C6">
        <w:rPr>
          <w:b/>
          <w:bCs/>
        </w:rPr>
        <w:t>:</w:t>
      </w:r>
      <w:r w:rsidRPr="000133C6">
        <w:t xml:space="preserve"> Model active threat vectors targeting global supply chain infrastructure including </w:t>
      </w:r>
      <w:proofErr w:type="spellStart"/>
      <w:r w:rsidRPr="000133C6">
        <w:t>ransomware</w:t>
      </w:r>
      <w:proofErr w:type="spellEnd"/>
      <w:r w:rsidRPr="000133C6">
        <w:t xml:space="preserve"> groups, API exploitation attempts and advanced persistent threat (APT) groups targeting logistical distribution networks</w:t>
      </w:r>
      <w:r w:rsidR="5D968DC0" w:rsidRPr="000133C6">
        <w:t xml:space="preserve"> [1], [10]</w:t>
      </w:r>
      <w:r w:rsidRPr="000133C6">
        <w:t xml:space="preserve">. </w:t>
      </w:r>
    </w:p>
    <w:p w14:paraId="2311FED8" w14:textId="372941FB" w:rsidR="5756BB46" w:rsidRPr="000133C6" w:rsidRDefault="5756BB46" w:rsidP="5756BB46">
      <w:pPr>
        <w:pStyle w:val="ListParagraph"/>
      </w:pPr>
    </w:p>
    <w:p w14:paraId="42418779" w14:textId="2E678803" w:rsidR="28AE7512" w:rsidRPr="000133C6" w:rsidRDefault="28AE7512" w:rsidP="5756BB46">
      <w:pPr>
        <w:pStyle w:val="ListParagraph"/>
        <w:numPr>
          <w:ilvl w:val="0"/>
          <w:numId w:val="5"/>
        </w:numPr>
      </w:pPr>
      <w:r w:rsidRPr="000133C6">
        <w:rPr>
          <w:b/>
          <w:bCs/>
        </w:rPr>
        <w:t>Impact Valuation:</w:t>
      </w:r>
      <w:r w:rsidRPr="000133C6">
        <w:t xml:space="preserve"> Measure the monetary and operational impact of a particular exploit, including regulatory fines, forensic investigation costs, and client SLA penalties</w:t>
      </w:r>
      <w:r w:rsidR="7E6997DE" w:rsidRPr="000133C6">
        <w:t xml:space="preserve"> </w:t>
      </w:r>
      <w:r w:rsidR="7E6997DE" w:rsidRPr="000133C6">
        <w:rPr>
          <w:b/>
          <w:bCs/>
        </w:rPr>
        <w:t>[6], [7]</w:t>
      </w:r>
      <w:r w:rsidRPr="000133C6">
        <w:t xml:space="preserve">. </w:t>
      </w:r>
    </w:p>
    <w:p w14:paraId="574BDD83" w14:textId="53895D6E" w:rsidR="5756BB46" w:rsidRPr="000133C6" w:rsidRDefault="5756BB46" w:rsidP="5756BB46">
      <w:pPr>
        <w:pStyle w:val="ListParagraph"/>
      </w:pPr>
    </w:p>
    <w:p w14:paraId="39907D41" w14:textId="658D9A8A" w:rsidR="28AE7512" w:rsidRPr="000133C6" w:rsidRDefault="28AE7512" w:rsidP="5756BB46">
      <w:pPr>
        <w:pStyle w:val="ListParagraph"/>
        <w:numPr>
          <w:ilvl w:val="0"/>
          <w:numId w:val="5"/>
        </w:numPr>
      </w:pPr>
      <w:r w:rsidRPr="000133C6">
        <w:rPr>
          <w:b/>
          <w:bCs/>
        </w:rPr>
        <w:t>Mitigation Execution Strategy</w:t>
      </w:r>
      <w:r w:rsidR="41DA4D40" w:rsidRPr="000133C6">
        <w:rPr>
          <w:b/>
          <w:bCs/>
        </w:rPr>
        <w:t>:</w:t>
      </w:r>
      <w:r w:rsidR="41DA4D40" w:rsidRPr="000133C6">
        <w:t xml:space="preserve"> </w:t>
      </w:r>
      <w:r w:rsidRPr="000133C6">
        <w:t xml:space="preserve">Risks above an agreed risk tolerance threshold will need to be managed through a formal risk treatment plan. This plan identifies the timing and owners for Risk Mitigation, Risk Transference (through </w:t>
      </w:r>
      <w:proofErr w:type="spellStart"/>
      <w:r w:rsidRPr="000133C6">
        <w:t>cybersecurity</w:t>
      </w:r>
      <w:proofErr w:type="spellEnd"/>
      <w:r w:rsidRPr="000133C6">
        <w:t xml:space="preserve"> insurance policies), Risk Avoidance, or formal executive Risk Acceptance.</w:t>
      </w:r>
      <w:r w:rsidRPr="000133C6">
        <w:br/>
      </w:r>
      <w:r w:rsidRPr="000133C6">
        <w:br/>
      </w:r>
    </w:p>
    <w:p w14:paraId="7640CDF7" w14:textId="3CC54DA5" w:rsidR="0031499F" w:rsidRPr="000133C6" w:rsidRDefault="5A7A45F4" w:rsidP="5756BB46">
      <w:pPr>
        <w:spacing w:before="360" w:after="180"/>
        <w:rPr>
          <w:rFonts w:ascii="Arial" w:eastAsia="Arial" w:hAnsi="Arial" w:cs="Arial"/>
          <w:b/>
          <w:bCs/>
          <w:sz w:val="30"/>
          <w:szCs w:val="30"/>
        </w:rPr>
      </w:pPr>
      <w:r w:rsidRPr="000133C6">
        <w:rPr>
          <w:rFonts w:ascii="Arial" w:eastAsia="Arial" w:hAnsi="Arial" w:cs="Arial"/>
          <w:b/>
          <w:bCs/>
          <w:sz w:val="30"/>
          <w:szCs w:val="30"/>
        </w:rPr>
        <w:t>3.5 Vendor and SLA Management Framework</w:t>
      </w:r>
      <w:r w:rsidR="00916DCB" w:rsidRPr="000133C6">
        <w:br/>
      </w:r>
      <w:r w:rsidR="00916DCB" w:rsidRPr="000133C6">
        <w:br/>
      </w:r>
    </w:p>
    <w:p w14:paraId="2E06F1B2" w14:textId="57798E73" w:rsidR="0031499F" w:rsidRPr="000133C6" w:rsidRDefault="511B62CA" w:rsidP="5756BB46">
      <w:pPr>
        <w:spacing w:before="180" w:after="240"/>
      </w:pPr>
      <w:r w:rsidRPr="000133C6">
        <w:rPr>
          <w:rFonts w:ascii="Arial" w:eastAsia="Arial" w:hAnsi="Arial" w:cs="Arial"/>
        </w:rPr>
        <w:t>ALL depends on third-party providers for 88% of its infrastructure, so securing the supply chain is critical to the overall defensive posture of the organization</w:t>
      </w:r>
      <w:r w:rsidR="0759EC0B" w:rsidRPr="000133C6">
        <w:rPr>
          <w:rFonts w:ascii="Arial" w:eastAsia="Arial" w:hAnsi="Arial" w:cs="Arial"/>
        </w:rPr>
        <w:t xml:space="preserve"> </w:t>
      </w:r>
      <w:r w:rsidR="0759EC0B" w:rsidRPr="000133C6">
        <w:rPr>
          <w:rFonts w:ascii="Arial" w:eastAsia="Arial" w:hAnsi="Arial" w:cs="Arial"/>
          <w:b/>
          <w:bCs/>
        </w:rPr>
        <w:t>[6], [14]</w:t>
      </w:r>
      <w:r w:rsidRPr="000133C6">
        <w:rPr>
          <w:rFonts w:ascii="Arial" w:eastAsia="Arial" w:hAnsi="Arial" w:cs="Arial"/>
        </w:rPr>
        <w:t>. ALL will implement a Vendor Risk Management (VRM) program aligned with ITIL v4 supplier management processes</w:t>
      </w:r>
      <w:r w:rsidR="081C46A8" w:rsidRPr="000133C6">
        <w:rPr>
          <w:rFonts w:ascii="Arial" w:eastAsia="Arial" w:hAnsi="Arial" w:cs="Arial"/>
        </w:rPr>
        <w:t xml:space="preserve"> </w:t>
      </w:r>
      <w:r w:rsidR="081C46A8" w:rsidRPr="000133C6">
        <w:rPr>
          <w:rFonts w:ascii="Arial" w:eastAsia="Arial" w:hAnsi="Arial" w:cs="Arial"/>
          <w:b/>
          <w:bCs/>
        </w:rPr>
        <w:t>[8], [14]</w:t>
      </w:r>
      <w:r w:rsidRPr="000133C6">
        <w:rPr>
          <w:rFonts w:ascii="Arial" w:eastAsia="Arial" w:hAnsi="Arial" w:cs="Arial"/>
        </w:rPr>
        <w:t xml:space="preserve">. </w:t>
      </w:r>
    </w:p>
    <w:p w14:paraId="2FC198EF" w14:textId="314EB22A" w:rsidR="0031499F" w:rsidRPr="000133C6" w:rsidRDefault="0031499F" w:rsidP="2A29F782">
      <w:pPr>
        <w:spacing w:before="180" w:after="240"/>
      </w:pPr>
    </w:p>
    <w:p w14:paraId="04CED4E0" w14:textId="45A6D15A" w:rsidR="0031499F" w:rsidRPr="000133C6" w:rsidRDefault="511B62CA" w:rsidP="5756BB46">
      <w:pPr>
        <w:spacing w:before="180" w:after="240"/>
      </w:pPr>
      <w:r w:rsidRPr="000133C6">
        <w:rPr>
          <w:rFonts w:ascii="Arial" w:eastAsia="Arial" w:hAnsi="Arial" w:cs="Arial"/>
        </w:rPr>
        <w:t>All software vendors and cloud providers are required to provide Service Organization Control (SOC 2 Type II) reports as third-party validation documentation</w:t>
      </w:r>
      <w:r w:rsidR="180CFE19" w:rsidRPr="000133C6">
        <w:rPr>
          <w:rFonts w:ascii="Arial" w:eastAsia="Arial" w:hAnsi="Arial" w:cs="Arial"/>
        </w:rPr>
        <w:t xml:space="preserve"> </w:t>
      </w:r>
      <w:r w:rsidR="180CFE19" w:rsidRPr="000133C6">
        <w:rPr>
          <w:rFonts w:ascii="Arial" w:eastAsia="Arial" w:hAnsi="Arial" w:cs="Arial"/>
          <w:b/>
          <w:bCs/>
        </w:rPr>
        <w:t>[14]</w:t>
      </w:r>
      <w:r w:rsidRPr="000133C6">
        <w:rPr>
          <w:rFonts w:ascii="Arial" w:eastAsia="Arial" w:hAnsi="Arial" w:cs="Arial"/>
        </w:rPr>
        <w:t xml:space="preserve">. These reports have to be renewed </w:t>
      </w:r>
      <w:r w:rsidR="5BDE2056" w:rsidRPr="000133C6">
        <w:rPr>
          <w:rFonts w:ascii="Arial" w:eastAsia="Arial" w:hAnsi="Arial" w:cs="Arial"/>
        </w:rPr>
        <w:t>annually,</w:t>
      </w:r>
      <w:r w:rsidRPr="000133C6">
        <w:rPr>
          <w:rFonts w:ascii="Arial" w:eastAsia="Arial" w:hAnsi="Arial" w:cs="Arial"/>
        </w:rPr>
        <w:t xml:space="preserve"> and they testify to data security, operational availability and processing integrity in a long observation period. </w:t>
      </w:r>
    </w:p>
    <w:p w14:paraId="7978D077" w14:textId="1FE58B52" w:rsidR="0031499F" w:rsidRPr="000133C6" w:rsidRDefault="0031499F" w:rsidP="2A29F782">
      <w:pPr>
        <w:spacing w:before="180" w:after="240"/>
      </w:pPr>
    </w:p>
    <w:p w14:paraId="71F68E82" w14:textId="668C5CE2" w:rsidR="0031499F" w:rsidRPr="000133C6" w:rsidRDefault="511B62CA" w:rsidP="2A29F782">
      <w:pPr>
        <w:spacing w:before="180" w:after="240"/>
      </w:pPr>
      <w:r w:rsidRPr="000133C6">
        <w:rPr>
          <w:rFonts w:ascii="Arial" w:eastAsia="Arial" w:hAnsi="Arial" w:cs="Arial"/>
        </w:rPr>
        <w:t xml:space="preserve">Additionally, all Master Service Agreements (MSAs) will include specific, non-negotiable Right-to-Audit clauses. These clauses allow ALL’s internal security teams to conduct security assessments of the vendor’s environment. </w:t>
      </w:r>
    </w:p>
    <w:p w14:paraId="2F81E065" w14:textId="37BB4319" w:rsidR="0031499F" w:rsidRPr="000133C6" w:rsidRDefault="0031499F" w:rsidP="2A29F782">
      <w:pPr>
        <w:spacing w:before="180" w:after="240"/>
      </w:pPr>
    </w:p>
    <w:p w14:paraId="6F44F4D2" w14:textId="7FD6700E" w:rsidR="0031499F" w:rsidRPr="000133C6" w:rsidRDefault="511B62CA" w:rsidP="5756BB46">
      <w:pPr>
        <w:spacing w:before="180" w:after="240"/>
      </w:pPr>
      <w:r w:rsidRPr="000133C6">
        <w:rPr>
          <w:rFonts w:ascii="Arial" w:eastAsia="Arial" w:hAnsi="Arial" w:cs="Arial"/>
        </w:rPr>
        <w:lastRenderedPageBreak/>
        <w:t>SLAs will be re-engineered to define clear indicators of security incidents. Under their contract, vendors must report any attempts at unauthorised access or data breaches to us within 24 hours of discovery</w:t>
      </w:r>
      <w:r w:rsidR="4D925C34" w:rsidRPr="000133C6">
        <w:rPr>
          <w:rFonts w:ascii="Arial" w:eastAsia="Arial" w:hAnsi="Arial" w:cs="Arial"/>
        </w:rPr>
        <w:t xml:space="preserve"> </w:t>
      </w:r>
      <w:r w:rsidR="4D925C34" w:rsidRPr="000133C6">
        <w:rPr>
          <w:rFonts w:ascii="Arial" w:eastAsia="Arial" w:hAnsi="Arial" w:cs="Arial"/>
          <w:b/>
          <w:bCs/>
        </w:rPr>
        <w:t>[8], [14]</w:t>
      </w:r>
      <w:r w:rsidRPr="000133C6">
        <w:rPr>
          <w:rFonts w:ascii="Arial" w:eastAsia="Arial" w:hAnsi="Arial" w:cs="Arial"/>
        </w:rPr>
        <w:t>. This ensures ALL can meet the strict 72-hour notification timeline required by GDPR Article 33. If a vendor fails to maintain agreed security levels, financial penalties and contract termination triggers will be imposed.</w:t>
      </w:r>
      <w:r w:rsidR="62E6AB71" w:rsidRPr="000133C6">
        <w:rPr>
          <w:rFonts w:ascii="Arial" w:eastAsia="Arial" w:hAnsi="Arial" w:cs="Arial"/>
        </w:rPr>
        <w:t xml:space="preserve"> </w:t>
      </w:r>
    </w:p>
    <w:p w14:paraId="7CE30629" w14:textId="0F329D7A" w:rsidR="0031499F" w:rsidRPr="000133C6" w:rsidRDefault="0031499F" w:rsidP="2A29F782">
      <w:pPr>
        <w:spacing w:before="180" w:after="240"/>
      </w:pPr>
    </w:p>
    <w:p w14:paraId="1D0E5166" w14:textId="6EF0BE73" w:rsidR="0031499F" w:rsidRPr="000133C6" w:rsidRDefault="0031499F" w:rsidP="5756BB46">
      <w:pPr>
        <w:spacing w:before="180" w:after="240"/>
        <w:rPr>
          <w:rFonts w:ascii="Arial" w:eastAsia="Arial" w:hAnsi="Arial" w:cs="Arial"/>
        </w:rPr>
      </w:pPr>
    </w:p>
    <w:p w14:paraId="02D70151" w14:textId="3B13DA21" w:rsidR="0031499F" w:rsidRPr="000133C6" w:rsidRDefault="5A7A45F4" w:rsidP="5756BB46">
      <w:pPr>
        <w:spacing w:before="360" w:after="180"/>
        <w:rPr>
          <w:rFonts w:ascii="Arial" w:eastAsia="Arial" w:hAnsi="Arial" w:cs="Arial"/>
          <w:b/>
          <w:bCs/>
          <w:sz w:val="30"/>
          <w:szCs w:val="30"/>
        </w:rPr>
      </w:pPr>
      <w:r w:rsidRPr="000133C6">
        <w:rPr>
          <w:rFonts w:ascii="Arial" w:eastAsia="Arial" w:hAnsi="Arial" w:cs="Arial"/>
          <w:b/>
          <w:bCs/>
          <w:sz w:val="30"/>
          <w:szCs w:val="30"/>
        </w:rPr>
        <w:t>3.6 Incident Response and Business Continuity Planning</w:t>
      </w:r>
      <w:r w:rsidR="00916DCB" w:rsidRPr="000133C6">
        <w:br/>
      </w:r>
    </w:p>
    <w:p w14:paraId="47A55424" w14:textId="6D617738" w:rsidR="0031499F" w:rsidRPr="000133C6" w:rsidRDefault="5A7A45F4" w:rsidP="5756BB46">
      <w:pPr>
        <w:spacing w:before="180" w:after="240"/>
        <w:rPr>
          <w:rFonts w:ascii="Arial" w:eastAsia="Arial" w:hAnsi="Arial" w:cs="Arial"/>
        </w:rPr>
      </w:pPr>
      <w:r w:rsidRPr="000133C6">
        <w:rPr>
          <w:rFonts w:ascii="Arial" w:eastAsia="Arial" w:hAnsi="Arial" w:cs="Arial"/>
        </w:rPr>
        <w:t xml:space="preserve">To minimize operational disruption from </w:t>
      </w:r>
      <w:proofErr w:type="spellStart"/>
      <w:r w:rsidRPr="000133C6">
        <w:rPr>
          <w:rFonts w:ascii="Arial" w:eastAsia="Arial" w:hAnsi="Arial" w:cs="Arial"/>
        </w:rPr>
        <w:t>cyber attacks</w:t>
      </w:r>
      <w:proofErr w:type="spellEnd"/>
      <w:r w:rsidRPr="000133C6">
        <w:rPr>
          <w:rFonts w:ascii="Arial" w:eastAsia="Arial" w:hAnsi="Arial" w:cs="Arial"/>
        </w:rPr>
        <w:t xml:space="preserve"> or infrastructure outages, ALL will establish an integrated Incident Response Plan (IRP) and Business Continuity Plan (BCP) </w:t>
      </w:r>
      <w:proofErr w:type="spellStart"/>
      <w:r w:rsidRPr="000133C6">
        <w:rPr>
          <w:rFonts w:ascii="Arial" w:eastAsia="Arial" w:hAnsi="Arial" w:cs="Arial"/>
        </w:rPr>
        <w:t>modeled</w:t>
      </w:r>
      <w:proofErr w:type="spellEnd"/>
      <w:r w:rsidRPr="000133C6">
        <w:rPr>
          <w:rFonts w:ascii="Arial" w:eastAsia="Arial" w:hAnsi="Arial" w:cs="Arial"/>
        </w:rPr>
        <w:t xml:space="preserve"> on NIST SP 800-61 r2 and ISO 22301</w:t>
      </w:r>
      <w:r w:rsidR="53568FC6" w:rsidRPr="000133C6">
        <w:rPr>
          <w:rFonts w:ascii="Arial" w:eastAsia="Arial" w:hAnsi="Arial" w:cs="Arial"/>
        </w:rPr>
        <w:t xml:space="preserve"> </w:t>
      </w:r>
      <w:r w:rsidR="53568FC6" w:rsidRPr="000133C6">
        <w:rPr>
          <w:rFonts w:ascii="Arial" w:eastAsia="Arial" w:hAnsi="Arial" w:cs="Arial"/>
          <w:b/>
          <w:bCs/>
        </w:rPr>
        <w:t>[5], [8], [15]</w:t>
      </w:r>
      <w:r w:rsidRPr="000133C6">
        <w:rPr>
          <w:rFonts w:ascii="Arial" w:eastAsia="Arial" w:hAnsi="Arial" w:cs="Arial"/>
        </w:rPr>
        <w:t>.</w:t>
      </w:r>
    </w:p>
    <w:p w14:paraId="75E8004C" w14:textId="1DD4FB6D" w:rsidR="0031499F" w:rsidRPr="000133C6" w:rsidRDefault="1C77081F" w:rsidP="2A29F782">
      <w:pPr>
        <w:spacing w:before="180" w:after="240"/>
      </w:pPr>
      <w:r w:rsidRPr="000133C6">
        <w:rPr>
          <w:noProof/>
          <w:lang w:eastAsia="en-US"/>
        </w:rPr>
        <w:lastRenderedPageBreak/>
        <w:drawing>
          <wp:inline distT="0" distB="0" distL="0" distR="0" wp14:anchorId="27A111FD" wp14:editId="5D376F4A">
            <wp:extent cx="6038850" cy="4886325"/>
            <wp:effectExtent l="0" t="0" r="0" b="0"/>
            <wp:docPr id="4337059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05960" name="Picture 433705960"/>
                    <pic:cNvPicPr/>
                  </pic:nvPicPr>
                  <pic:blipFill>
                    <a:blip r:embed="rId12">
                      <a:extLst>
                        <a:ext uri="{28A0092B-C50C-407E-A947-70E740481C1C}">
                          <a14:useLocalDpi xmlns:a14="http://schemas.microsoft.com/office/drawing/2010/main"/>
                        </a:ext>
                      </a:extLst>
                    </a:blip>
                    <a:stretch>
                      <a:fillRect/>
                    </a:stretch>
                  </pic:blipFill>
                  <pic:spPr>
                    <a:xfrm>
                      <a:off x="0" y="0"/>
                      <a:ext cx="6038850" cy="4886325"/>
                    </a:xfrm>
                    <a:prstGeom prst="rect">
                      <a:avLst/>
                    </a:prstGeom>
                  </pic:spPr>
                </pic:pic>
              </a:graphicData>
            </a:graphic>
          </wp:inline>
        </w:drawing>
      </w:r>
      <w:r w:rsidR="00916DCB" w:rsidRPr="000133C6">
        <w:br/>
      </w:r>
      <w:r w:rsidR="00916DCB" w:rsidRPr="000133C6">
        <w:br/>
      </w:r>
      <w:r w:rsidR="62F9BA81" w:rsidRPr="000133C6">
        <w:rPr>
          <w:rFonts w:ascii="Aptos" w:eastAsia="Aptos" w:hAnsi="Aptos" w:cs="Aptos"/>
        </w:rPr>
        <w:t xml:space="preserve">The incident response lifecycle consists of five distinct phases: </w:t>
      </w:r>
    </w:p>
    <w:p w14:paraId="49059BBA" w14:textId="45EDBC62" w:rsidR="0031499F" w:rsidRPr="000133C6" w:rsidRDefault="0031499F" w:rsidP="2A29F782">
      <w:pPr>
        <w:spacing w:before="180" w:after="240"/>
      </w:pPr>
    </w:p>
    <w:p w14:paraId="049BAC31" w14:textId="0B8807B5" w:rsidR="0031499F" w:rsidRPr="000133C6" w:rsidRDefault="62F9BA81" w:rsidP="5756BB46">
      <w:pPr>
        <w:pStyle w:val="ListParagraph"/>
        <w:numPr>
          <w:ilvl w:val="0"/>
          <w:numId w:val="1"/>
        </w:numPr>
        <w:spacing w:before="180" w:after="240"/>
        <w:rPr>
          <w:rFonts w:ascii="Aptos" w:eastAsia="Aptos" w:hAnsi="Aptos" w:cs="Aptos"/>
        </w:rPr>
      </w:pPr>
      <w:r w:rsidRPr="000133C6">
        <w:rPr>
          <w:rFonts w:ascii="Aptos" w:eastAsia="Aptos" w:hAnsi="Aptos" w:cs="Aptos"/>
          <w:b/>
          <w:bCs/>
        </w:rPr>
        <w:t>Preparation:</w:t>
      </w:r>
      <w:r w:rsidRPr="000133C6">
        <w:rPr>
          <w:rFonts w:ascii="Aptos" w:eastAsia="Aptos" w:hAnsi="Aptos" w:cs="Aptos"/>
        </w:rPr>
        <w:t xml:space="preserve"> Form a dedicated internal cyber incident response team (CIRT). This team conducts simulation exercises on a quarterly basis,</w:t>
      </w:r>
      <w:r w:rsidR="76D57676" w:rsidRPr="000133C6">
        <w:rPr>
          <w:rFonts w:ascii="Aptos" w:eastAsia="Aptos" w:hAnsi="Aptos" w:cs="Aptos"/>
        </w:rPr>
        <w:t xml:space="preserve"> </w:t>
      </w:r>
      <w:r w:rsidR="76D57676" w:rsidRPr="000133C6">
        <w:rPr>
          <w:b/>
          <w:bCs/>
        </w:rPr>
        <w:t>[8]</w:t>
      </w:r>
      <w:r w:rsidRPr="000133C6">
        <w:rPr>
          <w:rFonts w:ascii="Aptos" w:eastAsia="Aptos" w:hAnsi="Aptos" w:cs="Aptos"/>
        </w:rPr>
        <w:t xml:space="preserve"> based on common threat vectors such as </w:t>
      </w:r>
      <w:proofErr w:type="spellStart"/>
      <w:r w:rsidRPr="000133C6">
        <w:rPr>
          <w:rFonts w:ascii="Aptos" w:eastAsia="Aptos" w:hAnsi="Aptos" w:cs="Aptos"/>
        </w:rPr>
        <w:t>ransomware</w:t>
      </w:r>
      <w:proofErr w:type="spellEnd"/>
      <w:r w:rsidRPr="000133C6">
        <w:rPr>
          <w:rFonts w:ascii="Aptos" w:eastAsia="Aptos" w:hAnsi="Aptos" w:cs="Aptos"/>
        </w:rPr>
        <w:t xml:space="preserve"> attacks and supply chain compromises. </w:t>
      </w:r>
    </w:p>
    <w:p w14:paraId="1720EE89" w14:textId="543063DE" w:rsidR="0031499F" w:rsidRPr="000133C6" w:rsidRDefault="0031499F" w:rsidP="2A29F782">
      <w:pPr>
        <w:spacing w:before="180" w:after="240"/>
      </w:pPr>
    </w:p>
    <w:p w14:paraId="2ADC9950" w14:textId="1EDB6B5A" w:rsidR="0031499F" w:rsidRPr="000133C6" w:rsidRDefault="62F9BA81" w:rsidP="5756BB46">
      <w:pPr>
        <w:pStyle w:val="ListParagraph"/>
        <w:numPr>
          <w:ilvl w:val="0"/>
          <w:numId w:val="1"/>
        </w:numPr>
        <w:spacing w:before="180" w:after="240"/>
        <w:rPr>
          <w:rFonts w:ascii="Aptos" w:eastAsia="Aptos" w:hAnsi="Aptos" w:cs="Aptos"/>
        </w:rPr>
      </w:pPr>
      <w:r w:rsidRPr="000133C6">
        <w:rPr>
          <w:rFonts w:ascii="Aptos" w:eastAsia="Aptos" w:hAnsi="Aptos" w:cs="Aptos"/>
          <w:b/>
          <w:bCs/>
        </w:rPr>
        <w:t>Detection and Analysis:</w:t>
      </w:r>
      <w:r w:rsidRPr="000133C6">
        <w:rPr>
          <w:rFonts w:ascii="Aptos" w:eastAsia="Aptos" w:hAnsi="Aptos" w:cs="Aptos"/>
        </w:rPr>
        <w:t xml:space="preserve"> Use an enterprise Security Information and Event Management (SIEM) platform with AI-based anomaly detection</w:t>
      </w:r>
      <w:r w:rsidR="7D354240" w:rsidRPr="000133C6">
        <w:rPr>
          <w:rFonts w:ascii="Aptos" w:eastAsia="Aptos" w:hAnsi="Aptos" w:cs="Aptos"/>
        </w:rPr>
        <w:t xml:space="preserve"> </w:t>
      </w:r>
      <w:r w:rsidR="7D354240" w:rsidRPr="000133C6">
        <w:t>[5], [10]</w:t>
      </w:r>
      <w:r w:rsidRPr="000133C6">
        <w:rPr>
          <w:rFonts w:ascii="Aptos" w:eastAsia="Aptos" w:hAnsi="Aptos" w:cs="Aptos"/>
        </w:rPr>
        <w:t xml:space="preserve">. The SIEM correlates log data from multi-region cloud infrastructures, </w:t>
      </w:r>
      <w:proofErr w:type="spellStart"/>
      <w:r w:rsidRPr="000133C6">
        <w:rPr>
          <w:rFonts w:ascii="Aptos" w:eastAsia="Aptos" w:hAnsi="Aptos" w:cs="Aptos"/>
        </w:rPr>
        <w:t>IoT</w:t>
      </w:r>
      <w:proofErr w:type="spellEnd"/>
      <w:r w:rsidRPr="000133C6">
        <w:rPr>
          <w:rFonts w:ascii="Aptos" w:eastAsia="Aptos" w:hAnsi="Aptos" w:cs="Aptos"/>
        </w:rPr>
        <w:t xml:space="preserve"> sensors and endpoint devices to detect malicious activity in real time. </w:t>
      </w:r>
    </w:p>
    <w:p w14:paraId="6462B12D" w14:textId="3C2D99CF" w:rsidR="0031499F" w:rsidRPr="000133C6" w:rsidRDefault="0031499F" w:rsidP="2A29F782">
      <w:pPr>
        <w:spacing w:before="180" w:after="240"/>
      </w:pPr>
    </w:p>
    <w:p w14:paraId="33F7D5F8" w14:textId="2EAA9A4D" w:rsidR="0031499F" w:rsidRPr="000133C6" w:rsidRDefault="62F9BA81" w:rsidP="5756BB46">
      <w:pPr>
        <w:pStyle w:val="ListParagraph"/>
        <w:numPr>
          <w:ilvl w:val="0"/>
          <w:numId w:val="1"/>
        </w:numPr>
        <w:spacing w:before="180" w:after="240"/>
        <w:rPr>
          <w:rFonts w:ascii="Aptos" w:eastAsia="Aptos" w:hAnsi="Aptos" w:cs="Aptos"/>
        </w:rPr>
      </w:pPr>
      <w:r w:rsidRPr="000133C6">
        <w:rPr>
          <w:rFonts w:ascii="Aptos" w:eastAsia="Aptos" w:hAnsi="Aptos" w:cs="Aptos"/>
          <w:b/>
          <w:bCs/>
        </w:rPr>
        <w:t>Containment:</w:t>
      </w:r>
      <w:r w:rsidRPr="000133C6">
        <w:rPr>
          <w:rFonts w:ascii="Aptos" w:eastAsia="Aptos" w:hAnsi="Aptos" w:cs="Aptos"/>
        </w:rPr>
        <w:t xml:space="preserve"> Micro-segmented isolation strategies </w:t>
      </w:r>
      <w:proofErr w:type="gramStart"/>
      <w:r w:rsidRPr="000133C6">
        <w:rPr>
          <w:rFonts w:ascii="Aptos" w:eastAsia="Aptos" w:hAnsi="Aptos" w:cs="Aptos"/>
        </w:rPr>
        <w:t>If</w:t>
      </w:r>
      <w:proofErr w:type="gramEnd"/>
      <w:r w:rsidRPr="000133C6">
        <w:rPr>
          <w:rFonts w:ascii="Aptos" w:eastAsia="Aptos" w:hAnsi="Aptos" w:cs="Aptos"/>
        </w:rPr>
        <w:t xml:space="preserve"> an unmanaged remote device is compromised,</w:t>
      </w:r>
      <w:r w:rsidR="5CC3FE26" w:rsidRPr="000133C6">
        <w:rPr>
          <w:rFonts w:ascii="Aptos" w:eastAsia="Aptos" w:hAnsi="Aptos" w:cs="Aptos"/>
        </w:rPr>
        <w:t xml:space="preserve"> </w:t>
      </w:r>
      <w:r w:rsidR="5CC3FE26" w:rsidRPr="000133C6">
        <w:rPr>
          <w:b/>
          <w:bCs/>
        </w:rPr>
        <w:t>[11], [12]</w:t>
      </w:r>
      <w:r w:rsidRPr="000133C6">
        <w:rPr>
          <w:rFonts w:ascii="Aptos" w:eastAsia="Aptos" w:hAnsi="Aptos" w:cs="Aptos"/>
        </w:rPr>
        <w:t xml:space="preserve"> the system automatically invalidates that device’s active identity tokens and invalidates network access. This limits the lateral movement capabilities of the threat actor in the cloud infrastructure. </w:t>
      </w:r>
    </w:p>
    <w:p w14:paraId="05539560" w14:textId="13E24B9B" w:rsidR="0031499F" w:rsidRPr="000133C6" w:rsidRDefault="0031499F" w:rsidP="2A29F782">
      <w:pPr>
        <w:spacing w:before="180" w:after="240"/>
      </w:pPr>
    </w:p>
    <w:p w14:paraId="37777686" w14:textId="33AB76E1" w:rsidR="0031499F" w:rsidRPr="000133C6" w:rsidRDefault="62F9BA81" w:rsidP="5756BB46">
      <w:pPr>
        <w:pStyle w:val="ListParagraph"/>
        <w:numPr>
          <w:ilvl w:val="0"/>
          <w:numId w:val="1"/>
        </w:numPr>
        <w:spacing w:before="180" w:after="240"/>
        <w:rPr>
          <w:rFonts w:ascii="Aptos" w:eastAsia="Aptos" w:hAnsi="Aptos" w:cs="Aptos"/>
        </w:rPr>
      </w:pPr>
      <w:r w:rsidRPr="000133C6">
        <w:rPr>
          <w:rFonts w:ascii="Aptos" w:eastAsia="Aptos" w:hAnsi="Aptos" w:cs="Aptos"/>
          <w:b/>
          <w:bCs/>
        </w:rPr>
        <w:t>Eradication &amp; Recovery:</w:t>
      </w:r>
      <w:r w:rsidRPr="000133C6">
        <w:rPr>
          <w:rFonts w:ascii="Aptos" w:eastAsia="Aptos" w:hAnsi="Aptos" w:cs="Aptos"/>
        </w:rPr>
        <w:t xml:space="preserve"> Rebuild systems from clean, validated configuration templates. Production data is recovered from isolated, immutable, cloud backups that are physically separated from the primary operational network</w:t>
      </w:r>
      <w:r w:rsidR="1DD4385D" w:rsidRPr="000133C6">
        <w:rPr>
          <w:rFonts w:ascii="Aptos" w:eastAsia="Aptos" w:hAnsi="Aptos" w:cs="Aptos"/>
        </w:rPr>
        <w:t xml:space="preserve"> </w:t>
      </w:r>
      <w:r w:rsidR="1DD4385D" w:rsidRPr="000133C6">
        <w:rPr>
          <w:b/>
          <w:bCs/>
        </w:rPr>
        <w:t>[8], [15]</w:t>
      </w:r>
      <w:r w:rsidRPr="000133C6">
        <w:rPr>
          <w:rFonts w:ascii="Aptos" w:eastAsia="Aptos" w:hAnsi="Aptos" w:cs="Aptos"/>
        </w:rPr>
        <w:t xml:space="preserve">. </w:t>
      </w:r>
    </w:p>
    <w:p w14:paraId="56232276" w14:textId="294D36F3" w:rsidR="0031499F" w:rsidRPr="000133C6" w:rsidRDefault="0031499F" w:rsidP="2A29F782">
      <w:pPr>
        <w:spacing w:before="180" w:after="240"/>
      </w:pPr>
    </w:p>
    <w:p w14:paraId="57DB731C" w14:textId="30067C86" w:rsidR="0031499F" w:rsidRPr="000133C6" w:rsidRDefault="62F9BA81" w:rsidP="5756BB46">
      <w:pPr>
        <w:pStyle w:val="ListParagraph"/>
        <w:numPr>
          <w:ilvl w:val="0"/>
          <w:numId w:val="1"/>
        </w:numPr>
        <w:spacing w:before="180" w:after="240"/>
        <w:rPr>
          <w:rFonts w:ascii="Aptos" w:eastAsia="Aptos" w:hAnsi="Aptos" w:cs="Aptos"/>
        </w:rPr>
      </w:pPr>
      <w:r w:rsidRPr="000133C6">
        <w:rPr>
          <w:rFonts w:ascii="Aptos" w:eastAsia="Aptos" w:hAnsi="Aptos" w:cs="Aptos"/>
          <w:b/>
          <w:bCs/>
        </w:rPr>
        <w:t>Post-Incident Review:</w:t>
      </w:r>
      <w:r w:rsidRPr="000133C6">
        <w:rPr>
          <w:rFonts w:ascii="Aptos" w:eastAsia="Aptos" w:hAnsi="Aptos" w:cs="Aptos"/>
        </w:rPr>
        <w:t xml:space="preserve"> Complete root cause analysis of major security incident within 10 days. The results are then used to improve current security controls and update the corporate risk register </w:t>
      </w:r>
    </w:p>
    <w:p w14:paraId="5CA5745C" w14:textId="7194CFD2" w:rsidR="0031499F" w:rsidRPr="000133C6" w:rsidRDefault="0031499F" w:rsidP="2A29F782">
      <w:pPr>
        <w:spacing w:before="180" w:after="240"/>
      </w:pPr>
    </w:p>
    <w:p w14:paraId="4006719B" w14:textId="3B8BAA92" w:rsidR="0031499F" w:rsidRPr="000133C6" w:rsidRDefault="62F9BA81" w:rsidP="2A29F782">
      <w:pPr>
        <w:spacing w:before="180" w:after="240"/>
      </w:pPr>
      <w:r w:rsidRPr="000133C6">
        <w:rPr>
          <w:rFonts w:ascii="Aptos" w:eastAsia="Aptos" w:hAnsi="Aptos" w:cs="Aptos"/>
        </w:rPr>
        <w:t xml:space="preserve">The Business Continuity Plan provides strict criteria for prioritising system recovery: </w:t>
      </w:r>
    </w:p>
    <w:p w14:paraId="24275913" w14:textId="3180133B" w:rsidR="0031499F" w:rsidRPr="000133C6" w:rsidRDefault="0031499F" w:rsidP="2A29F782">
      <w:pPr>
        <w:spacing w:before="180" w:after="240"/>
      </w:pPr>
    </w:p>
    <w:p w14:paraId="310FA0B6" w14:textId="164063BB" w:rsidR="0031499F" w:rsidRPr="000133C6" w:rsidRDefault="62F9BA81" w:rsidP="5756BB46">
      <w:pPr>
        <w:pStyle w:val="ListParagraph"/>
        <w:numPr>
          <w:ilvl w:val="0"/>
          <w:numId w:val="2"/>
        </w:numPr>
        <w:spacing w:before="180" w:after="240"/>
        <w:rPr>
          <w:rFonts w:ascii="Aptos" w:eastAsia="Aptos" w:hAnsi="Aptos" w:cs="Aptos"/>
        </w:rPr>
      </w:pPr>
      <w:r w:rsidRPr="000133C6">
        <w:rPr>
          <w:rFonts w:ascii="Aptos" w:eastAsia="Aptos" w:hAnsi="Aptos" w:cs="Aptos"/>
          <w:b/>
          <w:bCs/>
        </w:rPr>
        <w:t>Recovery Point Objective (RPO):</w:t>
      </w:r>
      <w:r w:rsidRPr="000133C6">
        <w:rPr>
          <w:rFonts w:ascii="Aptos" w:eastAsia="Aptos" w:hAnsi="Aptos" w:cs="Aptos"/>
        </w:rPr>
        <w:t xml:space="preserve"> Transactional database systems require a maximum of 4 hours to minimise data loss in case of an outage</w:t>
      </w:r>
      <w:r w:rsidR="3B99851E" w:rsidRPr="000133C6">
        <w:rPr>
          <w:rFonts w:ascii="Aptos" w:eastAsia="Aptos" w:hAnsi="Aptos" w:cs="Aptos"/>
        </w:rPr>
        <w:t xml:space="preserve"> </w:t>
      </w:r>
      <w:r w:rsidR="3B99851E" w:rsidRPr="000133C6">
        <w:t>[15]</w:t>
      </w:r>
      <w:r w:rsidRPr="000133C6">
        <w:rPr>
          <w:rFonts w:ascii="Aptos" w:eastAsia="Aptos" w:hAnsi="Aptos" w:cs="Aptos"/>
        </w:rPr>
        <w:t xml:space="preserve">. </w:t>
      </w:r>
    </w:p>
    <w:p w14:paraId="55A2C7FA" w14:textId="2C087DAF" w:rsidR="0031499F" w:rsidRPr="000133C6" w:rsidRDefault="0031499F" w:rsidP="2A29F782">
      <w:pPr>
        <w:spacing w:before="180" w:after="240"/>
      </w:pPr>
    </w:p>
    <w:p w14:paraId="1D52193B" w14:textId="1D6B70E1" w:rsidR="0031499F" w:rsidRPr="000133C6" w:rsidRDefault="62F9BA81" w:rsidP="5756BB46">
      <w:pPr>
        <w:pStyle w:val="ListParagraph"/>
        <w:numPr>
          <w:ilvl w:val="0"/>
          <w:numId w:val="2"/>
        </w:numPr>
        <w:spacing w:before="180" w:after="240"/>
        <w:rPr>
          <w:rFonts w:ascii="Aptos" w:eastAsia="Aptos" w:hAnsi="Aptos" w:cs="Aptos"/>
        </w:rPr>
      </w:pPr>
      <w:r w:rsidRPr="000133C6">
        <w:rPr>
          <w:rFonts w:ascii="Aptos" w:eastAsia="Aptos" w:hAnsi="Aptos" w:cs="Aptos"/>
          <w:b/>
          <w:bCs/>
        </w:rPr>
        <w:t>Recovery Time Objective (RTO):</w:t>
      </w:r>
      <w:r w:rsidRPr="000133C6">
        <w:rPr>
          <w:rFonts w:ascii="Aptos" w:eastAsia="Aptos" w:hAnsi="Aptos" w:cs="Aptos"/>
        </w:rPr>
        <w:t xml:space="preserve"> For critical real-time logistics tracking applications, the RTO is set at no more than 6 hours, reducing operational downtime at global supply hubs.</w:t>
      </w:r>
    </w:p>
    <w:p w14:paraId="56A9DA85" w14:textId="1ED2C52B" w:rsidR="0031499F" w:rsidRPr="000133C6" w:rsidRDefault="0031499F" w:rsidP="5756BB46">
      <w:pPr>
        <w:pStyle w:val="ListParagraph"/>
        <w:spacing w:before="180" w:after="240"/>
        <w:rPr>
          <w:rFonts w:ascii="Arial" w:eastAsia="Arial" w:hAnsi="Arial" w:cs="Arial"/>
        </w:rPr>
      </w:pPr>
    </w:p>
    <w:p w14:paraId="24BD0E6D" w14:textId="73BB682A" w:rsidR="0031499F" w:rsidRPr="000133C6" w:rsidRDefault="07BAF2E6" w:rsidP="5756BB46">
      <w:pPr>
        <w:spacing w:before="360" w:after="180"/>
        <w:rPr>
          <w:rFonts w:ascii="Arial" w:eastAsia="Arial" w:hAnsi="Arial" w:cs="Arial"/>
          <w:b/>
          <w:bCs/>
          <w:sz w:val="30"/>
          <w:szCs w:val="30"/>
        </w:rPr>
      </w:pPr>
      <w:r w:rsidRPr="000133C6">
        <w:rPr>
          <w:rFonts w:ascii="Arial" w:eastAsia="Arial" w:hAnsi="Arial" w:cs="Arial"/>
          <w:b/>
          <w:bCs/>
          <w:sz w:val="30"/>
          <w:szCs w:val="30"/>
        </w:rPr>
        <w:t>4. Critical Analysis of Continuous Regulatory Alignment</w:t>
      </w:r>
      <w:r w:rsidR="00916DCB" w:rsidRPr="000133C6">
        <w:br/>
      </w:r>
      <w:r w:rsidR="00916DCB" w:rsidRPr="000133C6">
        <w:br/>
      </w:r>
    </w:p>
    <w:p w14:paraId="70B843C2" w14:textId="74A0E6F4" w:rsidR="0031499F" w:rsidRPr="000133C6" w:rsidRDefault="5EB20C05" w:rsidP="5756BB46">
      <w:pPr>
        <w:spacing w:before="180" w:after="240"/>
        <w:rPr>
          <w:rFonts w:ascii="Aptos" w:eastAsia="Aptos" w:hAnsi="Aptos" w:cs="Aptos"/>
        </w:rPr>
      </w:pPr>
      <w:r w:rsidRPr="000133C6">
        <w:rPr>
          <w:rFonts w:ascii="Aptos" w:eastAsia="Aptos" w:hAnsi="Aptos" w:cs="Aptos"/>
        </w:rPr>
        <w:t xml:space="preserve">A core business requirement of global logistics organisations is the continuous update of </w:t>
      </w:r>
      <w:proofErr w:type="spellStart"/>
      <w:r w:rsidRPr="000133C6">
        <w:rPr>
          <w:rFonts w:ascii="Aptos" w:eastAsia="Aptos" w:hAnsi="Aptos" w:cs="Aptos"/>
        </w:rPr>
        <w:t>cybersecurity</w:t>
      </w:r>
      <w:proofErr w:type="spellEnd"/>
      <w:r w:rsidRPr="000133C6">
        <w:rPr>
          <w:rFonts w:ascii="Aptos" w:eastAsia="Aptos" w:hAnsi="Aptos" w:cs="Aptos"/>
        </w:rPr>
        <w:t xml:space="preserve"> frameworks, standards and legal mandates. The traditional approach to annual compliance reviews is not keeping up with the digital threat vectors and the changing regulatory environment of today</w:t>
      </w:r>
      <w:r w:rsidR="6181A800" w:rsidRPr="000133C6">
        <w:rPr>
          <w:rFonts w:ascii="Aptos" w:eastAsia="Aptos" w:hAnsi="Aptos" w:cs="Aptos"/>
        </w:rPr>
        <w:t xml:space="preserve"> </w:t>
      </w:r>
      <w:r w:rsidR="6181A800" w:rsidRPr="000133C6">
        <w:rPr>
          <w:rFonts w:ascii="Aptos" w:eastAsia="Aptos" w:hAnsi="Aptos" w:cs="Aptos"/>
          <w:b/>
          <w:bCs/>
        </w:rPr>
        <w:t>[4], [9]</w:t>
      </w:r>
      <w:r w:rsidRPr="000133C6">
        <w:rPr>
          <w:rFonts w:ascii="Aptos" w:eastAsia="Aptos" w:hAnsi="Aptos" w:cs="Aptos"/>
        </w:rPr>
        <w:t>.</w:t>
      </w:r>
      <w:r w:rsidR="00916DCB" w:rsidRPr="000133C6">
        <w:br/>
      </w:r>
      <w:r w:rsidR="00916DCB" w:rsidRPr="000133C6">
        <w:lastRenderedPageBreak/>
        <w:br/>
      </w:r>
      <w:r w:rsidR="00916DCB" w:rsidRPr="000133C6">
        <w:br/>
      </w:r>
      <w:r w:rsidR="3D0C8806" w:rsidRPr="000133C6">
        <w:rPr>
          <w:noProof/>
          <w:lang w:eastAsia="en-US"/>
        </w:rPr>
        <w:drawing>
          <wp:inline distT="0" distB="0" distL="0" distR="0" wp14:anchorId="45B155A9" wp14:editId="0B9BA35B">
            <wp:extent cx="5943600" cy="3857625"/>
            <wp:effectExtent l="0" t="0" r="0" b="0"/>
            <wp:docPr id="20884925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92596" name="Picture 2088492596"/>
                    <pic:cNvPicPr/>
                  </pic:nvPicPr>
                  <pic:blipFill>
                    <a:blip r:embed="rId13">
                      <a:extLst>
                        <a:ext uri="{28A0092B-C50C-407E-A947-70E740481C1C}">
                          <a14:useLocalDpi xmlns:a14="http://schemas.microsoft.com/office/drawing/2010/main"/>
                        </a:ext>
                      </a:extLst>
                    </a:blip>
                    <a:stretch>
                      <a:fillRect/>
                    </a:stretch>
                  </pic:blipFill>
                  <pic:spPr>
                    <a:xfrm>
                      <a:off x="0" y="0"/>
                      <a:ext cx="5943600" cy="3857625"/>
                    </a:xfrm>
                    <a:prstGeom prst="rect">
                      <a:avLst/>
                    </a:prstGeom>
                  </pic:spPr>
                </pic:pic>
              </a:graphicData>
            </a:graphic>
          </wp:inline>
        </w:drawing>
      </w:r>
      <w:r w:rsidR="00916DCB" w:rsidRPr="000133C6">
        <w:br/>
      </w:r>
    </w:p>
    <w:p w14:paraId="018B01A2" w14:textId="723B880F" w:rsidR="0031499F" w:rsidRPr="000133C6" w:rsidRDefault="07BAF2E6" w:rsidP="5756BB46">
      <w:pPr>
        <w:spacing w:before="360" w:after="180"/>
        <w:rPr>
          <w:rFonts w:ascii="Arial" w:eastAsia="Arial" w:hAnsi="Arial" w:cs="Arial"/>
          <w:b/>
          <w:bCs/>
          <w:sz w:val="30"/>
          <w:szCs w:val="30"/>
        </w:rPr>
      </w:pPr>
      <w:r w:rsidRPr="000133C6">
        <w:rPr>
          <w:rFonts w:ascii="Arial" w:eastAsia="Arial" w:hAnsi="Arial" w:cs="Arial"/>
          <w:b/>
          <w:bCs/>
          <w:sz w:val="30"/>
          <w:szCs w:val="30"/>
        </w:rPr>
        <w:t>4.1 Adapting to Emerging Technology Vulnerabilities</w:t>
      </w:r>
      <w:r w:rsidR="00916DCB" w:rsidRPr="000133C6">
        <w:br/>
      </w:r>
      <w:r w:rsidR="00916DCB" w:rsidRPr="000133C6">
        <w:br/>
      </w:r>
    </w:p>
    <w:p w14:paraId="4A7B4C2F" w14:textId="41F5CCEA" w:rsidR="0031499F" w:rsidRPr="000133C6" w:rsidRDefault="45645EAF" w:rsidP="5756BB46">
      <w:pPr>
        <w:spacing w:before="180" w:after="240"/>
      </w:pPr>
      <w:r w:rsidRPr="000133C6">
        <w:rPr>
          <w:rFonts w:ascii="Arial" w:eastAsia="Arial" w:hAnsi="Arial" w:cs="Arial"/>
        </w:rPr>
        <w:t xml:space="preserve">As companies deploy advanced capabilities such as autonomous </w:t>
      </w:r>
      <w:proofErr w:type="spellStart"/>
      <w:r w:rsidRPr="000133C6">
        <w:rPr>
          <w:rFonts w:ascii="Arial" w:eastAsia="Arial" w:hAnsi="Arial" w:cs="Arial"/>
        </w:rPr>
        <w:t>IoT</w:t>
      </w:r>
      <w:proofErr w:type="spellEnd"/>
      <w:r w:rsidRPr="000133C6">
        <w:rPr>
          <w:rFonts w:ascii="Arial" w:eastAsia="Arial" w:hAnsi="Arial" w:cs="Arial"/>
        </w:rPr>
        <w:t xml:space="preserve"> sensors and predictive AI models to optimise operations, new security vulnerabilities are inadvertently created. </w:t>
      </w:r>
      <w:proofErr w:type="spellStart"/>
      <w:r w:rsidRPr="000133C6">
        <w:rPr>
          <w:rFonts w:ascii="Arial" w:eastAsia="Arial" w:hAnsi="Arial" w:cs="Arial"/>
        </w:rPr>
        <w:t>IoT</w:t>
      </w:r>
      <w:proofErr w:type="spellEnd"/>
      <w:r w:rsidRPr="000133C6">
        <w:rPr>
          <w:rFonts w:ascii="Arial" w:eastAsia="Arial" w:hAnsi="Arial" w:cs="Arial"/>
        </w:rPr>
        <w:t xml:space="preserve"> devices often have limited processing power, so installing standard endpoint security agents is not possible. This makes these devices very vulnerable to tampering of firmware and exploitation by botnets</w:t>
      </w:r>
      <w:r w:rsidR="047D8DFE" w:rsidRPr="000133C6">
        <w:rPr>
          <w:rFonts w:ascii="Arial" w:eastAsia="Arial" w:hAnsi="Arial" w:cs="Arial"/>
        </w:rPr>
        <w:t xml:space="preserve"> [1]</w:t>
      </w:r>
      <w:r w:rsidRPr="000133C6">
        <w:rPr>
          <w:rFonts w:ascii="Arial" w:eastAsia="Arial" w:hAnsi="Arial" w:cs="Arial"/>
        </w:rPr>
        <w:t xml:space="preserve">. </w:t>
      </w:r>
    </w:p>
    <w:p w14:paraId="4E59A6ED" w14:textId="44C24694" w:rsidR="0031499F" w:rsidRPr="000133C6" w:rsidRDefault="0031499F" w:rsidP="2A29F782">
      <w:pPr>
        <w:spacing w:before="180" w:after="240"/>
      </w:pPr>
    </w:p>
    <w:p w14:paraId="55865D33" w14:textId="73602D9D" w:rsidR="0031499F" w:rsidRPr="000133C6" w:rsidRDefault="45645EAF" w:rsidP="5756BB46">
      <w:pPr>
        <w:spacing w:before="180" w:after="240"/>
        <w:rPr>
          <w:rFonts w:ascii="Arial" w:eastAsia="Arial" w:hAnsi="Arial" w:cs="Arial"/>
        </w:rPr>
      </w:pPr>
      <w:r w:rsidRPr="000133C6">
        <w:rPr>
          <w:rFonts w:ascii="Arial" w:eastAsia="Arial" w:hAnsi="Arial" w:cs="Arial"/>
        </w:rPr>
        <w:t>AI models also present unique risks, such as data poisoning attacks and prompt injection vulnerabilities</w:t>
      </w:r>
      <w:r w:rsidR="499F758B" w:rsidRPr="000133C6">
        <w:rPr>
          <w:rFonts w:ascii="Arial" w:eastAsia="Arial" w:hAnsi="Arial" w:cs="Arial"/>
        </w:rPr>
        <w:t xml:space="preserve"> [10]</w:t>
      </w:r>
      <w:r w:rsidRPr="000133C6">
        <w:rPr>
          <w:rFonts w:ascii="Arial" w:eastAsia="Arial" w:hAnsi="Arial" w:cs="Arial"/>
        </w:rPr>
        <w:t>. An organization still relying on static, unchanging security policies will not be able to address these modern threat vectors. Organisations stay on top of new frameworks like the just released NIST CSF 2.0, which provide updated control models for protecting automated pipelines and cloud-native workloads</w:t>
      </w:r>
      <w:r w:rsidR="68C1B0BC" w:rsidRPr="000133C6">
        <w:rPr>
          <w:rFonts w:ascii="Arial" w:eastAsia="Arial" w:hAnsi="Arial" w:cs="Arial"/>
        </w:rPr>
        <w:t xml:space="preserve"> [5]</w:t>
      </w:r>
      <w:r w:rsidRPr="000133C6">
        <w:rPr>
          <w:rFonts w:ascii="Arial" w:eastAsia="Arial" w:hAnsi="Arial" w:cs="Arial"/>
        </w:rPr>
        <w:t>.</w:t>
      </w:r>
      <w:r w:rsidR="00916DCB" w:rsidRPr="000133C6">
        <w:br/>
      </w:r>
      <w:r w:rsidR="00916DCB" w:rsidRPr="000133C6">
        <w:lastRenderedPageBreak/>
        <w:br/>
      </w:r>
    </w:p>
    <w:p w14:paraId="1A5D288E" w14:textId="41E1715D" w:rsidR="0031499F" w:rsidRPr="000133C6" w:rsidRDefault="07BAF2E6" w:rsidP="5756BB46">
      <w:pPr>
        <w:spacing w:before="360" w:after="180"/>
        <w:rPr>
          <w:rFonts w:ascii="Arial" w:eastAsia="Arial" w:hAnsi="Arial" w:cs="Arial"/>
          <w:b/>
          <w:bCs/>
          <w:sz w:val="30"/>
          <w:szCs w:val="30"/>
        </w:rPr>
      </w:pPr>
      <w:r w:rsidRPr="000133C6">
        <w:rPr>
          <w:rFonts w:ascii="Arial" w:eastAsia="Arial" w:hAnsi="Arial" w:cs="Arial"/>
          <w:b/>
          <w:bCs/>
          <w:sz w:val="30"/>
          <w:szCs w:val="30"/>
        </w:rPr>
        <w:t>4.2 Countering Evolving Cyber Threat Tactics</w:t>
      </w:r>
      <w:r w:rsidR="00916DCB" w:rsidRPr="000133C6">
        <w:br/>
      </w:r>
      <w:r w:rsidR="00916DCB" w:rsidRPr="000133C6">
        <w:br/>
      </w:r>
    </w:p>
    <w:p w14:paraId="7D9BC5D5" w14:textId="67032253" w:rsidR="0031499F" w:rsidRPr="000133C6" w:rsidRDefault="7A57F2AD" w:rsidP="5756BB46">
      <w:pPr>
        <w:spacing w:before="180" w:after="240"/>
      </w:pPr>
      <w:r w:rsidRPr="000133C6">
        <w:rPr>
          <w:rFonts w:ascii="Arial" w:eastAsia="Arial" w:hAnsi="Arial" w:cs="Arial"/>
        </w:rPr>
        <w:t xml:space="preserve">The cyber threat landscape is shaped by continuous innovation from adversarial groups. </w:t>
      </w:r>
      <w:proofErr w:type="spellStart"/>
      <w:r w:rsidRPr="000133C6">
        <w:rPr>
          <w:rFonts w:ascii="Arial" w:eastAsia="Arial" w:hAnsi="Arial" w:cs="Arial"/>
        </w:rPr>
        <w:t>Ransomware</w:t>
      </w:r>
      <w:proofErr w:type="spellEnd"/>
      <w:r w:rsidRPr="000133C6">
        <w:rPr>
          <w:rFonts w:ascii="Arial" w:eastAsia="Arial" w:hAnsi="Arial" w:cs="Arial"/>
        </w:rPr>
        <w:t xml:space="preserve"> actors often use polymorphic malware to evade signature-based antivirus </w:t>
      </w:r>
      <w:r w:rsidR="468C8A15" w:rsidRPr="000133C6">
        <w:rPr>
          <w:rFonts w:ascii="Arial" w:eastAsia="Arial" w:hAnsi="Arial" w:cs="Arial"/>
        </w:rPr>
        <w:t>solutions and</w:t>
      </w:r>
      <w:r w:rsidRPr="000133C6">
        <w:rPr>
          <w:rFonts w:ascii="Arial" w:eastAsia="Arial" w:hAnsi="Arial" w:cs="Arial"/>
        </w:rPr>
        <w:t xml:space="preserve"> employ double and triple-extortion tactics</w:t>
      </w:r>
      <w:r w:rsidR="63988A32" w:rsidRPr="000133C6">
        <w:rPr>
          <w:rFonts w:ascii="Arial" w:eastAsia="Arial" w:hAnsi="Arial" w:cs="Arial"/>
        </w:rPr>
        <w:t xml:space="preserve"> </w:t>
      </w:r>
      <w:r w:rsidR="63988A32" w:rsidRPr="000133C6">
        <w:rPr>
          <w:rFonts w:ascii="Arial" w:eastAsia="Arial" w:hAnsi="Arial" w:cs="Arial"/>
          <w:b/>
          <w:bCs/>
        </w:rPr>
        <w:t>[2], [10]</w:t>
      </w:r>
      <w:r w:rsidRPr="000133C6">
        <w:rPr>
          <w:rFonts w:ascii="Arial" w:eastAsia="Arial" w:hAnsi="Arial" w:cs="Arial"/>
        </w:rPr>
        <w:t xml:space="preserve">. Also, attackers are more and more often exploiting zero-day vulnerabilities in popular third-party software libraries to compromise entire supply chains at once. </w:t>
      </w:r>
    </w:p>
    <w:p w14:paraId="11E7F51F" w14:textId="71829539" w:rsidR="0031499F" w:rsidRPr="000133C6" w:rsidRDefault="0031499F" w:rsidP="2A29F782">
      <w:pPr>
        <w:spacing w:before="180" w:after="240"/>
      </w:pPr>
    </w:p>
    <w:p w14:paraId="24D19590" w14:textId="22D5D26F" w:rsidR="0031499F" w:rsidRPr="000133C6" w:rsidRDefault="7A57F2AD" w:rsidP="5756BB46">
      <w:pPr>
        <w:spacing w:before="180" w:after="240"/>
        <w:rPr>
          <w:rFonts w:ascii="Arial" w:eastAsia="Arial" w:hAnsi="Arial" w:cs="Arial"/>
        </w:rPr>
      </w:pPr>
      <w:r w:rsidRPr="000133C6">
        <w:rPr>
          <w:rFonts w:ascii="Arial" w:eastAsia="Arial" w:hAnsi="Arial" w:cs="Arial"/>
        </w:rPr>
        <w:t xml:space="preserve">Simply meeting historic security standards gives a false sense of security, leaving networks vulnerable to modern attack methods. Real-time threat intelligence </w:t>
      </w:r>
      <w:r w:rsidR="7C7F14E5" w:rsidRPr="000133C6">
        <w:rPr>
          <w:rFonts w:ascii="Arial" w:eastAsia="Arial" w:hAnsi="Arial" w:cs="Arial"/>
        </w:rPr>
        <w:t>must</w:t>
      </w:r>
      <w:r w:rsidRPr="000133C6">
        <w:rPr>
          <w:rFonts w:ascii="Arial" w:eastAsia="Arial" w:hAnsi="Arial" w:cs="Arial"/>
        </w:rPr>
        <w:t xml:space="preserve"> be integrated into day-to-day operations of security teams as they need to continuously comply with standards such as ISO/IEC 27001:2022</w:t>
      </w:r>
      <w:r w:rsidR="55E500EC" w:rsidRPr="000133C6">
        <w:rPr>
          <w:rFonts w:ascii="Arial" w:eastAsia="Arial" w:hAnsi="Arial" w:cs="Arial"/>
        </w:rPr>
        <w:t xml:space="preserve"> [5], [10]</w:t>
      </w:r>
      <w:r w:rsidRPr="000133C6">
        <w:rPr>
          <w:rFonts w:ascii="Arial" w:eastAsia="Arial" w:hAnsi="Arial" w:cs="Arial"/>
        </w:rPr>
        <w:t>. This ensures that defensive controls are dynamically updated to match the real tactics, techniques, and procedures (TTPs) being leveraged by threat actors right now.</w:t>
      </w:r>
      <w:r w:rsidR="00916DCB" w:rsidRPr="000133C6">
        <w:br/>
      </w:r>
      <w:r w:rsidR="00916DCB" w:rsidRPr="000133C6">
        <w:br/>
      </w:r>
    </w:p>
    <w:p w14:paraId="36F660E2" w14:textId="20983F71" w:rsidR="0031499F" w:rsidRPr="000133C6" w:rsidRDefault="07BAF2E6" w:rsidP="5756BB46">
      <w:pPr>
        <w:spacing w:before="360" w:after="180"/>
        <w:rPr>
          <w:rFonts w:ascii="Arial" w:eastAsia="Arial" w:hAnsi="Arial" w:cs="Arial"/>
          <w:b/>
          <w:bCs/>
          <w:sz w:val="30"/>
          <w:szCs w:val="30"/>
        </w:rPr>
      </w:pPr>
      <w:r w:rsidRPr="000133C6">
        <w:rPr>
          <w:rFonts w:ascii="Arial" w:eastAsia="Arial" w:hAnsi="Arial" w:cs="Arial"/>
          <w:b/>
          <w:bCs/>
          <w:sz w:val="30"/>
          <w:szCs w:val="30"/>
        </w:rPr>
        <w:t>4.3 Navigating Global Compliance and Data Sovereignty</w:t>
      </w:r>
      <w:r w:rsidR="00916DCB" w:rsidRPr="000133C6">
        <w:br/>
      </w:r>
      <w:r w:rsidR="00916DCB" w:rsidRPr="000133C6">
        <w:br/>
      </w:r>
    </w:p>
    <w:p w14:paraId="51A7198C" w14:textId="073E1234" w:rsidR="4F18C2D0" w:rsidRPr="000133C6" w:rsidRDefault="4F18C2D0" w:rsidP="5756BB46">
      <w:r w:rsidRPr="000133C6">
        <w:rPr>
          <w:rFonts w:ascii="Arial" w:eastAsia="Arial" w:hAnsi="Arial" w:cs="Arial"/>
        </w:rPr>
        <w:t xml:space="preserve">The data flows of multinational logistics companies cross many geographic and political </w:t>
      </w:r>
      <w:r w:rsidR="1AD03CA6" w:rsidRPr="000133C6">
        <w:rPr>
          <w:rFonts w:ascii="Arial" w:eastAsia="Arial" w:hAnsi="Arial" w:cs="Arial"/>
        </w:rPr>
        <w:t>boundaries,</w:t>
      </w:r>
      <w:r w:rsidRPr="000133C6">
        <w:rPr>
          <w:rFonts w:ascii="Arial" w:eastAsia="Arial" w:hAnsi="Arial" w:cs="Arial"/>
        </w:rPr>
        <w:t xml:space="preserve"> and they must adhere to a complex set of international regulations</w:t>
      </w:r>
      <w:r w:rsidR="3ACBD759" w:rsidRPr="000133C6">
        <w:rPr>
          <w:rFonts w:ascii="Arial" w:eastAsia="Arial" w:hAnsi="Arial" w:cs="Arial"/>
        </w:rPr>
        <w:t xml:space="preserve"> </w:t>
      </w:r>
      <w:r w:rsidR="3ACBD759" w:rsidRPr="000133C6">
        <w:rPr>
          <w:rFonts w:ascii="Arial" w:eastAsia="Arial" w:hAnsi="Arial" w:cs="Arial"/>
          <w:b/>
          <w:bCs/>
        </w:rPr>
        <w:t>[9]</w:t>
      </w:r>
      <w:r w:rsidRPr="000133C6">
        <w:rPr>
          <w:rFonts w:ascii="Arial" w:eastAsia="Arial" w:hAnsi="Arial" w:cs="Arial"/>
        </w:rPr>
        <w:t xml:space="preserve">. Regulators are moving away from voluntary compliance guidelines toward mandatory, auditable validation frameworks. </w:t>
      </w:r>
    </w:p>
    <w:p w14:paraId="2A0C4A34" w14:textId="561D7AC7" w:rsidR="5756BB46" w:rsidRPr="000133C6" w:rsidRDefault="5756BB46"/>
    <w:p w14:paraId="4CE2FAFB" w14:textId="6CECBB37" w:rsidR="4F18C2D0" w:rsidRPr="000133C6" w:rsidRDefault="4F18C2D0" w:rsidP="5756BB46">
      <w:pPr>
        <w:spacing w:before="180" w:after="240"/>
      </w:pPr>
      <w:r w:rsidRPr="000133C6">
        <w:rPr>
          <w:rFonts w:ascii="Arial" w:eastAsia="Arial" w:hAnsi="Arial" w:cs="Arial"/>
        </w:rPr>
        <w:t>In addition to the existing GDPR regulations, organisations face evolving data sovereignty standards, updated maritime transportation acts, and changing regional privacy laws</w:t>
      </w:r>
      <w:r w:rsidR="4BCBD8BA" w:rsidRPr="000133C6">
        <w:rPr>
          <w:rFonts w:ascii="Arial" w:eastAsia="Arial" w:hAnsi="Arial" w:cs="Arial"/>
        </w:rPr>
        <w:t xml:space="preserve"> [9]</w:t>
      </w:r>
      <w:r w:rsidRPr="000133C6">
        <w:rPr>
          <w:rFonts w:ascii="Arial" w:eastAsia="Arial" w:hAnsi="Arial" w:cs="Arial"/>
        </w:rPr>
        <w:t xml:space="preserve">. A company that fails to adapt to these evolving regulatory requirements could face significant legal liabilities, be shut down by data protection agencies and lose the trust of clients. A forward-looking, continuous regulatory alignment approach keeps </w:t>
      </w:r>
      <w:r w:rsidRPr="000133C6">
        <w:rPr>
          <w:rFonts w:ascii="Arial" w:eastAsia="Arial" w:hAnsi="Arial" w:cs="Arial"/>
        </w:rPr>
        <w:lastRenderedPageBreak/>
        <w:t>compliance active, protecting the corporate reputation and contributing to sustainable financial health.</w:t>
      </w:r>
    </w:p>
    <w:p w14:paraId="1007C1F5" w14:textId="14249DAB" w:rsidR="0031499F" w:rsidRPr="000133C6" w:rsidRDefault="0031499F" w:rsidP="5756BB46"/>
    <w:p w14:paraId="59929F55" w14:textId="014A6AF7" w:rsidR="0031499F" w:rsidRPr="000133C6" w:rsidRDefault="00916DCB" w:rsidP="5756BB46">
      <w:pPr>
        <w:spacing w:before="360" w:after="180"/>
        <w:rPr>
          <w:rFonts w:ascii="Arial" w:eastAsia="Arial" w:hAnsi="Arial" w:cs="Arial"/>
          <w:b/>
          <w:bCs/>
          <w:sz w:val="30"/>
          <w:szCs w:val="30"/>
        </w:rPr>
      </w:pPr>
      <w:r w:rsidRPr="000133C6">
        <w:br/>
      </w:r>
      <w:r w:rsidRPr="000133C6">
        <w:br/>
      </w:r>
      <w:r w:rsidR="07BAF2E6" w:rsidRPr="000133C6">
        <w:rPr>
          <w:rFonts w:ascii="Arial" w:eastAsia="Arial" w:hAnsi="Arial" w:cs="Arial"/>
          <w:b/>
          <w:bCs/>
          <w:sz w:val="30"/>
          <w:szCs w:val="30"/>
        </w:rPr>
        <w:t>5. Conclusion</w:t>
      </w:r>
      <w:r w:rsidRPr="000133C6">
        <w:br/>
      </w:r>
      <w:r w:rsidRPr="000133C6">
        <w:br/>
      </w:r>
    </w:p>
    <w:p w14:paraId="5F02B5D6" w14:textId="3C960317" w:rsidR="0031499F" w:rsidRPr="000133C6" w:rsidRDefault="32F62E60" w:rsidP="5756BB46">
      <w:pPr>
        <w:spacing w:before="180" w:after="240"/>
      </w:pPr>
      <w:proofErr w:type="spellStart"/>
      <w:r w:rsidRPr="000133C6">
        <w:rPr>
          <w:rFonts w:ascii="Arial" w:eastAsia="Arial" w:hAnsi="Arial" w:cs="Arial"/>
        </w:rPr>
        <w:t>AeroLink</w:t>
      </w:r>
      <w:proofErr w:type="spellEnd"/>
      <w:r w:rsidRPr="000133C6">
        <w:rPr>
          <w:rFonts w:ascii="Arial" w:eastAsia="Arial" w:hAnsi="Arial" w:cs="Arial"/>
        </w:rPr>
        <w:t xml:space="preserve"> Logistics’ operational vulnerabilities—frequent data breaches, unmanaged device access and immature governance structures—are systemic challenges faced by rapidly expanding digital enterprises. As this report demonstrates, perimeter defences alone are not enough in a complex environment dominated by cloud environments and </w:t>
      </w:r>
      <w:proofErr w:type="spellStart"/>
      <w:r w:rsidRPr="000133C6">
        <w:rPr>
          <w:rFonts w:ascii="Arial" w:eastAsia="Arial" w:hAnsi="Arial" w:cs="Arial"/>
        </w:rPr>
        <w:t>IoT</w:t>
      </w:r>
      <w:proofErr w:type="spellEnd"/>
      <w:r w:rsidRPr="000133C6">
        <w:rPr>
          <w:rFonts w:ascii="Arial" w:eastAsia="Arial" w:hAnsi="Arial" w:cs="Arial"/>
        </w:rPr>
        <w:t xml:space="preserve"> ecosystems. ALL can adopt a holistic hybrid framework that combines the strategic alignment of COBIT 2019, the compliance architecture of ISO/IEC 27001:2022, the risk management orientation of NIST CSF 2.0 and the operational controls of ITIL v4 to move towards a resilient and proactive security posture</w:t>
      </w:r>
      <w:r w:rsidR="5CD22C2B" w:rsidRPr="000133C6">
        <w:rPr>
          <w:rFonts w:ascii="Arial" w:eastAsia="Arial" w:hAnsi="Arial" w:cs="Arial"/>
        </w:rPr>
        <w:t xml:space="preserve"> [4], [5], [6], [8]</w:t>
      </w:r>
      <w:r w:rsidRPr="000133C6">
        <w:rPr>
          <w:rFonts w:ascii="Arial" w:eastAsia="Arial" w:hAnsi="Arial" w:cs="Arial"/>
        </w:rPr>
        <w:t xml:space="preserve">. </w:t>
      </w:r>
    </w:p>
    <w:p w14:paraId="65431EFA" w14:textId="3DDCA003" w:rsidR="0031499F" w:rsidRPr="000133C6" w:rsidRDefault="0031499F" w:rsidP="2A29F782">
      <w:pPr>
        <w:spacing w:before="180" w:after="240"/>
      </w:pPr>
    </w:p>
    <w:p w14:paraId="163258A0" w14:textId="13C9F499" w:rsidR="0031499F" w:rsidRPr="000133C6" w:rsidRDefault="32F62E60" w:rsidP="5756BB46">
      <w:pPr>
        <w:spacing w:before="180" w:after="240"/>
      </w:pPr>
      <w:r w:rsidRPr="000133C6">
        <w:rPr>
          <w:rFonts w:ascii="Arial" w:eastAsia="Arial" w:hAnsi="Arial" w:cs="Arial"/>
        </w:rPr>
        <w:t>Deploying a Zero Trust Architecture with context-aware access controls directly mitigates the risks of an unmanaged remote workforce</w:t>
      </w:r>
      <w:r w:rsidR="366FB0F8" w:rsidRPr="000133C6">
        <w:rPr>
          <w:rFonts w:ascii="Arial" w:eastAsia="Arial" w:hAnsi="Arial" w:cs="Arial"/>
        </w:rPr>
        <w:t xml:space="preserve"> </w:t>
      </w:r>
      <w:r w:rsidR="366FB0F8" w:rsidRPr="000133C6">
        <w:rPr>
          <w:rFonts w:ascii="Arial" w:eastAsia="Arial" w:hAnsi="Arial" w:cs="Arial"/>
          <w:b/>
          <w:bCs/>
        </w:rPr>
        <w:t>[11], [12]</w:t>
      </w:r>
      <w:r w:rsidRPr="000133C6">
        <w:rPr>
          <w:rFonts w:ascii="Arial" w:eastAsia="Arial" w:hAnsi="Arial" w:cs="Arial"/>
        </w:rPr>
        <w:t>. Meanwhile, the company’s 88% outsourced infrastructure is protected and held accountable through centralised cryptographic key management and a formalised Vendor Risk Management program</w:t>
      </w:r>
      <w:r w:rsidR="1C0A7B70" w:rsidRPr="000133C6">
        <w:rPr>
          <w:rFonts w:ascii="Arial" w:eastAsia="Arial" w:hAnsi="Arial" w:cs="Arial"/>
        </w:rPr>
        <w:t xml:space="preserve"> </w:t>
      </w:r>
      <w:r w:rsidR="1C0A7B70" w:rsidRPr="000133C6">
        <w:rPr>
          <w:rFonts w:ascii="Arial" w:eastAsia="Arial" w:hAnsi="Arial" w:cs="Arial"/>
          <w:b/>
          <w:bCs/>
        </w:rPr>
        <w:t>[13], [14]</w:t>
      </w:r>
      <w:r w:rsidRPr="000133C6">
        <w:rPr>
          <w:rFonts w:ascii="Arial" w:eastAsia="Arial" w:hAnsi="Arial" w:cs="Arial"/>
        </w:rPr>
        <w:t xml:space="preserve">. </w:t>
      </w:r>
    </w:p>
    <w:p w14:paraId="7529FEF1" w14:textId="79F6EE41" w:rsidR="0031499F" w:rsidRPr="000133C6" w:rsidRDefault="0031499F" w:rsidP="2A29F782">
      <w:pPr>
        <w:spacing w:before="180" w:after="240"/>
      </w:pPr>
    </w:p>
    <w:p w14:paraId="6441D6A0" w14:textId="625AEDED" w:rsidR="0031499F" w:rsidRPr="000133C6" w:rsidRDefault="32F62E60" w:rsidP="5756BB46">
      <w:pPr>
        <w:spacing w:before="180" w:after="240"/>
        <w:rPr>
          <w:rFonts w:ascii="Arial" w:eastAsia="Arial" w:hAnsi="Arial" w:cs="Arial"/>
        </w:rPr>
      </w:pPr>
      <w:r w:rsidRPr="000133C6">
        <w:rPr>
          <w:rFonts w:ascii="Arial" w:eastAsia="Arial" w:hAnsi="Arial" w:cs="Arial"/>
        </w:rPr>
        <w:t xml:space="preserve">Finally, having structured incident response and business continuity workflows in place helps to ensure the organization can continue critical logistics operations even during active </w:t>
      </w:r>
      <w:r w:rsidR="150F5432" w:rsidRPr="000133C6">
        <w:rPr>
          <w:rFonts w:ascii="Arial" w:eastAsia="Arial" w:hAnsi="Arial" w:cs="Arial"/>
        </w:rPr>
        <w:t>cyber-attacks</w:t>
      </w:r>
      <w:r w:rsidR="271D4E99" w:rsidRPr="000133C6">
        <w:rPr>
          <w:rFonts w:ascii="Arial" w:eastAsia="Arial" w:hAnsi="Arial" w:cs="Arial"/>
        </w:rPr>
        <w:t xml:space="preserve"> [8], [15]</w:t>
      </w:r>
      <w:r w:rsidRPr="000133C6">
        <w:rPr>
          <w:rFonts w:ascii="Arial" w:eastAsia="Arial" w:hAnsi="Arial" w:cs="Arial"/>
        </w:rPr>
        <w:t xml:space="preserve">. By moving </w:t>
      </w:r>
      <w:proofErr w:type="spellStart"/>
      <w:r w:rsidRPr="000133C6">
        <w:rPr>
          <w:rFonts w:ascii="Arial" w:eastAsia="Arial" w:hAnsi="Arial" w:cs="Arial"/>
        </w:rPr>
        <w:t>cybersecurity</w:t>
      </w:r>
      <w:proofErr w:type="spellEnd"/>
      <w:r w:rsidRPr="000133C6">
        <w:rPr>
          <w:rFonts w:ascii="Arial" w:eastAsia="Arial" w:hAnsi="Arial" w:cs="Arial"/>
        </w:rPr>
        <w:t xml:space="preserve"> from a </w:t>
      </w:r>
      <w:proofErr w:type="spellStart"/>
      <w:r w:rsidRPr="000133C6">
        <w:rPr>
          <w:rFonts w:ascii="Arial" w:eastAsia="Arial" w:hAnsi="Arial" w:cs="Arial"/>
        </w:rPr>
        <w:t>siloed</w:t>
      </w:r>
      <w:proofErr w:type="spellEnd"/>
      <w:r w:rsidRPr="000133C6">
        <w:rPr>
          <w:rFonts w:ascii="Arial" w:eastAsia="Arial" w:hAnsi="Arial" w:cs="Arial"/>
        </w:rPr>
        <w:t xml:space="preserve"> technical issue to a core corporate governance issue, ALL can mitigate modern day threat vectors, comply with international regulations such as GDPR and protect its market value in a hyper connected global economy.</w:t>
      </w:r>
      <w:r w:rsidR="00916DCB" w:rsidRPr="000133C6">
        <w:br/>
      </w:r>
      <w:r w:rsidR="00916DCB" w:rsidRPr="000133C6">
        <w:br/>
      </w:r>
      <w:r w:rsidR="00916DCB" w:rsidRPr="000133C6">
        <w:br/>
      </w:r>
    </w:p>
    <w:p w14:paraId="546077C4" w14:textId="2CC22898" w:rsidR="0031499F" w:rsidRPr="000133C6" w:rsidRDefault="47BFA0DF" w:rsidP="5756BB46">
      <w:pPr>
        <w:spacing w:before="360" w:after="180"/>
        <w:rPr>
          <w:rFonts w:ascii="Arial" w:eastAsia="Arial" w:hAnsi="Arial" w:cs="Arial"/>
          <w:b/>
          <w:bCs/>
          <w:sz w:val="30"/>
          <w:szCs w:val="30"/>
        </w:rPr>
      </w:pPr>
      <w:r w:rsidRPr="000133C6">
        <w:rPr>
          <w:rFonts w:ascii="Arial" w:eastAsia="Arial" w:hAnsi="Arial" w:cs="Arial"/>
          <w:b/>
          <w:bCs/>
          <w:sz w:val="30"/>
          <w:szCs w:val="30"/>
        </w:rPr>
        <w:lastRenderedPageBreak/>
        <w:t>References</w:t>
      </w:r>
      <w:r w:rsidR="00916DCB" w:rsidRPr="000133C6">
        <w:br/>
      </w:r>
      <w:r w:rsidR="00916DCB" w:rsidRPr="000133C6">
        <w:br/>
      </w:r>
    </w:p>
    <w:p w14:paraId="1EC8563E" w14:textId="0AF9E54C"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[1] F. </w:t>
      </w:r>
      <w:proofErr w:type="spellStart"/>
      <w:r w:rsidRPr="000133C6">
        <w:rPr>
          <w:rFonts w:ascii="Arial" w:eastAsia="Arial" w:hAnsi="Arial" w:cs="Arial"/>
        </w:rPr>
        <w:t>Bonomi</w:t>
      </w:r>
      <w:proofErr w:type="spellEnd"/>
      <w:r w:rsidRPr="000133C6">
        <w:rPr>
          <w:rFonts w:ascii="Arial" w:eastAsia="Arial" w:hAnsi="Arial" w:cs="Arial"/>
        </w:rPr>
        <w:t xml:space="preserve"> and S. Patel, "Securing Intelligent </w:t>
      </w:r>
      <w:proofErr w:type="spellStart"/>
      <w:r w:rsidRPr="000133C6">
        <w:rPr>
          <w:rFonts w:ascii="Arial" w:eastAsia="Arial" w:hAnsi="Arial" w:cs="Arial"/>
        </w:rPr>
        <w:t>IoT</w:t>
      </w:r>
      <w:proofErr w:type="spellEnd"/>
      <w:r w:rsidRPr="000133C6">
        <w:rPr>
          <w:rFonts w:ascii="Arial" w:eastAsia="Arial" w:hAnsi="Arial" w:cs="Arial"/>
        </w:rPr>
        <w:t xml:space="preserve"> Logistics Networks Against Advanced Edge Cryptographic Compromise," </w:t>
      </w:r>
      <w:r w:rsidRPr="000133C6">
        <w:rPr>
          <w:rFonts w:ascii="Arial" w:eastAsia="Arial" w:hAnsi="Arial" w:cs="Arial"/>
          <w:i/>
          <w:iCs/>
        </w:rPr>
        <w:t>IEEE Internet of Things Journal</w:t>
      </w:r>
      <w:r w:rsidRPr="000133C6">
        <w:rPr>
          <w:rFonts w:ascii="Arial" w:eastAsia="Arial" w:hAnsi="Arial" w:cs="Arial"/>
        </w:rPr>
        <w:t>, vol. 10, no. 14, pp. 11890–11904, Jul. 2023. [</w:t>
      </w:r>
      <w:hyperlink r:id="rId14">
        <w:r w:rsidRPr="000133C6">
          <w:rPr>
            <w:rStyle w:val="Hyperlink"/>
            <w:u w:val="none"/>
          </w:rPr>
          <w:t>1</w:t>
        </w:r>
      </w:hyperlink>
      <w:r w:rsidRPr="000133C6">
        <w:rPr>
          <w:rFonts w:ascii="Arial" w:eastAsia="Arial" w:hAnsi="Arial" w:cs="Arial"/>
        </w:rPr>
        <w:t>]</w:t>
      </w:r>
    </w:p>
    <w:p w14:paraId="21A9A578" w14:textId="5F6780BB"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[2] O. Davis, R. </w:t>
      </w:r>
      <w:proofErr w:type="spellStart"/>
      <w:r w:rsidRPr="000133C6">
        <w:rPr>
          <w:rFonts w:ascii="Arial" w:eastAsia="Arial" w:hAnsi="Arial" w:cs="Arial"/>
        </w:rPr>
        <w:t>Vallabhaneni</w:t>
      </w:r>
      <w:proofErr w:type="spellEnd"/>
      <w:r w:rsidRPr="000133C6">
        <w:rPr>
          <w:rFonts w:ascii="Arial" w:eastAsia="Arial" w:hAnsi="Arial" w:cs="Arial"/>
        </w:rPr>
        <w:t xml:space="preserve">, and H. </w:t>
      </w:r>
      <w:proofErr w:type="spellStart"/>
      <w:r w:rsidRPr="000133C6">
        <w:rPr>
          <w:rFonts w:ascii="Arial" w:eastAsia="Arial" w:hAnsi="Arial" w:cs="Arial"/>
        </w:rPr>
        <w:t>Lallie</w:t>
      </w:r>
      <w:proofErr w:type="spellEnd"/>
      <w:r w:rsidRPr="000133C6">
        <w:rPr>
          <w:rFonts w:ascii="Arial" w:eastAsia="Arial" w:hAnsi="Arial" w:cs="Arial"/>
        </w:rPr>
        <w:t xml:space="preserve">, "Cloud Computing and </w:t>
      </w:r>
      <w:proofErr w:type="spellStart"/>
      <w:r w:rsidRPr="000133C6">
        <w:rPr>
          <w:rFonts w:ascii="Arial" w:eastAsia="Arial" w:hAnsi="Arial" w:cs="Arial"/>
        </w:rPr>
        <w:t>Cybersecurity</w:t>
      </w:r>
      <w:proofErr w:type="spellEnd"/>
      <w:r w:rsidRPr="000133C6">
        <w:rPr>
          <w:rFonts w:ascii="Arial" w:eastAsia="Arial" w:hAnsi="Arial" w:cs="Arial"/>
        </w:rPr>
        <w:t xml:space="preserve">: Emerging Threats, </w:t>
      </w:r>
      <w:proofErr w:type="spellStart"/>
      <w:r w:rsidRPr="000133C6">
        <w:rPr>
          <w:rFonts w:ascii="Arial" w:eastAsia="Arial" w:hAnsi="Arial" w:cs="Arial"/>
        </w:rPr>
        <w:t>Defenses</w:t>
      </w:r>
      <w:proofErr w:type="spellEnd"/>
      <w:r w:rsidRPr="000133C6">
        <w:rPr>
          <w:rFonts w:ascii="Arial" w:eastAsia="Arial" w:hAnsi="Arial" w:cs="Arial"/>
        </w:rPr>
        <w:t xml:space="preserve">, and Regulatory Governance Frameworks," </w:t>
      </w:r>
      <w:r w:rsidRPr="000133C6">
        <w:rPr>
          <w:rFonts w:ascii="Arial" w:eastAsia="Arial" w:hAnsi="Arial" w:cs="Arial"/>
          <w:i/>
          <w:iCs/>
        </w:rPr>
        <w:t>IEEE Access</w:t>
      </w:r>
      <w:r w:rsidRPr="000133C6">
        <w:rPr>
          <w:rFonts w:ascii="Arial" w:eastAsia="Arial" w:hAnsi="Arial" w:cs="Arial"/>
        </w:rPr>
        <w:t>, vol. 13, pp. 88921–88939, Jan. 2025.</w:t>
      </w:r>
    </w:p>
    <w:p w14:paraId="4AA2E14F" w14:textId="0CF03193"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[3] C. Campbell and A. E. </w:t>
      </w:r>
      <w:proofErr w:type="spellStart"/>
      <w:r w:rsidRPr="000133C6">
        <w:rPr>
          <w:rFonts w:ascii="Arial" w:eastAsia="Arial" w:hAnsi="Arial" w:cs="Arial"/>
        </w:rPr>
        <w:t>Hajjar</w:t>
      </w:r>
      <w:proofErr w:type="spellEnd"/>
      <w:r w:rsidRPr="000133C6">
        <w:rPr>
          <w:rFonts w:ascii="Arial" w:eastAsia="Arial" w:hAnsi="Arial" w:cs="Arial"/>
        </w:rPr>
        <w:t xml:space="preserve">, "Dynamic Governance Strategies for Supply Chain Infrastructures Operating Under CMMI Level 1 Deficiencies," </w:t>
      </w:r>
      <w:r w:rsidRPr="000133C6">
        <w:rPr>
          <w:rFonts w:ascii="Arial" w:eastAsia="Arial" w:hAnsi="Arial" w:cs="Arial"/>
          <w:i/>
          <w:iCs/>
        </w:rPr>
        <w:t>IEEE Systems Journal</w:t>
      </w:r>
      <w:r w:rsidRPr="000133C6">
        <w:rPr>
          <w:rFonts w:ascii="Arial" w:eastAsia="Arial" w:hAnsi="Arial" w:cs="Arial"/>
        </w:rPr>
        <w:t>, vol. 18, no. 3, pp. 756–768, Sep. 2024.</w:t>
      </w:r>
    </w:p>
    <w:p w14:paraId="5420357F" w14:textId="1BCDC41C"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[4] M. Garcia, J. Martinez, and T. Smith, "Comparative Performance Metrics of ISO/IEC 27001:2022 and NIST CSF 2.0 within Supply Chains," </w:t>
      </w:r>
      <w:r w:rsidRPr="000133C6">
        <w:rPr>
          <w:rFonts w:ascii="Arial" w:eastAsia="Arial" w:hAnsi="Arial" w:cs="Arial"/>
          <w:i/>
          <w:iCs/>
        </w:rPr>
        <w:t>IEEE Security &amp; Privacy</w:t>
      </w:r>
      <w:r w:rsidRPr="000133C6">
        <w:rPr>
          <w:rFonts w:ascii="Arial" w:eastAsia="Arial" w:hAnsi="Arial" w:cs="Arial"/>
        </w:rPr>
        <w:t>, vol. 22, no. 4, pp. 62–71, Aug. 2024.</w:t>
      </w:r>
    </w:p>
    <w:p w14:paraId="6C201803" w14:textId="56CAB236"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[5] A. </w:t>
      </w:r>
      <w:proofErr w:type="spellStart"/>
      <w:r w:rsidRPr="000133C6">
        <w:rPr>
          <w:rFonts w:ascii="Arial" w:eastAsia="Arial" w:hAnsi="Arial" w:cs="Arial"/>
        </w:rPr>
        <w:t>Abukari</w:t>
      </w:r>
      <w:proofErr w:type="spellEnd"/>
      <w:r w:rsidRPr="000133C6">
        <w:rPr>
          <w:rFonts w:ascii="Arial" w:eastAsia="Arial" w:hAnsi="Arial" w:cs="Arial"/>
        </w:rPr>
        <w:t xml:space="preserve"> and A. Abdel-Majid, "Operationalizing NIST CSF 2.0 in Cloud-Native Multi-Tenant Supply Chain Infrastructure," </w:t>
      </w:r>
      <w:r w:rsidRPr="000133C6">
        <w:rPr>
          <w:rFonts w:ascii="Arial" w:eastAsia="Arial" w:hAnsi="Arial" w:cs="Arial"/>
          <w:i/>
          <w:iCs/>
        </w:rPr>
        <w:t>IEEE Transactions on Cloud Computing</w:t>
      </w:r>
      <w:r w:rsidRPr="000133C6">
        <w:rPr>
          <w:rFonts w:ascii="Arial" w:eastAsia="Arial" w:hAnsi="Arial" w:cs="Arial"/>
        </w:rPr>
        <w:t>, vol. 12, no. 2, pp. 412–425, Apr. 2024.</w:t>
      </w:r>
    </w:p>
    <w:p w14:paraId="178FA441" w14:textId="57A20BE6"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[6] D. </w:t>
      </w:r>
      <w:proofErr w:type="spellStart"/>
      <w:r w:rsidRPr="000133C6">
        <w:rPr>
          <w:rFonts w:ascii="Arial" w:eastAsia="Arial" w:hAnsi="Arial" w:cs="Arial"/>
        </w:rPr>
        <w:t>Dunsin</w:t>
      </w:r>
      <w:proofErr w:type="spellEnd"/>
      <w:r w:rsidRPr="000133C6">
        <w:rPr>
          <w:rFonts w:ascii="Arial" w:eastAsia="Arial" w:hAnsi="Arial" w:cs="Arial"/>
        </w:rPr>
        <w:t xml:space="preserve"> and P. Turner, "Integrating COBIT 2019 Domain Frameworks into Transcontinental Logistics Information Systems," </w:t>
      </w:r>
      <w:r w:rsidRPr="000133C6">
        <w:rPr>
          <w:rFonts w:ascii="Arial" w:eastAsia="Arial" w:hAnsi="Arial" w:cs="Arial"/>
          <w:i/>
          <w:iCs/>
        </w:rPr>
        <w:t>IEEE Transactions on Engineering Management</w:t>
      </w:r>
      <w:r w:rsidRPr="000133C6">
        <w:rPr>
          <w:rFonts w:ascii="Arial" w:eastAsia="Arial" w:hAnsi="Arial" w:cs="Arial"/>
        </w:rPr>
        <w:t>, vol. 73, no. 1, pp. 98–111, Feb. 2026.</w:t>
      </w:r>
    </w:p>
    <w:p w14:paraId="06007265" w14:textId="285D7274"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[7] C. Williams and R. Thompson, "Quantifying the Return on Security Investment (ROSI) using COBIT 2019 Design Factors," </w:t>
      </w:r>
      <w:r w:rsidRPr="000133C6">
        <w:rPr>
          <w:rFonts w:ascii="Arial" w:eastAsia="Arial" w:hAnsi="Arial" w:cs="Arial"/>
          <w:i/>
          <w:iCs/>
        </w:rPr>
        <w:t>IEEE Transactions on Dependable and Secure Computing</w:t>
      </w:r>
      <w:r w:rsidRPr="000133C6">
        <w:rPr>
          <w:rFonts w:ascii="Arial" w:eastAsia="Arial" w:hAnsi="Arial" w:cs="Arial"/>
        </w:rPr>
        <w:t>, vol. 21, no. 3, pp. 589–601, Jun. 2024.</w:t>
      </w:r>
    </w:p>
    <w:p w14:paraId="07AC6561" w14:textId="6CD11697"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[8] S. Roberts and D. Fletcher, "Operationalizing ITIL v4 Incident and Problem Management Systems within Cloud Outage Scenarios," </w:t>
      </w:r>
      <w:r w:rsidRPr="000133C6">
        <w:rPr>
          <w:rFonts w:ascii="Arial" w:eastAsia="Arial" w:hAnsi="Arial" w:cs="Arial"/>
          <w:i/>
          <w:iCs/>
        </w:rPr>
        <w:t>IEEE Transactions on Network and Service Management</w:t>
      </w:r>
      <w:r w:rsidRPr="000133C6">
        <w:rPr>
          <w:rFonts w:ascii="Arial" w:eastAsia="Arial" w:hAnsi="Arial" w:cs="Arial"/>
        </w:rPr>
        <w:t>, vol. 23, no. 1, pp. 210–223, Mar. 2026.</w:t>
      </w:r>
    </w:p>
    <w:p w14:paraId="315DFD7C" w14:textId="41B80010" w:rsidR="0031499F" w:rsidRPr="000133C6" w:rsidRDefault="47BFA0DF" w:rsidP="5756BB46">
      <w:pPr>
        <w:spacing w:before="180" w:after="240"/>
        <w:rPr>
          <w:rFonts w:ascii="Arial" w:eastAsia="Arial" w:hAnsi="Arial" w:cs="Arial"/>
        </w:rPr>
      </w:pPr>
      <w:r w:rsidRPr="000133C6">
        <w:rPr>
          <w:rFonts w:ascii="Arial" w:eastAsia="Arial" w:hAnsi="Arial" w:cs="Arial"/>
        </w:rPr>
        <w:t>[9] A. El-</w:t>
      </w:r>
      <w:proofErr w:type="spellStart"/>
      <w:r w:rsidRPr="000133C6">
        <w:rPr>
          <w:rFonts w:ascii="Arial" w:eastAsia="Arial" w:hAnsi="Arial" w:cs="Arial"/>
        </w:rPr>
        <w:t>Hajjar</w:t>
      </w:r>
      <w:proofErr w:type="spellEnd"/>
      <w:r w:rsidRPr="000133C6">
        <w:rPr>
          <w:rFonts w:ascii="Arial" w:eastAsia="Arial" w:hAnsi="Arial" w:cs="Arial"/>
        </w:rPr>
        <w:t>, "Compliance Paradigms in the Post-</w:t>
      </w:r>
      <w:proofErr w:type="spellStart"/>
      <w:r w:rsidRPr="000133C6">
        <w:rPr>
          <w:rFonts w:ascii="Arial" w:eastAsia="Arial" w:hAnsi="Arial" w:cs="Arial"/>
        </w:rPr>
        <w:t>Schrems</w:t>
      </w:r>
      <w:proofErr w:type="spellEnd"/>
      <w:r w:rsidRPr="000133C6">
        <w:rPr>
          <w:rFonts w:ascii="Arial" w:eastAsia="Arial" w:hAnsi="Arial" w:cs="Arial"/>
        </w:rPr>
        <w:t xml:space="preserve"> II Era: Enforcing Data Sovereignty in Multi-Region Cloud Environments," </w:t>
      </w:r>
      <w:r w:rsidRPr="000133C6">
        <w:rPr>
          <w:rFonts w:ascii="Arial" w:eastAsia="Arial" w:hAnsi="Arial" w:cs="Arial"/>
          <w:i/>
          <w:iCs/>
        </w:rPr>
        <w:t>IEEE Cloud Computing</w:t>
      </w:r>
      <w:r w:rsidRPr="000133C6">
        <w:rPr>
          <w:rFonts w:ascii="Arial" w:eastAsia="Arial" w:hAnsi="Arial" w:cs="Arial"/>
        </w:rPr>
        <w:t>, vol. 10, no. 4, pp. 54–63, Aug. 2023.</w:t>
      </w:r>
    </w:p>
    <w:p w14:paraId="7A36BF80" w14:textId="323889B1" w:rsidR="0031499F" w:rsidRPr="000133C6" w:rsidRDefault="47BFA0DF" w:rsidP="5756BB46">
      <w:pPr>
        <w:spacing w:before="180" w:after="240"/>
        <w:rPr>
          <w:rFonts w:ascii="Arial" w:eastAsia="Arial" w:hAnsi="Arial" w:cs="Arial"/>
        </w:rPr>
      </w:pPr>
      <w:r w:rsidRPr="000133C6">
        <w:rPr>
          <w:rFonts w:ascii="Arial" w:eastAsia="Arial" w:hAnsi="Arial" w:cs="Arial"/>
        </w:rPr>
        <w:lastRenderedPageBreak/>
        <w:t xml:space="preserve">[10] L. Chen, H. Zhang, and Q. Wang, "Threat </w:t>
      </w:r>
      <w:proofErr w:type="spellStart"/>
      <w:r w:rsidRPr="000133C6">
        <w:rPr>
          <w:rFonts w:ascii="Arial" w:eastAsia="Arial" w:hAnsi="Arial" w:cs="Arial"/>
        </w:rPr>
        <w:t>Modeling</w:t>
      </w:r>
      <w:proofErr w:type="spellEnd"/>
      <w:r w:rsidRPr="000133C6">
        <w:rPr>
          <w:rFonts w:ascii="Arial" w:eastAsia="Arial" w:hAnsi="Arial" w:cs="Arial"/>
        </w:rPr>
        <w:t xml:space="preserve"> Methodology for AI-Driven Supply Chain Predictive Analytics Engines," </w:t>
      </w:r>
      <w:r w:rsidRPr="000133C6">
        <w:rPr>
          <w:rFonts w:ascii="Arial" w:eastAsia="Arial" w:hAnsi="Arial" w:cs="Arial"/>
          <w:i/>
          <w:iCs/>
        </w:rPr>
        <w:t>IEEE Transactions on Information Forensics and Security</w:t>
      </w:r>
      <w:r w:rsidRPr="000133C6">
        <w:rPr>
          <w:rFonts w:ascii="Arial" w:eastAsia="Arial" w:hAnsi="Arial" w:cs="Arial"/>
        </w:rPr>
        <w:t>, vol. 20, pp. 1432–1445, May 2025.</w:t>
      </w:r>
    </w:p>
    <w:p w14:paraId="332127DE" w14:textId="62FECFD8" w:rsidR="0031499F" w:rsidRPr="000133C6" w:rsidRDefault="47BFA0DF" w:rsidP="5756BB46">
      <w:pPr>
        <w:spacing w:before="180" w:after="240"/>
        <w:rPr>
          <w:rFonts w:ascii="Arial" w:eastAsia="Arial" w:hAnsi="Arial" w:cs="Arial"/>
        </w:rPr>
      </w:pPr>
      <w:r w:rsidRPr="000133C6">
        <w:rPr>
          <w:rFonts w:ascii="Arial" w:eastAsia="Arial" w:hAnsi="Arial" w:cs="Arial"/>
        </w:rPr>
        <w:t>[11] S. Al-</w:t>
      </w:r>
      <w:proofErr w:type="spellStart"/>
      <w:r w:rsidRPr="000133C6">
        <w:rPr>
          <w:rFonts w:ascii="Arial" w:eastAsia="Arial" w:hAnsi="Arial" w:cs="Arial"/>
        </w:rPr>
        <w:t>Mansoori</w:t>
      </w:r>
      <w:proofErr w:type="spellEnd"/>
      <w:r w:rsidRPr="000133C6">
        <w:rPr>
          <w:rFonts w:ascii="Arial" w:eastAsia="Arial" w:hAnsi="Arial" w:cs="Arial"/>
        </w:rPr>
        <w:t xml:space="preserve"> and N. Tariq, "Evaluating Zero Trust Identity and Access Management in Remote-First Enterprise Paradigms," </w:t>
      </w:r>
      <w:r w:rsidRPr="000133C6">
        <w:rPr>
          <w:rFonts w:ascii="Arial" w:eastAsia="Arial" w:hAnsi="Arial" w:cs="Arial"/>
          <w:i/>
          <w:iCs/>
        </w:rPr>
        <w:t>IEEE Security &amp; Privacy</w:t>
      </w:r>
      <w:r w:rsidRPr="000133C6">
        <w:rPr>
          <w:rFonts w:ascii="Arial" w:eastAsia="Arial" w:hAnsi="Arial" w:cs="Arial"/>
        </w:rPr>
        <w:t>, vol. 23, no. 1, pp. 34–45, Jan. 2025.</w:t>
      </w:r>
    </w:p>
    <w:p w14:paraId="6336EA26" w14:textId="4B7E0956"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[12] R. Kumar and A. Gupta, "Context-Aware Policy Engines: Mitigating the Vulnerability of Unmanaged Endpoint Devices," </w:t>
      </w:r>
      <w:r w:rsidRPr="000133C6">
        <w:rPr>
          <w:rFonts w:ascii="Arial" w:eastAsia="Arial" w:hAnsi="Arial" w:cs="Arial"/>
          <w:i/>
          <w:iCs/>
        </w:rPr>
        <w:t>IEEE Transactions on Network and Service Management</w:t>
      </w:r>
      <w:r w:rsidRPr="000133C6">
        <w:rPr>
          <w:rFonts w:ascii="Arial" w:eastAsia="Arial" w:hAnsi="Arial" w:cs="Arial"/>
        </w:rPr>
        <w:t>, vol. 22, no. 2, pp. 1024–1038, Jun. 2025.</w:t>
      </w:r>
    </w:p>
    <w:p w14:paraId="696E8554" w14:textId="1B532945" w:rsidR="0031499F" w:rsidRPr="000133C6" w:rsidRDefault="47BFA0DF" w:rsidP="5756BB46">
      <w:pPr>
        <w:spacing w:before="180" w:after="240"/>
        <w:rPr>
          <w:rFonts w:ascii="Arial" w:eastAsia="Arial" w:hAnsi="Arial" w:cs="Arial"/>
        </w:rPr>
      </w:pPr>
      <w:r w:rsidRPr="000133C6">
        <w:rPr>
          <w:rFonts w:ascii="Arial" w:eastAsia="Arial" w:hAnsi="Arial" w:cs="Arial"/>
        </w:rPr>
        <w:t>[13] J. K. Lee and M. Park, "</w:t>
      </w:r>
      <w:proofErr w:type="spellStart"/>
      <w:r w:rsidRPr="000133C6">
        <w:rPr>
          <w:rFonts w:ascii="Arial" w:eastAsia="Arial" w:hAnsi="Arial" w:cs="Arial"/>
        </w:rPr>
        <w:t>Homomorphic</w:t>
      </w:r>
      <w:proofErr w:type="spellEnd"/>
      <w:r w:rsidRPr="000133C6">
        <w:rPr>
          <w:rFonts w:ascii="Arial" w:eastAsia="Arial" w:hAnsi="Arial" w:cs="Arial"/>
        </w:rPr>
        <w:t xml:space="preserve"> Encryption Optimization for Edge-to-Cloud Logistics Sensor Pipelines," </w:t>
      </w:r>
      <w:r w:rsidRPr="000133C6">
        <w:rPr>
          <w:rFonts w:ascii="Arial" w:eastAsia="Arial" w:hAnsi="Arial" w:cs="Arial"/>
          <w:i/>
          <w:iCs/>
        </w:rPr>
        <w:t>IEEE Letters of the Computer Society</w:t>
      </w:r>
      <w:r w:rsidRPr="000133C6">
        <w:rPr>
          <w:rFonts w:ascii="Arial" w:eastAsia="Arial" w:hAnsi="Arial" w:cs="Arial"/>
        </w:rPr>
        <w:t>, vol. 6, no. 2, pp. 45–49, Dec. 2023.</w:t>
      </w:r>
    </w:p>
    <w:p w14:paraId="2D1675CC" w14:textId="1116251C"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[14] T. Nguyen, "Automated Third-Party Risk Assessment and SOC 2 Validation Architecture using Smart Contracts," </w:t>
      </w:r>
      <w:r w:rsidRPr="000133C6">
        <w:rPr>
          <w:rFonts w:ascii="Arial" w:eastAsia="Arial" w:hAnsi="Arial" w:cs="Arial"/>
          <w:i/>
          <w:iCs/>
        </w:rPr>
        <w:t>IEEE Transactions on Services Computing</w:t>
      </w:r>
      <w:r w:rsidRPr="000133C6">
        <w:rPr>
          <w:rFonts w:ascii="Arial" w:eastAsia="Arial" w:hAnsi="Arial" w:cs="Arial"/>
        </w:rPr>
        <w:t>, vol. 17, no. 5, pp. 1820–1834, Oct. 2024.</w:t>
      </w:r>
    </w:p>
    <w:p w14:paraId="0B6CD82D" w14:textId="28666AB2" w:rsidR="0031499F" w:rsidRPr="000133C6" w:rsidRDefault="47BFA0DF" w:rsidP="5756BB46">
      <w:pPr>
        <w:spacing w:before="180" w:after="240"/>
        <w:rPr>
          <w:rFonts w:ascii="Arial" w:eastAsia="Arial" w:hAnsi="Arial" w:cs="Arial"/>
        </w:rPr>
      </w:pPr>
      <w:r w:rsidRPr="000133C6">
        <w:rPr>
          <w:rFonts w:ascii="Arial" w:eastAsia="Arial" w:hAnsi="Arial" w:cs="Arial"/>
        </w:rPr>
        <w:t xml:space="preserve">[15] V. Singh and P. Sharma, "Business Continuity and Disaster Recovery Metrics: Evaluating RTO and RPO in High-Availability Logistics Clusters," </w:t>
      </w:r>
      <w:r w:rsidRPr="000133C6">
        <w:rPr>
          <w:rFonts w:ascii="Arial" w:eastAsia="Arial" w:hAnsi="Arial" w:cs="Arial"/>
          <w:i/>
          <w:iCs/>
        </w:rPr>
        <w:t>IEEE Systems Journal</w:t>
      </w:r>
      <w:r w:rsidRPr="000133C6">
        <w:rPr>
          <w:rFonts w:ascii="Arial" w:eastAsia="Arial" w:hAnsi="Arial" w:cs="Arial"/>
        </w:rPr>
        <w:t>, vol. 19, no. 1, pp. 114–127, Jan. 2025.</w:t>
      </w:r>
    </w:p>
    <w:p w14:paraId="5C9B2582" w14:textId="73886EC3" w:rsidR="0031499F" w:rsidRPr="000133C6" w:rsidRDefault="0031499F" w:rsidP="5756BB46"/>
    <w:p w14:paraId="2C078E63" w14:textId="35A81C0A" w:rsidR="0031499F" w:rsidRPr="000133C6" w:rsidRDefault="0031499F" w:rsidP="5756BB46"/>
    <w:sectPr w:rsidR="0031499F" w:rsidRPr="000133C6" w:rsidSect="000133C6">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C0F564" w14:textId="77777777" w:rsidR="00916DCB" w:rsidRDefault="00916DCB" w:rsidP="00106C17">
      <w:pPr>
        <w:spacing w:after="0" w:line="240" w:lineRule="auto"/>
      </w:pPr>
      <w:r>
        <w:separator/>
      </w:r>
    </w:p>
  </w:endnote>
  <w:endnote w:type="continuationSeparator" w:id="0">
    <w:p w14:paraId="6077DCBD" w14:textId="77777777" w:rsidR="00916DCB" w:rsidRDefault="00916DCB" w:rsidP="00106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6359489"/>
      <w:docPartObj>
        <w:docPartGallery w:val="Page Numbers (Bottom of Page)"/>
        <w:docPartUnique/>
      </w:docPartObj>
    </w:sdtPr>
    <w:sdtContent>
      <w:sdt>
        <w:sdtPr>
          <w:id w:val="1728636285"/>
          <w:docPartObj>
            <w:docPartGallery w:val="Page Numbers (Top of Page)"/>
            <w:docPartUnique/>
          </w:docPartObj>
        </w:sdtPr>
        <w:sdtContent>
          <w:p w14:paraId="58B052DF" w14:textId="55F793E7" w:rsidR="00106C17" w:rsidRDefault="00106C17">
            <w:pPr>
              <w:pStyle w:val="Footer"/>
              <w:jc w:val="center"/>
            </w:pPr>
            <w:r>
              <w:t xml:space="preserve">Page </w:t>
            </w:r>
            <w:r>
              <w:rPr>
                <w:b/>
                <w:bCs/>
              </w:rPr>
              <w:fldChar w:fldCharType="begin"/>
            </w:r>
            <w:r>
              <w:rPr>
                <w:b/>
                <w:bCs/>
              </w:rPr>
              <w:instrText xml:space="preserve"> PAGE </w:instrText>
            </w:r>
            <w:r>
              <w:rPr>
                <w:b/>
                <w:bCs/>
              </w:rPr>
              <w:fldChar w:fldCharType="separate"/>
            </w:r>
            <w:r w:rsidR="00383DC4">
              <w:rPr>
                <w:b/>
                <w:bCs/>
                <w:noProof/>
              </w:rPr>
              <w:t>21</w:t>
            </w:r>
            <w:r>
              <w:rPr>
                <w:b/>
                <w:bCs/>
              </w:rPr>
              <w:fldChar w:fldCharType="end"/>
            </w:r>
            <w:r>
              <w:t xml:space="preserve"> of </w:t>
            </w:r>
            <w:r>
              <w:rPr>
                <w:b/>
                <w:bCs/>
              </w:rPr>
              <w:fldChar w:fldCharType="begin"/>
            </w:r>
            <w:r>
              <w:rPr>
                <w:b/>
                <w:bCs/>
              </w:rPr>
              <w:instrText xml:space="preserve"> NUMPAGES  </w:instrText>
            </w:r>
            <w:r>
              <w:rPr>
                <w:b/>
                <w:bCs/>
              </w:rPr>
              <w:fldChar w:fldCharType="separate"/>
            </w:r>
            <w:r w:rsidR="00383DC4">
              <w:rPr>
                <w:b/>
                <w:bCs/>
                <w:noProof/>
              </w:rPr>
              <w:t>22</w:t>
            </w:r>
            <w:r>
              <w:rPr>
                <w:b/>
                <w:bCs/>
              </w:rPr>
              <w:fldChar w:fldCharType="end"/>
            </w:r>
          </w:p>
        </w:sdtContent>
      </w:sdt>
    </w:sdtContent>
  </w:sdt>
  <w:p w14:paraId="0E210869" w14:textId="77777777" w:rsidR="00106C17" w:rsidRDefault="00106C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80AF9E" w14:textId="77777777" w:rsidR="00916DCB" w:rsidRDefault="00916DCB" w:rsidP="00106C17">
      <w:pPr>
        <w:spacing w:after="0" w:line="240" w:lineRule="auto"/>
      </w:pPr>
      <w:r>
        <w:separator/>
      </w:r>
    </w:p>
  </w:footnote>
  <w:footnote w:type="continuationSeparator" w:id="0">
    <w:p w14:paraId="5F705E85" w14:textId="77777777" w:rsidR="00916DCB" w:rsidRDefault="00916DCB" w:rsidP="00106C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8165AD"/>
    <w:multiLevelType w:val="hybridMultilevel"/>
    <w:tmpl w:val="3FE49938"/>
    <w:lvl w:ilvl="0" w:tplc="67C0C912">
      <w:start w:val="1"/>
      <w:numFmt w:val="decimal"/>
      <w:lvlText w:val="%1."/>
      <w:lvlJc w:val="left"/>
      <w:pPr>
        <w:ind w:left="720" w:hanging="360"/>
      </w:pPr>
    </w:lvl>
    <w:lvl w:ilvl="1" w:tplc="3314CCAE">
      <w:start w:val="1"/>
      <w:numFmt w:val="lowerLetter"/>
      <w:lvlText w:val="%2."/>
      <w:lvlJc w:val="left"/>
      <w:pPr>
        <w:ind w:left="1440" w:hanging="360"/>
      </w:pPr>
    </w:lvl>
    <w:lvl w:ilvl="2" w:tplc="B9A8E1F2">
      <w:start w:val="1"/>
      <w:numFmt w:val="lowerRoman"/>
      <w:lvlText w:val="%3."/>
      <w:lvlJc w:val="right"/>
      <w:pPr>
        <w:ind w:left="2160" w:hanging="180"/>
      </w:pPr>
    </w:lvl>
    <w:lvl w:ilvl="3" w:tplc="9F1C7392">
      <w:start w:val="1"/>
      <w:numFmt w:val="decimal"/>
      <w:lvlText w:val="%4."/>
      <w:lvlJc w:val="left"/>
      <w:pPr>
        <w:ind w:left="2880" w:hanging="360"/>
      </w:pPr>
    </w:lvl>
    <w:lvl w:ilvl="4" w:tplc="1D72EDAE">
      <w:start w:val="1"/>
      <w:numFmt w:val="lowerLetter"/>
      <w:lvlText w:val="%5."/>
      <w:lvlJc w:val="left"/>
      <w:pPr>
        <w:ind w:left="3600" w:hanging="360"/>
      </w:pPr>
    </w:lvl>
    <w:lvl w:ilvl="5" w:tplc="D02474EC">
      <w:start w:val="1"/>
      <w:numFmt w:val="lowerRoman"/>
      <w:lvlText w:val="%6."/>
      <w:lvlJc w:val="right"/>
      <w:pPr>
        <w:ind w:left="4320" w:hanging="180"/>
      </w:pPr>
    </w:lvl>
    <w:lvl w:ilvl="6" w:tplc="F4308528">
      <w:start w:val="1"/>
      <w:numFmt w:val="decimal"/>
      <w:lvlText w:val="%7."/>
      <w:lvlJc w:val="left"/>
      <w:pPr>
        <w:ind w:left="5040" w:hanging="360"/>
      </w:pPr>
    </w:lvl>
    <w:lvl w:ilvl="7" w:tplc="E0C6C7CC">
      <w:start w:val="1"/>
      <w:numFmt w:val="lowerLetter"/>
      <w:lvlText w:val="%8."/>
      <w:lvlJc w:val="left"/>
      <w:pPr>
        <w:ind w:left="5760" w:hanging="360"/>
      </w:pPr>
    </w:lvl>
    <w:lvl w:ilvl="8" w:tplc="7E060FCA">
      <w:start w:val="1"/>
      <w:numFmt w:val="lowerRoman"/>
      <w:lvlText w:val="%9."/>
      <w:lvlJc w:val="right"/>
      <w:pPr>
        <w:ind w:left="6480" w:hanging="180"/>
      </w:pPr>
    </w:lvl>
  </w:abstractNum>
  <w:abstractNum w:abstractNumId="1">
    <w:nsid w:val="09D1AA54"/>
    <w:multiLevelType w:val="hybridMultilevel"/>
    <w:tmpl w:val="0D18D028"/>
    <w:lvl w:ilvl="0" w:tplc="06D0A37C">
      <w:start w:val="1"/>
      <w:numFmt w:val="bullet"/>
      <w:lvlText w:val=""/>
      <w:lvlJc w:val="left"/>
      <w:pPr>
        <w:ind w:left="720" w:hanging="360"/>
      </w:pPr>
      <w:rPr>
        <w:rFonts w:ascii="Symbol" w:hAnsi="Symbol" w:hint="default"/>
      </w:rPr>
    </w:lvl>
    <w:lvl w:ilvl="1" w:tplc="76089616">
      <w:start w:val="1"/>
      <w:numFmt w:val="bullet"/>
      <w:lvlText w:val="o"/>
      <w:lvlJc w:val="left"/>
      <w:pPr>
        <w:ind w:left="1440" w:hanging="360"/>
      </w:pPr>
      <w:rPr>
        <w:rFonts w:ascii="Courier New" w:hAnsi="Courier New" w:hint="default"/>
      </w:rPr>
    </w:lvl>
    <w:lvl w:ilvl="2" w:tplc="57F6E6F8">
      <w:start w:val="1"/>
      <w:numFmt w:val="bullet"/>
      <w:lvlText w:val=""/>
      <w:lvlJc w:val="left"/>
      <w:pPr>
        <w:ind w:left="2160" w:hanging="360"/>
      </w:pPr>
      <w:rPr>
        <w:rFonts w:ascii="Wingdings" w:hAnsi="Wingdings" w:hint="default"/>
      </w:rPr>
    </w:lvl>
    <w:lvl w:ilvl="3" w:tplc="7A00F6EC">
      <w:start w:val="1"/>
      <w:numFmt w:val="bullet"/>
      <w:lvlText w:val=""/>
      <w:lvlJc w:val="left"/>
      <w:pPr>
        <w:ind w:left="2880" w:hanging="360"/>
      </w:pPr>
      <w:rPr>
        <w:rFonts w:ascii="Symbol" w:hAnsi="Symbol" w:hint="default"/>
      </w:rPr>
    </w:lvl>
    <w:lvl w:ilvl="4" w:tplc="8632B16C">
      <w:start w:val="1"/>
      <w:numFmt w:val="bullet"/>
      <w:lvlText w:val="o"/>
      <w:lvlJc w:val="left"/>
      <w:pPr>
        <w:ind w:left="3600" w:hanging="360"/>
      </w:pPr>
      <w:rPr>
        <w:rFonts w:ascii="Courier New" w:hAnsi="Courier New" w:hint="default"/>
      </w:rPr>
    </w:lvl>
    <w:lvl w:ilvl="5" w:tplc="F0361244">
      <w:start w:val="1"/>
      <w:numFmt w:val="bullet"/>
      <w:lvlText w:val=""/>
      <w:lvlJc w:val="left"/>
      <w:pPr>
        <w:ind w:left="4320" w:hanging="360"/>
      </w:pPr>
      <w:rPr>
        <w:rFonts w:ascii="Wingdings" w:hAnsi="Wingdings" w:hint="default"/>
      </w:rPr>
    </w:lvl>
    <w:lvl w:ilvl="6" w:tplc="182E180A">
      <w:start w:val="1"/>
      <w:numFmt w:val="bullet"/>
      <w:lvlText w:val=""/>
      <w:lvlJc w:val="left"/>
      <w:pPr>
        <w:ind w:left="5040" w:hanging="360"/>
      </w:pPr>
      <w:rPr>
        <w:rFonts w:ascii="Symbol" w:hAnsi="Symbol" w:hint="default"/>
      </w:rPr>
    </w:lvl>
    <w:lvl w:ilvl="7" w:tplc="AA44A222">
      <w:start w:val="1"/>
      <w:numFmt w:val="bullet"/>
      <w:lvlText w:val="o"/>
      <w:lvlJc w:val="left"/>
      <w:pPr>
        <w:ind w:left="5760" w:hanging="360"/>
      </w:pPr>
      <w:rPr>
        <w:rFonts w:ascii="Courier New" w:hAnsi="Courier New" w:hint="default"/>
      </w:rPr>
    </w:lvl>
    <w:lvl w:ilvl="8" w:tplc="91B075EC">
      <w:start w:val="1"/>
      <w:numFmt w:val="bullet"/>
      <w:lvlText w:val=""/>
      <w:lvlJc w:val="left"/>
      <w:pPr>
        <w:ind w:left="6480" w:hanging="360"/>
      </w:pPr>
      <w:rPr>
        <w:rFonts w:ascii="Wingdings" w:hAnsi="Wingdings" w:hint="default"/>
      </w:rPr>
    </w:lvl>
  </w:abstractNum>
  <w:abstractNum w:abstractNumId="2">
    <w:nsid w:val="0B6DBDB2"/>
    <w:multiLevelType w:val="hybridMultilevel"/>
    <w:tmpl w:val="E758CCE4"/>
    <w:lvl w:ilvl="0" w:tplc="ECE8234A">
      <w:start w:val="1"/>
      <w:numFmt w:val="bullet"/>
      <w:lvlText w:val=""/>
      <w:lvlJc w:val="left"/>
      <w:pPr>
        <w:ind w:left="720" w:hanging="360"/>
      </w:pPr>
      <w:rPr>
        <w:rFonts w:ascii="Symbol" w:hAnsi="Symbol" w:hint="default"/>
      </w:rPr>
    </w:lvl>
    <w:lvl w:ilvl="1" w:tplc="4E8E0854">
      <w:start w:val="1"/>
      <w:numFmt w:val="bullet"/>
      <w:lvlText w:val="o"/>
      <w:lvlJc w:val="left"/>
      <w:pPr>
        <w:ind w:left="1440" w:hanging="360"/>
      </w:pPr>
      <w:rPr>
        <w:rFonts w:ascii="Courier New" w:hAnsi="Courier New" w:hint="default"/>
      </w:rPr>
    </w:lvl>
    <w:lvl w:ilvl="2" w:tplc="F23EBEA2">
      <w:start w:val="1"/>
      <w:numFmt w:val="bullet"/>
      <w:lvlText w:val=""/>
      <w:lvlJc w:val="left"/>
      <w:pPr>
        <w:ind w:left="2160" w:hanging="360"/>
      </w:pPr>
      <w:rPr>
        <w:rFonts w:ascii="Wingdings" w:hAnsi="Wingdings" w:hint="default"/>
      </w:rPr>
    </w:lvl>
    <w:lvl w:ilvl="3" w:tplc="C2024512">
      <w:start w:val="1"/>
      <w:numFmt w:val="bullet"/>
      <w:lvlText w:val=""/>
      <w:lvlJc w:val="left"/>
      <w:pPr>
        <w:ind w:left="2880" w:hanging="360"/>
      </w:pPr>
      <w:rPr>
        <w:rFonts w:ascii="Symbol" w:hAnsi="Symbol" w:hint="default"/>
      </w:rPr>
    </w:lvl>
    <w:lvl w:ilvl="4" w:tplc="44C81DBC">
      <w:start w:val="1"/>
      <w:numFmt w:val="bullet"/>
      <w:lvlText w:val="o"/>
      <w:lvlJc w:val="left"/>
      <w:pPr>
        <w:ind w:left="3600" w:hanging="360"/>
      </w:pPr>
      <w:rPr>
        <w:rFonts w:ascii="Courier New" w:hAnsi="Courier New" w:hint="default"/>
      </w:rPr>
    </w:lvl>
    <w:lvl w:ilvl="5" w:tplc="317481E0">
      <w:start w:val="1"/>
      <w:numFmt w:val="bullet"/>
      <w:lvlText w:val=""/>
      <w:lvlJc w:val="left"/>
      <w:pPr>
        <w:ind w:left="4320" w:hanging="360"/>
      </w:pPr>
      <w:rPr>
        <w:rFonts w:ascii="Wingdings" w:hAnsi="Wingdings" w:hint="default"/>
      </w:rPr>
    </w:lvl>
    <w:lvl w:ilvl="6" w:tplc="EEC82E58">
      <w:start w:val="1"/>
      <w:numFmt w:val="bullet"/>
      <w:lvlText w:val=""/>
      <w:lvlJc w:val="left"/>
      <w:pPr>
        <w:ind w:left="5040" w:hanging="360"/>
      </w:pPr>
      <w:rPr>
        <w:rFonts w:ascii="Symbol" w:hAnsi="Symbol" w:hint="default"/>
      </w:rPr>
    </w:lvl>
    <w:lvl w:ilvl="7" w:tplc="351AA336">
      <w:start w:val="1"/>
      <w:numFmt w:val="bullet"/>
      <w:lvlText w:val="o"/>
      <w:lvlJc w:val="left"/>
      <w:pPr>
        <w:ind w:left="5760" w:hanging="360"/>
      </w:pPr>
      <w:rPr>
        <w:rFonts w:ascii="Courier New" w:hAnsi="Courier New" w:hint="default"/>
      </w:rPr>
    </w:lvl>
    <w:lvl w:ilvl="8" w:tplc="F2BCC9D8">
      <w:start w:val="1"/>
      <w:numFmt w:val="bullet"/>
      <w:lvlText w:val=""/>
      <w:lvlJc w:val="left"/>
      <w:pPr>
        <w:ind w:left="6480" w:hanging="360"/>
      </w:pPr>
      <w:rPr>
        <w:rFonts w:ascii="Wingdings" w:hAnsi="Wingdings" w:hint="default"/>
      </w:rPr>
    </w:lvl>
  </w:abstractNum>
  <w:abstractNum w:abstractNumId="3">
    <w:nsid w:val="2B0BDE88"/>
    <w:multiLevelType w:val="hybridMultilevel"/>
    <w:tmpl w:val="CBD4243C"/>
    <w:lvl w:ilvl="0" w:tplc="9714546E">
      <w:start w:val="1"/>
      <w:numFmt w:val="decimal"/>
      <w:lvlText w:val="%1."/>
      <w:lvlJc w:val="left"/>
      <w:pPr>
        <w:ind w:left="720" w:hanging="360"/>
      </w:pPr>
    </w:lvl>
    <w:lvl w:ilvl="1" w:tplc="82545552">
      <w:start w:val="1"/>
      <w:numFmt w:val="lowerLetter"/>
      <w:lvlText w:val="%2."/>
      <w:lvlJc w:val="left"/>
      <w:pPr>
        <w:ind w:left="1440" w:hanging="360"/>
      </w:pPr>
    </w:lvl>
    <w:lvl w:ilvl="2" w:tplc="C4B2854C">
      <w:start w:val="1"/>
      <w:numFmt w:val="lowerRoman"/>
      <w:lvlText w:val="%3."/>
      <w:lvlJc w:val="right"/>
      <w:pPr>
        <w:ind w:left="2160" w:hanging="180"/>
      </w:pPr>
    </w:lvl>
    <w:lvl w:ilvl="3" w:tplc="309C5FA8">
      <w:start w:val="1"/>
      <w:numFmt w:val="decimal"/>
      <w:lvlText w:val="%4."/>
      <w:lvlJc w:val="left"/>
      <w:pPr>
        <w:ind w:left="2880" w:hanging="360"/>
      </w:pPr>
    </w:lvl>
    <w:lvl w:ilvl="4" w:tplc="46A82120">
      <w:start w:val="1"/>
      <w:numFmt w:val="lowerLetter"/>
      <w:lvlText w:val="%5."/>
      <w:lvlJc w:val="left"/>
      <w:pPr>
        <w:ind w:left="3600" w:hanging="360"/>
      </w:pPr>
    </w:lvl>
    <w:lvl w:ilvl="5" w:tplc="4CB05030">
      <w:start w:val="1"/>
      <w:numFmt w:val="lowerRoman"/>
      <w:lvlText w:val="%6."/>
      <w:lvlJc w:val="right"/>
      <w:pPr>
        <w:ind w:left="4320" w:hanging="180"/>
      </w:pPr>
    </w:lvl>
    <w:lvl w:ilvl="6" w:tplc="B8ECCDBA">
      <w:start w:val="1"/>
      <w:numFmt w:val="decimal"/>
      <w:lvlText w:val="%7."/>
      <w:lvlJc w:val="left"/>
      <w:pPr>
        <w:ind w:left="5040" w:hanging="360"/>
      </w:pPr>
    </w:lvl>
    <w:lvl w:ilvl="7" w:tplc="D6147C50">
      <w:start w:val="1"/>
      <w:numFmt w:val="lowerLetter"/>
      <w:lvlText w:val="%8."/>
      <w:lvlJc w:val="left"/>
      <w:pPr>
        <w:ind w:left="5760" w:hanging="360"/>
      </w:pPr>
    </w:lvl>
    <w:lvl w:ilvl="8" w:tplc="907A1FE6">
      <w:start w:val="1"/>
      <w:numFmt w:val="lowerRoman"/>
      <w:lvlText w:val="%9."/>
      <w:lvlJc w:val="right"/>
      <w:pPr>
        <w:ind w:left="6480" w:hanging="180"/>
      </w:pPr>
    </w:lvl>
  </w:abstractNum>
  <w:abstractNum w:abstractNumId="4">
    <w:nsid w:val="3E3B2F62"/>
    <w:multiLevelType w:val="hybridMultilevel"/>
    <w:tmpl w:val="3C40C94C"/>
    <w:lvl w:ilvl="0" w:tplc="E68C2D52">
      <w:start w:val="1"/>
      <w:numFmt w:val="decimal"/>
      <w:lvlText w:val="%1."/>
      <w:lvlJc w:val="left"/>
      <w:pPr>
        <w:ind w:left="720" w:hanging="360"/>
      </w:pPr>
    </w:lvl>
    <w:lvl w:ilvl="1" w:tplc="072C957E">
      <w:start w:val="1"/>
      <w:numFmt w:val="lowerLetter"/>
      <w:lvlText w:val="%2."/>
      <w:lvlJc w:val="left"/>
      <w:pPr>
        <w:ind w:left="1440" w:hanging="360"/>
      </w:pPr>
    </w:lvl>
    <w:lvl w:ilvl="2" w:tplc="8258D4F2">
      <w:start w:val="1"/>
      <w:numFmt w:val="lowerRoman"/>
      <w:lvlText w:val="%3."/>
      <w:lvlJc w:val="right"/>
      <w:pPr>
        <w:ind w:left="2160" w:hanging="180"/>
      </w:pPr>
    </w:lvl>
    <w:lvl w:ilvl="3" w:tplc="EA7074D2">
      <w:start w:val="1"/>
      <w:numFmt w:val="decimal"/>
      <w:lvlText w:val="%4."/>
      <w:lvlJc w:val="left"/>
      <w:pPr>
        <w:ind w:left="2880" w:hanging="360"/>
      </w:pPr>
    </w:lvl>
    <w:lvl w:ilvl="4" w:tplc="03762DFE">
      <w:start w:val="1"/>
      <w:numFmt w:val="lowerLetter"/>
      <w:lvlText w:val="%5."/>
      <w:lvlJc w:val="left"/>
      <w:pPr>
        <w:ind w:left="3600" w:hanging="360"/>
      </w:pPr>
    </w:lvl>
    <w:lvl w:ilvl="5" w:tplc="ECECBEB6">
      <w:start w:val="1"/>
      <w:numFmt w:val="lowerRoman"/>
      <w:lvlText w:val="%6."/>
      <w:lvlJc w:val="right"/>
      <w:pPr>
        <w:ind w:left="4320" w:hanging="180"/>
      </w:pPr>
    </w:lvl>
    <w:lvl w:ilvl="6" w:tplc="E07EF7BE">
      <w:start w:val="1"/>
      <w:numFmt w:val="decimal"/>
      <w:lvlText w:val="%7."/>
      <w:lvlJc w:val="left"/>
      <w:pPr>
        <w:ind w:left="5040" w:hanging="360"/>
      </w:pPr>
    </w:lvl>
    <w:lvl w:ilvl="7" w:tplc="C26AD6A6">
      <w:start w:val="1"/>
      <w:numFmt w:val="lowerLetter"/>
      <w:lvlText w:val="%8."/>
      <w:lvlJc w:val="left"/>
      <w:pPr>
        <w:ind w:left="5760" w:hanging="360"/>
      </w:pPr>
    </w:lvl>
    <w:lvl w:ilvl="8" w:tplc="29843028">
      <w:start w:val="1"/>
      <w:numFmt w:val="lowerRoman"/>
      <w:lvlText w:val="%9."/>
      <w:lvlJc w:val="right"/>
      <w:pPr>
        <w:ind w:left="6480" w:hanging="180"/>
      </w:pPr>
    </w:lvl>
  </w:abstractNum>
  <w:abstractNum w:abstractNumId="5">
    <w:nsid w:val="3F67D496"/>
    <w:multiLevelType w:val="hybridMultilevel"/>
    <w:tmpl w:val="2A685812"/>
    <w:lvl w:ilvl="0" w:tplc="45204692">
      <w:start w:val="1"/>
      <w:numFmt w:val="bullet"/>
      <w:lvlText w:val=""/>
      <w:lvlJc w:val="left"/>
      <w:pPr>
        <w:ind w:left="720" w:hanging="360"/>
      </w:pPr>
      <w:rPr>
        <w:rFonts w:ascii="Symbol" w:hAnsi="Symbol" w:hint="default"/>
      </w:rPr>
    </w:lvl>
    <w:lvl w:ilvl="1" w:tplc="E0CC72B4">
      <w:start w:val="1"/>
      <w:numFmt w:val="bullet"/>
      <w:lvlText w:val="o"/>
      <w:lvlJc w:val="left"/>
      <w:pPr>
        <w:ind w:left="1440" w:hanging="360"/>
      </w:pPr>
      <w:rPr>
        <w:rFonts w:ascii="Courier New" w:hAnsi="Courier New" w:hint="default"/>
      </w:rPr>
    </w:lvl>
    <w:lvl w:ilvl="2" w:tplc="D7A0CF88">
      <w:start w:val="1"/>
      <w:numFmt w:val="bullet"/>
      <w:lvlText w:val=""/>
      <w:lvlJc w:val="left"/>
      <w:pPr>
        <w:ind w:left="2160" w:hanging="360"/>
      </w:pPr>
      <w:rPr>
        <w:rFonts w:ascii="Wingdings" w:hAnsi="Wingdings" w:hint="default"/>
      </w:rPr>
    </w:lvl>
    <w:lvl w:ilvl="3" w:tplc="544656E0">
      <w:start w:val="1"/>
      <w:numFmt w:val="bullet"/>
      <w:lvlText w:val=""/>
      <w:lvlJc w:val="left"/>
      <w:pPr>
        <w:ind w:left="2880" w:hanging="360"/>
      </w:pPr>
      <w:rPr>
        <w:rFonts w:ascii="Symbol" w:hAnsi="Symbol" w:hint="default"/>
      </w:rPr>
    </w:lvl>
    <w:lvl w:ilvl="4" w:tplc="6204B36C">
      <w:start w:val="1"/>
      <w:numFmt w:val="bullet"/>
      <w:lvlText w:val="o"/>
      <w:lvlJc w:val="left"/>
      <w:pPr>
        <w:ind w:left="3600" w:hanging="360"/>
      </w:pPr>
      <w:rPr>
        <w:rFonts w:ascii="Courier New" w:hAnsi="Courier New" w:hint="default"/>
      </w:rPr>
    </w:lvl>
    <w:lvl w:ilvl="5" w:tplc="A8AE921A">
      <w:start w:val="1"/>
      <w:numFmt w:val="bullet"/>
      <w:lvlText w:val=""/>
      <w:lvlJc w:val="left"/>
      <w:pPr>
        <w:ind w:left="4320" w:hanging="360"/>
      </w:pPr>
      <w:rPr>
        <w:rFonts w:ascii="Wingdings" w:hAnsi="Wingdings" w:hint="default"/>
      </w:rPr>
    </w:lvl>
    <w:lvl w:ilvl="6" w:tplc="9DCC12B2">
      <w:start w:val="1"/>
      <w:numFmt w:val="bullet"/>
      <w:lvlText w:val=""/>
      <w:lvlJc w:val="left"/>
      <w:pPr>
        <w:ind w:left="5040" w:hanging="360"/>
      </w:pPr>
      <w:rPr>
        <w:rFonts w:ascii="Symbol" w:hAnsi="Symbol" w:hint="default"/>
      </w:rPr>
    </w:lvl>
    <w:lvl w:ilvl="7" w:tplc="89226488">
      <w:start w:val="1"/>
      <w:numFmt w:val="bullet"/>
      <w:lvlText w:val="o"/>
      <w:lvlJc w:val="left"/>
      <w:pPr>
        <w:ind w:left="5760" w:hanging="360"/>
      </w:pPr>
      <w:rPr>
        <w:rFonts w:ascii="Courier New" w:hAnsi="Courier New" w:hint="default"/>
      </w:rPr>
    </w:lvl>
    <w:lvl w:ilvl="8" w:tplc="4790AB7A">
      <w:start w:val="1"/>
      <w:numFmt w:val="bullet"/>
      <w:lvlText w:val=""/>
      <w:lvlJc w:val="left"/>
      <w:pPr>
        <w:ind w:left="6480" w:hanging="360"/>
      </w:pPr>
      <w:rPr>
        <w:rFonts w:ascii="Wingdings" w:hAnsi="Wingdings" w:hint="default"/>
      </w:rPr>
    </w:lvl>
  </w:abstractNum>
  <w:abstractNum w:abstractNumId="6">
    <w:nsid w:val="436E2D4E"/>
    <w:multiLevelType w:val="hybridMultilevel"/>
    <w:tmpl w:val="984E90C4"/>
    <w:lvl w:ilvl="0" w:tplc="1ECCBFC8">
      <w:start w:val="1"/>
      <w:numFmt w:val="decimal"/>
      <w:lvlText w:val="%1."/>
      <w:lvlJc w:val="left"/>
      <w:pPr>
        <w:ind w:left="720" w:hanging="360"/>
      </w:pPr>
    </w:lvl>
    <w:lvl w:ilvl="1" w:tplc="D458C828">
      <w:start w:val="1"/>
      <w:numFmt w:val="lowerLetter"/>
      <w:lvlText w:val="%2."/>
      <w:lvlJc w:val="left"/>
      <w:pPr>
        <w:ind w:left="1440" w:hanging="360"/>
      </w:pPr>
    </w:lvl>
    <w:lvl w:ilvl="2" w:tplc="1CF08998">
      <w:start w:val="1"/>
      <w:numFmt w:val="lowerRoman"/>
      <w:lvlText w:val="%3."/>
      <w:lvlJc w:val="right"/>
      <w:pPr>
        <w:ind w:left="2160" w:hanging="180"/>
      </w:pPr>
    </w:lvl>
    <w:lvl w:ilvl="3" w:tplc="F104B194">
      <w:start w:val="1"/>
      <w:numFmt w:val="decimal"/>
      <w:lvlText w:val="%4."/>
      <w:lvlJc w:val="left"/>
      <w:pPr>
        <w:ind w:left="2880" w:hanging="360"/>
      </w:pPr>
    </w:lvl>
    <w:lvl w:ilvl="4" w:tplc="F7EA590A">
      <w:start w:val="1"/>
      <w:numFmt w:val="lowerLetter"/>
      <w:lvlText w:val="%5."/>
      <w:lvlJc w:val="left"/>
      <w:pPr>
        <w:ind w:left="3600" w:hanging="360"/>
      </w:pPr>
    </w:lvl>
    <w:lvl w:ilvl="5" w:tplc="2DB6EC5C">
      <w:start w:val="1"/>
      <w:numFmt w:val="lowerRoman"/>
      <w:lvlText w:val="%6."/>
      <w:lvlJc w:val="right"/>
      <w:pPr>
        <w:ind w:left="4320" w:hanging="180"/>
      </w:pPr>
    </w:lvl>
    <w:lvl w:ilvl="6" w:tplc="201C5AE4">
      <w:start w:val="1"/>
      <w:numFmt w:val="decimal"/>
      <w:lvlText w:val="%7."/>
      <w:lvlJc w:val="left"/>
      <w:pPr>
        <w:ind w:left="5040" w:hanging="360"/>
      </w:pPr>
    </w:lvl>
    <w:lvl w:ilvl="7" w:tplc="5172E32A">
      <w:start w:val="1"/>
      <w:numFmt w:val="lowerLetter"/>
      <w:lvlText w:val="%8."/>
      <w:lvlJc w:val="left"/>
      <w:pPr>
        <w:ind w:left="5760" w:hanging="360"/>
      </w:pPr>
    </w:lvl>
    <w:lvl w:ilvl="8" w:tplc="742AFB38">
      <w:start w:val="1"/>
      <w:numFmt w:val="lowerRoman"/>
      <w:lvlText w:val="%9."/>
      <w:lvlJc w:val="right"/>
      <w:pPr>
        <w:ind w:left="6480" w:hanging="180"/>
      </w:pPr>
    </w:lvl>
  </w:abstractNum>
  <w:abstractNum w:abstractNumId="7">
    <w:nsid w:val="635DE4E2"/>
    <w:multiLevelType w:val="hybridMultilevel"/>
    <w:tmpl w:val="5FBE5BCE"/>
    <w:lvl w:ilvl="0" w:tplc="5230759C">
      <w:start w:val="1"/>
      <w:numFmt w:val="bullet"/>
      <w:lvlText w:val=""/>
      <w:lvlJc w:val="left"/>
      <w:pPr>
        <w:ind w:left="720" w:hanging="360"/>
      </w:pPr>
      <w:rPr>
        <w:rFonts w:ascii="Symbol" w:hAnsi="Symbol" w:hint="default"/>
      </w:rPr>
    </w:lvl>
    <w:lvl w:ilvl="1" w:tplc="7C9855DA">
      <w:start w:val="1"/>
      <w:numFmt w:val="bullet"/>
      <w:lvlText w:val="o"/>
      <w:lvlJc w:val="left"/>
      <w:pPr>
        <w:ind w:left="1440" w:hanging="360"/>
      </w:pPr>
      <w:rPr>
        <w:rFonts w:ascii="Courier New" w:hAnsi="Courier New" w:hint="default"/>
      </w:rPr>
    </w:lvl>
    <w:lvl w:ilvl="2" w:tplc="FF68D95C">
      <w:start w:val="1"/>
      <w:numFmt w:val="bullet"/>
      <w:lvlText w:val=""/>
      <w:lvlJc w:val="left"/>
      <w:pPr>
        <w:ind w:left="2160" w:hanging="360"/>
      </w:pPr>
      <w:rPr>
        <w:rFonts w:ascii="Wingdings" w:hAnsi="Wingdings" w:hint="default"/>
      </w:rPr>
    </w:lvl>
    <w:lvl w:ilvl="3" w:tplc="29760C1E">
      <w:start w:val="1"/>
      <w:numFmt w:val="bullet"/>
      <w:lvlText w:val=""/>
      <w:lvlJc w:val="left"/>
      <w:pPr>
        <w:ind w:left="2880" w:hanging="360"/>
      </w:pPr>
      <w:rPr>
        <w:rFonts w:ascii="Symbol" w:hAnsi="Symbol" w:hint="default"/>
      </w:rPr>
    </w:lvl>
    <w:lvl w:ilvl="4" w:tplc="2C286A22">
      <w:start w:val="1"/>
      <w:numFmt w:val="bullet"/>
      <w:lvlText w:val="o"/>
      <w:lvlJc w:val="left"/>
      <w:pPr>
        <w:ind w:left="3600" w:hanging="360"/>
      </w:pPr>
      <w:rPr>
        <w:rFonts w:ascii="Courier New" w:hAnsi="Courier New" w:hint="default"/>
      </w:rPr>
    </w:lvl>
    <w:lvl w:ilvl="5" w:tplc="277E827E">
      <w:start w:val="1"/>
      <w:numFmt w:val="bullet"/>
      <w:lvlText w:val=""/>
      <w:lvlJc w:val="left"/>
      <w:pPr>
        <w:ind w:left="4320" w:hanging="360"/>
      </w:pPr>
      <w:rPr>
        <w:rFonts w:ascii="Wingdings" w:hAnsi="Wingdings" w:hint="default"/>
      </w:rPr>
    </w:lvl>
    <w:lvl w:ilvl="6" w:tplc="9E0A84CC">
      <w:start w:val="1"/>
      <w:numFmt w:val="bullet"/>
      <w:lvlText w:val=""/>
      <w:lvlJc w:val="left"/>
      <w:pPr>
        <w:ind w:left="5040" w:hanging="360"/>
      </w:pPr>
      <w:rPr>
        <w:rFonts w:ascii="Symbol" w:hAnsi="Symbol" w:hint="default"/>
      </w:rPr>
    </w:lvl>
    <w:lvl w:ilvl="7" w:tplc="274E5F96">
      <w:start w:val="1"/>
      <w:numFmt w:val="bullet"/>
      <w:lvlText w:val="o"/>
      <w:lvlJc w:val="left"/>
      <w:pPr>
        <w:ind w:left="5760" w:hanging="360"/>
      </w:pPr>
      <w:rPr>
        <w:rFonts w:ascii="Courier New" w:hAnsi="Courier New" w:hint="default"/>
      </w:rPr>
    </w:lvl>
    <w:lvl w:ilvl="8" w:tplc="5CB64C76">
      <w:start w:val="1"/>
      <w:numFmt w:val="bullet"/>
      <w:lvlText w:val=""/>
      <w:lvlJc w:val="left"/>
      <w:pPr>
        <w:ind w:left="6480" w:hanging="360"/>
      </w:pPr>
      <w:rPr>
        <w:rFonts w:ascii="Wingdings" w:hAnsi="Wingdings" w:hint="default"/>
      </w:rPr>
    </w:lvl>
  </w:abstractNum>
  <w:abstractNum w:abstractNumId="8">
    <w:nsid w:val="70D320FB"/>
    <w:multiLevelType w:val="hybridMultilevel"/>
    <w:tmpl w:val="BFD4CD92"/>
    <w:lvl w:ilvl="0" w:tplc="D30E5A8E">
      <w:start w:val="1"/>
      <w:numFmt w:val="bullet"/>
      <w:lvlText w:val=""/>
      <w:lvlJc w:val="left"/>
      <w:pPr>
        <w:ind w:left="720" w:hanging="360"/>
      </w:pPr>
      <w:rPr>
        <w:rFonts w:ascii="Symbol" w:hAnsi="Symbol" w:hint="default"/>
      </w:rPr>
    </w:lvl>
    <w:lvl w:ilvl="1" w:tplc="828CAF02">
      <w:start w:val="1"/>
      <w:numFmt w:val="bullet"/>
      <w:lvlText w:val="o"/>
      <w:lvlJc w:val="left"/>
      <w:pPr>
        <w:ind w:left="1440" w:hanging="360"/>
      </w:pPr>
      <w:rPr>
        <w:rFonts w:ascii="Courier New" w:hAnsi="Courier New" w:hint="default"/>
      </w:rPr>
    </w:lvl>
    <w:lvl w:ilvl="2" w:tplc="53426C2C">
      <w:start w:val="1"/>
      <w:numFmt w:val="bullet"/>
      <w:lvlText w:val=""/>
      <w:lvlJc w:val="left"/>
      <w:pPr>
        <w:ind w:left="2160" w:hanging="360"/>
      </w:pPr>
      <w:rPr>
        <w:rFonts w:ascii="Wingdings" w:hAnsi="Wingdings" w:hint="default"/>
      </w:rPr>
    </w:lvl>
    <w:lvl w:ilvl="3" w:tplc="31C492A2">
      <w:start w:val="1"/>
      <w:numFmt w:val="bullet"/>
      <w:lvlText w:val=""/>
      <w:lvlJc w:val="left"/>
      <w:pPr>
        <w:ind w:left="2880" w:hanging="360"/>
      </w:pPr>
      <w:rPr>
        <w:rFonts w:ascii="Symbol" w:hAnsi="Symbol" w:hint="default"/>
      </w:rPr>
    </w:lvl>
    <w:lvl w:ilvl="4" w:tplc="EC3EB59E">
      <w:start w:val="1"/>
      <w:numFmt w:val="bullet"/>
      <w:lvlText w:val="o"/>
      <w:lvlJc w:val="left"/>
      <w:pPr>
        <w:ind w:left="3600" w:hanging="360"/>
      </w:pPr>
      <w:rPr>
        <w:rFonts w:ascii="Courier New" w:hAnsi="Courier New" w:hint="default"/>
      </w:rPr>
    </w:lvl>
    <w:lvl w:ilvl="5" w:tplc="0360FBDE">
      <w:start w:val="1"/>
      <w:numFmt w:val="bullet"/>
      <w:lvlText w:val=""/>
      <w:lvlJc w:val="left"/>
      <w:pPr>
        <w:ind w:left="4320" w:hanging="360"/>
      </w:pPr>
      <w:rPr>
        <w:rFonts w:ascii="Wingdings" w:hAnsi="Wingdings" w:hint="default"/>
      </w:rPr>
    </w:lvl>
    <w:lvl w:ilvl="6" w:tplc="3CECB4E2">
      <w:start w:val="1"/>
      <w:numFmt w:val="bullet"/>
      <w:lvlText w:val=""/>
      <w:lvlJc w:val="left"/>
      <w:pPr>
        <w:ind w:left="5040" w:hanging="360"/>
      </w:pPr>
      <w:rPr>
        <w:rFonts w:ascii="Symbol" w:hAnsi="Symbol" w:hint="default"/>
      </w:rPr>
    </w:lvl>
    <w:lvl w:ilvl="7" w:tplc="B0F2E8B2">
      <w:start w:val="1"/>
      <w:numFmt w:val="bullet"/>
      <w:lvlText w:val="o"/>
      <w:lvlJc w:val="left"/>
      <w:pPr>
        <w:ind w:left="5760" w:hanging="360"/>
      </w:pPr>
      <w:rPr>
        <w:rFonts w:ascii="Courier New" w:hAnsi="Courier New" w:hint="default"/>
      </w:rPr>
    </w:lvl>
    <w:lvl w:ilvl="8" w:tplc="76425056">
      <w:start w:val="1"/>
      <w:numFmt w:val="bullet"/>
      <w:lvlText w:val=""/>
      <w:lvlJc w:val="left"/>
      <w:pPr>
        <w:ind w:left="6480" w:hanging="360"/>
      </w:pPr>
      <w:rPr>
        <w:rFonts w:ascii="Wingdings" w:hAnsi="Wingdings" w:hint="default"/>
      </w:rPr>
    </w:lvl>
  </w:abstractNum>
  <w:abstractNum w:abstractNumId="9">
    <w:nsid w:val="789BB5A6"/>
    <w:multiLevelType w:val="hybridMultilevel"/>
    <w:tmpl w:val="86249288"/>
    <w:lvl w:ilvl="0" w:tplc="FEBC39D2">
      <w:start w:val="1"/>
      <w:numFmt w:val="decimal"/>
      <w:lvlText w:val="%1."/>
      <w:lvlJc w:val="left"/>
      <w:pPr>
        <w:ind w:left="720" w:hanging="360"/>
      </w:pPr>
    </w:lvl>
    <w:lvl w:ilvl="1" w:tplc="832EE922">
      <w:start w:val="1"/>
      <w:numFmt w:val="lowerLetter"/>
      <w:lvlText w:val="%2."/>
      <w:lvlJc w:val="left"/>
      <w:pPr>
        <w:ind w:left="1440" w:hanging="360"/>
      </w:pPr>
    </w:lvl>
    <w:lvl w:ilvl="2" w:tplc="56AC992C">
      <w:start w:val="1"/>
      <w:numFmt w:val="lowerRoman"/>
      <w:lvlText w:val="%3."/>
      <w:lvlJc w:val="right"/>
      <w:pPr>
        <w:ind w:left="2160" w:hanging="180"/>
      </w:pPr>
    </w:lvl>
    <w:lvl w:ilvl="3" w:tplc="B712CB10">
      <w:start w:val="1"/>
      <w:numFmt w:val="decimal"/>
      <w:lvlText w:val="%4."/>
      <w:lvlJc w:val="left"/>
      <w:pPr>
        <w:ind w:left="2880" w:hanging="360"/>
      </w:pPr>
    </w:lvl>
    <w:lvl w:ilvl="4" w:tplc="DE388806">
      <w:start w:val="1"/>
      <w:numFmt w:val="lowerLetter"/>
      <w:lvlText w:val="%5."/>
      <w:lvlJc w:val="left"/>
      <w:pPr>
        <w:ind w:left="3600" w:hanging="360"/>
      </w:pPr>
    </w:lvl>
    <w:lvl w:ilvl="5" w:tplc="C3843E46">
      <w:start w:val="1"/>
      <w:numFmt w:val="lowerRoman"/>
      <w:lvlText w:val="%6."/>
      <w:lvlJc w:val="right"/>
      <w:pPr>
        <w:ind w:left="4320" w:hanging="180"/>
      </w:pPr>
    </w:lvl>
    <w:lvl w:ilvl="6" w:tplc="4FC25DFE">
      <w:start w:val="1"/>
      <w:numFmt w:val="decimal"/>
      <w:lvlText w:val="%7."/>
      <w:lvlJc w:val="left"/>
      <w:pPr>
        <w:ind w:left="5040" w:hanging="360"/>
      </w:pPr>
    </w:lvl>
    <w:lvl w:ilvl="7" w:tplc="57A85DEE">
      <w:start w:val="1"/>
      <w:numFmt w:val="lowerLetter"/>
      <w:lvlText w:val="%8."/>
      <w:lvlJc w:val="left"/>
      <w:pPr>
        <w:ind w:left="5760" w:hanging="360"/>
      </w:pPr>
    </w:lvl>
    <w:lvl w:ilvl="8" w:tplc="0D3ACD86">
      <w:start w:val="1"/>
      <w:numFmt w:val="lowerRoman"/>
      <w:lvlText w:val="%9."/>
      <w:lvlJc w:val="right"/>
      <w:pPr>
        <w:ind w:left="6480" w:hanging="180"/>
      </w:pPr>
    </w:lvl>
  </w:abstractNum>
  <w:num w:numId="1">
    <w:abstractNumId w:val="6"/>
  </w:num>
  <w:num w:numId="2">
    <w:abstractNumId w:val="7"/>
  </w:num>
  <w:num w:numId="3">
    <w:abstractNumId w:val="8"/>
  </w:num>
  <w:num w:numId="4">
    <w:abstractNumId w:val="9"/>
  </w:num>
  <w:num w:numId="5">
    <w:abstractNumId w:val="4"/>
  </w:num>
  <w:num w:numId="6">
    <w:abstractNumId w:val="3"/>
  </w:num>
  <w:num w:numId="7">
    <w:abstractNumId w:val="1"/>
  </w:num>
  <w:num w:numId="8">
    <w:abstractNumId w:val="0"/>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A98B1C"/>
    <w:rsid w:val="000133C6"/>
    <w:rsid w:val="000A80D6"/>
    <w:rsid w:val="00106C17"/>
    <w:rsid w:val="0031499F"/>
    <w:rsid w:val="00383DC4"/>
    <w:rsid w:val="00916DCB"/>
    <w:rsid w:val="01323009"/>
    <w:rsid w:val="01587D97"/>
    <w:rsid w:val="019DE1AA"/>
    <w:rsid w:val="01B4E180"/>
    <w:rsid w:val="01DDD1C5"/>
    <w:rsid w:val="0266A991"/>
    <w:rsid w:val="028D7581"/>
    <w:rsid w:val="02CD5A30"/>
    <w:rsid w:val="040AD1FD"/>
    <w:rsid w:val="047D8DFE"/>
    <w:rsid w:val="04C5FA9D"/>
    <w:rsid w:val="0587C997"/>
    <w:rsid w:val="05DD1A53"/>
    <w:rsid w:val="0625AB34"/>
    <w:rsid w:val="07260297"/>
    <w:rsid w:val="0759EC0B"/>
    <w:rsid w:val="0759F215"/>
    <w:rsid w:val="07B62468"/>
    <w:rsid w:val="07BAF2E6"/>
    <w:rsid w:val="081C46A8"/>
    <w:rsid w:val="082E5B1F"/>
    <w:rsid w:val="09661A7E"/>
    <w:rsid w:val="09BB2BF9"/>
    <w:rsid w:val="09F2484F"/>
    <w:rsid w:val="0ABEFCF3"/>
    <w:rsid w:val="0B3F8238"/>
    <w:rsid w:val="0BB076FD"/>
    <w:rsid w:val="0BF80591"/>
    <w:rsid w:val="0C60F1D9"/>
    <w:rsid w:val="0CBD7C83"/>
    <w:rsid w:val="0D2168C9"/>
    <w:rsid w:val="0D25213E"/>
    <w:rsid w:val="0DC2FDF4"/>
    <w:rsid w:val="0DF5E836"/>
    <w:rsid w:val="0DFD9A34"/>
    <w:rsid w:val="0E1C5611"/>
    <w:rsid w:val="0F81F822"/>
    <w:rsid w:val="0FECE67A"/>
    <w:rsid w:val="106893B6"/>
    <w:rsid w:val="1077DED6"/>
    <w:rsid w:val="1080F1AC"/>
    <w:rsid w:val="10C1CE32"/>
    <w:rsid w:val="1141D7AF"/>
    <w:rsid w:val="11E33889"/>
    <w:rsid w:val="123939B5"/>
    <w:rsid w:val="12510394"/>
    <w:rsid w:val="1373A2D6"/>
    <w:rsid w:val="14DB720F"/>
    <w:rsid w:val="150F5432"/>
    <w:rsid w:val="15D99CD6"/>
    <w:rsid w:val="16064633"/>
    <w:rsid w:val="161E6CA3"/>
    <w:rsid w:val="166B278F"/>
    <w:rsid w:val="16FD64C1"/>
    <w:rsid w:val="1754B98C"/>
    <w:rsid w:val="180CFE19"/>
    <w:rsid w:val="1A3BA021"/>
    <w:rsid w:val="1A875768"/>
    <w:rsid w:val="1AD03CA6"/>
    <w:rsid w:val="1B784C38"/>
    <w:rsid w:val="1BC70827"/>
    <w:rsid w:val="1C0A7B70"/>
    <w:rsid w:val="1C77081F"/>
    <w:rsid w:val="1DAFFCC6"/>
    <w:rsid w:val="1DD4385D"/>
    <w:rsid w:val="1DE36DE7"/>
    <w:rsid w:val="1E0693A7"/>
    <w:rsid w:val="1E2B2770"/>
    <w:rsid w:val="1E5CE066"/>
    <w:rsid w:val="1E5EDA35"/>
    <w:rsid w:val="1EA4145C"/>
    <w:rsid w:val="1EAA7E8E"/>
    <w:rsid w:val="1EEE99DD"/>
    <w:rsid w:val="1F516D20"/>
    <w:rsid w:val="1F9E2D7E"/>
    <w:rsid w:val="1FEB258B"/>
    <w:rsid w:val="20D63432"/>
    <w:rsid w:val="20FABCDF"/>
    <w:rsid w:val="2103EFF7"/>
    <w:rsid w:val="21416574"/>
    <w:rsid w:val="237ECA47"/>
    <w:rsid w:val="24275589"/>
    <w:rsid w:val="24CBD899"/>
    <w:rsid w:val="24D9C7AE"/>
    <w:rsid w:val="252359F8"/>
    <w:rsid w:val="259D559F"/>
    <w:rsid w:val="271D4E99"/>
    <w:rsid w:val="28713BDA"/>
    <w:rsid w:val="28AE7512"/>
    <w:rsid w:val="2A29F782"/>
    <w:rsid w:val="2B6CC97C"/>
    <w:rsid w:val="2BC8F0C5"/>
    <w:rsid w:val="2BE6D28D"/>
    <w:rsid w:val="2CA85734"/>
    <w:rsid w:val="2CD38E74"/>
    <w:rsid w:val="2D8C67CF"/>
    <w:rsid w:val="2D9449E0"/>
    <w:rsid w:val="2E5C0C49"/>
    <w:rsid w:val="2E9F7873"/>
    <w:rsid w:val="2EB7C8AC"/>
    <w:rsid w:val="2F3F9EE6"/>
    <w:rsid w:val="2FA1E045"/>
    <w:rsid w:val="2FC4F1DF"/>
    <w:rsid w:val="2FE14133"/>
    <w:rsid w:val="2FE3C3C8"/>
    <w:rsid w:val="304C4C22"/>
    <w:rsid w:val="30EB7730"/>
    <w:rsid w:val="312F1910"/>
    <w:rsid w:val="314B1549"/>
    <w:rsid w:val="3205C5D3"/>
    <w:rsid w:val="322A6B66"/>
    <w:rsid w:val="323EA774"/>
    <w:rsid w:val="3251050F"/>
    <w:rsid w:val="325F684F"/>
    <w:rsid w:val="32A24B9E"/>
    <w:rsid w:val="32F62E60"/>
    <w:rsid w:val="3341233B"/>
    <w:rsid w:val="3400377C"/>
    <w:rsid w:val="34904A9A"/>
    <w:rsid w:val="34D951E3"/>
    <w:rsid w:val="351FC212"/>
    <w:rsid w:val="35754456"/>
    <w:rsid w:val="35B29D0E"/>
    <w:rsid w:val="35FC3CAF"/>
    <w:rsid w:val="366FB0F8"/>
    <w:rsid w:val="36966541"/>
    <w:rsid w:val="3744DA28"/>
    <w:rsid w:val="37BD91AF"/>
    <w:rsid w:val="392A5935"/>
    <w:rsid w:val="39390E6E"/>
    <w:rsid w:val="3ACBD759"/>
    <w:rsid w:val="3AEDDE65"/>
    <w:rsid w:val="3B99851E"/>
    <w:rsid w:val="3C009253"/>
    <w:rsid w:val="3C919FBC"/>
    <w:rsid w:val="3D0C8806"/>
    <w:rsid w:val="3D44B007"/>
    <w:rsid w:val="3D8FF164"/>
    <w:rsid w:val="3E4C69D9"/>
    <w:rsid w:val="3E648895"/>
    <w:rsid w:val="3FCBBDF8"/>
    <w:rsid w:val="401EA1AA"/>
    <w:rsid w:val="41157B01"/>
    <w:rsid w:val="41DA4D40"/>
    <w:rsid w:val="425BBAE9"/>
    <w:rsid w:val="42C73478"/>
    <w:rsid w:val="4302FEA5"/>
    <w:rsid w:val="4377A89C"/>
    <w:rsid w:val="437C239F"/>
    <w:rsid w:val="4448E61F"/>
    <w:rsid w:val="45608E3B"/>
    <w:rsid w:val="45645EAF"/>
    <w:rsid w:val="4660C8F0"/>
    <w:rsid w:val="468C8A15"/>
    <w:rsid w:val="46F5AF3D"/>
    <w:rsid w:val="472CF071"/>
    <w:rsid w:val="47376C6A"/>
    <w:rsid w:val="47566B79"/>
    <w:rsid w:val="477C55B8"/>
    <w:rsid w:val="47BDE665"/>
    <w:rsid w:val="47BFA0DF"/>
    <w:rsid w:val="482A9ACA"/>
    <w:rsid w:val="48C826CC"/>
    <w:rsid w:val="491D26BB"/>
    <w:rsid w:val="49832F15"/>
    <w:rsid w:val="499F758B"/>
    <w:rsid w:val="4A60583A"/>
    <w:rsid w:val="4AC51873"/>
    <w:rsid w:val="4ACB69E8"/>
    <w:rsid w:val="4BCBD8BA"/>
    <w:rsid w:val="4C9830BC"/>
    <w:rsid w:val="4D075115"/>
    <w:rsid w:val="4D46E9C2"/>
    <w:rsid w:val="4D8F363E"/>
    <w:rsid w:val="4D925C34"/>
    <w:rsid w:val="4F18C2D0"/>
    <w:rsid w:val="4F84A740"/>
    <w:rsid w:val="511B62CA"/>
    <w:rsid w:val="51B39CA3"/>
    <w:rsid w:val="51EA1578"/>
    <w:rsid w:val="5288124D"/>
    <w:rsid w:val="528FC233"/>
    <w:rsid w:val="52A4B51D"/>
    <w:rsid w:val="53568FC6"/>
    <w:rsid w:val="53A4C72D"/>
    <w:rsid w:val="55E500EC"/>
    <w:rsid w:val="567B2F62"/>
    <w:rsid w:val="56CE3427"/>
    <w:rsid w:val="57004F34"/>
    <w:rsid w:val="5756BB46"/>
    <w:rsid w:val="58ED04E0"/>
    <w:rsid w:val="59F96813"/>
    <w:rsid w:val="5A7A45F4"/>
    <w:rsid w:val="5A9A9EAB"/>
    <w:rsid w:val="5AA98B1C"/>
    <w:rsid w:val="5AE78B31"/>
    <w:rsid w:val="5B500D34"/>
    <w:rsid w:val="5BB7BA0B"/>
    <w:rsid w:val="5BC73D24"/>
    <w:rsid w:val="5BDE2056"/>
    <w:rsid w:val="5C510D6B"/>
    <w:rsid w:val="5C793DE0"/>
    <w:rsid w:val="5CBEDBAF"/>
    <w:rsid w:val="5CC3FE26"/>
    <w:rsid w:val="5CD22C2B"/>
    <w:rsid w:val="5D3A5412"/>
    <w:rsid w:val="5D968DC0"/>
    <w:rsid w:val="5DB6A0AF"/>
    <w:rsid w:val="5E2A5251"/>
    <w:rsid w:val="5EB20C05"/>
    <w:rsid w:val="5EB4D406"/>
    <w:rsid w:val="5ED3BFE7"/>
    <w:rsid w:val="5F5D71CE"/>
    <w:rsid w:val="5FC08F34"/>
    <w:rsid w:val="5FFE6D2F"/>
    <w:rsid w:val="60A03858"/>
    <w:rsid w:val="60C9F049"/>
    <w:rsid w:val="60DAB0DA"/>
    <w:rsid w:val="616F8F80"/>
    <w:rsid w:val="6181A800"/>
    <w:rsid w:val="62E6AB71"/>
    <w:rsid w:val="62F9BA81"/>
    <w:rsid w:val="63030947"/>
    <w:rsid w:val="6334214B"/>
    <w:rsid w:val="63988A32"/>
    <w:rsid w:val="6475B5C0"/>
    <w:rsid w:val="64AE6FCB"/>
    <w:rsid w:val="64CDAEB4"/>
    <w:rsid w:val="64FA3B2F"/>
    <w:rsid w:val="654AE6C3"/>
    <w:rsid w:val="656806C2"/>
    <w:rsid w:val="660175BF"/>
    <w:rsid w:val="66041590"/>
    <w:rsid w:val="663F4189"/>
    <w:rsid w:val="66C72E25"/>
    <w:rsid w:val="66EDA2BF"/>
    <w:rsid w:val="67248599"/>
    <w:rsid w:val="673948BE"/>
    <w:rsid w:val="67D18560"/>
    <w:rsid w:val="684975D1"/>
    <w:rsid w:val="68C1B0BC"/>
    <w:rsid w:val="68E2A23E"/>
    <w:rsid w:val="697BA716"/>
    <w:rsid w:val="6A80F08A"/>
    <w:rsid w:val="6B34FA02"/>
    <w:rsid w:val="6B9BD39C"/>
    <w:rsid w:val="6C976EBF"/>
    <w:rsid w:val="6CCE8EF0"/>
    <w:rsid w:val="6D2EE2ED"/>
    <w:rsid w:val="6D7D9FB6"/>
    <w:rsid w:val="6DFA9D90"/>
    <w:rsid w:val="6E2E02CF"/>
    <w:rsid w:val="6EAE1791"/>
    <w:rsid w:val="6FBC0868"/>
    <w:rsid w:val="700238EE"/>
    <w:rsid w:val="70097EF3"/>
    <w:rsid w:val="7075249B"/>
    <w:rsid w:val="7075C71F"/>
    <w:rsid w:val="714E85D0"/>
    <w:rsid w:val="717BC0DE"/>
    <w:rsid w:val="71AA8874"/>
    <w:rsid w:val="73B62E5E"/>
    <w:rsid w:val="73C68EF0"/>
    <w:rsid w:val="74B1AC13"/>
    <w:rsid w:val="74ED99A4"/>
    <w:rsid w:val="75F1B66D"/>
    <w:rsid w:val="76361E9A"/>
    <w:rsid w:val="76936959"/>
    <w:rsid w:val="76D57676"/>
    <w:rsid w:val="77129F7F"/>
    <w:rsid w:val="77DEA81A"/>
    <w:rsid w:val="79A493BD"/>
    <w:rsid w:val="7A57F2AD"/>
    <w:rsid w:val="7AA360FB"/>
    <w:rsid w:val="7B0DA908"/>
    <w:rsid w:val="7B0E4B3D"/>
    <w:rsid w:val="7B0FF5BF"/>
    <w:rsid w:val="7B252E7E"/>
    <w:rsid w:val="7B8D8EA5"/>
    <w:rsid w:val="7C7F14E5"/>
    <w:rsid w:val="7D354240"/>
    <w:rsid w:val="7D561F71"/>
    <w:rsid w:val="7DA8629A"/>
    <w:rsid w:val="7E2DAD01"/>
    <w:rsid w:val="7E6997DE"/>
    <w:rsid w:val="7E8CD104"/>
    <w:rsid w:val="7FCFED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22DB5"/>
  <w15:chartTrackingRefBased/>
  <w15:docId w15:val="{4037BA8B-CB6D-46D6-BE50-F90C00F56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133C6"/>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4">
    <w:name w:val="heading 4"/>
    <w:basedOn w:val="Normal"/>
    <w:next w:val="Normal"/>
    <w:link w:val="Heading4Char"/>
    <w:uiPriority w:val="9"/>
    <w:unhideWhenUsed/>
    <w:qFormat/>
    <w:rsid w:val="000133C6"/>
    <w:pPr>
      <w:keepNext/>
      <w:keepLines/>
      <w:spacing w:before="40" w:after="0" w:line="264" w:lineRule="auto"/>
      <w:outlineLvl w:val="3"/>
    </w:pPr>
    <w:rPr>
      <w:rFonts w:asciiTheme="majorHAnsi" w:eastAsiaTheme="majorEastAsia" w:hAnsiTheme="majorHAnsi" w:cstheme="maj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A29F782"/>
    <w:pPr>
      <w:ind w:left="720"/>
      <w:contextualSpacing/>
    </w:pPr>
  </w:style>
  <w:style w:type="character" w:styleId="Hyperlink">
    <w:name w:val="Hyperlink"/>
    <w:basedOn w:val="DefaultParagraphFont"/>
    <w:uiPriority w:val="99"/>
    <w:unhideWhenUsed/>
    <w:rsid w:val="2A29F782"/>
    <w:rPr>
      <w:color w:val="467886"/>
      <w:u w:val="single"/>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Spacing">
    <w:name w:val="No Spacing"/>
    <w:link w:val="NoSpacingChar"/>
    <w:uiPriority w:val="1"/>
    <w:qFormat/>
    <w:rsid w:val="000133C6"/>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0133C6"/>
    <w:rPr>
      <w:sz w:val="22"/>
      <w:szCs w:val="22"/>
      <w:lang w:eastAsia="en-US"/>
    </w:rPr>
  </w:style>
  <w:style w:type="character" w:customStyle="1" w:styleId="Heading4Char">
    <w:name w:val="Heading 4 Char"/>
    <w:basedOn w:val="DefaultParagraphFont"/>
    <w:link w:val="Heading4"/>
    <w:uiPriority w:val="9"/>
    <w:rsid w:val="000133C6"/>
    <w:rPr>
      <w:rFonts w:asciiTheme="majorHAnsi" w:eastAsiaTheme="majorEastAsia" w:hAnsiTheme="majorHAnsi" w:cstheme="majorBidi"/>
      <w:sz w:val="22"/>
      <w:szCs w:val="22"/>
      <w:lang w:eastAsia="en-US"/>
    </w:rPr>
  </w:style>
  <w:style w:type="character" w:customStyle="1" w:styleId="Heading1Char">
    <w:name w:val="Heading 1 Char"/>
    <w:basedOn w:val="DefaultParagraphFont"/>
    <w:link w:val="Heading1"/>
    <w:uiPriority w:val="9"/>
    <w:rsid w:val="000133C6"/>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106C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C17"/>
    <w:rPr>
      <w:lang w:val="en-GB"/>
    </w:rPr>
  </w:style>
  <w:style w:type="paragraph" w:styleId="Footer">
    <w:name w:val="footer"/>
    <w:basedOn w:val="Normal"/>
    <w:link w:val="FooterChar"/>
    <w:uiPriority w:val="99"/>
    <w:unhideWhenUsed/>
    <w:rsid w:val="00106C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C1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0386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orkingment.com/how-to-write-references-in-assignment-complete-guide/?srsltid=AfmBOorI11eXbtzPPGYvlyAbco7YHxtmY99XkU9RHVonKuVsizbN0O5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1EE101-63A6-4269-ADDC-AE2E642F0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4420</Words>
  <Characters>25199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Hridoy Majumder (2522065)</dc:creator>
  <cp:keywords/>
  <dc:description/>
  <cp:lastModifiedBy>ASUS</cp:lastModifiedBy>
  <cp:revision>3</cp:revision>
  <dcterms:created xsi:type="dcterms:W3CDTF">2026-07-09T16:05:00Z</dcterms:created>
  <dcterms:modified xsi:type="dcterms:W3CDTF">2026-07-22T00:21:00Z</dcterms:modified>
</cp:coreProperties>
</file>