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2FA9CC" wp14:paraId="3EA0F84C" wp14:textId="05F5CB03">
      <w:pPr>
        <w:pStyle w:val="Heading2"/>
        <w:spacing w:before="299" w:beforeAutospacing="off" w:after="299" w:afterAutospacing="off"/>
        <w:rPr>
          <w:rFonts w:ascii="Aptos" w:hAnsi="Aptos" w:eastAsia="Aptos" w:cs="Aptos"/>
          <w:b w:val="0"/>
          <w:bCs w:val="0"/>
          <w:color w:val="auto"/>
          <w:sz w:val="36"/>
          <w:szCs w:val="36"/>
        </w:rPr>
      </w:pPr>
    </w:p>
    <w:p xmlns:wp14="http://schemas.microsoft.com/office/word/2010/wordml" w:rsidP="582FA9CC" wp14:paraId="323B0B71" wp14:textId="5EA68591">
      <w:pPr>
        <w:pStyle w:val="Heading2"/>
        <w:spacing w:before="299" w:beforeAutospacing="off" w:after="299" w:afterAutospacing="off"/>
        <w:rPr>
          <w:rFonts w:ascii="Aptos" w:hAnsi="Aptos" w:eastAsia="Aptos" w:cs="Aptos"/>
          <w:b w:val="0"/>
          <w:bCs w:val="0"/>
          <w:color w:val="auto"/>
          <w:sz w:val="36"/>
          <w:szCs w:val="36"/>
        </w:rPr>
      </w:pPr>
    </w:p>
    <w:p xmlns:wp14="http://schemas.microsoft.com/office/word/2010/wordml" w:rsidP="582FA9CC" wp14:paraId="540D5754" wp14:textId="66484746">
      <w:pPr>
        <w:pStyle w:val="Heading2"/>
        <w:spacing w:before="299" w:beforeAutospacing="off" w:after="299" w:afterAutospacing="off"/>
        <w:rPr>
          <w:rFonts w:ascii="Aptos" w:hAnsi="Aptos" w:eastAsia="Aptos" w:cs="Aptos"/>
          <w:b w:val="0"/>
          <w:bCs w:val="0"/>
          <w:color w:val="auto"/>
          <w:sz w:val="36"/>
          <w:szCs w:val="36"/>
        </w:rPr>
      </w:pPr>
      <w:r w:rsidRPr="582FA9CC" w:rsidR="58EB5CA8">
        <w:rPr>
          <w:rFonts w:ascii="Aptos" w:hAnsi="Aptos" w:eastAsia="Aptos" w:cs="Aptos"/>
          <w:b w:val="0"/>
          <w:bCs w:val="0"/>
          <w:color w:val="auto"/>
          <w:sz w:val="36"/>
          <w:szCs w:val="36"/>
        </w:rPr>
        <w:t xml:space="preserve">Name- Shadan Aziz </w:t>
      </w:r>
    </w:p>
    <w:p xmlns:wp14="http://schemas.microsoft.com/office/word/2010/wordml" w:rsidP="582FA9CC" wp14:paraId="68070043" wp14:textId="1BDDA5A5">
      <w:pPr>
        <w:pStyle w:val="Heading2"/>
        <w:spacing w:before="299" w:beforeAutospacing="off" w:after="299" w:afterAutospacing="off"/>
        <w:rPr>
          <w:rFonts w:ascii="Aptos" w:hAnsi="Aptos" w:eastAsia="Aptos" w:cs="Aptos"/>
          <w:b w:val="0"/>
          <w:bCs w:val="0"/>
          <w:color w:val="auto"/>
          <w:sz w:val="36"/>
          <w:szCs w:val="36"/>
        </w:rPr>
      </w:pPr>
      <w:r w:rsidRPr="582FA9CC" w:rsidR="58EB5CA8">
        <w:rPr>
          <w:rFonts w:ascii="Aptos" w:hAnsi="Aptos" w:eastAsia="Aptos" w:cs="Aptos"/>
          <w:b w:val="0"/>
          <w:bCs w:val="0"/>
          <w:color w:val="auto"/>
          <w:sz w:val="36"/>
          <w:szCs w:val="36"/>
        </w:rPr>
        <w:t>student number –</w:t>
      </w:r>
      <w:r w:rsidRPr="582FA9CC" w:rsidR="0DC51FCD">
        <w:rPr>
          <w:rFonts w:ascii="Aptos" w:hAnsi="Aptos" w:eastAsia="Aptos" w:cs="Aptos"/>
          <w:b w:val="0"/>
          <w:bCs w:val="0"/>
          <w:color w:val="auto"/>
          <w:sz w:val="36"/>
          <w:szCs w:val="36"/>
        </w:rPr>
        <w:t xml:space="preserve"> </w:t>
      </w:r>
      <w:r w:rsidRPr="582FA9CC" w:rsidR="58EB5CA8">
        <w:rPr>
          <w:rFonts w:ascii="Aptos" w:hAnsi="Aptos" w:eastAsia="Aptos" w:cs="Aptos"/>
          <w:b w:val="0"/>
          <w:bCs w:val="0"/>
          <w:color w:val="auto"/>
          <w:sz w:val="36"/>
          <w:szCs w:val="36"/>
        </w:rPr>
        <w:t>23</w:t>
      </w:r>
      <w:r w:rsidRPr="582FA9CC" w:rsidR="69E0617B">
        <w:rPr>
          <w:rFonts w:ascii="Aptos" w:hAnsi="Aptos" w:eastAsia="Aptos" w:cs="Aptos"/>
          <w:b w:val="0"/>
          <w:bCs w:val="0"/>
          <w:color w:val="auto"/>
          <w:sz w:val="36"/>
          <w:szCs w:val="36"/>
        </w:rPr>
        <w:t>14981</w:t>
      </w:r>
    </w:p>
    <w:p xmlns:wp14="http://schemas.microsoft.com/office/word/2010/wordml" w:rsidP="582FA9CC" wp14:paraId="037BC2A8" wp14:textId="422F46B6">
      <w:pPr>
        <w:pStyle w:val="Heading2"/>
        <w:spacing w:before="299" w:beforeAutospacing="off" w:after="299" w:afterAutospacing="off"/>
        <w:rPr>
          <w:rFonts w:ascii="Aptos" w:hAnsi="Aptos" w:eastAsia="Aptos" w:cs="Aptos"/>
          <w:b w:val="1"/>
          <w:bCs w:val="1"/>
          <w:color w:val="auto"/>
          <w:sz w:val="36"/>
          <w:szCs w:val="36"/>
        </w:rPr>
      </w:pPr>
      <w:r w:rsidRPr="582FA9CC" w:rsidR="0ADEC440">
        <w:rPr>
          <w:rFonts w:ascii="Aptos" w:hAnsi="Aptos" w:eastAsia="Aptos" w:cs="Aptos"/>
          <w:b w:val="0"/>
          <w:bCs w:val="0"/>
          <w:color w:val="auto"/>
          <w:sz w:val="36"/>
          <w:szCs w:val="36"/>
        </w:rPr>
        <w:t>Module</w:t>
      </w:r>
      <w:r w:rsidRPr="582FA9CC" w:rsidR="38809E51">
        <w:rPr>
          <w:rFonts w:ascii="Aptos" w:hAnsi="Aptos" w:eastAsia="Aptos" w:cs="Aptos"/>
          <w:b w:val="0"/>
          <w:bCs w:val="0"/>
          <w:color w:val="auto"/>
          <w:sz w:val="36"/>
          <w:szCs w:val="36"/>
        </w:rPr>
        <w:t xml:space="preserve"> code - BMHP300</w:t>
      </w:r>
      <w:r w:rsidRPr="582FA9CC" w:rsidR="6764A669">
        <w:rPr>
          <w:rFonts w:ascii="Aptos" w:hAnsi="Aptos" w:eastAsia="Aptos" w:cs="Aptos"/>
          <w:b w:val="0"/>
          <w:bCs w:val="0"/>
          <w:color w:val="auto"/>
          <w:sz w:val="36"/>
          <w:szCs w:val="36"/>
        </w:rPr>
        <w:t>3</w:t>
      </w:r>
    </w:p>
    <w:p xmlns:wp14="http://schemas.microsoft.com/office/word/2010/wordml" w:rsidP="582FA9CC" wp14:paraId="49453FDC" wp14:textId="4DB0F19D">
      <w:pPr>
        <w:pStyle w:val="Normal"/>
      </w:pPr>
    </w:p>
    <w:p xmlns:wp14="http://schemas.microsoft.com/office/word/2010/wordml" w:rsidP="582FA9CC" wp14:paraId="77BF1B21" wp14:textId="5AA79117">
      <w:pPr>
        <w:pStyle w:val="Normal"/>
      </w:pPr>
    </w:p>
    <w:p xmlns:wp14="http://schemas.microsoft.com/office/word/2010/wordml" w:rsidP="582FA9CC" wp14:paraId="184082EF" wp14:textId="27826DEB">
      <w:pPr>
        <w:pStyle w:val="Heading2"/>
        <w:spacing w:before="299" w:beforeAutospacing="off" w:after="299" w:afterAutospacing="off"/>
        <w:rPr>
          <w:rFonts w:ascii="Aptos" w:hAnsi="Aptos" w:eastAsia="Aptos" w:cs="Aptos"/>
          <w:b w:val="0"/>
          <w:bCs w:val="0"/>
          <w:color w:val="auto"/>
          <w:sz w:val="36"/>
          <w:szCs w:val="36"/>
        </w:rPr>
      </w:pPr>
    </w:p>
    <w:p xmlns:wp14="http://schemas.microsoft.com/office/word/2010/wordml" w:rsidP="582FA9CC" wp14:paraId="69130BB4" wp14:textId="23EA5373">
      <w:pPr>
        <w:pStyle w:val="Heading2"/>
        <w:spacing w:before="299" w:beforeAutospacing="off" w:after="299" w:afterAutospacing="off"/>
        <w:rPr>
          <w:rFonts w:ascii="Aptos" w:hAnsi="Aptos" w:eastAsia="Aptos" w:cs="Aptos"/>
          <w:b w:val="0"/>
          <w:bCs w:val="0"/>
          <w:color w:val="auto"/>
          <w:sz w:val="36"/>
          <w:szCs w:val="36"/>
        </w:rPr>
      </w:pPr>
    </w:p>
    <w:p xmlns:wp14="http://schemas.microsoft.com/office/word/2010/wordml" w:rsidP="582FA9CC" wp14:paraId="12DD9393" wp14:textId="6F167175">
      <w:pPr>
        <w:pStyle w:val="Heading2"/>
        <w:spacing w:before="299" w:beforeAutospacing="off" w:after="299" w:afterAutospacing="off"/>
        <w:rPr>
          <w:rFonts w:ascii="Aptos" w:hAnsi="Aptos" w:eastAsia="Aptos" w:cs="Aptos"/>
          <w:b w:val="0"/>
          <w:bCs w:val="0"/>
          <w:color w:val="auto"/>
          <w:sz w:val="36"/>
          <w:szCs w:val="36"/>
        </w:rPr>
      </w:pPr>
    </w:p>
    <w:p xmlns:wp14="http://schemas.microsoft.com/office/word/2010/wordml" w:rsidP="582FA9CC" wp14:paraId="5281FCCB" wp14:textId="07E3A01F">
      <w:pPr>
        <w:pStyle w:val="Heading2"/>
        <w:spacing w:before="299" w:beforeAutospacing="off" w:after="299" w:afterAutospacing="off"/>
        <w:rPr>
          <w:rFonts w:ascii="Aptos" w:hAnsi="Aptos" w:eastAsia="Aptos" w:cs="Aptos"/>
          <w:b w:val="0"/>
          <w:bCs w:val="0"/>
          <w:sz w:val="36"/>
          <w:szCs w:val="36"/>
        </w:rPr>
      </w:pPr>
      <w:r w:rsidRPr="582FA9CC" w:rsidR="78EBD234">
        <w:rPr>
          <w:rFonts w:ascii="Aptos" w:hAnsi="Aptos" w:eastAsia="Aptos" w:cs="Aptos"/>
          <w:b w:val="0"/>
          <w:bCs w:val="0"/>
          <w:color w:val="auto"/>
          <w:sz w:val="36"/>
          <w:szCs w:val="36"/>
        </w:rPr>
        <w:t>Gibbs Reflection on a Care Worker-Patient Role Pla</w:t>
      </w:r>
      <w:r w:rsidRPr="582FA9CC" w:rsidR="78EBD234">
        <w:rPr>
          <w:rFonts w:ascii="Aptos" w:hAnsi="Aptos" w:eastAsia="Aptos" w:cs="Aptos"/>
          <w:b w:val="0"/>
          <w:bCs w:val="0"/>
          <w:sz w:val="36"/>
          <w:szCs w:val="36"/>
        </w:rPr>
        <w:t>y</w:t>
      </w:r>
    </w:p>
    <w:p xmlns:wp14="http://schemas.microsoft.com/office/word/2010/wordml" w:rsidP="582FA9CC" wp14:paraId="0D8B28EE" wp14:textId="3F50EB52">
      <w:pPr>
        <w:pStyle w:val="Heading3"/>
        <w:spacing w:before="281" w:beforeAutospacing="off" w:after="281" w:afterAutospacing="off"/>
        <w:rPr>
          <w:rFonts w:ascii="Aptos" w:hAnsi="Aptos" w:eastAsia="Aptos" w:cs="Aptos"/>
          <w:b w:val="0"/>
          <w:bCs w:val="0"/>
          <w:color w:val="auto"/>
          <w:sz w:val="28"/>
          <w:szCs w:val="28"/>
        </w:rPr>
      </w:pPr>
      <w:r w:rsidRPr="582FA9CC" w:rsidR="78EBD234">
        <w:rPr>
          <w:rFonts w:ascii="Aptos" w:hAnsi="Aptos" w:eastAsia="Aptos" w:cs="Aptos"/>
          <w:b w:val="0"/>
          <w:bCs w:val="0"/>
          <w:color w:val="auto"/>
          <w:sz w:val="28"/>
          <w:szCs w:val="28"/>
        </w:rPr>
        <w:t>Introduction</w:t>
      </w:r>
    </w:p>
    <w:p xmlns:wp14="http://schemas.microsoft.com/office/word/2010/wordml" w:rsidP="582FA9CC" wp14:paraId="64C1D684" wp14:textId="7AADA15C">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This reflection applies </w:t>
      </w:r>
      <w:r w:rsidRPr="582FA9CC" w:rsidR="78EBD234">
        <w:rPr>
          <w:rFonts w:ascii="Aptos" w:hAnsi="Aptos" w:eastAsia="Aptos" w:cs="Aptos"/>
          <w:b w:val="0"/>
          <w:bCs w:val="0"/>
          <w:sz w:val="24"/>
          <w:szCs w:val="24"/>
        </w:rPr>
        <w:t>Gibbs’ Reflective Cycle (1988)</w:t>
      </w:r>
      <w:r w:rsidRPr="582FA9CC" w:rsidR="78EBD234">
        <w:rPr>
          <w:rFonts w:ascii="Aptos" w:hAnsi="Aptos" w:eastAsia="Aptos" w:cs="Aptos"/>
          <w:b w:val="0"/>
          <w:bCs w:val="0"/>
          <w:sz w:val="24"/>
          <w:szCs w:val="24"/>
        </w:rPr>
        <w:t xml:space="preserve"> to </w:t>
      </w:r>
      <w:r w:rsidRPr="582FA9CC" w:rsidR="78EBD234">
        <w:rPr>
          <w:rFonts w:ascii="Aptos" w:hAnsi="Aptos" w:eastAsia="Aptos" w:cs="Aptos"/>
          <w:b w:val="0"/>
          <w:bCs w:val="0"/>
          <w:sz w:val="24"/>
          <w:szCs w:val="24"/>
        </w:rPr>
        <w:t>analyse</w:t>
      </w:r>
      <w:r w:rsidRPr="582FA9CC" w:rsidR="78EBD234">
        <w:rPr>
          <w:rFonts w:ascii="Aptos" w:hAnsi="Aptos" w:eastAsia="Aptos" w:cs="Aptos"/>
          <w:b w:val="0"/>
          <w:bCs w:val="0"/>
          <w:sz w:val="24"/>
          <w:szCs w:val="24"/>
        </w:rPr>
        <w:t xml:space="preserve"> a care worker-patient role play where I supported an elderly woman post-hospital discharge. The focus was on delivering physical </w:t>
      </w:r>
      <w:r w:rsidRPr="582FA9CC" w:rsidR="78EBD234">
        <w:rPr>
          <w:rFonts w:ascii="Aptos" w:hAnsi="Aptos" w:eastAsia="Aptos" w:cs="Aptos"/>
          <w:b w:val="0"/>
          <w:bCs w:val="0"/>
          <w:sz w:val="24"/>
          <w:szCs w:val="24"/>
        </w:rPr>
        <w:t>assistance</w:t>
      </w:r>
      <w:r w:rsidRPr="582FA9CC" w:rsidR="78EBD234">
        <w:rPr>
          <w:rFonts w:ascii="Aptos" w:hAnsi="Aptos" w:eastAsia="Aptos" w:cs="Aptos"/>
          <w:b w:val="0"/>
          <w:bCs w:val="0"/>
          <w:sz w:val="24"/>
          <w:szCs w:val="24"/>
        </w:rPr>
        <w:t xml:space="preserve"> while promoting emotional well-being and independence. This reflective analysis integrates key themes of empathy, communication, and person-</w:t>
      </w:r>
      <w:r w:rsidRPr="582FA9CC" w:rsidR="78EBD234">
        <w:rPr>
          <w:rFonts w:ascii="Aptos" w:hAnsi="Aptos" w:eastAsia="Aptos" w:cs="Aptos"/>
          <w:b w:val="0"/>
          <w:bCs w:val="0"/>
          <w:sz w:val="24"/>
          <w:szCs w:val="24"/>
        </w:rPr>
        <w:t>centred</w:t>
      </w:r>
      <w:r w:rsidRPr="582FA9CC" w:rsidR="78EBD234">
        <w:rPr>
          <w:rFonts w:ascii="Aptos" w:hAnsi="Aptos" w:eastAsia="Aptos" w:cs="Aptos"/>
          <w:b w:val="0"/>
          <w:bCs w:val="0"/>
          <w:sz w:val="24"/>
          <w:szCs w:val="24"/>
        </w:rPr>
        <w:t xml:space="preserve"> care, drawing on relevant academic sources to explore how each influences quality caregiving (Bach &amp; Grant, 2015; Maben et al., 2012).</w:t>
      </w:r>
    </w:p>
    <w:p xmlns:wp14="http://schemas.microsoft.com/office/word/2010/wordml" wp14:paraId="3A19C58C" wp14:textId="03DB1187">
      <w:pPr>
        <w:rPr>
          <w:b w:val="0"/>
          <w:bCs w:val="0"/>
        </w:rPr>
      </w:pPr>
    </w:p>
    <w:p xmlns:wp14="http://schemas.microsoft.com/office/word/2010/wordml" w:rsidP="582FA9CC" wp14:paraId="0611F55A" wp14:textId="14F7C14C">
      <w:pPr>
        <w:pStyle w:val="Heading3"/>
        <w:spacing w:before="281" w:beforeAutospacing="off" w:after="281" w:afterAutospacing="off"/>
        <w:rPr>
          <w:rFonts w:ascii="Aptos" w:hAnsi="Aptos" w:eastAsia="Aptos" w:cs="Aptos"/>
          <w:b w:val="0"/>
          <w:bCs w:val="0"/>
          <w:color w:val="auto"/>
          <w:sz w:val="28"/>
          <w:szCs w:val="28"/>
        </w:rPr>
      </w:pPr>
      <w:r w:rsidRPr="582FA9CC" w:rsidR="78EBD234">
        <w:rPr>
          <w:rFonts w:ascii="Aptos" w:hAnsi="Aptos" w:eastAsia="Aptos" w:cs="Aptos"/>
          <w:b w:val="0"/>
          <w:bCs w:val="0"/>
          <w:color w:val="auto"/>
          <w:sz w:val="28"/>
          <w:szCs w:val="28"/>
        </w:rPr>
        <w:t>1. Description</w:t>
      </w:r>
    </w:p>
    <w:p xmlns:wp14="http://schemas.microsoft.com/office/word/2010/wordml" w:rsidP="582FA9CC" wp14:paraId="31EFE038" wp14:textId="39D97819">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In the role play, I interacted with Chenique, who portrayed an elderly woman recovering at home after being </w:t>
      </w:r>
      <w:r w:rsidRPr="582FA9CC" w:rsidR="78EBD234">
        <w:rPr>
          <w:rFonts w:ascii="Aptos" w:hAnsi="Aptos" w:eastAsia="Aptos" w:cs="Aptos"/>
          <w:b w:val="0"/>
          <w:bCs w:val="0"/>
          <w:sz w:val="24"/>
          <w:szCs w:val="24"/>
        </w:rPr>
        <w:t>hospitalised</w:t>
      </w:r>
      <w:r w:rsidRPr="582FA9CC" w:rsidR="78EBD234">
        <w:rPr>
          <w:rFonts w:ascii="Aptos" w:hAnsi="Aptos" w:eastAsia="Aptos" w:cs="Aptos"/>
          <w:b w:val="0"/>
          <w:bCs w:val="0"/>
          <w:sz w:val="24"/>
          <w:szCs w:val="24"/>
        </w:rPr>
        <w:t xml:space="preserve">. My role involved delivering essential support including mobility </w:t>
      </w:r>
      <w:r w:rsidRPr="582FA9CC" w:rsidR="78EBD234">
        <w:rPr>
          <w:rFonts w:ascii="Aptos" w:hAnsi="Aptos" w:eastAsia="Aptos" w:cs="Aptos"/>
          <w:b w:val="0"/>
          <w:bCs w:val="0"/>
          <w:sz w:val="24"/>
          <w:szCs w:val="24"/>
        </w:rPr>
        <w:t>assistance</w:t>
      </w:r>
      <w:r w:rsidRPr="582FA9CC" w:rsidR="78EBD234">
        <w:rPr>
          <w:rFonts w:ascii="Aptos" w:hAnsi="Aptos" w:eastAsia="Aptos" w:cs="Aptos"/>
          <w:b w:val="0"/>
          <w:bCs w:val="0"/>
          <w:sz w:val="24"/>
          <w:szCs w:val="24"/>
        </w:rPr>
        <w:t xml:space="preserve">, medication administration, and emotional reassurance. Early in the session, the patient expressed frustration over her reduced autonomy. I introduced myself clearly, used open body language, and asked open-ended questions about her health and needs. While </w:t>
      </w:r>
      <w:r w:rsidRPr="582FA9CC" w:rsidR="78EBD234">
        <w:rPr>
          <w:rFonts w:ascii="Aptos" w:hAnsi="Aptos" w:eastAsia="Aptos" w:cs="Aptos"/>
          <w:b w:val="0"/>
          <w:bCs w:val="0"/>
          <w:sz w:val="24"/>
          <w:szCs w:val="24"/>
        </w:rPr>
        <w:t>assisting</w:t>
      </w:r>
      <w:r w:rsidRPr="582FA9CC" w:rsidR="78EBD234">
        <w:rPr>
          <w:rFonts w:ascii="Aptos" w:hAnsi="Aptos" w:eastAsia="Aptos" w:cs="Aptos"/>
          <w:b w:val="0"/>
          <w:bCs w:val="0"/>
          <w:sz w:val="24"/>
          <w:szCs w:val="24"/>
        </w:rPr>
        <w:t xml:space="preserve"> her physically, I aimed to </w:t>
      </w:r>
      <w:r w:rsidRPr="582FA9CC" w:rsidR="78EBD234">
        <w:rPr>
          <w:rFonts w:ascii="Aptos" w:hAnsi="Aptos" w:eastAsia="Aptos" w:cs="Aptos"/>
          <w:b w:val="0"/>
          <w:bCs w:val="0"/>
          <w:sz w:val="24"/>
          <w:szCs w:val="24"/>
        </w:rPr>
        <w:t>validate</w:t>
      </w:r>
      <w:r w:rsidRPr="582FA9CC" w:rsidR="78EBD234">
        <w:rPr>
          <w:rFonts w:ascii="Aptos" w:hAnsi="Aptos" w:eastAsia="Aptos" w:cs="Aptos"/>
          <w:b w:val="0"/>
          <w:bCs w:val="0"/>
          <w:sz w:val="24"/>
          <w:szCs w:val="24"/>
        </w:rPr>
        <w:t xml:space="preserve"> her emotions and remind her that recovery could gradually restore her independence.</w:t>
      </w:r>
    </w:p>
    <w:p xmlns:wp14="http://schemas.microsoft.com/office/word/2010/wordml" w:rsidP="582FA9CC" wp14:paraId="1C79BC78" wp14:textId="413ECC7A">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By the end of the role play, I was able to discuss a follow-up care plan with the patient, who appeared more comfortable and emotionally settled. This experience </w:t>
      </w:r>
      <w:r w:rsidRPr="582FA9CC" w:rsidR="78EBD234">
        <w:rPr>
          <w:rFonts w:ascii="Aptos" w:hAnsi="Aptos" w:eastAsia="Aptos" w:cs="Aptos"/>
          <w:b w:val="0"/>
          <w:bCs w:val="0"/>
          <w:sz w:val="24"/>
          <w:szCs w:val="24"/>
        </w:rPr>
        <w:t>demonstrated</w:t>
      </w:r>
      <w:r w:rsidRPr="582FA9CC" w:rsidR="78EBD234">
        <w:rPr>
          <w:rFonts w:ascii="Aptos" w:hAnsi="Aptos" w:eastAsia="Aptos" w:cs="Aptos"/>
          <w:b w:val="0"/>
          <w:bCs w:val="0"/>
          <w:sz w:val="24"/>
          <w:szCs w:val="24"/>
        </w:rPr>
        <w:t xml:space="preserve"> the significance of relational care in empowering patients during recovery (Papadopoulos et al., 2016).</w:t>
      </w:r>
    </w:p>
    <w:p xmlns:wp14="http://schemas.microsoft.com/office/word/2010/wordml" wp14:paraId="01846A66" wp14:textId="520F7125">
      <w:pPr>
        <w:rPr>
          <w:b w:val="0"/>
          <w:bCs w:val="0"/>
        </w:rPr>
      </w:pPr>
    </w:p>
    <w:p xmlns:wp14="http://schemas.microsoft.com/office/word/2010/wordml" w:rsidP="582FA9CC" wp14:paraId="6547CB0A" wp14:textId="106E2CD7">
      <w:pPr>
        <w:pStyle w:val="Heading3"/>
        <w:spacing w:before="281" w:beforeAutospacing="off" w:after="281" w:afterAutospacing="off"/>
        <w:rPr>
          <w:rFonts w:ascii="Aptos" w:hAnsi="Aptos" w:eastAsia="Aptos" w:cs="Aptos"/>
          <w:b w:val="0"/>
          <w:bCs w:val="0"/>
          <w:color w:val="auto"/>
          <w:sz w:val="28"/>
          <w:szCs w:val="28"/>
        </w:rPr>
      </w:pPr>
      <w:r w:rsidRPr="582FA9CC" w:rsidR="78EBD234">
        <w:rPr>
          <w:rFonts w:ascii="Aptos" w:hAnsi="Aptos" w:eastAsia="Aptos" w:cs="Aptos"/>
          <w:b w:val="0"/>
          <w:bCs w:val="0"/>
          <w:color w:val="auto"/>
          <w:sz w:val="28"/>
          <w:szCs w:val="28"/>
        </w:rPr>
        <w:t>2. Feelings</w:t>
      </w:r>
    </w:p>
    <w:p xmlns:wp14="http://schemas.microsoft.com/office/word/2010/wordml" w:rsidP="582FA9CC" wp14:paraId="12328DA9" wp14:textId="6D161CF7">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Initially, I felt anxious, aware of the emotional complexity that elderly patients may experience. I </w:t>
      </w:r>
      <w:r w:rsidRPr="582FA9CC" w:rsidR="78EBD234">
        <w:rPr>
          <w:rFonts w:ascii="Aptos" w:hAnsi="Aptos" w:eastAsia="Aptos" w:cs="Aptos"/>
          <w:b w:val="0"/>
          <w:bCs w:val="0"/>
          <w:sz w:val="24"/>
          <w:szCs w:val="24"/>
        </w:rPr>
        <w:t>recognised</w:t>
      </w:r>
      <w:r w:rsidRPr="582FA9CC" w:rsidR="78EBD234">
        <w:rPr>
          <w:rFonts w:ascii="Aptos" w:hAnsi="Aptos" w:eastAsia="Aptos" w:cs="Aptos"/>
          <w:b w:val="0"/>
          <w:bCs w:val="0"/>
          <w:sz w:val="24"/>
          <w:szCs w:val="24"/>
        </w:rPr>
        <w:t xml:space="preserve"> the patient’s resistance as a form of emotional </w:t>
      </w:r>
      <w:r w:rsidRPr="582FA9CC" w:rsidR="78EBD234">
        <w:rPr>
          <w:rFonts w:ascii="Aptos" w:hAnsi="Aptos" w:eastAsia="Aptos" w:cs="Aptos"/>
          <w:b w:val="0"/>
          <w:bCs w:val="0"/>
          <w:sz w:val="24"/>
          <w:szCs w:val="24"/>
        </w:rPr>
        <w:t>defence</w:t>
      </w:r>
      <w:r w:rsidRPr="582FA9CC" w:rsidR="78EBD234">
        <w:rPr>
          <w:rFonts w:ascii="Aptos" w:hAnsi="Aptos" w:eastAsia="Aptos" w:cs="Aptos"/>
          <w:b w:val="0"/>
          <w:bCs w:val="0"/>
          <w:sz w:val="24"/>
          <w:szCs w:val="24"/>
        </w:rPr>
        <w:t xml:space="preserve"> linked to her perceived loss of control (Brownie &amp; Nancarrow, 2013). I was determined to balance empathy with professionalism and ensure that my presence felt supportive rather than intrusive.</w:t>
      </w:r>
    </w:p>
    <w:p xmlns:wp14="http://schemas.microsoft.com/office/word/2010/wordml" w:rsidP="582FA9CC" wp14:paraId="70927827" wp14:textId="5D988D0B">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As the interaction progressed, I felt a growing sense of empathy and responsibility. I resonated with the patient’s distress, acknowledging that older adults often grapple with identity and autonomy when health deteriorates (Bridges et al., 2010). By the end, I felt encouraged by her shift toward acceptance, and it affirmed my belief in the power of emotional connection in caregiving (Dewar &amp; Nolan, 2013).</w:t>
      </w:r>
    </w:p>
    <w:p xmlns:wp14="http://schemas.microsoft.com/office/word/2010/wordml" wp14:paraId="525EF5D3" wp14:textId="0C787E08">
      <w:pPr>
        <w:rPr>
          <w:b w:val="0"/>
          <w:bCs w:val="0"/>
        </w:rPr>
      </w:pPr>
    </w:p>
    <w:p xmlns:wp14="http://schemas.microsoft.com/office/word/2010/wordml" w:rsidP="582FA9CC" wp14:paraId="4AB7DD62" wp14:textId="34E4D2C6">
      <w:pPr>
        <w:pStyle w:val="Heading3"/>
        <w:spacing w:before="281" w:beforeAutospacing="off" w:after="281" w:afterAutospacing="off"/>
        <w:rPr>
          <w:rFonts w:ascii="Aptos" w:hAnsi="Aptos" w:eastAsia="Aptos" w:cs="Aptos"/>
          <w:b w:val="0"/>
          <w:bCs w:val="0"/>
          <w:color w:val="auto"/>
          <w:sz w:val="28"/>
          <w:szCs w:val="28"/>
        </w:rPr>
      </w:pPr>
      <w:r w:rsidRPr="582FA9CC" w:rsidR="78EBD234">
        <w:rPr>
          <w:rFonts w:ascii="Aptos" w:hAnsi="Aptos" w:eastAsia="Aptos" w:cs="Aptos"/>
          <w:b w:val="0"/>
          <w:bCs w:val="0"/>
          <w:color w:val="auto"/>
          <w:sz w:val="28"/>
          <w:szCs w:val="28"/>
        </w:rPr>
        <w:t>3. Evaluation</w:t>
      </w:r>
    </w:p>
    <w:p xmlns:wp14="http://schemas.microsoft.com/office/word/2010/wordml" w:rsidP="582FA9CC" wp14:paraId="03A00037" wp14:textId="3A67C39B">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Positive aspects</w:t>
      </w:r>
      <w:r w:rsidRPr="582FA9CC" w:rsidR="78EBD234">
        <w:rPr>
          <w:rFonts w:ascii="Aptos" w:hAnsi="Aptos" w:eastAsia="Aptos" w:cs="Aptos"/>
          <w:b w:val="0"/>
          <w:bCs w:val="0"/>
          <w:sz w:val="24"/>
          <w:szCs w:val="24"/>
        </w:rPr>
        <w:t xml:space="preserve"> included my effective verbal communication. I </w:t>
      </w:r>
      <w:r w:rsidRPr="582FA9CC" w:rsidR="78EBD234">
        <w:rPr>
          <w:rFonts w:ascii="Aptos" w:hAnsi="Aptos" w:eastAsia="Aptos" w:cs="Aptos"/>
          <w:b w:val="0"/>
          <w:bCs w:val="0"/>
          <w:sz w:val="24"/>
          <w:szCs w:val="24"/>
        </w:rPr>
        <w:t>maintained</w:t>
      </w:r>
      <w:r w:rsidRPr="582FA9CC" w:rsidR="78EBD234">
        <w:rPr>
          <w:rFonts w:ascii="Aptos" w:hAnsi="Aptos" w:eastAsia="Aptos" w:cs="Aptos"/>
          <w:b w:val="0"/>
          <w:bCs w:val="0"/>
          <w:sz w:val="24"/>
          <w:szCs w:val="24"/>
        </w:rPr>
        <w:t xml:space="preserve"> a calm, reassuring tone and used questions to encourage the patient’s input—an approach aligned with </w:t>
      </w:r>
      <w:r w:rsidRPr="582FA9CC" w:rsidR="78EBD234">
        <w:rPr>
          <w:rFonts w:ascii="Aptos" w:hAnsi="Aptos" w:eastAsia="Aptos" w:cs="Aptos"/>
          <w:b w:val="0"/>
          <w:bCs w:val="0"/>
          <w:i w:val="1"/>
          <w:iCs w:val="1"/>
          <w:sz w:val="24"/>
          <w:szCs w:val="24"/>
        </w:rPr>
        <w:t>active listening</w:t>
      </w:r>
      <w:r w:rsidRPr="582FA9CC" w:rsidR="78EBD234">
        <w:rPr>
          <w:rFonts w:ascii="Aptos" w:hAnsi="Aptos" w:eastAsia="Aptos" w:cs="Aptos"/>
          <w:b w:val="0"/>
          <w:bCs w:val="0"/>
          <w:sz w:val="24"/>
          <w:szCs w:val="24"/>
        </w:rPr>
        <w:t xml:space="preserve"> principles (Silverman et al., 2013). I also </w:t>
      </w:r>
      <w:r w:rsidRPr="582FA9CC" w:rsidR="78EBD234">
        <w:rPr>
          <w:rFonts w:ascii="Aptos" w:hAnsi="Aptos" w:eastAsia="Aptos" w:cs="Aptos"/>
          <w:b w:val="0"/>
          <w:bCs w:val="0"/>
          <w:sz w:val="24"/>
          <w:szCs w:val="24"/>
        </w:rPr>
        <w:t>demonstrated</w:t>
      </w:r>
      <w:r w:rsidRPr="582FA9CC" w:rsidR="78EBD234">
        <w:rPr>
          <w:rFonts w:ascii="Aptos" w:hAnsi="Aptos" w:eastAsia="Aptos" w:cs="Aptos"/>
          <w:b w:val="0"/>
          <w:bCs w:val="0"/>
          <w:sz w:val="24"/>
          <w:szCs w:val="24"/>
        </w:rPr>
        <w:t xml:space="preserve"> empathy by </w:t>
      </w:r>
      <w:r w:rsidRPr="582FA9CC" w:rsidR="78EBD234">
        <w:rPr>
          <w:rFonts w:ascii="Aptos" w:hAnsi="Aptos" w:eastAsia="Aptos" w:cs="Aptos"/>
          <w:b w:val="0"/>
          <w:bCs w:val="0"/>
          <w:sz w:val="24"/>
          <w:szCs w:val="24"/>
        </w:rPr>
        <w:t>validating</w:t>
      </w:r>
      <w:r w:rsidRPr="582FA9CC" w:rsidR="78EBD234">
        <w:rPr>
          <w:rFonts w:ascii="Aptos" w:hAnsi="Aptos" w:eastAsia="Aptos" w:cs="Aptos"/>
          <w:b w:val="0"/>
          <w:bCs w:val="0"/>
          <w:sz w:val="24"/>
          <w:szCs w:val="24"/>
        </w:rPr>
        <w:t xml:space="preserve"> her feelings, which is vital in building trust (Gaskin, McFadden &amp; </w:t>
      </w:r>
      <w:r w:rsidRPr="582FA9CC" w:rsidR="78EBD234">
        <w:rPr>
          <w:rFonts w:ascii="Aptos" w:hAnsi="Aptos" w:eastAsia="Aptos" w:cs="Aptos"/>
          <w:b w:val="0"/>
          <w:bCs w:val="0"/>
          <w:sz w:val="24"/>
          <w:szCs w:val="24"/>
        </w:rPr>
        <w:t>Sprogis</w:t>
      </w:r>
      <w:r w:rsidRPr="582FA9CC" w:rsidR="78EBD234">
        <w:rPr>
          <w:rFonts w:ascii="Aptos" w:hAnsi="Aptos" w:eastAsia="Aptos" w:cs="Aptos"/>
          <w:b w:val="0"/>
          <w:bCs w:val="0"/>
          <w:sz w:val="24"/>
          <w:szCs w:val="24"/>
        </w:rPr>
        <w:t>, 2017).</w:t>
      </w:r>
    </w:p>
    <w:p xmlns:wp14="http://schemas.microsoft.com/office/word/2010/wordml" w:rsidP="582FA9CC" wp14:paraId="5F5742D5" wp14:textId="7F60931F">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Another strength was my effort to treat the patient as a partner in care, which reflects the principles of </w:t>
      </w:r>
      <w:r w:rsidRPr="582FA9CC" w:rsidR="78EBD234">
        <w:rPr>
          <w:rFonts w:ascii="Aptos" w:hAnsi="Aptos" w:eastAsia="Aptos" w:cs="Aptos"/>
          <w:b w:val="0"/>
          <w:bCs w:val="0"/>
          <w:sz w:val="24"/>
          <w:szCs w:val="24"/>
        </w:rPr>
        <w:t>person-</w:t>
      </w:r>
      <w:r w:rsidRPr="582FA9CC" w:rsidR="78EBD234">
        <w:rPr>
          <w:rFonts w:ascii="Aptos" w:hAnsi="Aptos" w:eastAsia="Aptos" w:cs="Aptos"/>
          <w:b w:val="0"/>
          <w:bCs w:val="0"/>
          <w:sz w:val="24"/>
          <w:szCs w:val="24"/>
        </w:rPr>
        <w:t>centred</w:t>
      </w:r>
      <w:r w:rsidRPr="582FA9CC" w:rsidR="78EBD234">
        <w:rPr>
          <w:rFonts w:ascii="Aptos" w:hAnsi="Aptos" w:eastAsia="Aptos" w:cs="Aptos"/>
          <w:b w:val="0"/>
          <w:bCs w:val="0"/>
          <w:sz w:val="24"/>
          <w:szCs w:val="24"/>
        </w:rPr>
        <w:t xml:space="preserve"> care</w:t>
      </w:r>
      <w:r w:rsidRPr="582FA9CC" w:rsidR="78EBD234">
        <w:rPr>
          <w:rFonts w:ascii="Aptos" w:hAnsi="Aptos" w:eastAsia="Aptos" w:cs="Aptos"/>
          <w:b w:val="0"/>
          <w:bCs w:val="0"/>
          <w:sz w:val="24"/>
          <w:szCs w:val="24"/>
        </w:rPr>
        <w:t xml:space="preserve"> (McCormack &amp; McCance, 2017). Giving her space to express her emotions helped create a therapeutic environment.</w:t>
      </w:r>
    </w:p>
    <w:p xmlns:wp14="http://schemas.microsoft.com/office/word/2010/wordml" w:rsidP="582FA9CC" wp14:paraId="5D60106A" wp14:textId="57CF93DC">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However, I also </w:t>
      </w:r>
      <w:r w:rsidRPr="582FA9CC" w:rsidR="78EBD234">
        <w:rPr>
          <w:rFonts w:ascii="Aptos" w:hAnsi="Aptos" w:eastAsia="Aptos" w:cs="Aptos"/>
          <w:b w:val="0"/>
          <w:bCs w:val="0"/>
          <w:sz w:val="24"/>
          <w:szCs w:val="24"/>
        </w:rPr>
        <w:t>recognised</w:t>
      </w:r>
      <w:r w:rsidRPr="582FA9CC" w:rsidR="78EBD234">
        <w:rPr>
          <w:rFonts w:ascii="Aptos" w:hAnsi="Aptos" w:eastAsia="Aptos" w:cs="Aptos"/>
          <w:b w:val="0"/>
          <w:bCs w:val="0"/>
          <w:sz w:val="24"/>
          <w:szCs w:val="24"/>
        </w:rPr>
        <w:t xml:space="preserve"> </w:t>
      </w:r>
      <w:r w:rsidRPr="582FA9CC" w:rsidR="78EBD234">
        <w:rPr>
          <w:rFonts w:ascii="Aptos" w:hAnsi="Aptos" w:eastAsia="Aptos" w:cs="Aptos"/>
          <w:b w:val="0"/>
          <w:bCs w:val="0"/>
          <w:sz w:val="24"/>
          <w:szCs w:val="24"/>
        </w:rPr>
        <w:t>areas for improvement</w:t>
      </w:r>
      <w:r w:rsidRPr="582FA9CC" w:rsidR="78EBD234">
        <w:rPr>
          <w:rFonts w:ascii="Aptos" w:hAnsi="Aptos" w:eastAsia="Aptos" w:cs="Aptos"/>
          <w:b w:val="0"/>
          <w:bCs w:val="0"/>
          <w:sz w:val="24"/>
          <w:szCs w:val="24"/>
        </w:rPr>
        <w:t xml:space="preserve">. I could have explored her emotional distress more deeply. Using reflection techniques such as paraphrasing or mirroring could have fostered further discussion (Egan, 2013). Additionally, while I provided physical </w:t>
      </w:r>
      <w:r w:rsidRPr="582FA9CC" w:rsidR="78EBD234">
        <w:rPr>
          <w:rFonts w:ascii="Aptos" w:hAnsi="Aptos" w:eastAsia="Aptos" w:cs="Aptos"/>
          <w:b w:val="0"/>
          <w:bCs w:val="0"/>
          <w:sz w:val="24"/>
          <w:szCs w:val="24"/>
        </w:rPr>
        <w:t>assistance</w:t>
      </w:r>
      <w:r w:rsidRPr="582FA9CC" w:rsidR="78EBD234">
        <w:rPr>
          <w:rFonts w:ascii="Aptos" w:hAnsi="Aptos" w:eastAsia="Aptos" w:cs="Aptos"/>
          <w:b w:val="0"/>
          <w:bCs w:val="0"/>
          <w:sz w:val="24"/>
          <w:szCs w:val="24"/>
        </w:rPr>
        <w:t>, I did not sufficiently involve her in choosing how tasks were done. According to Kitson et al. (2013), involving patients in decision-making fosters autonomy and dignity.</w:t>
      </w:r>
    </w:p>
    <w:p xmlns:wp14="http://schemas.microsoft.com/office/word/2010/wordml" w:rsidP="582FA9CC" wp14:paraId="75233074" wp14:textId="16297BE3">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Non-verbal communication was another area needing improvement. Although I used open posture, I could have better </w:t>
      </w:r>
      <w:r w:rsidRPr="582FA9CC" w:rsidR="78EBD234">
        <w:rPr>
          <w:rFonts w:ascii="Aptos" w:hAnsi="Aptos" w:eastAsia="Aptos" w:cs="Aptos"/>
          <w:b w:val="0"/>
          <w:bCs w:val="0"/>
          <w:sz w:val="24"/>
          <w:szCs w:val="24"/>
        </w:rPr>
        <w:t>demonstrated</w:t>
      </w:r>
      <w:r w:rsidRPr="582FA9CC" w:rsidR="78EBD234">
        <w:rPr>
          <w:rFonts w:ascii="Aptos" w:hAnsi="Aptos" w:eastAsia="Aptos" w:cs="Aptos"/>
          <w:b w:val="0"/>
          <w:bCs w:val="0"/>
          <w:sz w:val="24"/>
          <w:szCs w:val="24"/>
        </w:rPr>
        <w:t xml:space="preserve"> empathy through eye contact or gentle gestures, which play a crucial role in patient comfort (Wilkinson et al., 2020).</w:t>
      </w:r>
    </w:p>
    <w:p xmlns:wp14="http://schemas.microsoft.com/office/word/2010/wordml" wp14:paraId="2D9E9FB1" wp14:textId="0F9FF269">
      <w:pPr>
        <w:rPr>
          <w:b w:val="0"/>
          <w:bCs w:val="0"/>
        </w:rPr>
      </w:pPr>
    </w:p>
    <w:p xmlns:wp14="http://schemas.microsoft.com/office/word/2010/wordml" w:rsidP="582FA9CC" wp14:paraId="61314C9B" wp14:textId="749D74F5">
      <w:pPr>
        <w:pStyle w:val="Heading3"/>
        <w:spacing w:before="281" w:beforeAutospacing="off" w:after="281" w:afterAutospacing="off"/>
        <w:rPr>
          <w:rFonts w:ascii="Aptos" w:hAnsi="Aptos" w:eastAsia="Aptos" w:cs="Aptos"/>
          <w:b w:val="0"/>
          <w:bCs w:val="0"/>
          <w:color w:val="auto"/>
          <w:sz w:val="28"/>
          <w:szCs w:val="28"/>
        </w:rPr>
      </w:pPr>
      <w:r w:rsidRPr="582FA9CC" w:rsidR="78EBD234">
        <w:rPr>
          <w:rFonts w:ascii="Aptos" w:hAnsi="Aptos" w:eastAsia="Aptos" w:cs="Aptos"/>
          <w:b w:val="0"/>
          <w:bCs w:val="0"/>
          <w:color w:val="auto"/>
          <w:sz w:val="28"/>
          <w:szCs w:val="28"/>
        </w:rPr>
        <w:t>4. Analysis</w:t>
      </w:r>
    </w:p>
    <w:p xmlns:wp14="http://schemas.microsoft.com/office/word/2010/wordml" w:rsidP="582FA9CC" wp14:paraId="427E5683" wp14:textId="7FDFE10E">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This scenario underscored the significance of </w:t>
      </w:r>
      <w:r w:rsidRPr="582FA9CC" w:rsidR="78EBD234">
        <w:rPr>
          <w:rFonts w:ascii="Aptos" w:hAnsi="Aptos" w:eastAsia="Aptos" w:cs="Aptos"/>
          <w:b w:val="0"/>
          <w:bCs w:val="0"/>
          <w:i w:val="1"/>
          <w:iCs w:val="1"/>
          <w:sz w:val="24"/>
          <w:szCs w:val="24"/>
        </w:rPr>
        <w:t>holistic caregiving</w:t>
      </w:r>
      <w:r w:rsidRPr="582FA9CC" w:rsidR="78EBD234">
        <w:rPr>
          <w:rFonts w:ascii="Aptos" w:hAnsi="Aptos" w:eastAsia="Aptos" w:cs="Aptos"/>
          <w:b w:val="0"/>
          <w:bCs w:val="0"/>
          <w:sz w:val="24"/>
          <w:szCs w:val="24"/>
        </w:rPr>
        <w:t xml:space="preserve">, which includes addressing both physical and emotional needs. Effective communication is central to building rapport, especially with patients experiencing vulnerability or resistance (O’Hagan et al., 2014). By listening to and </w:t>
      </w:r>
      <w:r w:rsidRPr="582FA9CC" w:rsidR="78EBD234">
        <w:rPr>
          <w:rFonts w:ascii="Aptos" w:hAnsi="Aptos" w:eastAsia="Aptos" w:cs="Aptos"/>
          <w:b w:val="0"/>
          <w:bCs w:val="0"/>
          <w:sz w:val="24"/>
          <w:szCs w:val="24"/>
        </w:rPr>
        <w:t>validating</w:t>
      </w:r>
      <w:r w:rsidRPr="582FA9CC" w:rsidR="78EBD234">
        <w:rPr>
          <w:rFonts w:ascii="Aptos" w:hAnsi="Aptos" w:eastAsia="Aptos" w:cs="Aptos"/>
          <w:b w:val="0"/>
          <w:bCs w:val="0"/>
          <w:sz w:val="24"/>
          <w:szCs w:val="24"/>
        </w:rPr>
        <w:t xml:space="preserve"> the patient's concerns, I helped alleviate some of her emotional burden.</w:t>
      </w:r>
    </w:p>
    <w:p xmlns:wp14="http://schemas.microsoft.com/office/word/2010/wordml" w:rsidP="582FA9CC" wp14:paraId="0258F1B7" wp14:textId="4CE90A9A">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Empathy, as defined by Mercer and Reynolds (2002), involves both understanding the patient’s experience and communicating that understanding. I made efforts to </w:t>
      </w:r>
      <w:r w:rsidRPr="582FA9CC" w:rsidR="78EBD234">
        <w:rPr>
          <w:rFonts w:ascii="Aptos" w:hAnsi="Aptos" w:eastAsia="Aptos" w:cs="Aptos"/>
          <w:b w:val="0"/>
          <w:bCs w:val="0"/>
          <w:sz w:val="24"/>
          <w:szCs w:val="24"/>
        </w:rPr>
        <w:t>demonstrate</w:t>
      </w:r>
      <w:r w:rsidRPr="582FA9CC" w:rsidR="78EBD234">
        <w:rPr>
          <w:rFonts w:ascii="Aptos" w:hAnsi="Aptos" w:eastAsia="Aptos" w:cs="Aptos"/>
          <w:b w:val="0"/>
          <w:bCs w:val="0"/>
          <w:sz w:val="24"/>
          <w:szCs w:val="24"/>
        </w:rPr>
        <w:t xml:space="preserve"> this but could have deepened the emotional dialogue. As suggested by Heliker and </w:t>
      </w:r>
      <w:r w:rsidRPr="582FA9CC" w:rsidR="78EBD234">
        <w:rPr>
          <w:rFonts w:ascii="Aptos" w:hAnsi="Aptos" w:eastAsia="Aptos" w:cs="Aptos"/>
          <w:b w:val="0"/>
          <w:bCs w:val="0"/>
          <w:sz w:val="24"/>
          <w:szCs w:val="24"/>
        </w:rPr>
        <w:t>Schim</w:t>
      </w:r>
      <w:r w:rsidRPr="582FA9CC" w:rsidR="78EBD234">
        <w:rPr>
          <w:rFonts w:ascii="Aptos" w:hAnsi="Aptos" w:eastAsia="Aptos" w:cs="Aptos"/>
          <w:b w:val="0"/>
          <w:bCs w:val="0"/>
          <w:sz w:val="24"/>
          <w:szCs w:val="24"/>
        </w:rPr>
        <w:t xml:space="preserve"> (2011), caregivers must build an emotionally safe space, which allows patients to voice their fears without judgement.</w:t>
      </w:r>
    </w:p>
    <w:p xmlns:wp14="http://schemas.microsoft.com/office/word/2010/wordml" w:rsidP="582FA9CC" wp14:paraId="3333B5D0" wp14:textId="266B3078">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Additionally, autonomy is a cornerstone of person-centred care. Older patients, particularly post-hospitalisation, often experience identity threats due to dependence (Brownie &amp; Nancarrow, 2013). Offering choices</w:t>
      </w:r>
      <w:r w:rsidRPr="582FA9CC" w:rsidR="1A987F74">
        <w:rPr>
          <w:rFonts w:ascii="Aptos" w:hAnsi="Aptos" w:eastAsia="Aptos" w:cs="Aptos"/>
          <w:b w:val="0"/>
          <w:bCs w:val="0"/>
          <w:sz w:val="24"/>
          <w:szCs w:val="24"/>
        </w:rPr>
        <w:t xml:space="preserve"> </w:t>
      </w:r>
      <w:r w:rsidRPr="582FA9CC" w:rsidR="78EBD234">
        <w:rPr>
          <w:rFonts w:ascii="Aptos" w:hAnsi="Aptos" w:eastAsia="Aptos" w:cs="Aptos"/>
          <w:b w:val="0"/>
          <w:bCs w:val="0"/>
          <w:sz w:val="24"/>
          <w:szCs w:val="24"/>
        </w:rPr>
        <w:t>even in small matters like the order of tasks</w:t>
      </w:r>
      <w:r w:rsidRPr="582FA9CC" w:rsidR="0295FA87">
        <w:rPr>
          <w:rFonts w:ascii="Aptos" w:hAnsi="Aptos" w:eastAsia="Aptos" w:cs="Aptos"/>
          <w:b w:val="0"/>
          <w:bCs w:val="0"/>
          <w:sz w:val="24"/>
          <w:szCs w:val="24"/>
        </w:rPr>
        <w:t xml:space="preserve"> </w:t>
      </w:r>
      <w:r w:rsidRPr="582FA9CC" w:rsidR="78EBD234">
        <w:rPr>
          <w:rFonts w:ascii="Aptos" w:hAnsi="Aptos" w:eastAsia="Aptos" w:cs="Aptos"/>
          <w:b w:val="0"/>
          <w:bCs w:val="0"/>
          <w:sz w:val="24"/>
          <w:szCs w:val="24"/>
        </w:rPr>
        <w:t>can help restore a sense of agency (McCormack et al., 2015). In future encounters, I should be more proactive in co-creating care plans with patients.</w:t>
      </w:r>
    </w:p>
    <w:p xmlns:wp14="http://schemas.microsoft.com/office/word/2010/wordml" w:rsidP="582FA9CC" wp14:paraId="74A0656C" wp14:textId="3F5A0F04">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From a systemic view, limited time and resources in healthcare can </w:t>
      </w:r>
      <w:r w:rsidRPr="582FA9CC" w:rsidR="78EBD234">
        <w:rPr>
          <w:rFonts w:ascii="Aptos" w:hAnsi="Aptos" w:eastAsia="Aptos" w:cs="Aptos"/>
          <w:b w:val="0"/>
          <w:bCs w:val="0"/>
          <w:sz w:val="24"/>
          <w:szCs w:val="24"/>
        </w:rPr>
        <w:t>impact</w:t>
      </w:r>
      <w:r w:rsidRPr="582FA9CC" w:rsidR="78EBD234">
        <w:rPr>
          <w:rFonts w:ascii="Aptos" w:hAnsi="Aptos" w:eastAsia="Aptos" w:cs="Aptos"/>
          <w:b w:val="0"/>
          <w:bCs w:val="0"/>
          <w:sz w:val="24"/>
          <w:szCs w:val="24"/>
        </w:rPr>
        <w:t xml:space="preserve"> the depth of emotional care provided. As Maben et al. (2012) argue, institutional pressures can hinder relational aspects of care, which are essential for patient satisfaction. This highlights the importance of time management and </w:t>
      </w:r>
      <w:r w:rsidRPr="582FA9CC" w:rsidR="78EBD234">
        <w:rPr>
          <w:rFonts w:ascii="Aptos" w:hAnsi="Aptos" w:eastAsia="Aptos" w:cs="Aptos"/>
          <w:b w:val="0"/>
          <w:bCs w:val="0"/>
          <w:sz w:val="24"/>
          <w:szCs w:val="24"/>
        </w:rPr>
        <w:t>prioritising</w:t>
      </w:r>
      <w:r w:rsidRPr="582FA9CC" w:rsidR="78EBD234">
        <w:rPr>
          <w:rFonts w:ascii="Aptos" w:hAnsi="Aptos" w:eastAsia="Aptos" w:cs="Aptos"/>
          <w:b w:val="0"/>
          <w:bCs w:val="0"/>
          <w:sz w:val="24"/>
          <w:szCs w:val="24"/>
        </w:rPr>
        <w:t xml:space="preserve"> emotional as well as clinical care.</w:t>
      </w:r>
    </w:p>
    <w:p xmlns:wp14="http://schemas.microsoft.com/office/word/2010/wordml" wp14:paraId="1D1E16ED" wp14:textId="77592DAA">
      <w:pPr>
        <w:rPr>
          <w:b w:val="0"/>
          <w:bCs w:val="0"/>
        </w:rPr>
      </w:pPr>
    </w:p>
    <w:p xmlns:wp14="http://schemas.microsoft.com/office/word/2010/wordml" w:rsidP="582FA9CC" wp14:paraId="386F2907" wp14:textId="7BD25673">
      <w:pPr>
        <w:pStyle w:val="Heading3"/>
        <w:spacing w:before="281" w:beforeAutospacing="off" w:after="281" w:afterAutospacing="off"/>
        <w:rPr>
          <w:rFonts w:ascii="Aptos" w:hAnsi="Aptos" w:eastAsia="Aptos" w:cs="Aptos"/>
          <w:b w:val="0"/>
          <w:bCs w:val="0"/>
          <w:color w:val="auto"/>
          <w:sz w:val="28"/>
          <w:szCs w:val="28"/>
        </w:rPr>
      </w:pPr>
      <w:r w:rsidRPr="582FA9CC" w:rsidR="78EBD234">
        <w:rPr>
          <w:rFonts w:ascii="Aptos" w:hAnsi="Aptos" w:eastAsia="Aptos" w:cs="Aptos"/>
          <w:b w:val="0"/>
          <w:bCs w:val="0"/>
          <w:color w:val="auto"/>
          <w:sz w:val="28"/>
          <w:szCs w:val="28"/>
        </w:rPr>
        <w:t>5. Conclusion</w:t>
      </w:r>
    </w:p>
    <w:p xmlns:wp14="http://schemas.microsoft.com/office/word/2010/wordml" w:rsidP="582FA9CC" wp14:paraId="7F4A2F6C" wp14:textId="7F2B011A">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This reflective process has improved my understanding of how communication, empathy, and patient involvement contribute to effective caregiving. I </w:t>
      </w:r>
      <w:r w:rsidRPr="582FA9CC" w:rsidR="78EBD234">
        <w:rPr>
          <w:rFonts w:ascii="Aptos" w:hAnsi="Aptos" w:eastAsia="Aptos" w:cs="Aptos"/>
          <w:b w:val="0"/>
          <w:bCs w:val="0"/>
          <w:sz w:val="24"/>
          <w:szCs w:val="24"/>
        </w:rPr>
        <w:t>recognised</w:t>
      </w:r>
      <w:r w:rsidRPr="582FA9CC" w:rsidR="78EBD234">
        <w:rPr>
          <w:rFonts w:ascii="Aptos" w:hAnsi="Aptos" w:eastAsia="Aptos" w:cs="Aptos"/>
          <w:b w:val="0"/>
          <w:bCs w:val="0"/>
          <w:sz w:val="24"/>
          <w:szCs w:val="24"/>
        </w:rPr>
        <w:t xml:space="preserve"> the value of </w:t>
      </w:r>
      <w:r w:rsidRPr="582FA9CC" w:rsidR="78EBD234">
        <w:rPr>
          <w:rFonts w:ascii="Aptos" w:hAnsi="Aptos" w:eastAsia="Aptos" w:cs="Aptos"/>
          <w:b w:val="0"/>
          <w:bCs w:val="0"/>
          <w:sz w:val="24"/>
          <w:szCs w:val="24"/>
        </w:rPr>
        <w:t>validating</w:t>
      </w:r>
      <w:r w:rsidRPr="582FA9CC" w:rsidR="78EBD234">
        <w:rPr>
          <w:rFonts w:ascii="Aptos" w:hAnsi="Aptos" w:eastAsia="Aptos" w:cs="Aptos"/>
          <w:b w:val="0"/>
          <w:bCs w:val="0"/>
          <w:sz w:val="24"/>
          <w:szCs w:val="24"/>
        </w:rPr>
        <w:t xml:space="preserve"> emotional experiences, which </w:t>
      </w:r>
      <w:r w:rsidRPr="582FA9CC" w:rsidR="78EBD234">
        <w:rPr>
          <w:rFonts w:ascii="Aptos" w:hAnsi="Aptos" w:eastAsia="Aptos" w:cs="Aptos"/>
          <w:b w:val="0"/>
          <w:bCs w:val="0"/>
          <w:sz w:val="24"/>
          <w:szCs w:val="24"/>
        </w:rPr>
        <w:t>supports</w:t>
      </w:r>
      <w:r w:rsidRPr="582FA9CC" w:rsidR="78EBD234">
        <w:rPr>
          <w:rFonts w:ascii="Aptos" w:hAnsi="Aptos" w:eastAsia="Aptos" w:cs="Aptos"/>
          <w:b w:val="0"/>
          <w:bCs w:val="0"/>
          <w:sz w:val="24"/>
          <w:szCs w:val="24"/>
        </w:rPr>
        <w:t xml:space="preserve"> recovery and </w:t>
      </w:r>
      <w:r w:rsidRPr="582FA9CC" w:rsidR="78EBD234">
        <w:rPr>
          <w:rFonts w:ascii="Aptos" w:hAnsi="Aptos" w:eastAsia="Aptos" w:cs="Aptos"/>
          <w:b w:val="0"/>
          <w:bCs w:val="0"/>
          <w:sz w:val="24"/>
          <w:szCs w:val="24"/>
        </w:rPr>
        <w:t>fosters</w:t>
      </w:r>
      <w:r w:rsidRPr="582FA9CC" w:rsidR="78EBD234">
        <w:rPr>
          <w:rFonts w:ascii="Aptos" w:hAnsi="Aptos" w:eastAsia="Aptos" w:cs="Aptos"/>
          <w:b w:val="0"/>
          <w:bCs w:val="0"/>
          <w:sz w:val="24"/>
          <w:szCs w:val="24"/>
        </w:rPr>
        <w:t xml:space="preserve"> trust. While I was able to offer both physical and emotional support, I now see the need for greater attention to non-verbal communication and patient empowerment.</w:t>
      </w:r>
    </w:p>
    <w:p xmlns:wp14="http://schemas.microsoft.com/office/word/2010/wordml" w:rsidP="582FA9CC" wp14:paraId="6CD387AB" wp14:textId="5146482D">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The experience reinforced that care work is not only clinical</w:t>
      </w:r>
      <w:r w:rsidRPr="582FA9CC" w:rsidR="06B9B1E8">
        <w:rPr>
          <w:rFonts w:ascii="Aptos" w:hAnsi="Aptos" w:eastAsia="Aptos" w:cs="Aptos"/>
          <w:b w:val="0"/>
          <w:bCs w:val="0"/>
          <w:sz w:val="24"/>
          <w:szCs w:val="24"/>
        </w:rPr>
        <w:t xml:space="preserve"> </w:t>
      </w:r>
      <w:r w:rsidRPr="582FA9CC" w:rsidR="78EBD234">
        <w:rPr>
          <w:rFonts w:ascii="Aptos" w:hAnsi="Aptos" w:eastAsia="Aptos" w:cs="Aptos"/>
          <w:b w:val="0"/>
          <w:bCs w:val="0"/>
          <w:sz w:val="24"/>
          <w:szCs w:val="24"/>
        </w:rPr>
        <w:t>it is relational. Creating safe, empathetic spaces and involving patients in decisions are crucial for promoting both recovery and dignity (McCormack &amp; McCance, 2017).</w:t>
      </w:r>
    </w:p>
    <w:p xmlns:wp14="http://schemas.microsoft.com/office/word/2010/wordml" wp14:paraId="774C407F" wp14:textId="7C81235D">
      <w:pPr>
        <w:rPr>
          <w:b w:val="0"/>
          <w:bCs w:val="0"/>
        </w:rPr>
      </w:pPr>
    </w:p>
    <w:p xmlns:wp14="http://schemas.microsoft.com/office/word/2010/wordml" w:rsidP="582FA9CC" wp14:paraId="23E49604" wp14:textId="4A8AB566">
      <w:pPr>
        <w:pStyle w:val="Heading3"/>
        <w:spacing w:before="281" w:beforeAutospacing="off" w:after="281" w:afterAutospacing="off"/>
        <w:rPr>
          <w:rFonts w:ascii="Aptos" w:hAnsi="Aptos" w:eastAsia="Aptos" w:cs="Aptos"/>
          <w:b w:val="0"/>
          <w:bCs w:val="0"/>
          <w:color w:val="auto"/>
          <w:sz w:val="28"/>
          <w:szCs w:val="28"/>
        </w:rPr>
      </w:pPr>
      <w:r w:rsidRPr="582FA9CC" w:rsidR="78EBD234">
        <w:rPr>
          <w:rFonts w:ascii="Aptos" w:hAnsi="Aptos" w:eastAsia="Aptos" w:cs="Aptos"/>
          <w:b w:val="0"/>
          <w:bCs w:val="0"/>
          <w:color w:val="auto"/>
          <w:sz w:val="28"/>
          <w:szCs w:val="28"/>
        </w:rPr>
        <w:t>6. Action Plan</w:t>
      </w:r>
    </w:p>
    <w:p xmlns:wp14="http://schemas.microsoft.com/office/word/2010/wordml" w:rsidP="582FA9CC" wp14:paraId="1E1E7CAC" wp14:textId="52A36C7D">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To enhance my future practice, I intend to:</w:t>
      </w:r>
    </w:p>
    <w:p xmlns:wp14="http://schemas.microsoft.com/office/word/2010/wordml" w:rsidP="582FA9CC" wp14:paraId="1B5F9576" wp14:textId="6382DCBA">
      <w:pPr>
        <w:pStyle w:val="ListParagraph"/>
        <w:numPr>
          <w:ilvl w:val="0"/>
          <w:numId w:val="1"/>
        </w:num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Improve Verbal and Non-Verbal Communication:</w:t>
      </w:r>
      <w:r w:rsidRPr="582FA9CC" w:rsidR="78EBD234">
        <w:rPr>
          <w:rFonts w:ascii="Aptos" w:hAnsi="Aptos" w:eastAsia="Aptos" w:cs="Aptos"/>
          <w:b w:val="0"/>
          <w:bCs w:val="0"/>
          <w:sz w:val="24"/>
          <w:szCs w:val="24"/>
        </w:rPr>
        <w:t xml:space="preserve"> </w:t>
      </w:r>
      <w:r w:rsidRPr="582FA9CC" w:rsidR="78EBD234">
        <w:rPr>
          <w:rFonts w:ascii="Aptos" w:hAnsi="Aptos" w:eastAsia="Aptos" w:cs="Aptos"/>
          <w:b w:val="0"/>
          <w:bCs w:val="0"/>
          <w:sz w:val="24"/>
          <w:szCs w:val="24"/>
        </w:rPr>
        <w:t>Practise</w:t>
      </w:r>
      <w:r w:rsidRPr="582FA9CC" w:rsidR="78EBD234">
        <w:rPr>
          <w:rFonts w:ascii="Aptos" w:hAnsi="Aptos" w:eastAsia="Aptos" w:cs="Aptos"/>
          <w:b w:val="0"/>
          <w:bCs w:val="0"/>
          <w:sz w:val="24"/>
          <w:szCs w:val="24"/>
        </w:rPr>
        <w:t xml:space="preserve"> active listening and body language that reflects empathy, such as nodding, eye contact, and open posture (Silverman et al., 2013).</w:t>
      </w:r>
    </w:p>
    <w:p xmlns:wp14="http://schemas.microsoft.com/office/word/2010/wordml" w:rsidP="582FA9CC" wp14:paraId="1767C941" wp14:textId="585C7E3E">
      <w:pPr>
        <w:pStyle w:val="ListParagraph"/>
        <w:numPr>
          <w:ilvl w:val="0"/>
          <w:numId w:val="1"/>
        </w:num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Deepen Emotional Exploration:</w:t>
      </w:r>
      <w:r w:rsidRPr="582FA9CC" w:rsidR="78EBD234">
        <w:rPr>
          <w:rFonts w:ascii="Aptos" w:hAnsi="Aptos" w:eastAsia="Aptos" w:cs="Aptos"/>
          <w:b w:val="0"/>
          <w:bCs w:val="0"/>
          <w:sz w:val="24"/>
          <w:szCs w:val="24"/>
        </w:rPr>
        <w:t xml:space="preserve"> Use reflective techniques like paraphrasing and clarifying to encourage patients to express their emotional state (Egan, 2013).</w:t>
      </w:r>
    </w:p>
    <w:p xmlns:wp14="http://schemas.microsoft.com/office/word/2010/wordml" w:rsidP="582FA9CC" wp14:paraId="449CC240" wp14:textId="6C852A43">
      <w:pPr>
        <w:pStyle w:val="ListParagraph"/>
        <w:numPr>
          <w:ilvl w:val="0"/>
          <w:numId w:val="1"/>
        </w:num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Promote Autonomy:</w:t>
      </w:r>
      <w:r w:rsidRPr="582FA9CC" w:rsidR="78EBD234">
        <w:rPr>
          <w:rFonts w:ascii="Aptos" w:hAnsi="Aptos" w:eastAsia="Aptos" w:cs="Aptos"/>
          <w:b w:val="0"/>
          <w:bCs w:val="0"/>
          <w:sz w:val="24"/>
          <w:szCs w:val="24"/>
        </w:rPr>
        <w:t xml:space="preserve"> Offer patients choices wherever possible, including in daily routines and care decisions, in line with person-</w:t>
      </w:r>
      <w:r w:rsidRPr="582FA9CC" w:rsidR="78EBD234">
        <w:rPr>
          <w:rFonts w:ascii="Aptos" w:hAnsi="Aptos" w:eastAsia="Aptos" w:cs="Aptos"/>
          <w:b w:val="0"/>
          <w:bCs w:val="0"/>
          <w:sz w:val="24"/>
          <w:szCs w:val="24"/>
        </w:rPr>
        <w:t>centred</w:t>
      </w:r>
      <w:r w:rsidRPr="582FA9CC" w:rsidR="78EBD234">
        <w:rPr>
          <w:rFonts w:ascii="Aptos" w:hAnsi="Aptos" w:eastAsia="Aptos" w:cs="Aptos"/>
          <w:b w:val="0"/>
          <w:bCs w:val="0"/>
          <w:sz w:val="24"/>
          <w:szCs w:val="24"/>
        </w:rPr>
        <w:t xml:space="preserve"> principles (Kitson et al., 2013).</w:t>
      </w:r>
    </w:p>
    <w:p xmlns:wp14="http://schemas.microsoft.com/office/word/2010/wordml" w:rsidP="582FA9CC" wp14:paraId="374FC243" wp14:textId="3BFE0BE9">
      <w:pPr>
        <w:pStyle w:val="ListParagraph"/>
        <w:numPr>
          <w:ilvl w:val="0"/>
          <w:numId w:val="1"/>
        </w:num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Engage in Continuous Reflection:</w:t>
      </w:r>
      <w:r w:rsidRPr="582FA9CC" w:rsidR="78EBD234">
        <w:rPr>
          <w:rFonts w:ascii="Aptos" w:hAnsi="Aptos" w:eastAsia="Aptos" w:cs="Aptos"/>
          <w:b w:val="0"/>
          <w:bCs w:val="0"/>
          <w:sz w:val="24"/>
          <w:szCs w:val="24"/>
        </w:rPr>
        <w:t xml:space="preserve"> Routinely apply models like Gibbs’ Cycle and seek feedback from supervisors to improve both interpersonal and practical caregiving skills (Gibbs, 1988).</w:t>
      </w:r>
    </w:p>
    <w:p xmlns:wp14="http://schemas.microsoft.com/office/word/2010/wordml" w:rsidP="582FA9CC" wp14:paraId="04233BE3" wp14:textId="642129C6">
      <w:pPr>
        <w:pStyle w:val="ListParagraph"/>
        <w:numPr>
          <w:ilvl w:val="0"/>
          <w:numId w:val="1"/>
        </w:num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Consider Systemic Barriers:</w:t>
      </w:r>
      <w:r w:rsidRPr="582FA9CC" w:rsidR="78EBD234">
        <w:rPr>
          <w:rFonts w:ascii="Aptos" w:hAnsi="Aptos" w:eastAsia="Aptos" w:cs="Aptos"/>
          <w:b w:val="0"/>
          <w:bCs w:val="0"/>
          <w:sz w:val="24"/>
          <w:szCs w:val="24"/>
        </w:rPr>
        <w:t xml:space="preserve"> Be mindful of institutional constraints and advocate for care practices that allow time for relational work (Maben et al., 2012).</w:t>
      </w:r>
    </w:p>
    <w:p xmlns:wp14="http://schemas.microsoft.com/office/word/2010/wordml" wp14:paraId="72A142DB" wp14:textId="5109A28F">
      <w:pPr>
        <w:rPr>
          <w:b w:val="0"/>
          <w:bCs w:val="0"/>
        </w:rPr>
      </w:pPr>
    </w:p>
    <w:p xmlns:wp14="http://schemas.microsoft.com/office/word/2010/wordml" w:rsidP="582FA9CC" wp14:paraId="246EB0EA" wp14:textId="0B59EBA2">
      <w:pPr>
        <w:pStyle w:val="Heading2"/>
        <w:spacing w:before="299" w:beforeAutospacing="off" w:after="299" w:afterAutospacing="off"/>
        <w:rPr>
          <w:rFonts w:ascii="Aptos" w:hAnsi="Aptos" w:eastAsia="Aptos" w:cs="Aptos"/>
          <w:b w:val="0"/>
          <w:bCs w:val="0"/>
          <w:color w:val="auto"/>
          <w:sz w:val="36"/>
          <w:szCs w:val="36"/>
        </w:rPr>
      </w:pPr>
      <w:r w:rsidRPr="582FA9CC" w:rsidR="78EBD234">
        <w:rPr>
          <w:rFonts w:ascii="Aptos" w:hAnsi="Aptos" w:eastAsia="Aptos" w:cs="Aptos"/>
          <w:b w:val="0"/>
          <w:bCs w:val="0"/>
          <w:color w:val="auto"/>
          <w:sz w:val="36"/>
          <w:szCs w:val="36"/>
        </w:rPr>
        <w:t>References</w:t>
      </w:r>
    </w:p>
    <w:p xmlns:wp14="http://schemas.microsoft.com/office/word/2010/wordml" w:rsidP="582FA9CC" wp14:paraId="6D753428" wp14:textId="46CC69B2">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Bach, S. and Grant, A. (2015) </w:t>
      </w:r>
      <w:r w:rsidRPr="582FA9CC" w:rsidR="78EBD234">
        <w:rPr>
          <w:rFonts w:ascii="Aptos" w:hAnsi="Aptos" w:eastAsia="Aptos" w:cs="Aptos"/>
          <w:b w:val="0"/>
          <w:bCs w:val="0"/>
          <w:i w:val="1"/>
          <w:iCs w:val="1"/>
          <w:sz w:val="24"/>
          <w:szCs w:val="24"/>
        </w:rPr>
        <w:t>Communication and interpersonal skills in nursing</w:t>
      </w:r>
      <w:r w:rsidRPr="582FA9CC" w:rsidR="78EBD234">
        <w:rPr>
          <w:rFonts w:ascii="Aptos" w:hAnsi="Aptos" w:eastAsia="Aptos" w:cs="Aptos"/>
          <w:b w:val="0"/>
          <w:bCs w:val="0"/>
          <w:sz w:val="24"/>
          <w:szCs w:val="24"/>
        </w:rPr>
        <w:t xml:space="preserve">. 3rd </w:t>
      </w:r>
      <w:r w:rsidRPr="582FA9CC" w:rsidR="78EBD234">
        <w:rPr>
          <w:rFonts w:ascii="Aptos" w:hAnsi="Aptos" w:eastAsia="Aptos" w:cs="Aptos"/>
          <w:b w:val="0"/>
          <w:bCs w:val="0"/>
          <w:sz w:val="24"/>
          <w:szCs w:val="24"/>
        </w:rPr>
        <w:t>edn</w:t>
      </w:r>
      <w:r w:rsidRPr="582FA9CC" w:rsidR="78EBD234">
        <w:rPr>
          <w:rFonts w:ascii="Aptos" w:hAnsi="Aptos" w:eastAsia="Aptos" w:cs="Aptos"/>
          <w:b w:val="0"/>
          <w:bCs w:val="0"/>
          <w:sz w:val="24"/>
          <w:szCs w:val="24"/>
        </w:rPr>
        <w:t>. London: Learning Matters.</w:t>
      </w:r>
    </w:p>
    <w:p xmlns:wp14="http://schemas.microsoft.com/office/word/2010/wordml" w:rsidP="582FA9CC" wp14:paraId="6C8AA55A" wp14:textId="2CF4A271">
      <w:pPr>
        <w:spacing w:before="240" w:beforeAutospacing="off" w:after="240" w:afterAutospacing="off"/>
        <w:rPr>
          <w:b w:val="0"/>
          <w:bCs w:val="0"/>
        </w:rPr>
      </w:pPr>
      <w:r w:rsidRPr="582FA9CC" w:rsidR="78EBD234">
        <w:rPr>
          <w:rFonts w:ascii="Aptos" w:hAnsi="Aptos" w:eastAsia="Aptos" w:cs="Aptos"/>
          <w:b w:val="0"/>
          <w:bCs w:val="0"/>
          <w:sz w:val="24"/>
          <w:szCs w:val="24"/>
        </w:rPr>
        <w:t xml:space="preserve">Bridges, J., Flatley, M. and Meyer, J. (2010) ‘Older people’s and relatives’ experiences in acute care settings: Systematic review and synthesis of qualitative studies’, </w:t>
      </w:r>
      <w:r w:rsidRPr="582FA9CC" w:rsidR="78EBD234">
        <w:rPr>
          <w:rFonts w:ascii="Aptos" w:hAnsi="Aptos" w:eastAsia="Aptos" w:cs="Aptos"/>
          <w:b w:val="0"/>
          <w:bCs w:val="0"/>
          <w:i w:val="1"/>
          <w:iCs w:val="1"/>
          <w:sz w:val="24"/>
          <w:szCs w:val="24"/>
        </w:rPr>
        <w:t>International Journal of Nursing Studies</w:t>
      </w:r>
      <w:r w:rsidRPr="582FA9CC" w:rsidR="78EBD234">
        <w:rPr>
          <w:rFonts w:ascii="Aptos" w:hAnsi="Aptos" w:eastAsia="Aptos" w:cs="Aptos"/>
          <w:b w:val="0"/>
          <w:bCs w:val="0"/>
          <w:sz w:val="24"/>
          <w:szCs w:val="24"/>
        </w:rPr>
        <w:t xml:space="preserve">, 47(1), pp. 89–107. </w:t>
      </w:r>
      <w:hyperlink r:id="R958e1270174c4417">
        <w:r w:rsidRPr="582FA9CC" w:rsidR="78EBD234">
          <w:rPr>
            <w:rStyle w:val="Hyperlink"/>
            <w:rFonts w:ascii="Aptos" w:hAnsi="Aptos" w:eastAsia="Aptos" w:cs="Aptos"/>
            <w:b w:val="0"/>
            <w:bCs w:val="0"/>
            <w:sz w:val="24"/>
            <w:szCs w:val="24"/>
          </w:rPr>
          <w:t>https://doi.org/10.1016/j.ijnurstu.2009.09.009</w:t>
        </w:r>
      </w:hyperlink>
    </w:p>
    <w:p xmlns:wp14="http://schemas.microsoft.com/office/word/2010/wordml" w:rsidP="582FA9CC" wp14:paraId="7B9CDC3E" wp14:textId="4C1B2C04">
      <w:pPr>
        <w:spacing w:before="240" w:beforeAutospacing="off" w:after="240" w:afterAutospacing="off"/>
        <w:rPr>
          <w:b w:val="0"/>
          <w:bCs w:val="0"/>
        </w:rPr>
      </w:pPr>
      <w:r w:rsidRPr="582FA9CC" w:rsidR="78EBD234">
        <w:rPr>
          <w:rFonts w:ascii="Aptos" w:hAnsi="Aptos" w:eastAsia="Aptos" w:cs="Aptos"/>
          <w:b w:val="0"/>
          <w:bCs w:val="0"/>
          <w:sz w:val="24"/>
          <w:szCs w:val="24"/>
        </w:rPr>
        <w:t>Brownie, S. and Nancarrow, S. (2013) ‘Effects of person-</w:t>
      </w:r>
      <w:r w:rsidRPr="582FA9CC" w:rsidR="78EBD234">
        <w:rPr>
          <w:rFonts w:ascii="Aptos" w:hAnsi="Aptos" w:eastAsia="Aptos" w:cs="Aptos"/>
          <w:b w:val="0"/>
          <w:bCs w:val="0"/>
          <w:sz w:val="24"/>
          <w:szCs w:val="24"/>
        </w:rPr>
        <w:t>centered</w:t>
      </w:r>
      <w:r w:rsidRPr="582FA9CC" w:rsidR="78EBD234">
        <w:rPr>
          <w:rFonts w:ascii="Aptos" w:hAnsi="Aptos" w:eastAsia="Aptos" w:cs="Aptos"/>
          <w:b w:val="0"/>
          <w:bCs w:val="0"/>
          <w:sz w:val="24"/>
          <w:szCs w:val="24"/>
        </w:rPr>
        <w:t xml:space="preserve"> care on residents and staff in aged-care facilities: A systematic review’, </w:t>
      </w:r>
      <w:r w:rsidRPr="582FA9CC" w:rsidR="78EBD234">
        <w:rPr>
          <w:rFonts w:ascii="Aptos" w:hAnsi="Aptos" w:eastAsia="Aptos" w:cs="Aptos"/>
          <w:b w:val="0"/>
          <w:bCs w:val="0"/>
          <w:i w:val="1"/>
          <w:iCs w:val="1"/>
          <w:sz w:val="24"/>
          <w:szCs w:val="24"/>
        </w:rPr>
        <w:t>Clinical Interventions in Aging</w:t>
      </w:r>
      <w:r w:rsidRPr="582FA9CC" w:rsidR="78EBD234">
        <w:rPr>
          <w:rFonts w:ascii="Aptos" w:hAnsi="Aptos" w:eastAsia="Aptos" w:cs="Aptos"/>
          <w:b w:val="0"/>
          <w:bCs w:val="0"/>
          <w:sz w:val="24"/>
          <w:szCs w:val="24"/>
        </w:rPr>
        <w:t xml:space="preserve">, 8, pp. 1–10. </w:t>
      </w:r>
      <w:hyperlink r:id="Rafbbd39287454b78">
        <w:r w:rsidRPr="582FA9CC" w:rsidR="78EBD234">
          <w:rPr>
            <w:rStyle w:val="Hyperlink"/>
            <w:rFonts w:ascii="Aptos" w:hAnsi="Aptos" w:eastAsia="Aptos" w:cs="Aptos"/>
            <w:b w:val="0"/>
            <w:bCs w:val="0"/>
            <w:sz w:val="24"/>
            <w:szCs w:val="24"/>
          </w:rPr>
          <w:t>https://doi.org/10.2147/CIA.S38589</w:t>
        </w:r>
      </w:hyperlink>
    </w:p>
    <w:p xmlns:wp14="http://schemas.microsoft.com/office/word/2010/wordml" w:rsidP="582FA9CC" wp14:paraId="351D76E5" wp14:textId="5055EE7E">
      <w:pPr>
        <w:spacing w:before="240" w:beforeAutospacing="off" w:after="240" w:afterAutospacing="off"/>
        <w:rPr>
          <w:b w:val="0"/>
          <w:bCs w:val="0"/>
        </w:rPr>
      </w:pPr>
      <w:r w:rsidRPr="582FA9CC" w:rsidR="78EBD234">
        <w:rPr>
          <w:rFonts w:ascii="Aptos" w:hAnsi="Aptos" w:eastAsia="Aptos" w:cs="Aptos"/>
          <w:b w:val="0"/>
          <w:bCs w:val="0"/>
          <w:sz w:val="24"/>
          <w:szCs w:val="24"/>
        </w:rPr>
        <w:t>Dewar, B. and Nolan, M. (2013) ‘Caring about caring: Developing a model to implement compassionate relationship-</w:t>
      </w:r>
      <w:r w:rsidRPr="582FA9CC" w:rsidR="78EBD234">
        <w:rPr>
          <w:rFonts w:ascii="Aptos" w:hAnsi="Aptos" w:eastAsia="Aptos" w:cs="Aptos"/>
          <w:b w:val="0"/>
          <w:bCs w:val="0"/>
          <w:sz w:val="24"/>
          <w:szCs w:val="24"/>
        </w:rPr>
        <w:t>centred</w:t>
      </w:r>
      <w:r w:rsidRPr="582FA9CC" w:rsidR="78EBD234">
        <w:rPr>
          <w:rFonts w:ascii="Aptos" w:hAnsi="Aptos" w:eastAsia="Aptos" w:cs="Aptos"/>
          <w:b w:val="0"/>
          <w:bCs w:val="0"/>
          <w:sz w:val="24"/>
          <w:szCs w:val="24"/>
        </w:rPr>
        <w:t xml:space="preserve"> care in an older people care setting’, </w:t>
      </w:r>
      <w:r w:rsidRPr="582FA9CC" w:rsidR="78EBD234">
        <w:rPr>
          <w:rFonts w:ascii="Aptos" w:hAnsi="Aptos" w:eastAsia="Aptos" w:cs="Aptos"/>
          <w:b w:val="0"/>
          <w:bCs w:val="0"/>
          <w:i w:val="1"/>
          <w:iCs w:val="1"/>
          <w:sz w:val="24"/>
          <w:szCs w:val="24"/>
        </w:rPr>
        <w:t>International Journal of Nursing Studies</w:t>
      </w:r>
      <w:r w:rsidRPr="582FA9CC" w:rsidR="78EBD234">
        <w:rPr>
          <w:rFonts w:ascii="Aptos" w:hAnsi="Aptos" w:eastAsia="Aptos" w:cs="Aptos"/>
          <w:b w:val="0"/>
          <w:bCs w:val="0"/>
          <w:sz w:val="24"/>
          <w:szCs w:val="24"/>
        </w:rPr>
        <w:t xml:space="preserve">, 50(9), pp. 1247–1258. </w:t>
      </w:r>
      <w:hyperlink r:id="R281c166ee7c84ee8">
        <w:r w:rsidRPr="582FA9CC" w:rsidR="78EBD234">
          <w:rPr>
            <w:rStyle w:val="Hyperlink"/>
            <w:rFonts w:ascii="Aptos" w:hAnsi="Aptos" w:eastAsia="Aptos" w:cs="Aptos"/>
            <w:b w:val="0"/>
            <w:bCs w:val="0"/>
            <w:sz w:val="24"/>
            <w:szCs w:val="24"/>
          </w:rPr>
          <w:t>https://doi.org/10.1016/j.ijnurstu.2013.01.008</w:t>
        </w:r>
      </w:hyperlink>
    </w:p>
    <w:p xmlns:wp14="http://schemas.microsoft.com/office/word/2010/wordml" w:rsidP="582FA9CC" wp14:paraId="6440DC3E" wp14:textId="0F7264A9">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Egan, G. (2013) </w:t>
      </w:r>
      <w:r w:rsidRPr="582FA9CC" w:rsidR="78EBD234">
        <w:rPr>
          <w:rFonts w:ascii="Aptos" w:hAnsi="Aptos" w:eastAsia="Aptos" w:cs="Aptos"/>
          <w:b w:val="0"/>
          <w:bCs w:val="0"/>
          <w:i w:val="1"/>
          <w:iCs w:val="1"/>
          <w:sz w:val="24"/>
          <w:szCs w:val="24"/>
        </w:rPr>
        <w:t>The skilled helper: A problem-management and opportunity-development approach to helping</w:t>
      </w:r>
      <w:r w:rsidRPr="582FA9CC" w:rsidR="78EBD234">
        <w:rPr>
          <w:rFonts w:ascii="Aptos" w:hAnsi="Aptos" w:eastAsia="Aptos" w:cs="Aptos"/>
          <w:b w:val="0"/>
          <w:bCs w:val="0"/>
          <w:sz w:val="24"/>
          <w:szCs w:val="24"/>
        </w:rPr>
        <w:t xml:space="preserve">. 10th </w:t>
      </w:r>
      <w:r w:rsidRPr="582FA9CC" w:rsidR="78EBD234">
        <w:rPr>
          <w:rFonts w:ascii="Aptos" w:hAnsi="Aptos" w:eastAsia="Aptos" w:cs="Aptos"/>
          <w:b w:val="0"/>
          <w:bCs w:val="0"/>
          <w:sz w:val="24"/>
          <w:szCs w:val="24"/>
        </w:rPr>
        <w:t>edn</w:t>
      </w:r>
      <w:r w:rsidRPr="582FA9CC" w:rsidR="78EBD234">
        <w:rPr>
          <w:rFonts w:ascii="Aptos" w:hAnsi="Aptos" w:eastAsia="Aptos" w:cs="Aptos"/>
          <w:b w:val="0"/>
          <w:bCs w:val="0"/>
          <w:sz w:val="24"/>
          <w:szCs w:val="24"/>
        </w:rPr>
        <w:t>. Belmont: Cengage Learning.</w:t>
      </w:r>
    </w:p>
    <w:p xmlns:wp14="http://schemas.microsoft.com/office/word/2010/wordml" w:rsidP="582FA9CC" wp14:paraId="24B7C54F" wp14:textId="362D73F0">
      <w:pPr>
        <w:spacing w:before="240" w:beforeAutospacing="off" w:after="240" w:afterAutospacing="off"/>
        <w:rPr>
          <w:b w:val="0"/>
          <w:bCs w:val="0"/>
        </w:rPr>
      </w:pPr>
      <w:r w:rsidRPr="582FA9CC" w:rsidR="78EBD234">
        <w:rPr>
          <w:rFonts w:ascii="Aptos" w:hAnsi="Aptos" w:eastAsia="Aptos" w:cs="Aptos"/>
          <w:b w:val="0"/>
          <w:bCs w:val="0"/>
          <w:sz w:val="24"/>
          <w:szCs w:val="24"/>
        </w:rPr>
        <w:t xml:space="preserve">Gaskin, C.J., McFadden, A. and </w:t>
      </w:r>
      <w:r w:rsidRPr="582FA9CC" w:rsidR="78EBD234">
        <w:rPr>
          <w:rFonts w:ascii="Aptos" w:hAnsi="Aptos" w:eastAsia="Aptos" w:cs="Aptos"/>
          <w:b w:val="0"/>
          <w:bCs w:val="0"/>
          <w:sz w:val="24"/>
          <w:szCs w:val="24"/>
        </w:rPr>
        <w:t>Sprogis</w:t>
      </w:r>
      <w:r w:rsidRPr="582FA9CC" w:rsidR="78EBD234">
        <w:rPr>
          <w:rFonts w:ascii="Aptos" w:hAnsi="Aptos" w:eastAsia="Aptos" w:cs="Aptos"/>
          <w:b w:val="0"/>
          <w:bCs w:val="0"/>
          <w:sz w:val="24"/>
          <w:szCs w:val="24"/>
        </w:rPr>
        <w:t xml:space="preserve">, K. (2017) ‘Empathy in healthcare: A review of literature’, </w:t>
      </w:r>
      <w:r w:rsidRPr="582FA9CC" w:rsidR="78EBD234">
        <w:rPr>
          <w:rFonts w:ascii="Aptos" w:hAnsi="Aptos" w:eastAsia="Aptos" w:cs="Aptos"/>
          <w:b w:val="0"/>
          <w:bCs w:val="0"/>
          <w:i w:val="1"/>
          <w:iCs w:val="1"/>
          <w:sz w:val="24"/>
          <w:szCs w:val="24"/>
        </w:rPr>
        <w:t>Journal of Clinical Nursing</w:t>
      </w:r>
      <w:r w:rsidRPr="582FA9CC" w:rsidR="78EBD234">
        <w:rPr>
          <w:rFonts w:ascii="Aptos" w:hAnsi="Aptos" w:eastAsia="Aptos" w:cs="Aptos"/>
          <w:b w:val="0"/>
          <w:bCs w:val="0"/>
          <w:sz w:val="24"/>
          <w:szCs w:val="24"/>
        </w:rPr>
        <w:t xml:space="preserve">, 26(9–10), pp. 1250–1260. </w:t>
      </w:r>
      <w:hyperlink r:id="R242cca161ca3484e">
        <w:r w:rsidRPr="582FA9CC" w:rsidR="78EBD234">
          <w:rPr>
            <w:rStyle w:val="Hyperlink"/>
            <w:rFonts w:ascii="Aptos" w:hAnsi="Aptos" w:eastAsia="Aptos" w:cs="Aptos"/>
            <w:b w:val="0"/>
            <w:bCs w:val="0"/>
            <w:sz w:val="24"/>
            <w:szCs w:val="24"/>
          </w:rPr>
          <w:t>https://doi.org/10.1111/jocn.13374</w:t>
        </w:r>
      </w:hyperlink>
    </w:p>
    <w:p xmlns:wp14="http://schemas.microsoft.com/office/word/2010/wordml" w:rsidP="582FA9CC" wp14:paraId="6D3E5C91" wp14:textId="2F016862">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Gibbs, G. (1988) </w:t>
      </w:r>
      <w:r w:rsidRPr="582FA9CC" w:rsidR="78EBD234">
        <w:rPr>
          <w:rFonts w:ascii="Aptos" w:hAnsi="Aptos" w:eastAsia="Aptos" w:cs="Aptos"/>
          <w:b w:val="0"/>
          <w:bCs w:val="0"/>
          <w:i w:val="1"/>
          <w:iCs w:val="1"/>
          <w:sz w:val="24"/>
          <w:szCs w:val="24"/>
        </w:rPr>
        <w:t>Learning by doing: A guide to teaching and learning methods</w:t>
      </w:r>
      <w:r w:rsidRPr="582FA9CC" w:rsidR="78EBD234">
        <w:rPr>
          <w:rFonts w:ascii="Aptos" w:hAnsi="Aptos" w:eastAsia="Aptos" w:cs="Aptos"/>
          <w:b w:val="0"/>
          <w:bCs w:val="0"/>
          <w:sz w:val="24"/>
          <w:szCs w:val="24"/>
        </w:rPr>
        <w:t>. Oxford: Oxford Polytechnic.</w:t>
      </w:r>
    </w:p>
    <w:p xmlns:wp14="http://schemas.microsoft.com/office/word/2010/wordml" w:rsidP="582FA9CC" wp14:paraId="7DCDE1DE" wp14:textId="1E62FEFC">
      <w:pPr>
        <w:spacing w:before="240" w:beforeAutospacing="off" w:after="240" w:afterAutospacing="off"/>
        <w:rPr>
          <w:b w:val="0"/>
          <w:bCs w:val="0"/>
        </w:rPr>
      </w:pPr>
      <w:r w:rsidRPr="582FA9CC" w:rsidR="78EBD234">
        <w:rPr>
          <w:rFonts w:ascii="Aptos" w:hAnsi="Aptos" w:eastAsia="Aptos" w:cs="Aptos"/>
          <w:b w:val="0"/>
          <w:bCs w:val="0"/>
          <w:sz w:val="24"/>
          <w:szCs w:val="24"/>
        </w:rPr>
        <w:t xml:space="preserve">Heliker, D. and </w:t>
      </w:r>
      <w:r w:rsidRPr="582FA9CC" w:rsidR="78EBD234">
        <w:rPr>
          <w:rFonts w:ascii="Aptos" w:hAnsi="Aptos" w:eastAsia="Aptos" w:cs="Aptos"/>
          <w:b w:val="0"/>
          <w:bCs w:val="0"/>
          <w:sz w:val="24"/>
          <w:szCs w:val="24"/>
        </w:rPr>
        <w:t>Schim</w:t>
      </w:r>
      <w:r w:rsidRPr="582FA9CC" w:rsidR="78EBD234">
        <w:rPr>
          <w:rFonts w:ascii="Aptos" w:hAnsi="Aptos" w:eastAsia="Aptos" w:cs="Aptos"/>
          <w:b w:val="0"/>
          <w:bCs w:val="0"/>
          <w:sz w:val="24"/>
          <w:szCs w:val="24"/>
        </w:rPr>
        <w:t xml:space="preserve">, S.M. (2011) ‘The importance of emotional support in caregiving for older adults: Implications for the nursing workforce’, </w:t>
      </w:r>
      <w:r w:rsidRPr="582FA9CC" w:rsidR="78EBD234">
        <w:rPr>
          <w:rFonts w:ascii="Aptos" w:hAnsi="Aptos" w:eastAsia="Aptos" w:cs="Aptos"/>
          <w:b w:val="0"/>
          <w:bCs w:val="0"/>
          <w:i w:val="1"/>
          <w:iCs w:val="1"/>
          <w:sz w:val="24"/>
          <w:szCs w:val="24"/>
        </w:rPr>
        <w:t>Journal of Nursing Care Quality</w:t>
      </w:r>
      <w:r w:rsidRPr="582FA9CC" w:rsidR="78EBD234">
        <w:rPr>
          <w:rFonts w:ascii="Aptos" w:hAnsi="Aptos" w:eastAsia="Aptos" w:cs="Aptos"/>
          <w:b w:val="0"/>
          <w:bCs w:val="0"/>
          <w:sz w:val="24"/>
          <w:szCs w:val="24"/>
        </w:rPr>
        <w:t xml:space="preserve">, 26(4), pp. 306–312. </w:t>
      </w:r>
      <w:hyperlink r:id="R2954ae19199f4342">
        <w:r w:rsidRPr="582FA9CC" w:rsidR="78EBD234">
          <w:rPr>
            <w:rStyle w:val="Hyperlink"/>
            <w:rFonts w:ascii="Aptos" w:hAnsi="Aptos" w:eastAsia="Aptos" w:cs="Aptos"/>
            <w:b w:val="0"/>
            <w:bCs w:val="0"/>
            <w:sz w:val="24"/>
            <w:szCs w:val="24"/>
          </w:rPr>
          <w:t>https://doi.org/10.1097/NCQ.0b013e3181fc2138</w:t>
        </w:r>
      </w:hyperlink>
    </w:p>
    <w:p xmlns:wp14="http://schemas.microsoft.com/office/word/2010/wordml" w:rsidP="582FA9CC" wp14:paraId="55FF667E" wp14:textId="7A7FBBB9">
      <w:pPr>
        <w:spacing w:before="240" w:beforeAutospacing="off" w:after="240" w:afterAutospacing="off"/>
        <w:rPr>
          <w:b w:val="0"/>
          <w:bCs w:val="0"/>
        </w:rPr>
      </w:pPr>
      <w:r w:rsidRPr="582FA9CC" w:rsidR="78EBD234">
        <w:rPr>
          <w:rFonts w:ascii="Aptos" w:hAnsi="Aptos" w:eastAsia="Aptos" w:cs="Aptos"/>
          <w:b w:val="0"/>
          <w:bCs w:val="0"/>
          <w:sz w:val="24"/>
          <w:szCs w:val="24"/>
        </w:rPr>
        <w:t>Kitson, A., Marshall, A., Bassett, K. and Zeitz, K. (2013) ‘What are the core elements of patient‐</w:t>
      </w:r>
      <w:r w:rsidRPr="582FA9CC" w:rsidR="78EBD234">
        <w:rPr>
          <w:rFonts w:ascii="Aptos" w:hAnsi="Aptos" w:eastAsia="Aptos" w:cs="Aptos"/>
          <w:b w:val="0"/>
          <w:bCs w:val="0"/>
          <w:sz w:val="24"/>
          <w:szCs w:val="24"/>
        </w:rPr>
        <w:t>centred</w:t>
      </w:r>
      <w:r w:rsidRPr="582FA9CC" w:rsidR="78EBD234">
        <w:rPr>
          <w:rFonts w:ascii="Aptos" w:hAnsi="Aptos" w:eastAsia="Aptos" w:cs="Aptos"/>
          <w:b w:val="0"/>
          <w:bCs w:val="0"/>
          <w:sz w:val="24"/>
          <w:szCs w:val="24"/>
        </w:rPr>
        <w:t xml:space="preserve"> care? A narrative review and synthesis of the literature from health policy, </w:t>
      </w:r>
      <w:r w:rsidRPr="582FA9CC" w:rsidR="78EBD234">
        <w:rPr>
          <w:rFonts w:ascii="Aptos" w:hAnsi="Aptos" w:eastAsia="Aptos" w:cs="Aptos"/>
          <w:b w:val="0"/>
          <w:bCs w:val="0"/>
          <w:sz w:val="24"/>
          <w:szCs w:val="24"/>
        </w:rPr>
        <w:t>medicine</w:t>
      </w:r>
      <w:r w:rsidRPr="582FA9CC" w:rsidR="78EBD234">
        <w:rPr>
          <w:rFonts w:ascii="Aptos" w:hAnsi="Aptos" w:eastAsia="Aptos" w:cs="Aptos"/>
          <w:b w:val="0"/>
          <w:bCs w:val="0"/>
          <w:sz w:val="24"/>
          <w:szCs w:val="24"/>
        </w:rPr>
        <w:t xml:space="preserve"> and nursing</w:t>
      </w:r>
      <w:r w:rsidRPr="582FA9CC" w:rsidR="78EBD234">
        <w:rPr>
          <w:rFonts w:ascii="Aptos" w:hAnsi="Aptos" w:eastAsia="Aptos" w:cs="Aptos"/>
          <w:b w:val="0"/>
          <w:bCs w:val="0"/>
          <w:sz w:val="24"/>
          <w:szCs w:val="24"/>
        </w:rPr>
        <w:t>’,</w:t>
      </w:r>
      <w:r w:rsidRPr="582FA9CC" w:rsidR="78EBD234">
        <w:rPr>
          <w:rFonts w:ascii="Aptos" w:hAnsi="Aptos" w:eastAsia="Aptos" w:cs="Aptos"/>
          <w:b w:val="0"/>
          <w:bCs w:val="0"/>
          <w:sz w:val="24"/>
          <w:szCs w:val="24"/>
        </w:rPr>
        <w:t xml:space="preserve"> </w:t>
      </w:r>
      <w:r w:rsidRPr="582FA9CC" w:rsidR="78EBD234">
        <w:rPr>
          <w:rFonts w:ascii="Aptos" w:hAnsi="Aptos" w:eastAsia="Aptos" w:cs="Aptos"/>
          <w:b w:val="0"/>
          <w:bCs w:val="0"/>
          <w:i w:val="1"/>
          <w:iCs w:val="1"/>
          <w:sz w:val="24"/>
          <w:szCs w:val="24"/>
        </w:rPr>
        <w:t>Journal of Advanced Nursing</w:t>
      </w:r>
      <w:r w:rsidRPr="582FA9CC" w:rsidR="78EBD234">
        <w:rPr>
          <w:rFonts w:ascii="Aptos" w:hAnsi="Aptos" w:eastAsia="Aptos" w:cs="Aptos"/>
          <w:b w:val="0"/>
          <w:bCs w:val="0"/>
          <w:sz w:val="24"/>
          <w:szCs w:val="24"/>
        </w:rPr>
        <w:t xml:space="preserve">, 69(1), pp. 4–15. </w:t>
      </w:r>
      <w:hyperlink r:id="R04b5d855042f4a34">
        <w:r w:rsidRPr="582FA9CC" w:rsidR="78EBD234">
          <w:rPr>
            <w:rStyle w:val="Hyperlink"/>
            <w:rFonts w:ascii="Aptos" w:hAnsi="Aptos" w:eastAsia="Aptos" w:cs="Aptos"/>
            <w:b w:val="0"/>
            <w:bCs w:val="0"/>
            <w:sz w:val="24"/>
            <w:szCs w:val="24"/>
          </w:rPr>
          <w:t>https://doi.org/10.1111/j.1365-2648.2012.06064.x</w:t>
        </w:r>
      </w:hyperlink>
    </w:p>
    <w:p xmlns:wp14="http://schemas.microsoft.com/office/word/2010/wordml" w:rsidP="582FA9CC" wp14:paraId="7E0FEBD1" wp14:textId="090628A0">
      <w:pPr>
        <w:spacing w:before="240" w:beforeAutospacing="off" w:after="240" w:afterAutospacing="off"/>
        <w:rPr>
          <w:b w:val="0"/>
          <w:bCs w:val="0"/>
        </w:rPr>
      </w:pPr>
      <w:r w:rsidRPr="582FA9CC" w:rsidR="78EBD234">
        <w:rPr>
          <w:rFonts w:ascii="Aptos" w:hAnsi="Aptos" w:eastAsia="Aptos" w:cs="Aptos"/>
          <w:b w:val="0"/>
          <w:bCs w:val="0"/>
          <w:sz w:val="24"/>
          <w:szCs w:val="24"/>
        </w:rPr>
        <w:t>Maben, J., Latter, S. and Clark, J. (2012) ‘The sustainability of professional practice following training in person-</w:t>
      </w:r>
      <w:r w:rsidRPr="582FA9CC" w:rsidR="78EBD234">
        <w:rPr>
          <w:rFonts w:ascii="Aptos" w:hAnsi="Aptos" w:eastAsia="Aptos" w:cs="Aptos"/>
          <w:b w:val="0"/>
          <w:bCs w:val="0"/>
          <w:sz w:val="24"/>
          <w:szCs w:val="24"/>
        </w:rPr>
        <w:t>centred</w:t>
      </w:r>
      <w:r w:rsidRPr="582FA9CC" w:rsidR="78EBD234">
        <w:rPr>
          <w:rFonts w:ascii="Aptos" w:hAnsi="Aptos" w:eastAsia="Aptos" w:cs="Aptos"/>
          <w:b w:val="0"/>
          <w:bCs w:val="0"/>
          <w:sz w:val="24"/>
          <w:szCs w:val="24"/>
        </w:rPr>
        <w:t xml:space="preserve"> care: A descriptive qualitative study of nurses working in long-term conditions’, </w:t>
      </w:r>
      <w:r w:rsidRPr="582FA9CC" w:rsidR="78EBD234">
        <w:rPr>
          <w:rFonts w:ascii="Aptos" w:hAnsi="Aptos" w:eastAsia="Aptos" w:cs="Aptos"/>
          <w:b w:val="0"/>
          <w:bCs w:val="0"/>
          <w:i w:val="1"/>
          <w:iCs w:val="1"/>
          <w:sz w:val="24"/>
          <w:szCs w:val="24"/>
        </w:rPr>
        <w:t>International Journal of Nursing Studies</w:t>
      </w:r>
      <w:r w:rsidRPr="582FA9CC" w:rsidR="78EBD234">
        <w:rPr>
          <w:rFonts w:ascii="Aptos" w:hAnsi="Aptos" w:eastAsia="Aptos" w:cs="Aptos"/>
          <w:b w:val="0"/>
          <w:bCs w:val="0"/>
          <w:sz w:val="24"/>
          <w:szCs w:val="24"/>
        </w:rPr>
        <w:t xml:space="preserve">, 49(7), pp. 902–913. </w:t>
      </w:r>
      <w:hyperlink r:id="Rf8468a5c583147b9">
        <w:r w:rsidRPr="582FA9CC" w:rsidR="78EBD234">
          <w:rPr>
            <w:rStyle w:val="Hyperlink"/>
            <w:rFonts w:ascii="Aptos" w:hAnsi="Aptos" w:eastAsia="Aptos" w:cs="Aptos"/>
            <w:b w:val="0"/>
            <w:bCs w:val="0"/>
            <w:sz w:val="24"/>
            <w:szCs w:val="24"/>
          </w:rPr>
          <w:t>https://doi.org/10.1016/j.ijnurstu.2011.10.008</w:t>
        </w:r>
      </w:hyperlink>
    </w:p>
    <w:p xmlns:wp14="http://schemas.microsoft.com/office/word/2010/wordml" w:rsidP="582FA9CC" wp14:paraId="42488778" wp14:textId="5F8E298A">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McCormack, B. and McCance, T. (2017) </w:t>
      </w:r>
      <w:r w:rsidRPr="582FA9CC" w:rsidR="78EBD234">
        <w:rPr>
          <w:rFonts w:ascii="Aptos" w:hAnsi="Aptos" w:eastAsia="Aptos" w:cs="Aptos"/>
          <w:b w:val="0"/>
          <w:bCs w:val="0"/>
          <w:i w:val="1"/>
          <w:iCs w:val="1"/>
          <w:sz w:val="24"/>
          <w:szCs w:val="24"/>
        </w:rPr>
        <w:t>Person-</w:t>
      </w:r>
      <w:r w:rsidRPr="582FA9CC" w:rsidR="78EBD234">
        <w:rPr>
          <w:rFonts w:ascii="Aptos" w:hAnsi="Aptos" w:eastAsia="Aptos" w:cs="Aptos"/>
          <w:b w:val="0"/>
          <w:bCs w:val="0"/>
          <w:i w:val="1"/>
          <w:iCs w:val="1"/>
          <w:sz w:val="24"/>
          <w:szCs w:val="24"/>
        </w:rPr>
        <w:t>centred</w:t>
      </w:r>
      <w:r w:rsidRPr="582FA9CC" w:rsidR="78EBD234">
        <w:rPr>
          <w:rFonts w:ascii="Aptos" w:hAnsi="Aptos" w:eastAsia="Aptos" w:cs="Aptos"/>
          <w:b w:val="0"/>
          <w:bCs w:val="0"/>
          <w:i w:val="1"/>
          <w:iCs w:val="1"/>
          <w:sz w:val="24"/>
          <w:szCs w:val="24"/>
        </w:rPr>
        <w:t xml:space="preserve"> nursing: Theory and practice</w:t>
      </w:r>
      <w:r w:rsidRPr="582FA9CC" w:rsidR="78EBD234">
        <w:rPr>
          <w:rFonts w:ascii="Aptos" w:hAnsi="Aptos" w:eastAsia="Aptos" w:cs="Aptos"/>
          <w:b w:val="0"/>
          <w:bCs w:val="0"/>
          <w:sz w:val="24"/>
          <w:szCs w:val="24"/>
        </w:rPr>
        <w:t xml:space="preserve">. 2nd </w:t>
      </w:r>
      <w:r w:rsidRPr="582FA9CC" w:rsidR="78EBD234">
        <w:rPr>
          <w:rFonts w:ascii="Aptos" w:hAnsi="Aptos" w:eastAsia="Aptos" w:cs="Aptos"/>
          <w:b w:val="0"/>
          <w:bCs w:val="0"/>
          <w:sz w:val="24"/>
          <w:szCs w:val="24"/>
        </w:rPr>
        <w:t>edn</w:t>
      </w:r>
      <w:r w:rsidRPr="582FA9CC" w:rsidR="78EBD234">
        <w:rPr>
          <w:rFonts w:ascii="Aptos" w:hAnsi="Aptos" w:eastAsia="Aptos" w:cs="Aptos"/>
          <w:b w:val="0"/>
          <w:bCs w:val="0"/>
          <w:sz w:val="24"/>
          <w:szCs w:val="24"/>
        </w:rPr>
        <w:t>. Oxford: Wiley-Blackwell.</w:t>
      </w:r>
    </w:p>
    <w:p xmlns:wp14="http://schemas.microsoft.com/office/word/2010/wordml" w:rsidP="582FA9CC" wp14:paraId="31EB0798" wp14:textId="50B85102">
      <w:pPr>
        <w:spacing w:before="240" w:beforeAutospacing="off" w:after="240" w:afterAutospacing="off"/>
        <w:rPr>
          <w:b w:val="0"/>
          <w:bCs w:val="0"/>
        </w:rPr>
      </w:pPr>
      <w:r w:rsidRPr="582FA9CC" w:rsidR="78EBD234">
        <w:rPr>
          <w:rFonts w:ascii="Aptos" w:hAnsi="Aptos" w:eastAsia="Aptos" w:cs="Aptos"/>
          <w:b w:val="0"/>
          <w:bCs w:val="0"/>
          <w:sz w:val="24"/>
          <w:szCs w:val="24"/>
        </w:rPr>
        <w:t>McCormack, B., Karlsson, B., Dewing, J. and Lerdal, A. (2015) ‘Exploring person-</w:t>
      </w:r>
      <w:r w:rsidRPr="582FA9CC" w:rsidR="78EBD234">
        <w:rPr>
          <w:rFonts w:ascii="Aptos" w:hAnsi="Aptos" w:eastAsia="Aptos" w:cs="Aptos"/>
          <w:b w:val="0"/>
          <w:bCs w:val="0"/>
          <w:sz w:val="24"/>
          <w:szCs w:val="24"/>
        </w:rPr>
        <w:t>centredness</w:t>
      </w:r>
      <w:r w:rsidRPr="582FA9CC" w:rsidR="78EBD234">
        <w:rPr>
          <w:rFonts w:ascii="Aptos" w:hAnsi="Aptos" w:eastAsia="Aptos" w:cs="Aptos"/>
          <w:b w:val="0"/>
          <w:bCs w:val="0"/>
          <w:sz w:val="24"/>
          <w:szCs w:val="24"/>
        </w:rPr>
        <w:t xml:space="preserve">: A qualitative meta-synthesis of four studies’, </w:t>
      </w:r>
      <w:r w:rsidRPr="582FA9CC" w:rsidR="78EBD234">
        <w:rPr>
          <w:rFonts w:ascii="Aptos" w:hAnsi="Aptos" w:eastAsia="Aptos" w:cs="Aptos"/>
          <w:b w:val="0"/>
          <w:bCs w:val="0"/>
          <w:i w:val="1"/>
          <w:iCs w:val="1"/>
          <w:sz w:val="24"/>
          <w:szCs w:val="24"/>
        </w:rPr>
        <w:t>Scandinavian Journal of Caring Sciences</w:t>
      </w:r>
      <w:r w:rsidRPr="582FA9CC" w:rsidR="78EBD234">
        <w:rPr>
          <w:rFonts w:ascii="Aptos" w:hAnsi="Aptos" w:eastAsia="Aptos" w:cs="Aptos"/>
          <w:b w:val="0"/>
          <w:bCs w:val="0"/>
          <w:sz w:val="24"/>
          <w:szCs w:val="24"/>
        </w:rPr>
        <w:t xml:space="preserve">, 29(3), pp. 654–662. </w:t>
      </w:r>
      <w:hyperlink r:id="Rb6c8dbf2e2f44b83">
        <w:r w:rsidRPr="582FA9CC" w:rsidR="78EBD234">
          <w:rPr>
            <w:rStyle w:val="Hyperlink"/>
            <w:rFonts w:ascii="Aptos" w:hAnsi="Aptos" w:eastAsia="Aptos" w:cs="Aptos"/>
            <w:b w:val="0"/>
            <w:bCs w:val="0"/>
            <w:sz w:val="24"/>
            <w:szCs w:val="24"/>
          </w:rPr>
          <w:t>https://doi.org/10.1111/scs.12277</w:t>
        </w:r>
      </w:hyperlink>
    </w:p>
    <w:p xmlns:wp14="http://schemas.microsoft.com/office/word/2010/wordml" w:rsidP="582FA9CC" wp14:paraId="5642D3E6" wp14:textId="15E29724">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Mercer, S.W. and Reynolds, W.J. (2002) ‘Empathy and quality of care’, </w:t>
      </w:r>
      <w:r w:rsidRPr="582FA9CC" w:rsidR="78EBD234">
        <w:rPr>
          <w:rFonts w:ascii="Aptos" w:hAnsi="Aptos" w:eastAsia="Aptos" w:cs="Aptos"/>
          <w:b w:val="0"/>
          <w:bCs w:val="0"/>
          <w:i w:val="1"/>
          <w:iCs w:val="1"/>
          <w:sz w:val="24"/>
          <w:szCs w:val="24"/>
        </w:rPr>
        <w:t>British Journal of General Practice</w:t>
      </w:r>
      <w:r w:rsidRPr="582FA9CC" w:rsidR="78EBD234">
        <w:rPr>
          <w:rFonts w:ascii="Aptos" w:hAnsi="Aptos" w:eastAsia="Aptos" w:cs="Aptos"/>
          <w:b w:val="0"/>
          <w:bCs w:val="0"/>
          <w:sz w:val="24"/>
          <w:szCs w:val="24"/>
        </w:rPr>
        <w:t>, 52(</w:t>
      </w:r>
      <w:r w:rsidRPr="582FA9CC" w:rsidR="78EBD234">
        <w:rPr>
          <w:rFonts w:ascii="Aptos" w:hAnsi="Aptos" w:eastAsia="Aptos" w:cs="Aptos"/>
          <w:b w:val="0"/>
          <w:bCs w:val="0"/>
          <w:sz w:val="24"/>
          <w:szCs w:val="24"/>
        </w:rPr>
        <w:t>Suppl</w:t>
      </w:r>
      <w:r w:rsidRPr="582FA9CC" w:rsidR="78EBD234">
        <w:rPr>
          <w:rFonts w:ascii="Aptos" w:hAnsi="Aptos" w:eastAsia="Aptos" w:cs="Aptos"/>
          <w:b w:val="0"/>
          <w:bCs w:val="0"/>
          <w:sz w:val="24"/>
          <w:szCs w:val="24"/>
        </w:rPr>
        <w:t>), pp. S9–S13.</w:t>
      </w:r>
    </w:p>
    <w:p xmlns:wp14="http://schemas.microsoft.com/office/word/2010/wordml" w:rsidP="582FA9CC" wp14:paraId="76427FC8" wp14:textId="097A0D7F">
      <w:pPr>
        <w:spacing w:before="240" w:beforeAutospacing="off" w:after="240" w:afterAutospacing="off"/>
        <w:rPr>
          <w:b w:val="0"/>
          <w:bCs w:val="0"/>
        </w:rPr>
      </w:pPr>
      <w:r w:rsidRPr="582FA9CC" w:rsidR="78EBD234">
        <w:rPr>
          <w:rFonts w:ascii="Aptos" w:hAnsi="Aptos" w:eastAsia="Aptos" w:cs="Aptos"/>
          <w:b w:val="0"/>
          <w:bCs w:val="0"/>
          <w:sz w:val="24"/>
          <w:szCs w:val="24"/>
        </w:rPr>
        <w:t>O’Hagan, S., Manias, E., Elder, C., Pill, J., Woodward-Kron, R., McNamara, T. and Webb, G. (2014) ‘What counts as effective communication in nursing? Evidence from nurse educators and clinicians’ feedback on nurse interactions with simulated patients</w:t>
      </w:r>
      <w:r w:rsidRPr="582FA9CC" w:rsidR="78EBD234">
        <w:rPr>
          <w:rFonts w:ascii="Aptos" w:hAnsi="Aptos" w:eastAsia="Aptos" w:cs="Aptos"/>
          <w:b w:val="0"/>
          <w:bCs w:val="0"/>
          <w:sz w:val="24"/>
          <w:szCs w:val="24"/>
        </w:rPr>
        <w:t>’,</w:t>
      </w:r>
      <w:r w:rsidRPr="582FA9CC" w:rsidR="78EBD234">
        <w:rPr>
          <w:rFonts w:ascii="Aptos" w:hAnsi="Aptos" w:eastAsia="Aptos" w:cs="Aptos"/>
          <w:b w:val="0"/>
          <w:bCs w:val="0"/>
          <w:sz w:val="24"/>
          <w:szCs w:val="24"/>
        </w:rPr>
        <w:t xml:space="preserve"> </w:t>
      </w:r>
      <w:r w:rsidRPr="582FA9CC" w:rsidR="78EBD234">
        <w:rPr>
          <w:rFonts w:ascii="Aptos" w:hAnsi="Aptos" w:eastAsia="Aptos" w:cs="Aptos"/>
          <w:b w:val="0"/>
          <w:bCs w:val="0"/>
          <w:i w:val="1"/>
          <w:iCs w:val="1"/>
          <w:sz w:val="24"/>
          <w:szCs w:val="24"/>
        </w:rPr>
        <w:t>Journal of Advanced Nursing</w:t>
      </w:r>
      <w:r w:rsidRPr="582FA9CC" w:rsidR="78EBD234">
        <w:rPr>
          <w:rFonts w:ascii="Aptos" w:hAnsi="Aptos" w:eastAsia="Aptos" w:cs="Aptos"/>
          <w:b w:val="0"/>
          <w:bCs w:val="0"/>
          <w:sz w:val="24"/>
          <w:szCs w:val="24"/>
        </w:rPr>
        <w:t xml:space="preserve">, 70(6), pp. 1344–1355. </w:t>
      </w:r>
      <w:hyperlink r:id="R74bbe0ac7bd84176">
        <w:r w:rsidRPr="582FA9CC" w:rsidR="78EBD234">
          <w:rPr>
            <w:rStyle w:val="Hyperlink"/>
            <w:rFonts w:ascii="Aptos" w:hAnsi="Aptos" w:eastAsia="Aptos" w:cs="Aptos"/>
            <w:b w:val="0"/>
            <w:bCs w:val="0"/>
            <w:sz w:val="24"/>
            <w:szCs w:val="24"/>
          </w:rPr>
          <w:t>https://doi.org/10.1111/jan.12296</w:t>
        </w:r>
      </w:hyperlink>
    </w:p>
    <w:p xmlns:wp14="http://schemas.microsoft.com/office/word/2010/wordml" w:rsidP="582FA9CC" wp14:paraId="4100894A" wp14:textId="0FCFD8F1">
      <w:pPr>
        <w:spacing w:before="240" w:beforeAutospacing="off" w:after="240" w:afterAutospacing="off"/>
        <w:rPr>
          <w:b w:val="0"/>
          <w:bCs w:val="0"/>
        </w:rPr>
      </w:pPr>
      <w:r w:rsidRPr="582FA9CC" w:rsidR="78EBD234">
        <w:rPr>
          <w:rFonts w:ascii="Aptos" w:hAnsi="Aptos" w:eastAsia="Aptos" w:cs="Aptos"/>
          <w:b w:val="0"/>
          <w:bCs w:val="0"/>
          <w:sz w:val="24"/>
          <w:szCs w:val="24"/>
        </w:rPr>
        <w:t xml:space="preserve">Papadopoulos, I., Shea, S., Taylor, G., Pezzella, A. and Foley, L. (2016) ‘Developing tools to promote culturally competent compassion, courage, and intercultural communication in healthcare’, </w:t>
      </w:r>
      <w:r w:rsidRPr="582FA9CC" w:rsidR="78EBD234">
        <w:rPr>
          <w:rFonts w:ascii="Aptos" w:hAnsi="Aptos" w:eastAsia="Aptos" w:cs="Aptos"/>
          <w:b w:val="0"/>
          <w:bCs w:val="0"/>
          <w:i w:val="1"/>
          <w:iCs w:val="1"/>
          <w:sz w:val="24"/>
          <w:szCs w:val="24"/>
        </w:rPr>
        <w:t>Journal of Compassionate Health Care</w:t>
      </w:r>
      <w:r w:rsidRPr="582FA9CC" w:rsidR="78EBD234">
        <w:rPr>
          <w:rFonts w:ascii="Aptos" w:hAnsi="Aptos" w:eastAsia="Aptos" w:cs="Aptos"/>
          <w:b w:val="0"/>
          <w:bCs w:val="0"/>
          <w:sz w:val="24"/>
          <w:szCs w:val="24"/>
        </w:rPr>
        <w:t xml:space="preserve">, 3(1), pp. 1–10. </w:t>
      </w:r>
      <w:hyperlink r:id="R40df3aed1a784de3">
        <w:r w:rsidRPr="582FA9CC" w:rsidR="78EBD234">
          <w:rPr>
            <w:rStyle w:val="Hyperlink"/>
            <w:rFonts w:ascii="Aptos" w:hAnsi="Aptos" w:eastAsia="Aptos" w:cs="Aptos"/>
            <w:b w:val="0"/>
            <w:bCs w:val="0"/>
            <w:sz w:val="24"/>
            <w:szCs w:val="24"/>
          </w:rPr>
          <w:t>https://doi.org/10.1186/s40639-016-0019-6</w:t>
        </w:r>
      </w:hyperlink>
    </w:p>
    <w:p xmlns:wp14="http://schemas.microsoft.com/office/word/2010/wordml" w:rsidP="582FA9CC" wp14:paraId="07F2C558" wp14:textId="06164E6E">
      <w:pPr>
        <w:spacing w:before="240" w:beforeAutospacing="off" w:after="240" w:afterAutospacing="off"/>
        <w:rPr>
          <w:rFonts w:ascii="Aptos" w:hAnsi="Aptos" w:eastAsia="Aptos" w:cs="Aptos"/>
          <w:b w:val="0"/>
          <w:bCs w:val="0"/>
          <w:sz w:val="24"/>
          <w:szCs w:val="24"/>
        </w:rPr>
      </w:pPr>
      <w:r w:rsidRPr="582FA9CC" w:rsidR="78EBD234">
        <w:rPr>
          <w:rFonts w:ascii="Aptos" w:hAnsi="Aptos" w:eastAsia="Aptos" w:cs="Aptos"/>
          <w:b w:val="0"/>
          <w:bCs w:val="0"/>
          <w:sz w:val="24"/>
          <w:szCs w:val="24"/>
        </w:rPr>
        <w:t xml:space="preserve">Silverman, J., Kurtz, S. and Draper, J. (2013) </w:t>
      </w:r>
      <w:r w:rsidRPr="582FA9CC" w:rsidR="78EBD234">
        <w:rPr>
          <w:rFonts w:ascii="Aptos" w:hAnsi="Aptos" w:eastAsia="Aptos" w:cs="Aptos"/>
          <w:b w:val="0"/>
          <w:bCs w:val="0"/>
          <w:i w:val="1"/>
          <w:iCs w:val="1"/>
          <w:sz w:val="24"/>
          <w:szCs w:val="24"/>
        </w:rPr>
        <w:t>Skills for communicating with patients</w:t>
      </w:r>
      <w:r w:rsidRPr="582FA9CC" w:rsidR="78EBD234">
        <w:rPr>
          <w:rFonts w:ascii="Aptos" w:hAnsi="Aptos" w:eastAsia="Aptos" w:cs="Aptos"/>
          <w:b w:val="0"/>
          <w:bCs w:val="0"/>
          <w:sz w:val="24"/>
          <w:szCs w:val="24"/>
        </w:rPr>
        <w:t xml:space="preserve">. 3rd </w:t>
      </w:r>
      <w:r w:rsidRPr="582FA9CC" w:rsidR="78EBD234">
        <w:rPr>
          <w:rFonts w:ascii="Aptos" w:hAnsi="Aptos" w:eastAsia="Aptos" w:cs="Aptos"/>
          <w:b w:val="0"/>
          <w:bCs w:val="0"/>
          <w:sz w:val="24"/>
          <w:szCs w:val="24"/>
        </w:rPr>
        <w:t>edn</w:t>
      </w:r>
      <w:r w:rsidRPr="582FA9CC" w:rsidR="78EBD234">
        <w:rPr>
          <w:rFonts w:ascii="Aptos" w:hAnsi="Aptos" w:eastAsia="Aptos" w:cs="Aptos"/>
          <w:b w:val="0"/>
          <w:bCs w:val="0"/>
          <w:sz w:val="24"/>
          <w:szCs w:val="24"/>
        </w:rPr>
        <w:t>. Oxford: Radcliffe Publishing.</w:t>
      </w:r>
    </w:p>
    <w:p xmlns:wp14="http://schemas.microsoft.com/office/word/2010/wordml" w:rsidP="582FA9CC" wp14:paraId="68D313CA" wp14:textId="3816B1C2">
      <w:pPr>
        <w:spacing w:before="240" w:beforeAutospacing="off" w:after="240" w:afterAutospacing="off"/>
        <w:rPr>
          <w:b w:val="0"/>
          <w:bCs w:val="0"/>
        </w:rPr>
      </w:pPr>
      <w:r w:rsidRPr="582FA9CC" w:rsidR="78EBD234">
        <w:rPr>
          <w:rFonts w:ascii="Aptos" w:hAnsi="Aptos" w:eastAsia="Aptos" w:cs="Aptos"/>
          <w:b w:val="0"/>
          <w:bCs w:val="0"/>
          <w:sz w:val="24"/>
          <w:szCs w:val="24"/>
        </w:rPr>
        <w:t xml:space="preserve">Wilkinson, A., Taylor, J. and Vail, L. (2020) ‘“Being there” and “being with”: Interpersonal communication skills in nursing’, </w:t>
      </w:r>
      <w:r w:rsidRPr="582FA9CC" w:rsidR="78EBD234">
        <w:rPr>
          <w:rFonts w:ascii="Aptos" w:hAnsi="Aptos" w:eastAsia="Aptos" w:cs="Aptos"/>
          <w:b w:val="0"/>
          <w:bCs w:val="0"/>
          <w:i w:val="1"/>
          <w:iCs w:val="1"/>
          <w:sz w:val="24"/>
          <w:szCs w:val="24"/>
        </w:rPr>
        <w:t>Nursing Standard</w:t>
      </w:r>
      <w:r w:rsidRPr="582FA9CC" w:rsidR="78EBD234">
        <w:rPr>
          <w:rFonts w:ascii="Aptos" w:hAnsi="Aptos" w:eastAsia="Aptos" w:cs="Aptos"/>
          <w:b w:val="0"/>
          <w:bCs w:val="0"/>
          <w:sz w:val="24"/>
          <w:szCs w:val="24"/>
        </w:rPr>
        <w:t xml:space="preserve">, 35(6), pp. 45–50. </w:t>
      </w:r>
      <w:hyperlink r:id="R9564f6168ac0416e">
        <w:r w:rsidRPr="582FA9CC" w:rsidR="78EBD234">
          <w:rPr>
            <w:rStyle w:val="Hyperlink"/>
            <w:rFonts w:ascii="Aptos" w:hAnsi="Aptos" w:eastAsia="Aptos" w:cs="Aptos"/>
            <w:b w:val="0"/>
            <w:bCs w:val="0"/>
            <w:sz w:val="24"/>
            <w:szCs w:val="24"/>
          </w:rPr>
          <w:t>https://doi.org/10.7748/ns.2020.e11467</w:t>
        </w:r>
      </w:hyperlink>
    </w:p>
    <w:p xmlns:wp14="http://schemas.microsoft.com/office/word/2010/wordml" wp14:paraId="2C078E63" wp14:textId="534F9120">
      <w:pPr>
        <w:rPr>
          <w:b w:val="0"/>
          <w:bCs w:val="0"/>
        </w:rPr>
      </w:pPr>
    </w:p>
    <w:sectPr>
      <w:pgSz w:w="12240" w:h="15840" w:orient="portrait"/>
      <w:pgMar w:top="1440" w:right="1440" w:bottom="1440" w:left="1440" w:header="720" w:footer="720" w:gutter="0"/>
      <w:cols w:space="720"/>
      <w:docGrid w:linePitch="360"/>
      <w:headerReference w:type="default" r:id="Rcebe2f0cd7dd4eec"/>
      <w:footerReference w:type="default" r:id="R43181489ede44d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82FA9CC" w:rsidTr="582FA9CC" w14:paraId="2367F3EA">
      <w:trPr>
        <w:trHeight w:val="300"/>
      </w:trPr>
      <w:tc>
        <w:tcPr>
          <w:tcW w:w="3120" w:type="dxa"/>
          <w:tcMar/>
        </w:tcPr>
        <w:p w:rsidR="582FA9CC" w:rsidP="582FA9CC" w:rsidRDefault="582FA9CC" w14:paraId="312E8A8C" w14:textId="6012E8E4">
          <w:pPr>
            <w:pStyle w:val="Header"/>
            <w:bidi w:val="0"/>
            <w:ind w:left="-115"/>
            <w:jc w:val="left"/>
          </w:pPr>
        </w:p>
      </w:tc>
      <w:tc>
        <w:tcPr>
          <w:tcW w:w="3120" w:type="dxa"/>
          <w:tcMar/>
        </w:tcPr>
        <w:p w:rsidR="582FA9CC" w:rsidP="582FA9CC" w:rsidRDefault="582FA9CC" w14:paraId="5FCC5DC1" w14:textId="6298A0C4">
          <w:pPr>
            <w:pStyle w:val="Header"/>
            <w:bidi w:val="0"/>
            <w:jc w:val="center"/>
          </w:pPr>
        </w:p>
      </w:tc>
      <w:tc>
        <w:tcPr>
          <w:tcW w:w="3120" w:type="dxa"/>
          <w:tcMar/>
        </w:tcPr>
        <w:p w:rsidR="582FA9CC" w:rsidP="582FA9CC" w:rsidRDefault="582FA9CC" w14:paraId="48472DC0" w14:textId="340FBE13">
          <w:pPr>
            <w:pStyle w:val="Header"/>
            <w:bidi w:val="0"/>
            <w:ind w:right="-115"/>
            <w:jc w:val="right"/>
          </w:pPr>
        </w:p>
      </w:tc>
    </w:tr>
  </w:tbl>
  <w:p w:rsidR="582FA9CC" w:rsidP="582FA9CC" w:rsidRDefault="582FA9CC" w14:paraId="414FC4FC" w14:textId="4983E0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82FA9CC" w:rsidTr="582FA9CC" w14:paraId="55754A03">
      <w:trPr>
        <w:trHeight w:val="300"/>
      </w:trPr>
      <w:tc>
        <w:tcPr>
          <w:tcW w:w="3120" w:type="dxa"/>
          <w:tcMar/>
        </w:tcPr>
        <w:p w:rsidR="582FA9CC" w:rsidP="582FA9CC" w:rsidRDefault="582FA9CC" w14:paraId="357A787E" w14:textId="3EEDACBE">
          <w:pPr>
            <w:pStyle w:val="Header"/>
            <w:bidi w:val="0"/>
            <w:ind w:left="-115"/>
            <w:jc w:val="left"/>
          </w:pPr>
        </w:p>
      </w:tc>
      <w:tc>
        <w:tcPr>
          <w:tcW w:w="3120" w:type="dxa"/>
          <w:tcMar/>
        </w:tcPr>
        <w:p w:rsidR="582FA9CC" w:rsidP="582FA9CC" w:rsidRDefault="582FA9CC" w14:paraId="74C35040" w14:textId="7551BE01">
          <w:pPr>
            <w:pStyle w:val="Header"/>
            <w:bidi w:val="0"/>
            <w:jc w:val="center"/>
          </w:pPr>
        </w:p>
      </w:tc>
      <w:tc>
        <w:tcPr>
          <w:tcW w:w="3120" w:type="dxa"/>
          <w:tcMar/>
        </w:tcPr>
        <w:p w:rsidR="582FA9CC" w:rsidP="582FA9CC" w:rsidRDefault="582FA9CC" w14:paraId="5F903FED" w14:textId="301A9568">
          <w:pPr>
            <w:pStyle w:val="Header"/>
            <w:bidi w:val="0"/>
            <w:ind w:right="-115"/>
            <w:jc w:val="right"/>
          </w:pPr>
        </w:p>
      </w:tc>
    </w:tr>
  </w:tbl>
  <w:p w:rsidR="582FA9CC" w:rsidP="582FA9CC" w:rsidRDefault="582FA9CC" w14:paraId="5BECFE16" w14:textId="03BE4072">
    <w:pPr>
      <w:pStyle w:val="Header"/>
      <w:bidi w:val="0"/>
    </w:pPr>
  </w:p>
</w:hdr>
</file>

<file path=word/numbering.xml><?xml version="1.0" encoding="utf-8"?>
<w:numbering xmlns:w="http://schemas.openxmlformats.org/wordprocessingml/2006/main">
  <w:abstractNum xmlns:w="http://schemas.openxmlformats.org/wordprocessingml/2006/main" w:abstractNumId="1">
    <w:nsid w:val="6a695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0EF5E4"/>
    <w:rsid w:val="009BF45D"/>
    <w:rsid w:val="0295FA87"/>
    <w:rsid w:val="05D04E6F"/>
    <w:rsid w:val="06B9B1E8"/>
    <w:rsid w:val="0ADEC440"/>
    <w:rsid w:val="0DC51FCD"/>
    <w:rsid w:val="0F2A976C"/>
    <w:rsid w:val="0FE88DCE"/>
    <w:rsid w:val="1A987F74"/>
    <w:rsid w:val="1E9D3982"/>
    <w:rsid w:val="2028D11C"/>
    <w:rsid w:val="28CB69ED"/>
    <w:rsid w:val="2C6151EC"/>
    <w:rsid w:val="38809E51"/>
    <w:rsid w:val="4C18306E"/>
    <w:rsid w:val="540EF5E4"/>
    <w:rsid w:val="560F7B1F"/>
    <w:rsid w:val="582FA9CC"/>
    <w:rsid w:val="58EB5CA8"/>
    <w:rsid w:val="5F1E81C0"/>
    <w:rsid w:val="61F0D1AE"/>
    <w:rsid w:val="64217CA1"/>
    <w:rsid w:val="66F016D9"/>
    <w:rsid w:val="6764A669"/>
    <w:rsid w:val="69E0617B"/>
    <w:rsid w:val="7038BC3C"/>
    <w:rsid w:val="78EBD234"/>
    <w:rsid w:val="7A5C3595"/>
    <w:rsid w:val="7B0FDD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C489D"/>
  <w15:chartTrackingRefBased/>
  <w15:docId w15:val="{3AD9469D-BDC3-4A4C-887E-813B0E86E7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82FA9C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82FA9C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82FA9C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82FA9C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82FA9C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82FA9C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82FA9C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82FA9C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82FA9C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82FA9C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82FA9C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82FA9C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82FA9C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82FA9C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82FA9CC"/>
    <w:pPr>
      <w:spacing/>
      <w:ind w:left="720"/>
      <w:contextualSpacing/>
    </w:pPr>
  </w:style>
  <w:style w:type="character" w:styleId="Hyperlink">
    <w:uiPriority w:val="99"/>
    <w:name w:val="Hyperlink"/>
    <w:basedOn w:val="DefaultParagraphFont"/>
    <w:unhideWhenUsed/>
    <w:rsid w:val="582FA9CC"/>
    <w:rPr>
      <w:color w:val="467886"/>
      <w:u w:val="single"/>
    </w:rPr>
  </w:style>
  <w:style w:type="paragraph" w:styleId="Header">
    <w:uiPriority w:val="99"/>
    <w:name w:val="header"/>
    <w:basedOn w:val="Normal"/>
    <w:unhideWhenUsed/>
    <w:rsid w:val="582FA9CC"/>
    <w:pPr>
      <w:tabs>
        <w:tab w:val="center" w:leader="none" w:pos="4680"/>
        <w:tab w:val="right" w:leader="none" w:pos="9360"/>
      </w:tabs>
      <w:spacing w:after="0" w:line="240" w:lineRule="auto"/>
    </w:pPr>
  </w:style>
  <w:style w:type="paragraph" w:styleId="Footer">
    <w:uiPriority w:val="99"/>
    <w:name w:val="footer"/>
    <w:basedOn w:val="Normal"/>
    <w:unhideWhenUsed/>
    <w:rsid w:val="582FA9C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16/j.ijnurstu.2009.09.009" TargetMode="External" Id="R958e1270174c4417" /><Relationship Type="http://schemas.openxmlformats.org/officeDocument/2006/relationships/hyperlink" Target="https://doi.org/10.2147/CIA.S38589" TargetMode="External" Id="Rafbbd39287454b78" /><Relationship Type="http://schemas.openxmlformats.org/officeDocument/2006/relationships/hyperlink" Target="https://doi.org/10.1016/j.ijnurstu.2013.01.008" TargetMode="External" Id="R281c166ee7c84ee8" /><Relationship Type="http://schemas.openxmlformats.org/officeDocument/2006/relationships/hyperlink" Target="https://doi.org/10.1111/jocn.13374" TargetMode="External" Id="R242cca161ca3484e" /><Relationship Type="http://schemas.openxmlformats.org/officeDocument/2006/relationships/hyperlink" Target="https://doi.org/10.1097/NCQ.0b013e3181fc2138" TargetMode="External" Id="R2954ae19199f4342" /><Relationship Type="http://schemas.openxmlformats.org/officeDocument/2006/relationships/hyperlink" Target="https://doi.org/10.1111/j.1365-2648.2012.06064.x" TargetMode="External" Id="R04b5d855042f4a34" /><Relationship Type="http://schemas.openxmlformats.org/officeDocument/2006/relationships/hyperlink" Target="https://doi.org/10.1016/j.ijnurstu.2011.10.008" TargetMode="External" Id="Rf8468a5c583147b9" /><Relationship Type="http://schemas.openxmlformats.org/officeDocument/2006/relationships/hyperlink" Target="https://doi.org/10.1111/scs.12277" TargetMode="External" Id="Rb6c8dbf2e2f44b83" /><Relationship Type="http://schemas.openxmlformats.org/officeDocument/2006/relationships/hyperlink" Target="https://doi.org/10.1111/jan.12296" TargetMode="External" Id="R74bbe0ac7bd84176" /><Relationship Type="http://schemas.openxmlformats.org/officeDocument/2006/relationships/hyperlink" Target="https://doi.org/10.1186/s40639-016-0019-6" TargetMode="External" Id="R40df3aed1a784de3" /><Relationship Type="http://schemas.openxmlformats.org/officeDocument/2006/relationships/hyperlink" Target="https://doi.org/10.7748/ns.2020.e11467" TargetMode="External" Id="R9564f6168ac0416e" /><Relationship Type="http://schemas.openxmlformats.org/officeDocument/2006/relationships/header" Target="header.xml" Id="Rcebe2f0cd7dd4eec" /><Relationship Type="http://schemas.openxmlformats.org/officeDocument/2006/relationships/footer" Target="footer.xml" Id="R43181489ede44dcc" /><Relationship Type="http://schemas.openxmlformats.org/officeDocument/2006/relationships/numbering" Target="numbering.xml" Id="R02b2cfff126843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2025-04-30T16:59:42.9561612Z</dcterms:created>
  <dcterms:modified xsi:type="dcterms:W3CDTF">2025-04-30T17:27:28.3127852Z</dcterms:modified>
  <dc:creator>Shadan Aziz (2314981)</dc:creator>
  <lastModifiedBy>Shadan Aziz (2314981)</lastModifiedBy>
</coreProperties>
</file>