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D02BD" w14:textId="77777777" w:rsidR="00D01B0F" w:rsidRPr="007419EB" w:rsidRDefault="00000000">
      <w:pPr>
        <w:jc w:val="center"/>
        <w:rPr>
          <w:rFonts w:asciiTheme="majorHAnsi" w:hAnsiTheme="majorHAnsi" w:cstheme="majorHAnsi"/>
        </w:rPr>
      </w:pPr>
      <w:r w:rsidRPr="007419EB">
        <w:rPr>
          <w:rFonts w:asciiTheme="majorHAnsi" w:hAnsiTheme="majorHAnsi" w:cstheme="majorHAnsi"/>
        </w:rPr>
        <w:t>Ethical Response to Compromised Concrete Mix</w:t>
      </w:r>
    </w:p>
    <w:p w14:paraId="5727EB5E" w14:textId="5E1AC30C" w:rsidR="003A72A3" w:rsidRDefault="003A72A3">
      <w:pPr>
        <w:jc w:val="center"/>
        <w:rPr>
          <w:rFonts w:asciiTheme="majorHAnsi" w:hAnsiTheme="majorHAnsi" w:cstheme="majorHAnsi"/>
        </w:rPr>
      </w:pPr>
      <w:r>
        <w:rPr>
          <w:rFonts w:asciiTheme="majorHAnsi" w:hAnsiTheme="majorHAnsi" w:cstheme="majorHAnsi"/>
        </w:rPr>
        <w:t xml:space="preserve">Skills </w:t>
      </w:r>
      <w:r w:rsidR="00893F11">
        <w:rPr>
          <w:rFonts w:asciiTheme="majorHAnsi" w:hAnsiTheme="majorHAnsi" w:cstheme="majorHAnsi"/>
        </w:rPr>
        <w:t>for Professional Practice</w:t>
      </w:r>
    </w:p>
    <w:p w14:paraId="2222745E" w14:textId="19186002" w:rsidR="00D01B0F" w:rsidRPr="007419EB" w:rsidRDefault="00000000">
      <w:pPr>
        <w:jc w:val="center"/>
        <w:rPr>
          <w:rFonts w:asciiTheme="majorHAnsi" w:hAnsiTheme="majorHAnsi" w:cstheme="majorHAnsi"/>
        </w:rPr>
      </w:pPr>
      <w:r w:rsidRPr="007419EB">
        <w:rPr>
          <w:rFonts w:asciiTheme="majorHAnsi" w:hAnsiTheme="majorHAnsi" w:cstheme="majorHAnsi"/>
        </w:rPr>
        <w:t>Student: Olivia Regan</w:t>
      </w:r>
    </w:p>
    <w:p w14:paraId="1ED6EC81" w14:textId="58678908" w:rsidR="00D01B0F" w:rsidRPr="007419EB" w:rsidRDefault="00000000">
      <w:pPr>
        <w:jc w:val="center"/>
        <w:rPr>
          <w:rFonts w:asciiTheme="majorHAnsi" w:hAnsiTheme="majorHAnsi" w:cstheme="majorHAnsi"/>
        </w:rPr>
      </w:pPr>
      <w:r w:rsidRPr="007419EB">
        <w:rPr>
          <w:rFonts w:asciiTheme="majorHAnsi" w:hAnsiTheme="majorHAnsi" w:cstheme="majorHAnsi"/>
        </w:rPr>
        <w:t xml:space="preserve">Student number: </w:t>
      </w:r>
      <w:r w:rsidR="007419EB" w:rsidRPr="007419EB">
        <w:rPr>
          <w:rFonts w:asciiTheme="majorHAnsi" w:hAnsiTheme="majorHAnsi" w:cstheme="majorHAnsi"/>
        </w:rPr>
        <w:t>2506729</w:t>
      </w:r>
    </w:p>
    <w:p w14:paraId="363BC6BD" w14:textId="77777777" w:rsidR="00D01B0F" w:rsidRPr="007419EB" w:rsidRDefault="00000000">
      <w:pPr>
        <w:jc w:val="center"/>
        <w:rPr>
          <w:rFonts w:asciiTheme="majorHAnsi" w:hAnsiTheme="majorHAnsi" w:cstheme="majorHAnsi"/>
        </w:rPr>
      </w:pPr>
      <w:r w:rsidRPr="007419EB">
        <w:rPr>
          <w:rFonts w:asciiTheme="majorHAnsi" w:hAnsiTheme="majorHAnsi" w:cstheme="majorHAnsi"/>
        </w:rPr>
        <w:t>Date: 18 November 2025</w:t>
      </w:r>
    </w:p>
    <w:p w14:paraId="2E440B24" w14:textId="1A113C81" w:rsidR="00D01B0F" w:rsidRPr="007419EB" w:rsidRDefault="00000000">
      <w:pPr>
        <w:jc w:val="center"/>
        <w:rPr>
          <w:rFonts w:asciiTheme="majorHAnsi" w:hAnsiTheme="majorHAnsi" w:cstheme="majorHAnsi"/>
        </w:rPr>
      </w:pPr>
      <w:r w:rsidRPr="007419EB">
        <w:rPr>
          <w:rFonts w:asciiTheme="majorHAnsi" w:hAnsiTheme="majorHAnsi" w:cstheme="majorHAnsi"/>
        </w:rPr>
        <w:t>Word count: 1</w:t>
      </w:r>
      <w:r w:rsidR="006C34ED">
        <w:rPr>
          <w:rFonts w:asciiTheme="majorHAnsi" w:hAnsiTheme="majorHAnsi" w:cstheme="majorHAnsi"/>
        </w:rPr>
        <w:t>284</w:t>
      </w:r>
    </w:p>
    <w:p w14:paraId="036C2CB0" w14:textId="77777777" w:rsidR="00D01B0F" w:rsidRDefault="00000000">
      <w:r>
        <w:br w:type="page"/>
      </w:r>
    </w:p>
    <w:p w14:paraId="67FB0FC9"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lastRenderedPageBreak/>
        <w:t>Table of Contents</w:t>
      </w:r>
    </w:p>
    <w:p w14:paraId="25998689"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1. Introduction</w:t>
      </w:r>
    </w:p>
    <w:p w14:paraId="0DCAFA8F"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2. The Ethical Problem</w:t>
      </w:r>
    </w:p>
    <w:p w14:paraId="3EFAE9AF"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3. Options and Consequences</w:t>
      </w:r>
    </w:p>
    <w:p w14:paraId="3AE3BF15"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4. Ethical Evaluation Using Professional Codes</w:t>
      </w:r>
    </w:p>
    <w:p w14:paraId="4E2660AB"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5. Practical and Professional Actions</w:t>
      </w:r>
    </w:p>
    <w:p w14:paraId="31576A5F" w14:textId="77777777" w:rsidR="00D01B0F" w:rsidRPr="007419EB" w:rsidRDefault="00000000">
      <w:pPr>
        <w:rPr>
          <w:rFonts w:asciiTheme="majorHAnsi" w:hAnsiTheme="majorHAnsi" w:cstheme="majorHAnsi"/>
          <w:sz w:val="24"/>
          <w:szCs w:val="24"/>
        </w:rPr>
      </w:pPr>
      <w:r w:rsidRPr="007419EB">
        <w:rPr>
          <w:rFonts w:asciiTheme="majorHAnsi" w:hAnsiTheme="majorHAnsi" w:cstheme="majorHAnsi"/>
          <w:sz w:val="24"/>
          <w:szCs w:val="24"/>
        </w:rPr>
        <w:t>6. Conclusion</w:t>
      </w:r>
    </w:p>
    <w:p w14:paraId="019887B9" w14:textId="77777777" w:rsidR="00D01B0F" w:rsidRDefault="00000000">
      <w:r>
        <w:br w:type="page"/>
      </w:r>
    </w:p>
    <w:p w14:paraId="2C504C20"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lastRenderedPageBreak/>
        <w:t>Introduction</w:t>
      </w:r>
    </w:p>
    <w:p w14:paraId="1F854536"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This report examines an ethical dilemma arising on a government-funded hospital construction project, where the project manager discovers the concrete supplier has provided a mix that does not meet the specified strength requirements. Although the discrepancy is minor, it may affect long-term durability and safety under heavy loading (British Standards Institution, n.d.). The client is under pressure to deliver on time, and the site team warns that remediation would cause significant delay and cost. The aim of this report is to analyse the ethical issues using professional codes of conduct (Chartered Institute of Building, n.d.; Royal Institution of Chartered Surveyors, n.d.) and to justify recommended actions that demonstrate professional responsibility.</w:t>
      </w:r>
    </w:p>
    <w:p w14:paraId="56BCFD6F"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t>The Ethical Problem</w:t>
      </w:r>
    </w:p>
    <w:p w14:paraId="2B537CD8"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Facts: Halfway through construction, an engineer reports that several batches of concrete show slightly lower compressive strength than specified (British Standards Institution, n.d.). This shortfall is marginal yet potentially important for future performance and safety (Health and Safety Executive, 2015). The site supervisor warns that replacing affected elements would cause weeks of delay and multimillion-pound cost overruns. The supplier claims the concrete “meets practical standards” and offers future discounts if no action is taken.</w:t>
      </w:r>
    </w:p>
    <w:p w14:paraId="3CE92510"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b/>
          <w:bCs/>
          <w:lang w:val="en-GB"/>
        </w:rPr>
        <w:t>Ethical issue: </w:t>
      </w:r>
      <w:r w:rsidRPr="005049A1">
        <w:rPr>
          <w:rFonts w:asciiTheme="majorHAnsi" w:hAnsiTheme="majorHAnsi" w:cstheme="majorHAnsi"/>
          <w:lang w:val="en-GB"/>
        </w:rPr>
        <w:t>The central dilemma pits public safety and structural integrity against commercial pressures and contractual obligations. Approving the concrete despite non-conformance prioritises schedule and cost but risks failure, endangering future users and eroding public trust (Health and Safety at Work etc. Act 1974). On the other hand, enforcing remediation protects safety but may lead to significant financial penalties, reputational harm, and delays to a crucial healthcare facility (Health and Safety Executive, 2015).</w:t>
      </w:r>
    </w:p>
    <w:p w14:paraId="573FB24D"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b/>
          <w:bCs/>
          <w:lang w:val="en-GB"/>
        </w:rPr>
        <w:t>Stakeholders and impacts</w:t>
      </w:r>
      <w:r w:rsidRPr="005049A1">
        <w:rPr>
          <w:rFonts w:asciiTheme="majorHAnsi" w:hAnsiTheme="majorHAnsi" w:cstheme="majorHAnsi"/>
          <w:lang w:val="en-GB"/>
        </w:rPr>
        <w:t>:- </w:t>
      </w:r>
      <w:r w:rsidRPr="005049A1">
        <w:rPr>
          <w:rFonts w:asciiTheme="majorHAnsi" w:hAnsiTheme="majorHAnsi" w:cstheme="majorHAnsi"/>
          <w:i/>
          <w:iCs/>
          <w:lang w:val="en-GB"/>
        </w:rPr>
        <w:t>Patients and staff</w:t>
      </w:r>
      <w:r w:rsidRPr="005049A1">
        <w:rPr>
          <w:rFonts w:asciiTheme="majorHAnsi" w:hAnsiTheme="majorHAnsi" w:cstheme="majorHAnsi"/>
          <w:lang w:val="en-GB"/>
        </w:rPr>
        <w:t> may be exposed to risk if the structure fails or needs excessive maintenance (British Standards Institution, n.d.).</w:t>
      </w:r>
    </w:p>
    <w:p w14:paraId="41A8057F" w14:textId="77777777" w:rsidR="005049A1" w:rsidRPr="005049A1" w:rsidRDefault="005049A1" w:rsidP="005049A1">
      <w:pPr>
        <w:numPr>
          <w:ilvl w:val="0"/>
          <w:numId w:val="13"/>
        </w:numPr>
        <w:rPr>
          <w:rFonts w:asciiTheme="majorHAnsi" w:hAnsiTheme="majorHAnsi" w:cstheme="majorHAnsi"/>
          <w:lang w:val="en-GB"/>
        </w:rPr>
      </w:pPr>
      <w:r w:rsidRPr="005049A1">
        <w:rPr>
          <w:rFonts w:asciiTheme="majorHAnsi" w:hAnsiTheme="majorHAnsi" w:cstheme="majorHAnsi"/>
          <w:i/>
          <w:iCs/>
          <w:lang w:val="en-GB"/>
        </w:rPr>
        <w:t>Construction workers</w:t>
      </w:r>
      <w:r w:rsidRPr="005049A1">
        <w:rPr>
          <w:rFonts w:asciiTheme="majorHAnsi" w:hAnsiTheme="majorHAnsi" w:cstheme="majorHAnsi"/>
          <w:lang w:val="en-GB"/>
        </w:rPr>
        <w:t> could face increased risks during remedial works (Health and Safety Executive, 2015).</w:t>
      </w:r>
    </w:p>
    <w:p w14:paraId="65E7A496" w14:textId="77777777" w:rsidR="005049A1" w:rsidRPr="005049A1" w:rsidRDefault="005049A1" w:rsidP="005049A1">
      <w:pPr>
        <w:numPr>
          <w:ilvl w:val="0"/>
          <w:numId w:val="13"/>
        </w:numPr>
        <w:rPr>
          <w:rFonts w:asciiTheme="majorHAnsi" w:hAnsiTheme="majorHAnsi" w:cstheme="majorHAnsi"/>
          <w:lang w:val="en-GB"/>
        </w:rPr>
      </w:pPr>
      <w:r w:rsidRPr="005049A1">
        <w:rPr>
          <w:rFonts w:asciiTheme="majorHAnsi" w:hAnsiTheme="majorHAnsi" w:cstheme="majorHAnsi"/>
          <w:i/>
          <w:iCs/>
          <w:lang w:val="en-GB"/>
        </w:rPr>
        <w:t>Project manager and teams</w:t>
      </w:r>
      <w:r w:rsidRPr="005049A1">
        <w:rPr>
          <w:rFonts w:asciiTheme="majorHAnsi" w:hAnsiTheme="majorHAnsi" w:cstheme="majorHAnsi"/>
          <w:lang w:val="en-GB"/>
        </w:rPr>
        <w:t> bear professional and legal responsibility (Chartered Institute of Building, n.d.; Royal Institution of Chartered Surveyors, n.d.).</w:t>
      </w:r>
    </w:p>
    <w:p w14:paraId="02A20B54" w14:textId="77777777" w:rsidR="005049A1" w:rsidRPr="005049A1" w:rsidRDefault="005049A1" w:rsidP="005049A1">
      <w:pPr>
        <w:numPr>
          <w:ilvl w:val="0"/>
          <w:numId w:val="13"/>
        </w:numPr>
        <w:rPr>
          <w:rFonts w:asciiTheme="majorHAnsi" w:hAnsiTheme="majorHAnsi" w:cstheme="majorHAnsi"/>
          <w:lang w:val="en-GB"/>
        </w:rPr>
      </w:pPr>
      <w:r w:rsidRPr="005049A1">
        <w:rPr>
          <w:rFonts w:asciiTheme="majorHAnsi" w:hAnsiTheme="majorHAnsi" w:cstheme="majorHAnsi"/>
          <w:i/>
          <w:iCs/>
          <w:lang w:val="en-GB"/>
        </w:rPr>
        <w:t>Client and supplier</w:t>
      </w:r>
      <w:r w:rsidRPr="005049A1">
        <w:rPr>
          <w:rFonts w:asciiTheme="majorHAnsi" w:hAnsiTheme="majorHAnsi" w:cstheme="majorHAnsi"/>
          <w:lang w:val="en-GB"/>
        </w:rPr>
        <w:t> face financial and reputational impacts. Regulators and the public expect safe construction and responsible use of public funds (Health and Safety at Work etc. Act 1974).</w:t>
      </w:r>
    </w:p>
    <w:p w14:paraId="1D993A28" w14:textId="57BDEEF7" w:rsidR="005049A1" w:rsidRPr="005049A1" w:rsidRDefault="005049A1" w:rsidP="005049A1">
      <w:pPr>
        <w:rPr>
          <w:rFonts w:asciiTheme="majorHAnsi" w:hAnsiTheme="majorHAnsi" w:cstheme="majorHAnsi"/>
          <w:lang w:val="en-GB"/>
        </w:rPr>
      </w:pPr>
      <w:r w:rsidRPr="005049A1">
        <w:rPr>
          <w:rFonts w:asciiTheme="majorHAnsi" w:hAnsiTheme="majorHAnsi" w:cstheme="majorHAnsi"/>
          <w:b/>
          <w:bCs/>
          <w:lang w:val="en-GB"/>
        </w:rPr>
        <w:t>Options and Consequences</w:t>
      </w:r>
      <w:r w:rsidR="0007076C">
        <w:rPr>
          <w:rFonts w:asciiTheme="majorHAnsi" w:hAnsiTheme="majorHAnsi" w:cstheme="majorHAnsi"/>
          <w:b/>
          <w:bCs/>
          <w:lang w:val="en-GB"/>
        </w:rPr>
        <w:t xml:space="preserve"> </w:t>
      </w:r>
      <w:r w:rsidRPr="005049A1">
        <w:rPr>
          <w:rFonts w:asciiTheme="majorHAnsi" w:hAnsiTheme="majorHAnsi" w:cstheme="majorHAnsi"/>
          <w:b/>
          <w:bCs/>
          <w:lang w:val="en-GB"/>
        </w:rPr>
        <w:t>Option 1 — Report and remediate: </w:t>
      </w:r>
      <w:r w:rsidRPr="005049A1">
        <w:rPr>
          <w:rFonts w:asciiTheme="majorHAnsi" w:hAnsiTheme="majorHAnsi" w:cstheme="majorHAnsi"/>
          <w:lang w:val="en-GB"/>
        </w:rPr>
        <w:t xml:space="preserve">Formally record the non-conformance, isolate affected elements, commission structural assessment, and if necessary, remove and replace the deficient concrete (British Standards Institution, n.d.; Health and Safety </w:t>
      </w:r>
      <w:r w:rsidRPr="005049A1">
        <w:rPr>
          <w:rFonts w:asciiTheme="majorHAnsi" w:hAnsiTheme="majorHAnsi" w:cstheme="majorHAnsi"/>
          <w:lang w:val="en-GB"/>
        </w:rPr>
        <w:lastRenderedPageBreak/>
        <w:t>Executive, 2015). Inform the client and, if required, relevant authorities (Chartered Institute of Building, n.d.; Royal Institution of Chartered Surveyors, n.d.).</w:t>
      </w:r>
    </w:p>
    <w:p w14:paraId="1A58E38F" w14:textId="77777777" w:rsidR="005049A1" w:rsidRPr="005049A1" w:rsidRDefault="005049A1" w:rsidP="005049A1">
      <w:pPr>
        <w:numPr>
          <w:ilvl w:val="0"/>
          <w:numId w:val="14"/>
        </w:numPr>
        <w:rPr>
          <w:rFonts w:asciiTheme="majorHAnsi" w:hAnsiTheme="majorHAnsi" w:cstheme="majorHAnsi"/>
          <w:lang w:val="en-GB"/>
        </w:rPr>
      </w:pPr>
      <w:r w:rsidRPr="005049A1">
        <w:rPr>
          <w:rFonts w:asciiTheme="majorHAnsi" w:hAnsiTheme="majorHAnsi" w:cstheme="majorHAnsi"/>
          <w:i/>
          <w:iCs/>
          <w:lang w:val="en-GB"/>
        </w:rPr>
        <w:t>Positive outcomes:</w:t>
      </w:r>
      <w:r w:rsidRPr="005049A1">
        <w:rPr>
          <w:rFonts w:asciiTheme="majorHAnsi" w:hAnsiTheme="majorHAnsi" w:cstheme="majorHAnsi"/>
          <w:lang w:val="en-GB"/>
        </w:rPr>
        <w:t> Long-term safety and integrity; compliance with professional duty; reduced liability; public trust (Chartered Institute of Building, n.d.; Royal Institution of Chartered Surveyors, n.d.; Health and Safety at Work etc. Act 1974).</w:t>
      </w:r>
    </w:p>
    <w:p w14:paraId="5F1E92F4" w14:textId="77777777" w:rsidR="005049A1" w:rsidRPr="005049A1" w:rsidRDefault="005049A1" w:rsidP="005049A1">
      <w:pPr>
        <w:numPr>
          <w:ilvl w:val="0"/>
          <w:numId w:val="14"/>
        </w:numPr>
        <w:rPr>
          <w:rFonts w:asciiTheme="majorHAnsi" w:hAnsiTheme="majorHAnsi" w:cstheme="majorHAnsi"/>
          <w:lang w:val="en-GB"/>
        </w:rPr>
      </w:pPr>
      <w:r w:rsidRPr="005049A1">
        <w:rPr>
          <w:rFonts w:asciiTheme="majorHAnsi" w:hAnsiTheme="majorHAnsi" w:cstheme="majorHAnsi"/>
          <w:i/>
          <w:iCs/>
          <w:lang w:val="en-GB"/>
        </w:rPr>
        <w:t>Negative outcomes:</w:t>
      </w:r>
      <w:r w:rsidRPr="005049A1">
        <w:rPr>
          <w:rFonts w:asciiTheme="majorHAnsi" w:hAnsiTheme="majorHAnsi" w:cstheme="majorHAnsi"/>
          <w:lang w:val="en-GB"/>
        </w:rPr>
        <w:t> Delays; increased cost; risk of contractual disputes; criticism for postponing hospital opening.</w:t>
      </w:r>
    </w:p>
    <w:p w14:paraId="32F888B6" w14:textId="77777777" w:rsidR="005049A1" w:rsidRPr="005049A1" w:rsidRDefault="005049A1" w:rsidP="005049A1">
      <w:pPr>
        <w:numPr>
          <w:ilvl w:val="0"/>
          <w:numId w:val="14"/>
        </w:numPr>
        <w:rPr>
          <w:rFonts w:asciiTheme="majorHAnsi" w:hAnsiTheme="majorHAnsi" w:cstheme="majorHAnsi"/>
          <w:lang w:val="en-GB"/>
        </w:rPr>
      </w:pPr>
      <w:r w:rsidRPr="005049A1">
        <w:rPr>
          <w:rFonts w:asciiTheme="majorHAnsi" w:hAnsiTheme="majorHAnsi" w:cstheme="majorHAnsi"/>
          <w:i/>
          <w:iCs/>
          <w:lang w:val="en-GB"/>
        </w:rPr>
        <w:t>Impact:</w:t>
      </w:r>
      <w:r w:rsidRPr="005049A1">
        <w:rPr>
          <w:rFonts w:asciiTheme="majorHAnsi" w:hAnsiTheme="majorHAnsi" w:cstheme="majorHAnsi"/>
          <w:lang w:val="en-GB"/>
        </w:rPr>
        <w:t> Public and users benefit from safety; contractor and client bear short-term costs.</w:t>
      </w:r>
    </w:p>
    <w:p w14:paraId="03A18171"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b/>
          <w:bCs/>
          <w:lang w:val="en-GB"/>
        </w:rPr>
        <w:t xml:space="preserve">Option 2 — </w:t>
      </w:r>
      <w:r w:rsidRPr="005049A1">
        <w:rPr>
          <w:rFonts w:asciiTheme="majorHAnsi" w:hAnsiTheme="majorHAnsi" w:cstheme="majorHAnsi"/>
          <w:lang w:val="en-GB"/>
        </w:rPr>
        <w:t>Ignore or accept the compromise: Accept the supplier’s assurances and continue construction, possibly planning future strengthening.</w:t>
      </w:r>
    </w:p>
    <w:p w14:paraId="65EF7EED" w14:textId="77777777" w:rsidR="005049A1" w:rsidRPr="005049A1" w:rsidRDefault="005049A1" w:rsidP="005049A1">
      <w:pPr>
        <w:numPr>
          <w:ilvl w:val="0"/>
          <w:numId w:val="15"/>
        </w:numPr>
        <w:rPr>
          <w:rFonts w:asciiTheme="majorHAnsi" w:hAnsiTheme="majorHAnsi" w:cstheme="majorHAnsi"/>
          <w:lang w:val="en-GB"/>
        </w:rPr>
      </w:pPr>
      <w:r w:rsidRPr="005049A1">
        <w:rPr>
          <w:rFonts w:asciiTheme="majorHAnsi" w:hAnsiTheme="majorHAnsi" w:cstheme="majorHAnsi"/>
          <w:i/>
          <w:iCs/>
          <w:lang w:val="en-GB"/>
        </w:rPr>
        <w:t>Positive outcomes:</w:t>
      </w:r>
      <w:r w:rsidRPr="005049A1">
        <w:rPr>
          <w:rFonts w:asciiTheme="majorHAnsi" w:hAnsiTheme="majorHAnsi" w:cstheme="majorHAnsi"/>
          <w:lang w:val="en-GB"/>
        </w:rPr>
        <w:t> Maintains schedule and avoids immediate costs; preserves client relations.</w:t>
      </w:r>
    </w:p>
    <w:p w14:paraId="2FE530C0" w14:textId="77777777" w:rsidR="005049A1" w:rsidRPr="005049A1" w:rsidRDefault="005049A1" w:rsidP="005049A1">
      <w:pPr>
        <w:numPr>
          <w:ilvl w:val="0"/>
          <w:numId w:val="15"/>
        </w:numPr>
        <w:rPr>
          <w:rFonts w:asciiTheme="majorHAnsi" w:hAnsiTheme="majorHAnsi" w:cstheme="majorHAnsi"/>
          <w:lang w:val="en-GB"/>
        </w:rPr>
      </w:pPr>
      <w:r w:rsidRPr="005049A1">
        <w:rPr>
          <w:rFonts w:asciiTheme="majorHAnsi" w:hAnsiTheme="majorHAnsi" w:cstheme="majorHAnsi"/>
          <w:i/>
          <w:iCs/>
          <w:lang w:val="en-GB"/>
        </w:rPr>
        <w:t>Negative outcomes:</w:t>
      </w:r>
      <w:r w:rsidRPr="005049A1">
        <w:rPr>
          <w:rFonts w:asciiTheme="majorHAnsi" w:hAnsiTheme="majorHAnsi" w:cstheme="majorHAnsi"/>
          <w:lang w:val="en-GB"/>
        </w:rPr>
        <w:t> Increased long-term risk of structural issues; breaches of professional duty; potential legal and reputational consequences if failure occurs (Royal Institution of Chartered Surveyors, n.d.; Health and Safety at Work etc. Act 1974).</w:t>
      </w:r>
    </w:p>
    <w:p w14:paraId="068C09C0" w14:textId="77777777" w:rsidR="005049A1" w:rsidRPr="005049A1" w:rsidRDefault="005049A1" w:rsidP="005049A1">
      <w:pPr>
        <w:numPr>
          <w:ilvl w:val="0"/>
          <w:numId w:val="15"/>
        </w:numPr>
        <w:rPr>
          <w:rFonts w:asciiTheme="majorHAnsi" w:hAnsiTheme="majorHAnsi" w:cstheme="majorHAnsi"/>
          <w:lang w:val="en-GB"/>
        </w:rPr>
      </w:pPr>
      <w:r w:rsidRPr="005049A1">
        <w:rPr>
          <w:rFonts w:asciiTheme="majorHAnsi" w:hAnsiTheme="majorHAnsi" w:cstheme="majorHAnsi"/>
          <w:i/>
          <w:iCs/>
          <w:lang w:val="en-GB"/>
        </w:rPr>
        <w:t>Impact:</w:t>
      </w:r>
      <w:r w:rsidRPr="005049A1">
        <w:rPr>
          <w:rFonts w:asciiTheme="majorHAnsi" w:hAnsiTheme="majorHAnsi" w:cstheme="majorHAnsi"/>
          <w:lang w:val="en-GB"/>
        </w:rPr>
        <w:t> Short-term benefit to client; public and profession at risk if defects result in harm.</w:t>
      </w:r>
    </w:p>
    <w:p w14:paraId="455EAF9D"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b/>
          <w:bCs/>
          <w:lang w:val="en-GB"/>
        </w:rPr>
        <w:t xml:space="preserve">Option 3 </w:t>
      </w:r>
      <w:r w:rsidRPr="005049A1">
        <w:rPr>
          <w:rFonts w:asciiTheme="majorHAnsi" w:hAnsiTheme="majorHAnsi" w:cstheme="majorHAnsi"/>
          <w:lang w:val="en-GB"/>
        </w:rPr>
        <w:t>— Limited compromise: Implement targeted mitigation, such as additional testing, local strengthening, or monitoring, with formal acceptance only if further evidence shows the concrete is adequate (British Standards Institution, n.d.). Negotiate warranties and supplier commitments (Royal Institution of Chartered Surveyors, n.d.).</w:t>
      </w:r>
    </w:p>
    <w:p w14:paraId="5C8401F6" w14:textId="77777777" w:rsidR="005049A1" w:rsidRPr="005049A1" w:rsidRDefault="005049A1" w:rsidP="005049A1">
      <w:pPr>
        <w:numPr>
          <w:ilvl w:val="0"/>
          <w:numId w:val="16"/>
        </w:numPr>
        <w:rPr>
          <w:rFonts w:asciiTheme="majorHAnsi" w:hAnsiTheme="majorHAnsi" w:cstheme="majorHAnsi"/>
          <w:lang w:val="en-GB"/>
        </w:rPr>
      </w:pPr>
      <w:r w:rsidRPr="005049A1">
        <w:rPr>
          <w:rFonts w:asciiTheme="majorHAnsi" w:hAnsiTheme="majorHAnsi" w:cstheme="majorHAnsi"/>
          <w:i/>
          <w:iCs/>
          <w:lang w:val="en-GB"/>
        </w:rPr>
        <w:t>Positive outcomes:</w:t>
      </w:r>
      <w:r w:rsidRPr="005049A1">
        <w:rPr>
          <w:rFonts w:asciiTheme="majorHAnsi" w:hAnsiTheme="majorHAnsi" w:cstheme="majorHAnsi"/>
          <w:lang w:val="en-GB"/>
        </w:rPr>
        <w:t> May minimise delay while addressing safety; spreads responsibility.</w:t>
      </w:r>
    </w:p>
    <w:p w14:paraId="4F4C11BC" w14:textId="77777777" w:rsidR="005049A1" w:rsidRPr="005049A1" w:rsidRDefault="005049A1" w:rsidP="005049A1">
      <w:pPr>
        <w:numPr>
          <w:ilvl w:val="0"/>
          <w:numId w:val="16"/>
        </w:numPr>
        <w:rPr>
          <w:rFonts w:asciiTheme="majorHAnsi" w:hAnsiTheme="majorHAnsi" w:cstheme="majorHAnsi"/>
          <w:lang w:val="en-GB"/>
        </w:rPr>
      </w:pPr>
      <w:r w:rsidRPr="005049A1">
        <w:rPr>
          <w:rFonts w:asciiTheme="majorHAnsi" w:hAnsiTheme="majorHAnsi" w:cstheme="majorHAnsi"/>
          <w:i/>
          <w:iCs/>
          <w:lang w:val="en-GB"/>
        </w:rPr>
        <w:t>Negative outcomes:</w:t>
      </w:r>
      <w:r w:rsidRPr="005049A1">
        <w:rPr>
          <w:rFonts w:asciiTheme="majorHAnsi" w:hAnsiTheme="majorHAnsi" w:cstheme="majorHAnsi"/>
          <w:lang w:val="en-GB"/>
        </w:rPr>
        <w:t> Mitigation could be insufficient; responsibility may be unclear; risk of contravening standards if inadequately managed (Chartered Institute of Building, n.d.).</w:t>
      </w:r>
    </w:p>
    <w:p w14:paraId="34512B32" w14:textId="77777777" w:rsidR="005049A1" w:rsidRPr="005049A1" w:rsidRDefault="005049A1" w:rsidP="005049A1">
      <w:pPr>
        <w:numPr>
          <w:ilvl w:val="0"/>
          <w:numId w:val="16"/>
        </w:numPr>
        <w:rPr>
          <w:rFonts w:asciiTheme="majorHAnsi" w:hAnsiTheme="majorHAnsi" w:cstheme="majorHAnsi"/>
          <w:lang w:val="en-GB"/>
        </w:rPr>
      </w:pPr>
      <w:r w:rsidRPr="005049A1">
        <w:rPr>
          <w:rFonts w:asciiTheme="majorHAnsi" w:hAnsiTheme="majorHAnsi" w:cstheme="majorHAnsi"/>
          <w:i/>
          <w:iCs/>
          <w:lang w:val="en-GB"/>
        </w:rPr>
        <w:t>Impact:</w:t>
      </w:r>
      <w:r w:rsidRPr="005049A1">
        <w:rPr>
          <w:rFonts w:asciiTheme="majorHAnsi" w:hAnsiTheme="majorHAnsi" w:cstheme="majorHAnsi"/>
          <w:lang w:val="en-GB"/>
        </w:rPr>
        <w:t> Responsibility shared, but public safety may remain at risk.</w:t>
      </w:r>
    </w:p>
    <w:p w14:paraId="28F2E519"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t>Ethical Evaluation Using Professional Codes</w:t>
      </w:r>
    </w:p>
    <w:p w14:paraId="094BB1F3"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 xml:space="preserve">Recent projects governed by CIOB and RICS have confirmed that health and safety cannot be traded off for commercial convenience (Chartered Institute of Building, n.d.; Royal Institution of Chartered Surveyors, n.d.; Health and Safety Executive, 2015). Failures like Grenfell Tower highlight the consequences of lowering professional standards. According to these codes, </w:t>
      </w:r>
      <w:r w:rsidRPr="005049A1">
        <w:rPr>
          <w:rFonts w:asciiTheme="majorHAnsi" w:hAnsiTheme="majorHAnsi" w:cstheme="majorHAnsi"/>
          <w:lang w:val="en-GB"/>
        </w:rPr>
        <w:lastRenderedPageBreak/>
        <w:t>knowingly accepting substandard materials violates professional obligations to ensure safety (Chartered Institute of Building, n.d.; Health and Safety at Work etc. Act 1974).</w:t>
      </w:r>
    </w:p>
    <w:p w14:paraId="37F65DCB"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From a deontological standpoint, the project manager must protect users and comply with law and codes, irrespective of commercial pressures (Chartered Institute of Building, n.d.; Royal Institution of Chartered Surveyors, n.d.; Health and Safety Executive, 2015). Option 1, reporting and remediation, is most consistent with these duties. A utilitarian approach also supports remediation: while immediate costs and delays are undesirable, preventing future harm yields greater overall benefit for all stakeholders (British Standards Institution, n.d.; Health and Safety at Work etc. Act 1974).</w:t>
      </w:r>
    </w:p>
    <w:p w14:paraId="0178F62A"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t>Practical and Professional Actions</w:t>
      </w:r>
    </w:p>
    <w:p w14:paraId="18884C54"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t>Recommendation: Adopt Option 1 through phased steps that manage impacts responsibly:</w:t>
      </w:r>
    </w:p>
    <w:p w14:paraId="3FE4E64B" w14:textId="77777777" w:rsidR="005049A1" w:rsidRPr="005049A1" w:rsidRDefault="005049A1" w:rsidP="005049A1">
      <w:pPr>
        <w:numPr>
          <w:ilvl w:val="0"/>
          <w:numId w:val="17"/>
        </w:numPr>
        <w:rPr>
          <w:rFonts w:asciiTheme="majorHAnsi" w:hAnsiTheme="majorHAnsi" w:cstheme="majorHAnsi"/>
          <w:lang w:val="en-GB"/>
        </w:rPr>
      </w:pPr>
      <w:r w:rsidRPr="005049A1">
        <w:rPr>
          <w:rFonts w:asciiTheme="majorHAnsi" w:hAnsiTheme="majorHAnsi" w:cstheme="majorHAnsi"/>
          <w:lang w:val="en-GB"/>
        </w:rPr>
        <w:t>Immediate actions: Halt use of affected concrete, make the area safe, and commission an independent structural assessment (British Standards Institution, n.d.; Health and Safety Executive, 2015).</w:t>
      </w:r>
    </w:p>
    <w:p w14:paraId="4B639DEE" w14:textId="77777777" w:rsidR="005049A1" w:rsidRPr="005049A1" w:rsidRDefault="005049A1" w:rsidP="005049A1">
      <w:pPr>
        <w:numPr>
          <w:ilvl w:val="0"/>
          <w:numId w:val="17"/>
        </w:numPr>
        <w:rPr>
          <w:rFonts w:asciiTheme="majorHAnsi" w:hAnsiTheme="majorHAnsi" w:cstheme="majorHAnsi"/>
          <w:lang w:val="en-GB"/>
        </w:rPr>
      </w:pPr>
      <w:r w:rsidRPr="005049A1">
        <w:rPr>
          <w:rFonts w:asciiTheme="majorHAnsi" w:hAnsiTheme="majorHAnsi" w:cstheme="majorHAnsi"/>
          <w:lang w:val="en-GB"/>
        </w:rPr>
        <w:t>Communication: Notify client formally, record all test results and decisions, advise regulators if necessary (Chartered Institute of Building, n.d.; Royal Institution of Chartered Surveyors, n.d.).</w:t>
      </w:r>
    </w:p>
    <w:p w14:paraId="47AE8AFA" w14:textId="77777777" w:rsidR="005049A1" w:rsidRPr="005049A1" w:rsidRDefault="005049A1" w:rsidP="005049A1">
      <w:pPr>
        <w:numPr>
          <w:ilvl w:val="0"/>
          <w:numId w:val="17"/>
        </w:numPr>
        <w:rPr>
          <w:rFonts w:asciiTheme="majorHAnsi" w:hAnsiTheme="majorHAnsi" w:cstheme="majorHAnsi"/>
          <w:lang w:val="en-GB"/>
        </w:rPr>
      </w:pPr>
      <w:r w:rsidRPr="005049A1">
        <w:rPr>
          <w:rFonts w:asciiTheme="majorHAnsi" w:hAnsiTheme="majorHAnsi" w:cstheme="majorHAnsi"/>
          <w:lang w:val="en-GB"/>
        </w:rPr>
        <w:t>Commercial mitigation: Negotiate with the supplier to cover remediation costs and pursue contractual remedies; consider rescheduling activities to minimise delay (Royal Institution of Chartered Surveyors, n.d.).</w:t>
      </w:r>
    </w:p>
    <w:p w14:paraId="0E1678A8" w14:textId="77777777" w:rsidR="005049A1" w:rsidRPr="005049A1" w:rsidRDefault="005049A1" w:rsidP="005049A1">
      <w:pPr>
        <w:numPr>
          <w:ilvl w:val="0"/>
          <w:numId w:val="17"/>
        </w:numPr>
        <w:rPr>
          <w:rFonts w:asciiTheme="majorHAnsi" w:hAnsiTheme="majorHAnsi" w:cstheme="majorHAnsi"/>
          <w:lang w:val="en-GB"/>
        </w:rPr>
      </w:pPr>
      <w:r w:rsidRPr="005049A1">
        <w:rPr>
          <w:rFonts w:asciiTheme="majorHAnsi" w:hAnsiTheme="majorHAnsi" w:cstheme="majorHAnsi"/>
          <w:lang w:val="en-GB"/>
        </w:rPr>
        <w:t>Interim measures: If assessment supports limited mitigation, implement monitored strengthening with clear criteria; otherwise replace the affected elements (British Standards Institution, n.d.).</w:t>
      </w:r>
    </w:p>
    <w:p w14:paraId="0F1F84B9" w14:textId="77777777" w:rsidR="005049A1" w:rsidRPr="005049A1" w:rsidRDefault="005049A1" w:rsidP="005049A1">
      <w:pPr>
        <w:numPr>
          <w:ilvl w:val="0"/>
          <w:numId w:val="17"/>
        </w:numPr>
        <w:rPr>
          <w:rFonts w:asciiTheme="majorHAnsi" w:hAnsiTheme="majorHAnsi" w:cstheme="majorHAnsi"/>
          <w:lang w:val="en-GB"/>
        </w:rPr>
      </w:pPr>
      <w:r w:rsidRPr="005049A1">
        <w:rPr>
          <w:rFonts w:asciiTheme="majorHAnsi" w:hAnsiTheme="majorHAnsi" w:cstheme="majorHAnsi"/>
          <w:lang w:val="en-GB"/>
        </w:rPr>
        <w:t>Learning and governance: Document the event, analyse root causes, update procurement and testing protocols, and provide site-wide briefings to reinforce quality culture (Chartered Institute of Building, n.d.).</w:t>
      </w:r>
    </w:p>
    <w:p w14:paraId="47336FD1"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These actions show ethical awareness by prioritising safety and transparency, and professional responsibility by adhering to codes, documenting decisions, and seeking proportional commercial remedies (Chartered Institute of Building, n.d.; Royal Institution of Chartered Surveyors, n.d.; Health and Safety at Work etc. Act 1974). This approach balances duty with pragmatic steps to reduce delay and public impact.</w:t>
      </w:r>
    </w:p>
    <w:p w14:paraId="1B559120"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Furthermore, engaging stakeholders transparently and arranging an independent review of the remediation plan helps distribute responsibility and maintain public confidence. These are examples of ethical leadership and strong professional governance (Chartered Institute of Building, n.d.; Royal Institution of Chartered Surveyors, n.d.).</w:t>
      </w:r>
    </w:p>
    <w:p w14:paraId="3CAD3731"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lastRenderedPageBreak/>
        <w:t>Conclusion</w:t>
      </w:r>
    </w:p>
    <w:p w14:paraId="5C2B1FFA"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Reporting non-conforming concrete and pursuing remediation based on independent assessment is the most ethically sound and professionally responsible course of action (Chartered Institute of Building, n.d.; Royal Institution of Chartered Surveyors, n.d.; British Standards Institution, n.d.; Health and Safety Executive, 2015). Although professional codes and statutory duties inform the decision, the welfare of future users must be paramount. Remediation incurs immediate costs and delays but safeguards patients, staff, the public, and the reputation of those involved (Health and Safety at Work etc. Act 1974).</w:t>
      </w:r>
    </w:p>
    <w:p w14:paraId="7D76971A" w14:textId="77777777" w:rsidR="005049A1" w:rsidRPr="005049A1" w:rsidRDefault="005049A1" w:rsidP="005049A1">
      <w:pPr>
        <w:rPr>
          <w:rFonts w:asciiTheme="majorHAnsi" w:hAnsiTheme="majorHAnsi" w:cstheme="majorHAnsi"/>
          <w:lang w:val="en-GB"/>
        </w:rPr>
      </w:pPr>
      <w:r w:rsidRPr="005049A1">
        <w:rPr>
          <w:rFonts w:asciiTheme="majorHAnsi" w:hAnsiTheme="majorHAnsi" w:cstheme="majorHAnsi"/>
          <w:lang w:val="en-GB"/>
        </w:rPr>
        <w:t>Overall, prioritising safety and public interest is fundamental and ensures trust in both public procurement and professional practice (Royal Institution of Chartered Surveyors, n.d.; Chartered Institute of Building, n.d.; Health and Safety Executive, 2015).</w:t>
      </w:r>
    </w:p>
    <w:p w14:paraId="498FC61E"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lang w:val="en-GB"/>
        </w:rPr>
        <w:pict w14:anchorId="336B094B">
          <v:rect id="_x0000_i1044" style="width:15in;height:1.5pt" o:hrpct="0" o:hralign="center" o:hrstd="t" o:hr="t" fillcolor="#a0a0a0" stroked="f"/>
        </w:pict>
      </w:r>
    </w:p>
    <w:p w14:paraId="2BB0488A" w14:textId="77777777" w:rsidR="005049A1" w:rsidRPr="005049A1" w:rsidRDefault="005049A1" w:rsidP="005049A1">
      <w:pPr>
        <w:rPr>
          <w:rFonts w:asciiTheme="majorHAnsi" w:hAnsiTheme="majorHAnsi" w:cstheme="majorHAnsi"/>
          <w:b/>
          <w:bCs/>
          <w:lang w:val="en-GB"/>
        </w:rPr>
      </w:pPr>
      <w:r w:rsidRPr="005049A1">
        <w:rPr>
          <w:rFonts w:asciiTheme="majorHAnsi" w:hAnsiTheme="majorHAnsi" w:cstheme="majorHAnsi"/>
          <w:b/>
          <w:bCs/>
          <w:lang w:val="en-GB"/>
        </w:rPr>
        <w:t>References</w:t>
      </w:r>
    </w:p>
    <w:p w14:paraId="24DB8F3B" w14:textId="77777777" w:rsidR="005049A1" w:rsidRPr="005049A1" w:rsidRDefault="005049A1" w:rsidP="005049A1">
      <w:pPr>
        <w:numPr>
          <w:ilvl w:val="0"/>
          <w:numId w:val="18"/>
        </w:numPr>
        <w:rPr>
          <w:rFonts w:asciiTheme="majorHAnsi" w:hAnsiTheme="majorHAnsi" w:cstheme="majorHAnsi"/>
          <w:b/>
          <w:bCs/>
          <w:lang w:val="en-GB"/>
        </w:rPr>
      </w:pPr>
      <w:r w:rsidRPr="005049A1">
        <w:rPr>
          <w:rFonts w:asciiTheme="majorHAnsi" w:hAnsiTheme="majorHAnsi" w:cstheme="majorHAnsi"/>
          <w:b/>
          <w:bCs/>
          <w:lang w:val="en-GB"/>
        </w:rPr>
        <w:t>British Standards Institution (n.d.) BS EN 206: Concrete — Specification, performance, production, and conformity. Available at: </w:t>
      </w:r>
      <w:hyperlink r:id="rId6" w:tgtFrame="_blank" w:history="1">
        <w:r w:rsidRPr="005049A1">
          <w:rPr>
            <w:rStyle w:val="Hyperlink"/>
            <w:rFonts w:asciiTheme="majorHAnsi" w:hAnsiTheme="majorHAnsi" w:cstheme="majorHAnsi"/>
            <w:b/>
            <w:bCs/>
            <w:lang w:val="en-GB"/>
          </w:rPr>
          <w:t>https://www.bsigroup.com/</w:t>
        </w:r>
      </w:hyperlink>
      <w:r w:rsidRPr="005049A1">
        <w:rPr>
          <w:rFonts w:asciiTheme="majorHAnsi" w:hAnsiTheme="majorHAnsi" w:cstheme="majorHAnsi"/>
          <w:b/>
          <w:bCs/>
          <w:lang w:val="en-GB"/>
        </w:rPr>
        <w:t> (Accessed: 18 November 2025).</w:t>
      </w:r>
    </w:p>
    <w:p w14:paraId="16128DA6" w14:textId="77777777" w:rsidR="005049A1" w:rsidRPr="005049A1" w:rsidRDefault="005049A1" w:rsidP="005049A1">
      <w:pPr>
        <w:numPr>
          <w:ilvl w:val="0"/>
          <w:numId w:val="18"/>
        </w:numPr>
        <w:rPr>
          <w:rFonts w:asciiTheme="majorHAnsi" w:hAnsiTheme="majorHAnsi" w:cstheme="majorHAnsi"/>
          <w:b/>
          <w:bCs/>
          <w:lang w:val="en-GB"/>
        </w:rPr>
      </w:pPr>
      <w:r w:rsidRPr="005049A1">
        <w:rPr>
          <w:rFonts w:asciiTheme="majorHAnsi" w:hAnsiTheme="majorHAnsi" w:cstheme="majorHAnsi"/>
          <w:b/>
          <w:bCs/>
          <w:lang w:val="en-GB"/>
        </w:rPr>
        <w:t>Chartered Institute of Building (n.d.) Code of Professional Conduct. Available at: </w:t>
      </w:r>
      <w:hyperlink r:id="rId7" w:tgtFrame="_blank" w:history="1">
        <w:r w:rsidRPr="005049A1">
          <w:rPr>
            <w:rStyle w:val="Hyperlink"/>
            <w:rFonts w:asciiTheme="majorHAnsi" w:hAnsiTheme="majorHAnsi" w:cstheme="majorHAnsi"/>
            <w:b/>
            <w:bCs/>
            <w:lang w:val="en-GB"/>
          </w:rPr>
          <w:t>https://www.ciob.org/</w:t>
        </w:r>
      </w:hyperlink>
      <w:r w:rsidRPr="005049A1">
        <w:rPr>
          <w:rFonts w:asciiTheme="majorHAnsi" w:hAnsiTheme="majorHAnsi" w:cstheme="majorHAnsi"/>
          <w:b/>
          <w:bCs/>
          <w:lang w:val="en-GB"/>
        </w:rPr>
        <w:t> (Accessed: 18 November 2025).</w:t>
      </w:r>
    </w:p>
    <w:p w14:paraId="60D0CA28" w14:textId="77777777" w:rsidR="005049A1" w:rsidRPr="005049A1" w:rsidRDefault="005049A1" w:rsidP="005049A1">
      <w:pPr>
        <w:numPr>
          <w:ilvl w:val="0"/>
          <w:numId w:val="18"/>
        </w:numPr>
        <w:rPr>
          <w:rFonts w:asciiTheme="majorHAnsi" w:hAnsiTheme="majorHAnsi" w:cstheme="majorHAnsi"/>
          <w:b/>
          <w:bCs/>
          <w:lang w:val="en-GB"/>
        </w:rPr>
      </w:pPr>
      <w:r w:rsidRPr="005049A1">
        <w:rPr>
          <w:rFonts w:asciiTheme="majorHAnsi" w:hAnsiTheme="majorHAnsi" w:cstheme="majorHAnsi"/>
          <w:b/>
          <w:bCs/>
          <w:lang w:val="en-GB"/>
        </w:rPr>
        <w:t>Health and Safety Executive (2015) Construction (Design and Management) Regulations 2015. Available at: </w:t>
      </w:r>
      <w:hyperlink r:id="rId8" w:tgtFrame="_blank" w:history="1">
        <w:r w:rsidRPr="005049A1">
          <w:rPr>
            <w:rStyle w:val="Hyperlink"/>
            <w:rFonts w:asciiTheme="majorHAnsi" w:hAnsiTheme="majorHAnsi" w:cstheme="majorHAnsi"/>
            <w:b/>
            <w:bCs/>
            <w:lang w:val="en-GB"/>
          </w:rPr>
          <w:t>https://www.hse.gov.uk/</w:t>
        </w:r>
      </w:hyperlink>
      <w:r w:rsidRPr="005049A1">
        <w:rPr>
          <w:rFonts w:asciiTheme="majorHAnsi" w:hAnsiTheme="majorHAnsi" w:cstheme="majorHAnsi"/>
          <w:b/>
          <w:bCs/>
          <w:lang w:val="en-GB"/>
        </w:rPr>
        <w:t> (Accessed: 18 November 2025).</w:t>
      </w:r>
    </w:p>
    <w:p w14:paraId="44E84ADB" w14:textId="77777777" w:rsidR="005049A1" w:rsidRPr="005049A1" w:rsidRDefault="005049A1" w:rsidP="005049A1">
      <w:pPr>
        <w:numPr>
          <w:ilvl w:val="0"/>
          <w:numId w:val="18"/>
        </w:numPr>
        <w:rPr>
          <w:rFonts w:asciiTheme="majorHAnsi" w:hAnsiTheme="majorHAnsi" w:cstheme="majorHAnsi"/>
          <w:b/>
          <w:bCs/>
          <w:lang w:val="en-GB"/>
        </w:rPr>
      </w:pPr>
      <w:r w:rsidRPr="005049A1">
        <w:rPr>
          <w:rFonts w:asciiTheme="majorHAnsi" w:hAnsiTheme="majorHAnsi" w:cstheme="majorHAnsi"/>
          <w:b/>
          <w:bCs/>
          <w:lang w:val="en-GB"/>
        </w:rPr>
        <w:t>Health and Safety at Work etc. Act 1974. Available at: </w:t>
      </w:r>
      <w:hyperlink r:id="rId9" w:tgtFrame="_blank" w:history="1">
        <w:r w:rsidRPr="005049A1">
          <w:rPr>
            <w:rStyle w:val="Hyperlink"/>
            <w:rFonts w:asciiTheme="majorHAnsi" w:hAnsiTheme="majorHAnsi" w:cstheme="majorHAnsi"/>
            <w:b/>
            <w:bCs/>
            <w:lang w:val="en-GB"/>
          </w:rPr>
          <w:t>https://www.legislation.gov.uk/</w:t>
        </w:r>
      </w:hyperlink>
      <w:r w:rsidRPr="005049A1">
        <w:rPr>
          <w:rFonts w:asciiTheme="majorHAnsi" w:hAnsiTheme="majorHAnsi" w:cstheme="majorHAnsi"/>
          <w:b/>
          <w:bCs/>
          <w:lang w:val="en-GB"/>
        </w:rPr>
        <w:t> (Accessed: 18 November 2025).</w:t>
      </w:r>
    </w:p>
    <w:p w14:paraId="1E8C83BC" w14:textId="77777777" w:rsidR="005049A1" w:rsidRPr="005049A1" w:rsidRDefault="005049A1" w:rsidP="005049A1">
      <w:pPr>
        <w:numPr>
          <w:ilvl w:val="0"/>
          <w:numId w:val="18"/>
        </w:numPr>
        <w:rPr>
          <w:rFonts w:asciiTheme="majorHAnsi" w:hAnsiTheme="majorHAnsi" w:cstheme="majorHAnsi"/>
          <w:b/>
          <w:bCs/>
          <w:lang w:val="en-GB"/>
        </w:rPr>
      </w:pPr>
      <w:r w:rsidRPr="005049A1">
        <w:rPr>
          <w:rFonts w:asciiTheme="majorHAnsi" w:hAnsiTheme="majorHAnsi" w:cstheme="majorHAnsi"/>
          <w:b/>
          <w:bCs/>
          <w:lang w:val="en-GB"/>
        </w:rPr>
        <w:t>Royal Institution of Chartered Surveyors (n.d.) Rules of Conduct for Members. Available at: </w:t>
      </w:r>
      <w:hyperlink r:id="rId10" w:tgtFrame="_blank" w:history="1">
        <w:r w:rsidRPr="005049A1">
          <w:rPr>
            <w:rStyle w:val="Hyperlink"/>
            <w:rFonts w:asciiTheme="majorHAnsi" w:hAnsiTheme="majorHAnsi" w:cstheme="majorHAnsi"/>
            <w:b/>
            <w:bCs/>
            <w:lang w:val="en-GB"/>
          </w:rPr>
          <w:t>https://www.rics.org/</w:t>
        </w:r>
      </w:hyperlink>
      <w:r w:rsidRPr="005049A1">
        <w:rPr>
          <w:rFonts w:asciiTheme="majorHAnsi" w:hAnsiTheme="majorHAnsi" w:cstheme="majorHAnsi"/>
          <w:b/>
          <w:bCs/>
          <w:lang w:val="en-GB"/>
        </w:rPr>
        <w:t> (Accessed: 18 November 2025).</w:t>
      </w:r>
    </w:p>
    <w:p w14:paraId="48ABF68C" w14:textId="4D8230C4" w:rsidR="00D01B0F" w:rsidRPr="007419EB" w:rsidRDefault="00D01B0F" w:rsidP="005049A1">
      <w:pPr>
        <w:rPr>
          <w:rFonts w:asciiTheme="majorHAnsi" w:hAnsiTheme="majorHAnsi" w:cstheme="majorHAnsi"/>
        </w:rPr>
      </w:pPr>
    </w:p>
    <w:sectPr w:rsidR="00D01B0F" w:rsidRPr="007419E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B82F18"/>
    <w:multiLevelType w:val="multilevel"/>
    <w:tmpl w:val="F62A2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F37EDC"/>
    <w:multiLevelType w:val="multilevel"/>
    <w:tmpl w:val="1E168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0C4011"/>
    <w:multiLevelType w:val="multilevel"/>
    <w:tmpl w:val="20E08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AE6184"/>
    <w:multiLevelType w:val="multilevel"/>
    <w:tmpl w:val="BB2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7F6947"/>
    <w:multiLevelType w:val="multilevel"/>
    <w:tmpl w:val="0D980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A046A7"/>
    <w:multiLevelType w:val="multilevel"/>
    <w:tmpl w:val="89863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1636FE"/>
    <w:multiLevelType w:val="multilevel"/>
    <w:tmpl w:val="E5F2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197EDA"/>
    <w:multiLevelType w:val="multilevel"/>
    <w:tmpl w:val="7C76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F40AAC"/>
    <w:multiLevelType w:val="multilevel"/>
    <w:tmpl w:val="3388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300462">
    <w:abstractNumId w:val="8"/>
  </w:num>
  <w:num w:numId="2" w16cid:durableId="196160716">
    <w:abstractNumId w:val="6"/>
  </w:num>
  <w:num w:numId="3" w16cid:durableId="446194591">
    <w:abstractNumId w:val="5"/>
  </w:num>
  <w:num w:numId="4" w16cid:durableId="1554928506">
    <w:abstractNumId w:val="4"/>
  </w:num>
  <w:num w:numId="5" w16cid:durableId="1713649085">
    <w:abstractNumId w:val="7"/>
  </w:num>
  <w:num w:numId="6" w16cid:durableId="1407264385">
    <w:abstractNumId w:val="3"/>
  </w:num>
  <w:num w:numId="7" w16cid:durableId="907882362">
    <w:abstractNumId w:val="2"/>
  </w:num>
  <w:num w:numId="8" w16cid:durableId="2070690162">
    <w:abstractNumId w:val="1"/>
  </w:num>
  <w:num w:numId="9" w16cid:durableId="1933663217">
    <w:abstractNumId w:val="0"/>
  </w:num>
  <w:num w:numId="10" w16cid:durableId="305204278">
    <w:abstractNumId w:val="16"/>
  </w:num>
  <w:num w:numId="11" w16cid:durableId="1048185780">
    <w:abstractNumId w:val="14"/>
  </w:num>
  <w:num w:numId="12" w16cid:durableId="791217483">
    <w:abstractNumId w:val="15"/>
  </w:num>
  <w:num w:numId="13" w16cid:durableId="1584148266">
    <w:abstractNumId w:val="17"/>
  </w:num>
  <w:num w:numId="14" w16cid:durableId="653918867">
    <w:abstractNumId w:val="12"/>
  </w:num>
  <w:num w:numId="15" w16cid:durableId="1724064002">
    <w:abstractNumId w:val="9"/>
  </w:num>
  <w:num w:numId="16" w16cid:durableId="450127545">
    <w:abstractNumId w:val="10"/>
  </w:num>
  <w:num w:numId="17" w16cid:durableId="1549948801">
    <w:abstractNumId w:val="11"/>
  </w:num>
  <w:num w:numId="18" w16cid:durableId="5885442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861"/>
    <w:rsid w:val="00014D12"/>
    <w:rsid w:val="00034616"/>
    <w:rsid w:val="0006063C"/>
    <w:rsid w:val="0007076C"/>
    <w:rsid w:val="0015074B"/>
    <w:rsid w:val="0015079A"/>
    <w:rsid w:val="00276C69"/>
    <w:rsid w:val="0029639D"/>
    <w:rsid w:val="00326F90"/>
    <w:rsid w:val="003A059E"/>
    <w:rsid w:val="003A72A3"/>
    <w:rsid w:val="00410BB8"/>
    <w:rsid w:val="005049A1"/>
    <w:rsid w:val="00536B6F"/>
    <w:rsid w:val="00550527"/>
    <w:rsid w:val="0064046E"/>
    <w:rsid w:val="00645D65"/>
    <w:rsid w:val="006C34ED"/>
    <w:rsid w:val="006E3B08"/>
    <w:rsid w:val="0074111C"/>
    <w:rsid w:val="007419EB"/>
    <w:rsid w:val="00743152"/>
    <w:rsid w:val="0077298E"/>
    <w:rsid w:val="00777CBE"/>
    <w:rsid w:val="008665D7"/>
    <w:rsid w:val="00893F11"/>
    <w:rsid w:val="0090396A"/>
    <w:rsid w:val="00963F27"/>
    <w:rsid w:val="00A677C6"/>
    <w:rsid w:val="00AA1D8D"/>
    <w:rsid w:val="00AD3C08"/>
    <w:rsid w:val="00B47730"/>
    <w:rsid w:val="00BA7DB3"/>
    <w:rsid w:val="00C42604"/>
    <w:rsid w:val="00C76D3E"/>
    <w:rsid w:val="00CA617F"/>
    <w:rsid w:val="00CB0664"/>
    <w:rsid w:val="00CC4607"/>
    <w:rsid w:val="00D01B0F"/>
    <w:rsid w:val="00DE39E9"/>
    <w:rsid w:val="00E05440"/>
    <w:rsid w:val="00EE6F34"/>
    <w:rsid w:val="00EF4B10"/>
    <w:rsid w:val="00F26BDC"/>
    <w:rsid w:val="00F31E8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1573EF"/>
  <w14:defaultImageDpi w14:val="330"/>
  <w15:docId w15:val="{7C1E512E-D94F-4CE2-9EEA-D5044ED0F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E05440"/>
    <w:pPr>
      <w:spacing w:after="0" w:line="240" w:lineRule="auto"/>
    </w:pPr>
  </w:style>
  <w:style w:type="character" w:styleId="Hyperlink">
    <w:name w:val="Hyperlink"/>
    <w:basedOn w:val="DefaultParagraphFont"/>
    <w:uiPriority w:val="99"/>
    <w:unhideWhenUsed/>
    <w:rsid w:val="00276C69"/>
    <w:rPr>
      <w:color w:val="0000FF" w:themeColor="hyperlink"/>
      <w:u w:val="single"/>
    </w:rPr>
  </w:style>
  <w:style w:type="character" w:styleId="UnresolvedMention">
    <w:name w:val="Unresolved Mention"/>
    <w:basedOn w:val="DefaultParagraphFont"/>
    <w:uiPriority w:val="99"/>
    <w:semiHidden/>
    <w:unhideWhenUsed/>
    <w:rsid w:val="00276C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3" Type="http://schemas.openxmlformats.org/officeDocument/2006/relationships/styles" Target="styles.xml"/><Relationship Id="rId7" Type="http://schemas.openxmlformats.org/officeDocument/2006/relationships/hyperlink" Target="https://www.ciob.or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sigroup.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rics.org/" TargetMode="External"/><Relationship Id="rId4" Type="http://schemas.openxmlformats.org/officeDocument/2006/relationships/settings" Target="settings.xml"/><Relationship Id="rId9"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1660</Words>
  <Characters>8303</Characters>
  <Application>Microsoft Office Word</Application>
  <DocSecurity>0</DocSecurity>
  <Lines>1383</Lines>
  <Paragraphs>622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Regan, Olivia</cp:lastModifiedBy>
  <cp:revision>36</cp:revision>
  <dcterms:created xsi:type="dcterms:W3CDTF">2025-12-02T16:36:00Z</dcterms:created>
  <dcterms:modified xsi:type="dcterms:W3CDTF">2025-12-09T11:57:00Z</dcterms:modified>
  <cp:category/>
</cp:coreProperties>
</file>