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7FDBE0" w14:textId="77777777" w:rsidR="00F40928" w:rsidRDefault="00F40928" w:rsidP="00F40928">
      <w:pPr>
        <w:spacing w:line="480" w:lineRule="auto"/>
        <w:jc w:val="center"/>
        <w:rPr>
          <w:rFonts w:ascii="Times New Roman" w:hAnsi="Times New Roman" w:cs="Times New Roman"/>
        </w:rPr>
      </w:pPr>
    </w:p>
    <w:p w14:paraId="5613B017" w14:textId="77777777" w:rsidR="00A7148C" w:rsidRDefault="00A7148C" w:rsidP="00F40928">
      <w:pPr>
        <w:spacing w:line="480" w:lineRule="auto"/>
        <w:jc w:val="center"/>
        <w:rPr>
          <w:rFonts w:ascii="Times New Roman" w:hAnsi="Times New Roman" w:cs="Times New Roman"/>
        </w:rPr>
      </w:pPr>
    </w:p>
    <w:p w14:paraId="403C936A" w14:textId="77777777" w:rsidR="00F40928" w:rsidRDefault="00F40928" w:rsidP="00F40928">
      <w:pPr>
        <w:spacing w:line="480" w:lineRule="auto"/>
        <w:jc w:val="center"/>
        <w:rPr>
          <w:rFonts w:ascii="Times New Roman" w:hAnsi="Times New Roman" w:cs="Times New Roman"/>
        </w:rPr>
      </w:pPr>
    </w:p>
    <w:p w14:paraId="0C1BCF6F" w14:textId="77777777" w:rsidR="00F40928" w:rsidRDefault="00F40928" w:rsidP="00F40928">
      <w:pPr>
        <w:spacing w:line="480" w:lineRule="auto"/>
        <w:jc w:val="center"/>
        <w:rPr>
          <w:rFonts w:ascii="Times New Roman" w:hAnsi="Times New Roman" w:cs="Times New Roman"/>
        </w:rPr>
      </w:pPr>
    </w:p>
    <w:p w14:paraId="47FD8A75" w14:textId="77777777" w:rsidR="00F40928" w:rsidRDefault="00F40928" w:rsidP="00F40928">
      <w:pPr>
        <w:spacing w:line="480" w:lineRule="auto"/>
        <w:jc w:val="center"/>
        <w:rPr>
          <w:rFonts w:ascii="Times New Roman" w:hAnsi="Times New Roman" w:cs="Times New Roman"/>
        </w:rPr>
      </w:pPr>
    </w:p>
    <w:p w14:paraId="23B1297C" w14:textId="77777777" w:rsidR="00F40928" w:rsidRDefault="00F40928" w:rsidP="00F40928">
      <w:pPr>
        <w:spacing w:line="480" w:lineRule="auto"/>
        <w:jc w:val="center"/>
        <w:rPr>
          <w:rFonts w:ascii="Times New Roman" w:hAnsi="Times New Roman" w:cs="Times New Roman"/>
        </w:rPr>
      </w:pPr>
    </w:p>
    <w:p w14:paraId="07AB0462" w14:textId="0A3821F3" w:rsidR="00F40928" w:rsidRPr="00F40928" w:rsidRDefault="00F40928" w:rsidP="00F40928">
      <w:pPr>
        <w:spacing w:line="480" w:lineRule="auto"/>
        <w:jc w:val="center"/>
        <w:rPr>
          <w:rFonts w:ascii="Times New Roman" w:hAnsi="Times New Roman" w:cs="Times New Roman"/>
          <w:b/>
          <w:bCs/>
        </w:rPr>
      </w:pPr>
      <w:r w:rsidRPr="00F40928">
        <w:rPr>
          <w:rFonts w:ascii="Times New Roman" w:hAnsi="Times New Roman" w:cs="Times New Roman"/>
          <w:b/>
          <w:bCs/>
        </w:rPr>
        <w:t xml:space="preserve">LCHS7002 Health Care System </w:t>
      </w:r>
      <w:proofErr w:type="spellStart"/>
      <w:r w:rsidRPr="00F40928">
        <w:rPr>
          <w:rFonts w:ascii="Times New Roman" w:hAnsi="Times New Roman" w:cs="Times New Roman"/>
          <w:b/>
          <w:bCs/>
        </w:rPr>
        <w:t>Organisation</w:t>
      </w:r>
      <w:proofErr w:type="spellEnd"/>
      <w:r w:rsidRPr="00F40928">
        <w:rPr>
          <w:rFonts w:ascii="Times New Roman" w:hAnsi="Times New Roman" w:cs="Times New Roman"/>
          <w:b/>
          <w:bCs/>
        </w:rPr>
        <w:t xml:space="preserve"> and Leadership</w:t>
      </w:r>
    </w:p>
    <w:p w14:paraId="5C5F288B" w14:textId="77777777" w:rsidR="00F40928" w:rsidRDefault="00F40928" w:rsidP="00F40928">
      <w:pPr>
        <w:spacing w:line="480" w:lineRule="auto"/>
        <w:jc w:val="center"/>
        <w:rPr>
          <w:rFonts w:ascii="Times New Roman" w:hAnsi="Times New Roman" w:cs="Times New Roman"/>
        </w:rPr>
      </w:pPr>
    </w:p>
    <w:p w14:paraId="154014BA" w14:textId="77777777" w:rsidR="00F40928" w:rsidRDefault="00F40928" w:rsidP="00F40928">
      <w:pPr>
        <w:spacing w:line="480" w:lineRule="auto"/>
        <w:jc w:val="center"/>
        <w:rPr>
          <w:rFonts w:ascii="Times New Roman" w:hAnsi="Times New Roman" w:cs="Times New Roman"/>
        </w:rPr>
      </w:pPr>
    </w:p>
    <w:p w14:paraId="6B861870" w14:textId="0B0FF393" w:rsidR="00F40928" w:rsidRDefault="00F40928" w:rsidP="00F40928">
      <w:pPr>
        <w:spacing w:line="480" w:lineRule="auto"/>
        <w:jc w:val="center"/>
        <w:rPr>
          <w:rFonts w:ascii="Times New Roman" w:hAnsi="Times New Roman" w:cs="Times New Roman"/>
          <w:lang w:val="pt-BR"/>
        </w:rPr>
      </w:pPr>
      <w:r w:rsidRPr="00BA7B2A">
        <w:rPr>
          <w:rFonts w:ascii="Times New Roman" w:hAnsi="Times New Roman" w:cs="Times New Roman"/>
          <w:b/>
          <w:bCs/>
          <w:lang w:val="pt-BR"/>
        </w:rPr>
        <w:t>Student’s Name</w:t>
      </w:r>
      <w:r w:rsidR="00BA7B2A" w:rsidRPr="00BA7B2A">
        <w:rPr>
          <w:rFonts w:ascii="Times New Roman" w:hAnsi="Times New Roman" w:cs="Times New Roman"/>
          <w:lang w:val="pt-BR"/>
        </w:rPr>
        <w:t xml:space="preserve"> </w:t>
      </w:r>
      <w:r w:rsidR="00BA7B2A">
        <w:rPr>
          <w:rFonts w:ascii="Times New Roman" w:hAnsi="Times New Roman" w:cs="Times New Roman"/>
          <w:lang w:val="pt-BR"/>
        </w:rPr>
        <w:t>:</w:t>
      </w:r>
      <w:r w:rsidR="00BA7B2A" w:rsidRPr="00BA7B2A">
        <w:rPr>
          <w:rFonts w:ascii="Times New Roman" w:hAnsi="Times New Roman" w:cs="Times New Roman"/>
          <w:lang w:val="pt-BR"/>
        </w:rPr>
        <w:t xml:space="preserve"> Danielle Gotz Colombo das Candeia</w:t>
      </w:r>
      <w:r w:rsidR="00BA7B2A">
        <w:rPr>
          <w:rFonts w:ascii="Times New Roman" w:hAnsi="Times New Roman" w:cs="Times New Roman"/>
          <w:lang w:val="pt-BR"/>
        </w:rPr>
        <w:t>s.</w:t>
      </w:r>
    </w:p>
    <w:p w14:paraId="60D0AC5C" w14:textId="3E3D42FA" w:rsidR="00BA7B2A" w:rsidRPr="00BA7B2A" w:rsidRDefault="00BA7B2A" w:rsidP="00F40928">
      <w:pPr>
        <w:spacing w:line="480" w:lineRule="auto"/>
        <w:jc w:val="center"/>
        <w:rPr>
          <w:rFonts w:ascii="Times New Roman" w:hAnsi="Times New Roman" w:cs="Times New Roman"/>
          <w:lang w:val="pt-BR"/>
        </w:rPr>
      </w:pPr>
      <w:r w:rsidRPr="00BA7B2A">
        <w:rPr>
          <w:rFonts w:ascii="Times New Roman" w:hAnsi="Times New Roman" w:cs="Times New Roman"/>
          <w:b/>
          <w:bCs/>
          <w:lang w:val="pt-BR"/>
        </w:rPr>
        <w:t>Studant number</w:t>
      </w:r>
      <w:r>
        <w:rPr>
          <w:rFonts w:ascii="Times New Roman" w:hAnsi="Times New Roman" w:cs="Times New Roman"/>
          <w:lang w:val="pt-BR"/>
        </w:rPr>
        <w:t xml:space="preserve"> :2231187</w:t>
      </w:r>
    </w:p>
    <w:p w14:paraId="5350FE90" w14:textId="3793F31D" w:rsidR="00F40928" w:rsidRDefault="00F40928" w:rsidP="00BA7B2A">
      <w:pPr>
        <w:spacing w:line="480" w:lineRule="auto"/>
        <w:rPr>
          <w:rFonts w:ascii="Times New Roman" w:hAnsi="Times New Roman" w:cs="Times New Roman"/>
        </w:rPr>
      </w:pPr>
    </w:p>
    <w:p w14:paraId="14288D39" w14:textId="50278227" w:rsidR="003378AA" w:rsidRPr="002408C2" w:rsidRDefault="00BA7B2A" w:rsidP="00BA7B2A">
      <w:pPr>
        <w:rPr>
          <w:rFonts w:ascii="Arial" w:hAnsi="Arial" w:cs="Arial"/>
        </w:rPr>
      </w:pPr>
      <w:r w:rsidRPr="002408C2">
        <w:rPr>
          <w:rFonts w:ascii="Arial" w:hAnsi="Arial" w:cs="Arial"/>
        </w:rPr>
        <w:t xml:space="preserve">                                                                                        </w:t>
      </w:r>
      <w:r w:rsidR="003378AA" w:rsidRPr="002408C2">
        <w:rPr>
          <w:rFonts w:ascii="Arial" w:hAnsi="Arial" w:cs="Arial"/>
          <w:b/>
          <w:bCs/>
        </w:rPr>
        <w:t>Introduction</w:t>
      </w:r>
    </w:p>
    <w:p w14:paraId="691CA9B0" w14:textId="1C7719F8" w:rsidR="007F15AF" w:rsidRPr="002408C2" w:rsidRDefault="007F15AF" w:rsidP="007F15AF">
      <w:pPr>
        <w:spacing w:line="480" w:lineRule="auto"/>
        <w:ind w:firstLine="720"/>
        <w:rPr>
          <w:rFonts w:ascii="Arial" w:hAnsi="Arial" w:cs="Arial"/>
          <w:sz w:val="22"/>
          <w:szCs w:val="22"/>
        </w:rPr>
      </w:pPr>
      <w:r w:rsidRPr="002408C2">
        <w:rPr>
          <w:rFonts w:ascii="Arial" w:hAnsi="Arial" w:cs="Arial"/>
          <w:sz w:val="22"/>
          <w:szCs w:val="22"/>
        </w:rPr>
        <w:t xml:space="preserve">Healthcare </w:t>
      </w:r>
      <w:r w:rsidR="00BA7B2A" w:rsidRPr="002408C2">
        <w:rPr>
          <w:rFonts w:ascii="Arial" w:hAnsi="Arial" w:cs="Arial"/>
          <w:sz w:val="22"/>
          <w:szCs w:val="22"/>
        </w:rPr>
        <w:t>organizations</w:t>
      </w:r>
      <w:r w:rsidRPr="002408C2">
        <w:rPr>
          <w:rFonts w:ascii="Arial" w:hAnsi="Arial" w:cs="Arial"/>
          <w:sz w:val="22"/>
          <w:szCs w:val="22"/>
        </w:rPr>
        <w:t xml:space="preserve"> are complex systems in which leadership, governance and working together effectively </w:t>
      </w:r>
      <w:proofErr w:type="gramStart"/>
      <w:r w:rsidRPr="002408C2">
        <w:rPr>
          <w:rFonts w:ascii="Arial" w:hAnsi="Arial" w:cs="Arial"/>
          <w:sz w:val="22"/>
          <w:szCs w:val="22"/>
        </w:rPr>
        <w:t>is</w:t>
      </w:r>
      <w:proofErr w:type="gramEnd"/>
      <w:r w:rsidRPr="002408C2">
        <w:rPr>
          <w:rFonts w:ascii="Arial" w:hAnsi="Arial" w:cs="Arial"/>
          <w:sz w:val="22"/>
          <w:szCs w:val="22"/>
        </w:rPr>
        <w:t xml:space="preserve"> key to providing safe, </w:t>
      </w:r>
      <w:r w:rsidR="00BA7B2A" w:rsidRPr="002408C2">
        <w:rPr>
          <w:rFonts w:ascii="Arial" w:hAnsi="Arial" w:cs="Arial"/>
          <w:sz w:val="22"/>
          <w:szCs w:val="22"/>
        </w:rPr>
        <w:t>high-quality</w:t>
      </w:r>
      <w:r w:rsidRPr="002408C2">
        <w:rPr>
          <w:rFonts w:ascii="Arial" w:hAnsi="Arial" w:cs="Arial"/>
          <w:sz w:val="22"/>
          <w:szCs w:val="22"/>
        </w:rPr>
        <w:t xml:space="preserve"> care for patients. Although healthcare has improved over time, patient harm that is avoidable is still a major concern across the globe, frequently caused by </w:t>
      </w:r>
      <w:r w:rsidR="00542254" w:rsidRPr="002408C2">
        <w:rPr>
          <w:rFonts w:ascii="Arial" w:hAnsi="Arial" w:cs="Arial"/>
          <w:sz w:val="22"/>
          <w:szCs w:val="22"/>
        </w:rPr>
        <w:t>miscommunications, lack of coordination, and organizational</w:t>
      </w:r>
      <w:r w:rsidRPr="002408C2">
        <w:rPr>
          <w:rFonts w:ascii="Arial" w:hAnsi="Arial" w:cs="Arial"/>
          <w:sz w:val="22"/>
          <w:szCs w:val="22"/>
        </w:rPr>
        <w:t xml:space="preserve"> weakness. The World Health </w:t>
      </w:r>
      <w:r w:rsidR="00BA7B2A" w:rsidRPr="002408C2">
        <w:rPr>
          <w:rFonts w:ascii="Arial" w:hAnsi="Arial" w:cs="Arial"/>
          <w:sz w:val="22"/>
          <w:szCs w:val="22"/>
        </w:rPr>
        <w:t>Organization</w:t>
      </w:r>
      <w:r w:rsidRPr="002408C2">
        <w:rPr>
          <w:rFonts w:ascii="Arial" w:hAnsi="Arial" w:cs="Arial"/>
          <w:sz w:val="22"/>
          <w:szCs w:val="22"/>
        </w:rPr>
        <w:t xml:space="preserve"> (2024) has identified leadership and effective governance, along with continuous learning to enhance patient safety as elements of reducing avoidable harm. This report examines Case Study 2, a report by the Health Services Safety Investigations Body (HSSIB) into the death of a patient after not having their anticoagulation </w:t>
      </w:r>
      <w:r w:rsidRPr="002408C2">
        <w:rPr>
          <w:rFonts w:ascii="Arial" w:hAnsi="Arial" w:cs="Arial"/>
          <w:sz w:val="22"/>
          <w:szCs w:val="22"/>
        </w:rPr>
        <w:lastRenderedPageBreak/>
        <w:t xml:space="preserve">therapy restarted after a hospital procedure. To maintain confidentiality and improve readability, the patient </w:t>
      </w:r>
      <w:r w:rsidR="00711B7C" w:rsidRPr="002408C2">
        <w:rPr>
          <w:rFonts w:ascii="Arial" w:hAnsi="Arial" w:cs="Arial"/>
          <w:sz w:val="22"/>
          <w:szCs w:val="22"/>
        </w:rPr>
        <w:t>X (Case study 2)</w:t>
      </w:r>
      <w:r w:rsidRPr="002408C2">
        <w:rPr>
          <w:rFonts w:ascii="Arial" w:hAnsi="Arial" w:cs="Arial"/>
          <w:sz w:val="22"/>
          <w:szCs w:val="22"/>
        </w:rPr>
        <w:t xml:space="preserve">. </w:t>
      </w:r>
      <w:r w:rsidR="00711B7C" w:rsidRPr="002408C2">
        <w:rPr>
          <w:rFonts w:ascii="Arial" w:hAnsi="Arial" w:cs="Arial"/>
          <w:sz w:val="22"/>
          <w:szCs w:val="22"/>
        </w:rPr>
        <w:t>Patient X</w:t>
      </w:r>
      <w:r w:rsidRPr="002408C2">
        <w:rPr>
          <w:rFonts w:ascii="Arial" w:hAnsi="Arial" w:cs="Arial"/>
          <w:sz w:val="22"/>
          <w:szCs w:val="22"/>
        </w:rPr>
        <w:t xml:space="preserve"> was placed in hospital while on apixaban, but after several delays in the procedure, poor communication and the failure to resume the drug following surgery, he suffered a fatal stroke. The investigation found that there were several </w:t>
      </w:r>
      <w:r w:rsidR="00BA7B2A" w:rsidRPr="002408C2">
        <w:rPr>
          <w:rFonts w:ascii="Arial" w:hAnsi="Arial" w:cs="Arial"/>
          <w:sz w:val="22"/>
          <w:szCs w:val="22"/>
        </w:rPr>
        <w:t>organizational</w:t>
      </w:r>
      <w:r w:rsidRPr="002408C2">
        <w:rPr>
          <w:rFonts w:ascii="Arial" w:hAnsi="Arial" w:cs="Arial"/>
          <w:sz w:val="22"/>
          <w:szCs w:val="22"/>
        </w:rPr>
        <w:t xml:space="preserve"> and system failures that caused the incident, but not a single clinical error (HSSIB, 2024).</w:t>
      </w:r>
      <w:r w:rsidR="003773A6" w:rsidRPr="002408C2">
        <w:rPr>
          <w:rFonts w:ascii="Arial" w:hAnsi="Arial" w:cs="Arial"/>
          <w:sz w:val="22"/>
          <w:szCs w:val="22"/>
        </w:rPr>
        <w:t xml:space="preserve"> The case also demonstrates that patient safety depends on how leadership, governance and frontline practice interact rather than on individual clinical decisions alone. Effective leaders must </w:t>
      </w:r>
      <w:proofErr w:type="spellStart"/>
      <w:r w:rsidR="003773A6" w:rsidRPr="002408C2">
        <w:rPr>
          <w:rFonts w:ascii="Arial" w:hAnsi="Arial" w:cs="Arial"/>
          <w:sz w:val="22"/>
          <w:szCs w:val="22"/>
        </w:rPr>
        <w:t>recognise</w:t>
      </w:r>
      <w:proofErr w:type="spellEnd"/>
      <w:r w:rsidR="003773A6" w:rsidRPr="002408C2">
        <w:rPr>
          <w:rFonts w:ascii="Arial" w:hAnsi="Arial" w:cs="Arial"/>
          <w:sz w:val="22"/>
          <w:szCs w:val="22"/>
        </w:rPr>
        <w:t xml:space="preserve"> emerging risks, encourage staff to raise concerns, and ensure that responsibility for critical decisions remains clear across professional boundaries. This is particularly important when care involves several teams, changing clinical circumstances and competing </w:t>
      </w:r>
      <w:r w:rsidR="00BA7B2A" w:rsidRPr="002408C2">
        <w:rPr>
          <w:rFonts w:ascii="Arial" w:hAnsi="Arial" w:cs="Arial"/>
          <w:sz w:val="22"/>
          <w:szCs w:val="22"/>
        </w:rPr>
        <w:t>organizational</w:t>
      </w:r>
      <w:r w:rsidR="003773A6" w:rsidRPr="002408C2">
        <w:rPr>
          <w:rFonts w:ascii="Arial" w:hAnsi="Arial" w:cs="Arial"/>
          <w:sz w:val="22"/>
          <w:szCs w:val="22"/>
        </w:rPr>
        <w:t xml:space="preserve"> priorities that may increase the possibility of preventable harm.</w:t>
      </w:r>
    </w:p>
    <w:p w14:paraId="274DBD3C" w14:textId="1BEAB0F7" w:rsidR="003378AA" w:rsidRPr="002408C2" w:rsidRDefault="007F15AF" w:rsidP="007F15AF">
      <w:pPr>
        <w:spacing w:line="480" w:lineRule="auto"/>
        <w:ind w:firstLine="720"/>
        <w:rPr>
          <w:rFonts w:ascii="Arial" w:hAnsi="Arial" w:cs="Arial"/>
          <w:sz w:val="22"/>
          <w:szCs w:val="22"/>
        </w:rPr>
      </w:pPr>
      <w:r w:rsidRPr="002408C2">
        <w:rPr>
          <w:rFonts w:ascii="Arial" w:hAnsi="Arial" w:cs="Arial"/>
          <w:sz w:val="22"/>
          <w:szCs w:val="22"/>
        </w:rPr>
        <w:t xml:space="preserve">In health and social care, leadership means inspiring and motivating people and teams to work together to reach the same objectives whilst ensuring that patients are kept safe and that care is of high quality. Decisions can be made at a central level by senior management or distributed throughout the </w:t>
      </w:r>
      <w:r w:rsidR="00BA7B2A" w:rsidRPr="002408C2">
        <w:rPr>
          <w:rFonts w:ascii="Arial" w:hAnsi="Arial" w:cs="Arial"/>
          <w:sz w:val="22"/>
          <w:szCs w:val="22"/>
        </w:rPr>
        <w:t>organization</w:t>
      </w:r>
      <w:r w:rsidRPr="002408C2">
        <w:rPr>
          <w:rFonts w:ascii="Arial" w:hAnsi="Arial" w:cs="Arial"/>
          <w:sz w:val="22"/>
          <w:szCs w:val="22"/>
        </w:rPr>
        <w:t xml:space="preserve"> by the frontline staff. </w:t>
      </w:r>
      <w:proofErr w:type="gramStart"/>
      <w:r w:rsidRPr="002408C2">
        <w:rPr>
          <w:rFonts w:ascii="Arial" w:hAnsi="Arial" w:cs="Arial"/>
          <w:sz w:val="22"/>
          <w:szCs w:val="22"/>
        </w:rPr>
        <w:t>Both of these</w:t>
      </w:r>
      <w:proofErr w:type="gramEnd"/>
      <w:r w:rsidRPr="002408C2">
        <w:rPr>
          <w:rFonts w:ascii="Arial" w:hAnsi="Arial" w:cs="Arial"/>
          <w:sz w:val="22"/>
          <w:szCs w:val="22"/>
        </w:rPr>
        <w:t xml:space="preserve"> have their pros and cons, especially when changes are occurring in the </w:t>
      </w:r>
      <w:r w:rsidR="00BA7B2A" w:rsidRPr="002408C2">
        <w:rPr>
          <w:rFonts w:ascii="Arial" w:hAnsi="Arial" w:cs="Arial"/>
          <w:sz w:val="22"/>
          <w:szCs w:val="22"/>
        </w:rPr>
        <w:t>organization</w:t>
      </w:r>
      <w:r w:rsidRPr="002408C2">
        <w:rPr>
          <w:rFonts w:ascii="Arial" w:hAnsi="Arial" w:cs="Arial"/>
          <w:sz w:val="22"/>
          <w:szCs w:val="22"/>
        </w:rPr>
        <w:t xml:space="preserve"> or when there is a patient safety incident. Leadership theories such as transformational, transactional and situational leadership offer some useful frameworks for understanding the role of leaders in decision making and </w:t>
      </w:r>
      <w:r w:rsidR="00BA7B2A" w:rsidRPr="002408C2">
        <w:rPr>
          <w:rFonts w:ascii="Arial" w:hAnsi="Arial" w:cs="Arial"/>
          <w:sz w:val="22"/>
          <w:szCs w:val="22"/>
        </w:rPr>
        <w:t>organizational</w:t>
      </w:r>
      <w:r w:rsidRPr="002408C2">
        <w:rPr>
          <w:rFonts w:ascii="Arial" w:hAnsi="Arial" w:cs="Arial"/>
          <w:sz w:val="22"/>
          <w:szCs w:val="22"/>
        </w:rPr>
        <w:t xml:space="preserve"> performance (Northouse, 2022). This report uses systems thinking to explore why </w:t>
      </w:r>
      <w:r w:rsidR="00711B7C" w:rsidRPr="002408C2">
        <w:rPr>
          <w:rFonts w:ascii="Arial" w:hAnsi="Arial" w:cs="Arial"/>
          <w:sz w:val="22"/>
          <w:szCs w:val="22"/>
        </w:rPr>
        <w:t xml:space="preserve">Patient X </w:t>
      </w:r>
      <w:r w:rsidRPr="002408C2">
        <w:rPr>
          <w:rFonts w:ascii="Arial" w:hAnsi="Arial" w:cs="Arial"/>
          <w:sz w:val="22"/>
          <w:szCs w:val="22"/>
        </w:rPr>
        <w:t xml:space="preserve">died, looks at leadership and governance in the </w:t>
      </w:r>
      <w:r w:rsidR="00BA7B2A" w:rsidRPr="002408C2">
        <w:rPr>
          <w:rFonts w:ascii="Arial" w:hAnsi="Arial" w:cs="Arial"/>
          <w:sz w:val="22"/>
          <w:szCs w:val="22"/>
        </w:rPr>
        <w:t>organization</w:t>
      </w:r>
      <w:r w:rsidRPr="002408C2">
        <w:rPr>
          <w:rFonts w:ascii="Arial" w:hAnsi="Arial" w:cs="Arial"/>
          <w:sz w:val="22"/>
          <w:szCs w:val="22"/>
        </w:rPr>
        <w:t xml:space="preserve">, considers </w:t>
      </w:r>
      <w:r w:rsidR="00BA7B2A" w:rsidRPr="002408C2">
        <w:rPr>
          <w:rFonts w:ascii="Arial" w:hAnsi="Arial" w:cs="Arial"/>
          <w:sz w:val="22"/>
          <w:szCs w:val="22"/>
        </w:rPr>
        <w:t>centralization</w:t>
      </w:r>
      <w:r w:rsidRPr="002408C2">
        <w:rPr>
          <w:rFonts w:ascii="Arial" w:hAnsi="Arial" w:cs="Arial"/>
          <w:sz w:val="22"/>
          <w:szCs w:val="22"/>
        </w:rPr>
        <w:t xml:space="preserve"> and </w:t>
      </w:r>
      <w:r w:rsidR="00BA7B2A" w:rsidRPr="002408C2">
        <w:rPr>
          <w:rFonts w:ascii="Arial" w:hAnsi="Arial" w:cs="Arial"/>
          <w:sz w:val="22"/>
          <w:szCs w:val="22"/>
        </w:rPr>
        <w:t>decentralization</w:t>
      </w:r>
      <w:r w:rsidRPr="002408C2">
        <w:rPr>
          <w:rFonts w:ascii="Arial" w:hAnsi="Arial" w:cs="Arial"/>
          <w:sz w:val="22"/>
          <w:szCs w:val="22"/>
        </w:rPr>
        <w:t xml:space="preserve"> and makes evidence-based recommendations to improve patient safety and performance in the </w:t>
      </w:r>
      <w:r w:rsidR="00BA7B2A" w:rsidRPr="002408C2">
        <w:rPr>
          <w:rFonts w:ascii="Arial" w:hAnsi="Arial" w:cs="Arial"/>
          <w:sz w:val="22"/>
          <w:szCs w:val="22"/>
        </w:rPr>
        <w:t>organization</w:t>
      </w:r>
      <w:r w:rsidRPr="002408C2">
        <w:rPr>
          <w:rFonts w:ascii="Arial" w:hAnsi="Arial" w:cs="Arial"/>
          <w:sz w:val="22"/>
          <w:szCs w:val="22"/>
        </w:rPr>
        <w:t>.</w:t>
      </w:r>
    </w:p>
    <w:p w14:paraId="4765AC82" w14:textId="41E78749" w:rsidR="00C03BF4" w:rsidRPr="002408C2" w:rsidRDefault="00C03BF4" w:rsidP="00C03BF4">
      <w:pPr>
        <w:spacing w:line="480" w:lineRule="auto"/>
        <w:rPr>
          <w:rFonts w:ascii="Arial" w:hAnsi="Arial" w:cs="Arial"/>
          <w:b/>
          <w:bCs/>
        </w:rPr>
      </w:pPr>
      <w:r w:rsidRPr="002408C2">
        <w:rPr>
          <w:rFonts w:ascii="Arial" w:hAnsi="Arial" w:cs="Arial"/>
          <w:b/>
          <w:bCs/>
        </w:rPr>
        <w:t>2.0 Main Body</w:t>
      </w:r>
    </w:p>
    <w:p w14:paraId="289228D8" w14:textId="77777777" w:rsidR="00B7739B" w:rsidRPr="002408C2" w:rsidRDefault="00B7739B" w:rsidP="00B7739B">
      <w:pPr>
        <w:spacing w:line="480" w:lineRule="auto"/>
        <w:jc w:val="center"/>
        <w:rPr>
          <w:rFonts w:ascii="Arial" w:hAnsi="Arial" w:cs="Arial"/>
          <w:b/>
          <w:bCs/>
        </w:rPr>
      </w:pPr>
      <w:r w:rsidRPr="002408C2">
        <w:rPr>
          <w:rFonts w:ascii="Arial" w:hAnsi="Arial" w:cs="Arial"/>
          <w:b/>
          <w:bCs/>
        </w:rPr>
        <w:t>a. Identifying the Problem and Setting the System Context: Applying Systems Thinking and the Rich Picture</w:t>
      </w:r>
    </w:p>
    <w:p w14:paraId="57F652AD" w14:textId="2DA5D15C" w:rsidR="003809B2" w:rsidRPr="002408C2" w:rsidRDefault="003809B2" w:rsidP="003809B2">
      <w:pPr>
        <w:spacing w:line="480" w:lineRule="auto"/>
        <w:ind w:firstLine="720"/>
        <w:rPr>
          <w:rFonts w:ascii="Arial" w:hAnsi="Arial" w:cs="Arial"/>
          <w:sz w:val="22"/>
          <w:szCs w:val="22"/>
        </w:rPr>
      </w:pPr>
      <w:r w:rsidRPr="002408C2">
        <w:rPr>
          <w:rFonts w:ascii="Arial" w:hAnsi="Arial" w:cs="Arial"/>
          <w:sz w:val="22"/>
          <w:szCs w:val="22"/>
        </w:rPr>
        <w:t xml:space="preserve">The main issue in this case study is the failure to prescribe and give the patient's anticoagulant drug apixaban when he was admitted to </w:t>
      </w:r>
      <w:r w:rsidR="00C03BF4" w:rsidRPr="002408C2">
        <w:rPr>
          <w:rFonts w:ascii="Arial" w:hAnsi="Arial" w:cs="Arial"/>
          <w:sz w:val="22"/>
          <w:szCs w:val="22"/>
        </w:rPr>
        <w:t>the hospital, and the failure to restart it</w:t>
      </w:r>
      <w:r w:rsidRPr="002408C2">
        <w:rPr>
          <w:rFonts w:ascii="Arial" w:hAnsi="Arial" w:cs="Arial"/>
          <w:sz w:val="22"/>
          <w:szCs w:val="22"/>
        </w:rPr>
        <w:t xml:space="preserve"> after a delayed medical procedure. The medication was temporarily withheld due to frequent nosebleeds and potential for medication-induced bleeding; multiple delays, poor collaboration between interdisciplinary teams, and inadequate medication monitoring led to a 10-day delay in which the patient was not receiving anticoagulation. </w:t>
      </w:r>
      <w:r w:rsidR="00711B7C" w:rsidRPr="002408C2">
        <w:rPr>
          <w:rFonts w:ascii="Arial" w:hAnsi="Arial" w:cs="Arial"/>
          <w:sz w:val="22"/>
          <w:szCs w:val="22"/>
        </w:rPr>
        <w:t xml:space="preserve">Patient X </w:t>
      </w:r>
      <w:r w:rsidRPr="002408C2">
        <w:rPr>
          <w:rFonts w:ascii="Arial" w:hAnsi="Arial" w:cs="Arial"/>
          <w:sz w:val="22"/>
          <w:szCs w:val="22"/>
        </w:rPr>
        <w:t xml:space="preserve">had an </w:t>
      </w:r>
      <w:r w:rsidR="002408C2" w:rsidRPr="002408C2">
        <w:rPr>
          <w:rFonts w:ascii="Arial" w:hAnsi="Arial" w:cs="Arial"/>
          <w:sz w:val="22"/>
          <w:szCs w:val="22"/>
        </w:rPr>
        <w:t>ischemic</w:t>
      </w:r>
      <w:r w:rsidRPr="002408C2">
        <w:rPr>
          <w:rFonts w:ascii="Arial" w:hAnsi="Arial" w:cs="Arial"/>
          <w:sz w:val="22"/>
          <w:szCs w:val="22"/>
        </w:rPr>
        <w:t xml:space="preserve"> stroke and died two days after the operation. The HSSIB (2024) investigation found that the adverse outcome was caused by a complex mix of </w:t>
      </w:r>
      <w:r w:rsidR="002408C2" w:rsidRPr="002408C2">
        <w:rPr>
          <w:rFonts w:ascii="Arial" w:hAnsi="Arial" w:cs="Arial"/>
          <w:sz w:val="22"/>
          <w:szCs w:val="22"/>
        </w:rPr>
        <w:t>organizational</w:t>
      </w:r>
      <w:r w:rsidRPr="002408C2">
        <w:rPr>
          <w:rFonts w:ascii="Arial" w:hAnsi="Arial" w:cs="Arial"/>
          <w:sz w:val="22"/>
          <w:szCs w:val="22"/>
        </w:rPr>
        <w:t xml:space="preserve"> and system failures, not just a single clinical error. The case illustrates the potential impact of disjointed communication, insufficient governance, and lack of coordination between healthcare teams on patient safety.</w:t>
      </w:r>
    </w:p>
    <w:p w14:paraId="1FCE9004" w14:textId="1B53E4CD" w:rsidR="003809B2" w:rsidRPr="002408C2" w:rsidRDefault="003809B2" w:rsidP="003809B2">
      <w:pPr>
        <w:spacing w:line="480" w:lineRule="auto"/>
        <w:ind w:firstLine="720"/>
        <w:rPr>
          <w:rFonts w:ascii="Arial" w:hAnsi="Arial" w:cs="Arial"/>
          <w:sz w:val="22"/>
          <w:szCs w:val="22"/>
        </w:rPr>
      </w:pPr>
      <w:r w:rsidRPr="002408C2">
        <w:rPr>
          <w:rFonts w:ascii="Arial" w:hAnsi="Arial" w:cs="Arial"/>
          <w:sz w:val="22"/>
          <w:szCs w:val="22"/>
        </w:rPr>
        <w:t xml:space="preserve">Medication related harm is acknowledged as one of the major causes of preventable harm to patients around the world. According to the World Health </w:t>
      </w:r>
      <w:r w:rsidR="002408C2" w:rsidRPr="002408C2">
        <w:rPr>
          <w:rFonts w:ascii="Arial" w:hAnsi="Arial" w:cs="Arial"/>
          <w:sz w:val="22"/>
          <w:szCs w:val="22"/>
        </w:rPr>
        <w:t>Organization</w:t>
      </w:r>
      <w:r w:rsidRPr="002408C2">
        <w:rPr>
          <w:rFonts w:ascii="Arial" w:hAnsi="Arial" w:cs="Arial"/>
          <w:sz w:val="22"/>
          <w:szCs w:val="22"/>
        </w:rPr>
        <w:t xml:space="preserve"> (2024), unsafe medication practices and medication errors result in an estimated 42 billion US dollars in preventable health care expenditures annually worldwide, and millions of patients are harmed during health care delivery. Medication omissions, medication errors, delayed medication, and errors in monitoring people taking anticoagulants remain important sources of preventable morbidity and mortality. Patient safety failures represent almost 15% of health care expenditure in OECD countries, highlighting just how much patient safety problems cost health systems in terms of both finance and clinical care (</w:t>
      </w:r>
      <w:proofErr w:type="spellStart"/>
      <w:r w:rsidRPr="002408C2">
        <w:rPr>
          <w:rFonts w:ascii="Arial" w:hAnsi="Arial" w:cs="Arial"/>
          <w:sz w:val="22"/>
          <w:szCs w:val="22"/>
        </w:rPr>
        <w:t>Auraaen</w:t>
      </w:r>
      <w:proofErr w:type="spellEnd"/>
      <w:r w:rsidRPr="002408C2">
        <w:rPr>
          <w:rFonts w:ascii="Arial" w:hAnsi="Arial" w:cs="Arial"/>
          <w:sz w:val="22"/>
          <w:szCs w:val="22"/>
        </w:rPr>
        <w:t xml:space="preserve"> et al. 2018). Such global results show that the case of </w:t>
      </w:r>
      <w:r w:rsidR="00711B7C" w:rsidRPr="002408C2">
        <w:rPr>
          <w:rFonts w:ascii="Arial" w:hAnsi="Arial" w:cs="Arial"/>
          <w:sz w:val="22"/>
          <w:szCs w:val="22"/>
        </w:rPr>
        <w:t xml:space="preserve">Patient X </w:t>
      </w:r>
      <w:r w:rsidRPr="002408C2">
        <w:rPr>
          <w:rFonts w:ascii="Arial" w:hAnsi="Arial" w:cs="Arial"/>
          <w:sz w:val="22"/>
          <w:szCs w:val="22"/>
        </w:rPr>
        <w:t xml:space="preserve">is not a coincidence of poor performance at any </w:t>
      </w:r>
      <w:proofErr w:type="gramStart"/>
      <w:r w:rsidRPr="002408C2">
        <w:rPr>
          <w:rFonts w:ascii="Arial" w:hAnsi="Arial" w:cs="Arial"/>
          <w:sz w:val="22"/>
          <w:szCs w:val="22"/>
        </w:rPr>
        <w:t xml:space="preserve">particular </w:t>
      </w:r>
      <w:r w:rsidR="002408C2" w:rsidRPr="002408C2">
        <w:rPr>
          <w:rFonts w:ascii="Arial" w:hAnsi="Arial" w:cs="Arial"/>
          <w:sz w:val="22"/>
          <w:szCs w:val="22"/>
        </w:rPr>
        <w:t>organization</w:t>
      </w:r>
      <w:proofErr w:type="gramEnd"/>
      <w:r w:rsidRPr="002408C2">
        <w:rPr>
          <w:rFonts w:ascii="Arial" w:hAnsi="Arial" w:cs="Arial"/>
          <w:sz w:val="22"/>
          <w:szCs w:val="22"/>
        </w:rPr>
        <w:t xml:space="preserve"> but is part of a broader patient safety issue facing international healthcare </w:t>
      </w:r>
      <w:r w:rsidR="002408C2" w:rsidRPr="002408C2">
        <w:rPr>
          <w:rFonts w:ascii="Arial" w:hAnsi="Arial" w:cs="Arial"/>
          <w:sz w:val="22"/>
          <w:szCs w:val="22"/>
        </w:rPr>
        <w:t>organizations</w:t>
      </w:r>
      <w:r w:rsidRPr="002408C2">
        <w:rPr>
          <w:rFonts w:ascii="Arial" w:hAnsi="Arial" w:cs="Arial"/>
          <w:sz w:val="22"/>
          <w:szCs w:val="22"/>
        </w:rPr>
        <w:t>.</w:t>
      </w:r>
    </w:p>
    <w:p w14:paraId="5277A2C6" w14:textId="335536AA" w:rsidR="003809B2" w:rsidRPr="002408C2" w:rsidRDefault="003809B2" w:rsidP="003809B2">
      <w:pPr>
        <w:spacing w:line="480" w:lineRule="auto"/>
        <w:ind w:firstLine="720"/>
        <w:rPr>
          <w:rFonts w:ascii="Arial" w:hAnsi="Arial" w:cs="Arial"/>
          <w:sz w:val="22"/>
          <w:szCs w:val="22"/>
        </w:rPr>
      </w:pPr>
      <w:r w:rsidRPr="002408C2">
        <w:rPr>
          <w:rFonts w:ascii="Arial" w:hAnsi="Arial" w:cs="Arial"/>
          <w:sz w:val="22"/>
          <w:szCs w:val="22"/>
        </w:rPr>
        <w:t xml:space="preserve">The national context also helps to illustrate the importance of medication safety in the NHS. The NHS England (2024) report found that medication incidents continue to be one of the most common patient safety incidents across all healthcare settings, and that problems with </w:t>
      </w:r>
      <w:r w:rsidR="002408C2" w:rsidRPr="002408C2">
        <w:rPr>
          <w:rFonts w:ascii="Arial" w:hAnsi="Arial" w:cs="Arial"/>
          <w:sz w:val="22"/>
          <w:szCs w:val="22"/>
        </w:rPr>
        <w:t>high-risk</w:t>
      </w:r>
      <w:r w:rsidRPr="002408C2">
        <w:rPr>
          <w:rFonts w:ascii="Arial" w:hAnsi="Arial" w:cs="Arial"/>
          <w:sz w:val="22"/>
          <w:szCs w:val="22"/>
        </w:rPr>
        <w:t xml:space="preserve"> medicines, like anticoagulants, pose a significant risk of causing serious harm or death to patients. Anticoagulants are a type of medicine that is consistently identified by the National Institute for Health and Care Excellence (NICE, 2021) as a high alert medicine, where interruptions to </w:t>
      </w:r>
      <w:proofErr w:type="gramStart"/>
      <w:r w:rsidRPr="002408C2">
        <w:rPr>
          <w:rFonts w:ascii="Arial" w:hAnsi="Arial" w:cs="Arial"/>
          <w:sz w:val="22"/>
          <w:szCs w:val="22"/>
        </w:rPr>
        <w:t>treatment must</w:t>
      </w:r>
      <w:proofErr w:type="gramEnd"/>
      <w:r w:rsidRPr="002408C2">
        <w:rPr>
          <w:rFonts w:ascii="Arial" w:hAnsi="Arial" w:cs="Arial"/>
          <w:sz w:val="22"/>
          <w:szCs w:val="22"/>
        </w:rPr>
        <w:t xml:space="preserve"> require careful clinical judgement, must be continually reviewed and effective multidisciplinary communication. In </w:t>
      </w:r>
      <w:r w:rsidR="00711B7C" w:rsidRPr="002408C2">
        <w:rPr>
          <w:rFonts w:ascii="Arial" w:hAnsi="Arial" w:cs="Arial"/>
          <w:sz w:val="22"/>
          <w:szCs w:val="22"/>
        </w:rPr>
        <w:t xml:space="preserve">Patient X’s </w:t>
      </w:r>
      <w:r w:rsidRPr="002408C2">
        <w:rPr>
          <w:rFonts w:ascii="Arial" w:hAnsi="Arial" w:cs="Arial"/>
          <w:sz w:val="22"/>
          <w:szCs w:val="22"/>
        </w:rPr>
        <w:t xml:space="preserve">case, the medication omissions were a result of poor care in medication reconciliation and clinical review and poor discharge </w:t>
      </w:r>
      <w:proofErr w:type="gramStart"/>
      <w:r w:rsidRPr="002408C2">
        <w:rPr>
          <w:rFonts w:ascii="Arial" w:hAnsi="Arial" w:cs="Arial"/>
          <w:sz w:val="22"/>
          <w:szCs w:val="22"/>
        </w:rPr>
        <w:t>planning, and</w:t>
      </w:r>
      <w:proofErr w:type="gramEnd"/>
      <w:r w:rsidRPr="002408C2">
        <w:rPr>
          <w:rFonts w:ascii="Arial" w:hAnsi="Arial" w:cs="Arial"/>
          <w:sz w:val="22"/>
          <w:szCs w:val="22"/>
        </w:rPr>
        <w:t xml:space="preserve"> quickly put him at risk of catastrophic consequences.</w:t>
      </w:r>
    </w:p>
    <w:p w14:paraId="52AC5E0B" w14:textId="385A1F84" w:rsidR="003809B2" w:rsidRPr="002408C2" w:rsidRDefault="003809B2" w:rsidP="003809B2">
      <w:pPr>
        <w:spacing w:line="480" w:lineRule="auto"/>
        <w:ind w:firstLine="720"/>
        <w:rPr>
          <w:rFonts w:ascii="Arial" w:hAnsi="Arial" w:cs="Arial"/>
          <w:sz w:val="22"/>
          <w:szCs w:val="22"/>
        </w:rPr>
      </w:pPr>
      <w:r w:rsidRPr="002408C2">
        <w:rPr>
          <w:rFonts w:ascii="Arial" w:hAnsi="Arial" w:cs="Arial"/>
          <w:sz w:val="22"/>
          <w:szCs w:val="22"/>
        </w:rPr>
        <w:t xml:space="preserve">National patient safety </w:t>
      </w:r>
      <w:r w:rsidR="002408C2" w:rsidRPr="002408C2">
        <w:rPr>
          <w:rFonts w:ascii="Arial" w:hAnsi="Arial" w:cs="Arial"/>
          <w:sz w:val="22"/>
          <w:szCs w:val="22"/>
        </w:rPr>
        <w:t>organizations</w:t>
      </w:r>
      <w:r w:rsidRPr="002408C2">
        <w:rPr>
          <w:rFonts w:ascii="Arial" w:hAnsi="Arial" w:cs="Arial"/>
          <w:sz w:val="22"/>
          <w:szCs w:val="22"/>
        </w:rPr>
        <w:t xml:space="preserve"> provide further evidence to underscore these concerns. The HSSIB</w:t>
      </w:r>
      <w:r w:rsidR="00794B91" w:rsidRPr="002408C2">
        <w:rPr>
          <w:rFonts w:ascii="Arial" w:hAnsi="Arial" w:cs="Arial"/>
          <w:sz w:val="22"/>
          <w:szCs w:val="22"/>
        </w:rPr>
        <w:t xml:space="preserve"> (</w:t>
      </w:r>
      <w:r w:rsidRPr="002408C2">
        <w:rPr>
          <w:rFonts w:ascii="Arial" w:hAnsi="Arial" w:cs="Arial"/>
          <w:sz w:val="22"/>
          <w:szCs w:val="22"/>
        </w:rPr>
        <w:t xml:space="preserve">2024) reported that clinicians made difficult choices between potential bleeding risks and thromboembolic concerns. These clinical difficulties were exacerbated by the lack of effective systems of communication among medical teams, the lack of clarity about who was responsible for restarting anti-coagulants after a procedure, poor recording and the lack of effective systems for re-viewing medicines following procedural delays. The Patient Safety Commissioner (2024) also reports similar findings, highlighting that </w:t>
      </w:r>
      <w:proofErr w:type="gramStart"/>
      <w:r w:rsidRPr="002408C2">
        <w:rPr>
          <w:rFonts w:ascii="Arial" w:hAnsi="Arial" w:cs="Arial"/>
          <w:sz w:val="22"/>
          <w:szCs w:val="22"/>
        </w:rPr>
        <w:t>medicines</w:t>
      </w:r>
      <w:proofErr w:type="gramEnd"/>
      <w:r w:rsidRPr="002408C2">
        <w:rPr>
          <w:rFonts w:ascii="Arial" w:hAnsi="Arial" w:cs="Arial"/>
          <w:sz w:val="22"/>
          <w:szCs w:val="22"/>
        </w:rPr>
        <w:t xml:space="preserve"> safety is not just about clinical skills, but also about the strength and reliability of </w:t>
      </w:r>
      <w:proofErr w:type="spellStart"/>
      <w:r w:rsidRPr="002408C2">
        <w:rPr>
          <w:rFonts w:ascii="Arial" w:hAnsi="Arial" w:cs="Arial"/>
          <w:sz w:val="22"/>
          <w:szCs w:val="22"/>
        </w:rPr>
        <w:t>organisational</w:t>
      </w:r>
      <w:proofErr w:type="spellEnd"/>
      <w:r w:rsidRPr="002408C2">
        <w:rPr>
          <w:rFonts w:ascii="Arial" w:hAnsi="Arial" w:cs="Arial"/>
          <w:sz w:val="22"/>
          <w:szCs w:val="22"/>
        </w:rPr>
        <w:t xml:space="preserve"> systems to reduce the likelihood of human error.</w:t>
      </w:r>
    </w:p>
    <w:p w14:paraId="6687AC10" w14:textId="5E4B1D29" w:rsidR="003809B2" w:rsidRPr="002408C2" w:rsidRDefault="003809B2" w:rsidP="003809B2">
      <w:pPr>
        <w:spacing w:line="480" w:lineRule="auto"/>
        <w:ind w:firstLine="720"/>
        <w:rPr>
          <w:rFonts w:ascii="Arial" w:hAnsi="Arial" w:cs="Arial"/>
          <w:sz w:val="22"/>
          <w:szCs w:val="22"/>
        </w:rPr>
      </w:pPr>
      <w:r w:rsidRPr="002408C2">
        <w:rPr>
          <w:rFonts w:ascii="Arial" w:hAnsi="Arial" w:cs="Arial"/>
          <w:sz w:val="22"/>
          <w:szCs w:val="22"/>
        </w:rPr>
        <w:t xml:space="preserve">A systems perspective implies that individual performance is not the sole cause of the incident. Systems thinking acknowledges that outcomes in healthcare happen as interactions among people, technology, </w:t>
      </w:r>
      <w:proofErr w:type="spellStart"/>
      <w:r w:rsidRPr="002408C2">
        <w:rPr>
          <w:rFonts w:ascii="Arial" w:hAnsi="Arial" w:cs="Arial"/>
          <w:sz w:val="22"/>
          <w:szCs w:val="22"/>
        </w:rPr>
        <w:t>organi</w:t>
      </w:r>
      <w:r w:rsidR="00AE1140" w:rsidRPr="002408C2">
        <w:rPr>
          <w:rFonts w:ascii="Arial" w:hAnsi="Arial" w:cs="Arial"/>
          <w:sz w:val="22"/>
          <w:szCs w:val="22"/>
        </w:rPr>
        <w:t>s</w:t>
      </w:r>
      <w:r w:rsidRPr="002408C2">
        <w:rPr>
          <w:rFonts w:ascii="Arial" w:hAnsi="Arial" w:cs="Arial"/>
          <w:sz w:val="22"/>
          <w:szCs w:val="22"/>
        </w:rPr>
        <w:t>ational</w:t>
      </w:r>
      <w:proofErr w:type="spellEnd"/>
      <w:r w:rsidRPr="002408C2">
        <w:rPr>
          <w:rFonts w:ascii="Arial" w:hAnsi="Arial" w:cs="Arial"/>
          <w:sz w:val="22"/>
          <w:szCs w:val="22"/>
        </w:rPr>
        <w:t xml:space="preserve"> structures, governance processes and the broader healthcare system, and do not result from individual clinician actions. According to Senge (2006), complex </w:t>
      </w:r>
      <w:proofErr w:type="spellStart"/>
      <w:r w:rsidRPr="002408C2">
        <w:rPr>
          <w:rFonts w:ascii="Arial" w:hAnsi="Arial" w:cs="Arial"/>
          <w:sz w:val="22"/>
          <w:szCs w:val="22"/>
        </w:rPr>
        <w:t>organisations</w:t>
      </w:r>
      <w:proofErr w:type="spellEnd"/>
      <w:r w:rsidRPr="002408C2">
        <w:rPr>
          <w:rFonts w:ascii="Arial" w:hAnsi="Arial" w:cs="Arial"/>
          <w:sz w:val="22"/>
          <w:szCs w:val="22"/>
        </w:rPr>
        <w:t xml:space="preserve"> generate results from interconnected relationships and feedback loops, which are likely to yield undesirable events when </w:t>
      </w:r>
      <w:proofErr w:type="gramStart"/>
      <w:r w:rsidRPr="002408C2">
        <w:rPr>
          <w:rFonts w:ascii="Arial" w:hAnsi="Arial" w:cs="Arial"/>
          <w:sz w:val="22"/>
          <w:szCs w:val="22"/>
        </w:rPr>
        <w:t>a number of</w:t>
      </w:r>
      <w:proofErr w:type="gramEnd"/>
      <w:r w:rsidRPr="002408C2">
        <w:rPr>
          <w:rFonts w:ascii="Arial" w:hAnsi="Arial" w:cs="Arial"/>
          <w:sz w:val="22"/>
          <w:szCs w:val="22"/>
        </w:rPr>
        <w:t xml:space="preserve"> small failures coincide. In this instance, the planned procedure was </w:t>
      </w:r>
      <w:proofErr w:type="gramStart"/>
      <w:r w:rsidRPr="002408C2">
        <w:rPr>
          <w:rFonts w:ascii="Arial" w:hAnsi="Arial" w:cs="Arial"/>
          <w:sz w:val="22"/>
          <w:szCs w:val="22"/>
        </w:rPr>
        <w:t>delayed</w:t>
      </w:r>
      <w:proofErr w:type="gramEnd"/>
      <w:r w:rsidRPr="002408C2">
        <w:rPr>
          <w:rFonts w:ascii="Arial" w:hAnsi="Arial" w:cs="Arial"/>
          <w:sz w:val="22"/>
          <w:szCs w:val="22"/>
        </w:rPr>
        <w:t xml:space="preserve"> and this changed the patient's treatment plans, but the communication systems did not ensure that the patient's anticoagulation therapy was continually reassessed. The incident also highlights shortcomings in </w:t>
      </w:r>
      <w:proofErr w:type="spellStart"/>
      <w:r w:rsidRPr="002408C2">
        <w:rPr>
          <w:rFonts w:ascii="Arial" w:hAnsi="Arial" w:cs="Arial"/>
          <w:sz w:val="22"/>
          <w:szCs w:val="22"/>
        </w:rPr>
        <w:t>organisational</w:t>
      </w:r>
      <w:proofErr w:type="spellEnd"/>
      <w:r w:rsidRPr="002408C2">
        <w:rPr>
          <w:rFonts w:ascii="Arial" w:hAnsi="Arial" w:cs="Arial"/>
          <w:sz w:val="22"/>
          <w:szCs w:val="22"/>
        </w:rPr>
        <w:t xml:space="preserve"> governance. While decisions on the prescription were taken locally within each hospital department, governance was lacking at hospital level. Healthcare </w:t>
      </w:r>
      <w:proofErr w:type="spellStart"/>
      <w:r w:rsidRPr="002408C2">
        <w:rPr>
          <w:rFonts w:ascii="Arial" w:hAnsi="Arial" w:cs="Arial"/>
          <w:sz w:val="22"/>
          <w:szCs w:val="22"/>
        </w:rPr>
        <w:t>organisations</w:t>
      </w:r>
      <w:proofErr w:type="spellEnd"/>
      <w:r w:rsidRPr="002408C2">
        <w:rPr>
          <w:rFonts w:ascii="Arial" w:hAnsi="Arial" w:cs="Arial"/>
          <w:sz w:val="22"/>
          <w:szCs w:val="22"/>
        </w:rPr>
        <w:t xml:space="preserve"> need to have systems in place to ensure patient safety, monitoring, accountability and quality improvement, which is clinical governance.  </w:t>
      </w:r>
    </w:p>
    <w:p w14:paraId="138F4E22" w14:textId="0D489E5F" w:rsidR="000057D2" w:rsidRPr="000057D2" w:rsidRDefault="0015250A" w:rsidP="00874C87">
      <w:pPr>
        <w:spacing w:line="480" w:lineRule="auto"/>
        <w:ind w:firstLine="720"/>
        <w:rPr>
          <w:rFonts w:ascii="Times New Roman" w:hAnsi="Times New Roman" w:cs="Times New Roman"/>
          <w:i/>
          <w:iCs/>
        </w:rPr>
      </w:pPr>
      <w:proofErr w:type="gramStart"/>
      <w:r w:rsidRPr="002408C2">
        <w:rPr>
          <w:rFonts w:ascii="Arial" w:hAnsi="Arial" w:cs="Arial"/>
          <w:sz w:val="22"/>
          <w:szCs w:val="22"/>
        </w:rPr>
        <w:t>A number of</w:t>
      </w:r>
      <w:proofErr w:type="gramEnd"/>
      <w:r w:rsidRPr="002408C2">
        <w:rPr>
          <w:rFonts w:ascii="Arial" w:hAnsi="Arial" w:cs="Arial"/>
          <w:sz w:val="22"/>
          <w:szCs w:val="22"/>
        </w:rPr>
        <w:t xml:space="preserve"> factors were also contributing to the incident. Demand for NHS services is building up, patients are growing more complex, working hours are becoming a strain and hospital procedures are taking longer. By June 2024, the NHS nursing vacancy rate had fallen to 7.9%, although 31,049 substantive nursing vacancies remained, illustrating continuing workforce capacity pressures (NHS England, 2024). Turnover of staff, multiple clinical priorities and disparate electronic information systems can create a risk that key medication reviews will be missed, especially if a patient is admitted for an extended period or if their treatment regimen changes. These systemic pressures set the stage for the failure of the anticoagulation being omitted to be discovered, despite many opportunities for intervention.</w:t>
      </w:r>
      <w:r w:rsidR="003809B2" w:rsidRPr="002408C2">
        <w:rPr>
          <w:rFonts w:ascii="Arial" w:hAnsi="Arial" w:cs="Arial"/>
          <w:sz w:val="22"/>
          <w:szCs w:val="22"/>
        </w:rPr>
        <w:t xml:space="preserve"> The Rich Picture (see </w:t>
      </w:r>
      <w:r w:rsidR="000057D2" w:rsidRPr="002408C2">
        <w:rPr>
          <w:rFonts w:ascii="Arial" w:hAnsi="Arial" w:cs="Arial"/>
          <w:sz w:val="22"/>
          <w:szCs w:val="22"/>
        </w:rPr>
        <w:t>below</w:t>
      </w:r>
      <w:r w:rsidR="003809B2" w:rsidRPr="002408C2">
        <w:rPr>
          <w:rFonts w:ascii="Arial" w:hAnsi="Arial" w:cs="Arial"/>
          <w:sz w:val="22"/>
          <w:szCs w:val="22"/>
        </w:rPr>
        <w:t xml:space="preserve">) shows how these </w:t>
      </w:r>
      <w:proofErr w:type="spellStart"/>
      <w:r w:rsidR="003809B2" w:rsidRPr="002408C2">
        <w:rPr>
          <w:rFonts w:ascii="Arial" w:hAnsi="Arial" w:cs="Arial"/>
          <w:sz w:val="22"/>
          <w:szCs w:val="22"/>
        </w:rPr>
        <w:t>organisational</w:t>
      </w:r>
      <w:proofErr w:type="spellEnd"/>
      <w:r w:rsidR="003809B2" w:rsidRPr="002408C2">
        <w:rPr>
          <w:rFonts w:ascii="Arial" w:hAnsi="Arial" w:cs="Arial"/>
          <w:sz w:val="22"/>
          <w:szCs w:val="22"/>
        </w:rPr>
        <w:t xml:space="preserve"> factors work together, and how complicated the healthcare system is, when considering </w:t>
      </w:r>
      <w:r w:rsidR="00711B7C" w:rsidRPr="002408C2">
        <w:rPr>
          <w:rFonts w:ascii="Arial" w:hAnsi="Arial" w:cs="Arial"/>
          <w:sz w:val="22"/>
          <w:szCs w:val="22"/>
        </w:rPr>
        <w:t xml:space="preserve">Patient X’s </w:t>
      </w:r>
      <w:r w:rsidR="003809B2" w:rsidRPr="002408C2">
        <w:rPr>
          <w:rFonts w:ascii="Arial" w:hAnsi="Arial" w:cs="Arial"/>
          <w:sz w:val="22"/>
          <w:szCs w:val="22"/>
        </w:rPr>
        <w:t>care.</w:t>
      </w:r>
      <w:r w:rsidR="000057D2" w:rsidRPr="000057D2">
        <w:rPr>
          <w:rFonts w:ascii="Times New Roman" w:hAnsi="Times New Roman" w:cs="Times New Roman"/>
          <w:i/>
          <w:iCs/>
          <w:noProof/>
        </w:rPr>
        <w:drawing>
          <wp:inline distT="0" distB="0" distL="0" distR="0" wp14:anchorId="65F66E4B" wp14:editId="256AF092">
            <wp:extent cx="6440805" cy="4815840"/>
            <wp:effectExtent l="0" t="0" r="0" b="3810"/>
            <wp:docPr id="1479118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487710" cy="4850911"/>
                    </a:xfrm>
                    <a:prstGeom prst="rect">
                      <a:avLst/>
                    </a:prstGeom>
                    <a:noFill/>
                  </pic:spPr>
                </pic:pic>
              </a:graphicData>
            </a:graphic>
          </wp:inline>
        </w:drawing>
      </w:r>
      <w:r w:rsidR="000057D2" w:rsidRPr="000057D2">
        <w:rPr>
          <w:rFonts w:ascii="Times New Roman" w:hAnsi="Times New Roman" w:cs="Times New Roman"/>
          <w:i/>
          <w:iCs/>
        </w:rPr>
        <w:t>Figure 1: Patient X Medication Safety Rich Picture</w:t>
      </w:r>
    </w:p>
    <w:p w14:paraId="1ED77375" w14:textId="27063B6B" w:rsidR="008123FF" w:rsidRPr="002408C2" w:rsidRDefault="003809B2" w:rsidP="003809B2">
      <w:pPr>
        <w:spacing w:line="480" w:lineRule="auto"/>
        <w:ind w:firstLine="720"/>
        <w:rPr>
          <w:rFonts w:ascii="Arial" w:hAnsi="Arial" w:cs="Arial"/>
          <w:sz w:val="22"/>
          <w:szCs w:val="22"/>
        </w:rPr>
      </w:pPr>
      <w:r w:rsidRPr="002408C2">
        <w:rPr>
          <w:rFonts w:ascii="Arial" w:hAnsi="Arial" w:cs="Arial"/>
          <w:sz w:val="22"/>
          <w:szCs w:val="22"/>
        </w:rPr>
        <w:t xml:space="preserve">The Rich Picture is not a sequence of events, but rather multiple interactions. There were also delays in procedure, which </w:t>
      </w:r>
      <w:proofErr w:type="gramStart"/>
      <w:r w:rsidRPr="002408C2">
        <w:rPr>
          <w:rFonts w:ascii="Arial" w:hAnsi="Arial" w:cs="Arial"/>
          <w:sz w:val="22"/>
          <w:szCs w:val="22"/>
        </w:rPr>
        <w:t>lead</w:t>
      </w:r>
      <w:proofErr w:type="gramEnd"/>
      <w:r w:rsidRPr="002408C2">
        <w:rPr>
          <w:rFonts w:ascii="Arial" w:hAnsi="Arial" w:cs="Arial"/>
          <w:sz w:val="22"/>
          <w:szCs w:val="22"/>
        </w:rPr>
        <w:t xml:space="preserve"> to the need for increased </w:t>
      </w:r>
      <w:proofErr w:type="gramStart"/>
      <w:r w:rsidRPr="002408C2">
        <w:rPr>
          <w:rFonts w:ascii="Arial" w:hAnsi="Arial" w:cs="Arial"/>
          <w:sz w:val="22"/>
          <w:szCs w:val="22"/>
        </w:rPr>
        <w:t>communications</w:t>
      </w:r>
      <w:proofErr w:type="gramEnd"/>
      <w:r w:rsidRPr="002408C2">
        <w:rPr>
          <w:rFonts w:ascii="Arial" w:hAnsi="Arial" w:cs="Arial"/>
          <w:sz w:val="22"/>
          <w:szCs w:val="22"/>
        </w:rPr>
        <w:t xml:space="preserve">, and ineffective information sharing which meant that anticoagulation therapy was not being reassessed in time. Lack of good documentation led to uncertainty of professional responsibility, and </w:t>
      </w:r>
      <w:proofErr w:type="spellStart"/>
      <w:r w:rsidRPr="002408C2">
        <w:rPr>
          <w:rFonts w:ascii="Arial" w:hAnsi="Arial" w:cs="Arial"/>
          <w:sz w:val="22"/>
          <w:szCs w:val="22"/>
        </w:rPr>
        <w:t>organisational</w:t>
      </w:r>
      <w:proofErr w:type="spellEnd"/>
      <w:r w:rsidRPr="002408C2">
        <w:rPr>
          <w:rFonts w:ascii="Arial" w:hAnsi="Arial" w:cs="Arial"/>
          <w:sz w:val="22"/>
          <w:szCs w:val="22"/>
        </w:rPr>
        <w:t xml:space="preserve"> governance did not identify these emerging risks. This was reinforced by the HSSIB investigation which then forms a circle of learning from the incident to influence future policy development, governance and patient safety action. </w:t>
      </w:r>
    </w:p>
    <w:p w14:paraId="6CC19A30" w14:textId="7DCA00C2" w:rsidR="008123FF" w:rsidRPr="002408C2" w:rsidRDefault="008123FF" w:rsidP="008123FF">
      <w:pPr>
        <w:spacing w:line="480" w:lineRule="auto"/>
        <w:rPr>
          <w:rFonts w:ascii="Arial" w:hAnsi="Arial" w:cs="Arial"/>
          <w:b/>
          <w:bCs/>
        </w:rPr>
      </w:pPr>
      <w:r w:rsidRPr="002408C2">
        <w:rPr>
          <w:rFonts w:ascii="Arial" w:hAnsi="Arial" w:cs="Arial"/>
          <w:b/>
          <w:bCs/>
        </w:rPr>
        <w:t xml:space="preserve">b). </w:t>
      </w:r>
      <w:r w:rsidR="00BA7B2A" w:rsidRPr="002408C2">
        <w:rPr>
          <w:rFonts w:ascii="Arial" w:hAnsi="Arial" w:cs="Arial"/>
          <w:b/>
          <w:bCs/>
        </w:rPr>
        <w:t>Centralization</w:t>
      </w:r>
      <w:r w:rsidRPr="002408C2">
        <w:rPr>
          <w:rFonts w:ascii="Arial" w:hAnsi="Arial" w:cs="Arial"/>
          <w:b/>
          <w:bCs/>
        </w:rPr>
        <w:t xml:space="preserve"> and </w:t>
      </w:r>
      <w:r w:rsidR="00BA7B2A" w:rsidRPr="002408C2">
        <w:rPr>
          <w:rFonts w:ascii="Arial" w:hAnsi="Arial" w:cs="Arial"/>
          <w:b/>
          <w:bCs/>
        </w:rPr>
        <w:t>Decentralization</w:t>
      </w:r>
      <w:r w:rsidRPr="002408C2">
        <w:rPr>
          <w:rFonts w:ascii="Arial" w:hAnsi="Arial" w:cs="Arial"/>
          <w:b/>
          <w:bCs/>
        </w:rPr>
        <w:t xml:space="preserve"> within the Case Study</w:t>
      </w:r>
    </w:p>
    <w:p w14:paraId="18472A2C" w14:textId="52BB753C" w:rsidR="001E3316" w:rsidRPr="002408C2" w:rsidRDefault="00711B7C" w:rsidP="001E3316">
      <w:pPr>
        <w:spacing w:line="480" w:lineRule="auto"/>
        <w:ind w:firstLine="720"/>
        <w:rPr>
          <w:rFonts w:ascii="Arial" w:hAnsi="Arial" w:cs="Arial"/>
          <w:sz w:val="22"/>
          <w:szCs w:val="22"/>
        </w:rPr>
      </w:pPr>
      <w:r w:rsidRPr="002408C2">
        <w:rPr>
          <w:rFonts w:ascii="Arial" w:hAnsi="Arial" w:cs="Arial"/>
          <w:sz w:val="22"/>
          <w:szCs w:val="22"/>
        </w:rPr>
        <w:t xml:space="preserve">Patient X’s </w:t>
      </w:r>
      <w:r w:rsidR="001E3316" w:rsidRPr="002408C2">
        <w:rPr>
          <w:rFonts w:ascii="Arial" w:hAnsi="Arial" w:cs="Arial"/>
          <w:sz w:val="22"/>
          <w:szCs w:val="22"/>
        </w:rPr>
        <w:t xml:space="preserve">case </w:t>
      </w:r>
      <w:proofErr w:type="gramStart"/>
      <w:r w:rsidR="001E3316" w:rsidRPr="002408C2">
        <w:rPr>
          <w:rFonts w:ascii="Arial" w:hAnsi="Arial" w:cs="Arial"/>
          <w:sz w:val="22"/>
          <w:szCs w:val="22"/>
        </w:rPr>
        <w:t>study that</w:t>
      </w:r>
      <w:proofErr w:type="gramEnd"/>
      <w:r w:rsidR="001E3316" w:rsidRPr="002408C2">
        <w:rPr>
          <w:rFonts w:ascii="Arial" w:hAnsi="Arial" w:cs="Arial"/>
          <w:sz w:val="22"/>
          <w:szCs w:val="22"/>
        </w:rPr>
        <w:t xml:space="preserve"> highlights the relationship between </w:t>
      </w:r>
      <w:r w:rsidR="00BA7B2A" w:rsidRPr="002408C2">
        <w:rPr>
          <w:rFonts w:ascii="Arial" w:hAnsi="Arial" w:cs="Arial"/>
          <w:sz w:val="22"/>
          <w:szCs w:val="22"/>
        </w:rPr>
        <w:t>organizational</w:t>
      </w:r>
      <w:r w:rsidR="001E3316" w:rsidRPr="002408C2">
        <w:rPr>
          <w:rFonts w:ascii="Arial" w:hAnsi="Arial" w:cs="Arial"/>
          <w:sz w:val="22"/>
          <w:szCs w:val="22"/>
        </w:rPr>
        <w:t xml:space="preserve"> structure and patient safety, decision making and accountability in healthcare. The National Health Service (NHS) is nationally coordinated with governance, but services to patients are provided by multidisciplinary teams, which have high degrees of clinical autonomy. National policies set the framework for the consistent delivery of services and are seen as a guide to uphold the national standards, which are then brought into the local clinical context by local </w:t>
      </w:r>
      <w:r w:rsidR="00BA7B2A" w:rsidRPr="002408C2">
        <w:rPr>
          <w:rFonts w:ascii="Arial" w:hAnsi="Arial" w:cs="Arial"/>
          <w:sz w:val="22"/>
          <w:szCs w:val="22"/>
        </w:rPr>
        <w:t>organizations</w:t>
      </w:r>
      <w:r w:rsidR="001E3316" w:rsidRPr="002408C2">
        <w:rPr>
          <w:rFonts w:ascii="Arial" w:hAnsi="Arial" w:cs="Arial"/>
          <w:sz w:val="22"/>
          <w:szCs w:val="22"/>
        </w:rPr>
        <w:t xml:space="preserve">. According to OECD (2023), a successful balance between </w:t>
      </w:r>
      <w:r w:rsidR="00BA7B2A" w:rsidRPr="002408C2">
        <w:rPr>
          <w:rFonts w:ascii="Arial" w:hAnsi="Arial" w:cs="Arial"/>
          <w:sz w:val="22"/>
          <w:szCs w:val="22"/>
        </w:rPr>
        <w:t>centralized</w:t>
      </w:r>
      <w:r w:rsidR="001E3316" w:rsidRPr="002408C2">
        <w:rPr>
          <w:rFonts w:ascii="Arial" w:hAnsi="Arial" w:cs="Arial"/>
          <w:sz w:val="22"/>
          <w:szCs w:val="22"/>
        </w:rPr>
        <w:t xml:space="preserve"> governance and </w:t>
      </w:r>
      <w:r w:rsidR="00BA7B2A" w:rsidRPr="002408C2">
        <w:rPr>
          <w:rFonts w:ascii="Arial" w:hAnsi="Arial" w:cs="Arial"/>
          <w:sz w:val="22"/>
          <w:szCs w:val="22"/>
        </w:rPr>
        <w:t>decentralized</w:t>
      </w:r>
      <w:r w:rsidR="001E3316" w:rsidRPr="002408C2">
        <w:rPr>
          <w:rFonts w:ascii="Arial" w:hAnsi="Arial" w:cs="Arial"/>
          <w:sz w:val="22"/>
          <w:szCs w:val="22"/>
        </w:rPr>
        <w:t xml:space="preserve"> decision-making is crucial to improving the quality and outcomes of health care. The case of </w:t>
      </w:r>
      <w:r w:rsidR="00E0410D" w:rsidRPr="002408C2">
        <w:rPr>
          <w:rFonts w:ascii="Arial" w:hAnsi="Arial" w:cs="Arial"/>
          <w:sz w:val="22"/>
          <w:szCs w:val="22"/>
        </w:rPr>
        <w:t xml:space="preserve">Patient X </w:t>
      </w:r>
      <w:r w:rsidR="001E3316" w:rsidRPr="002408C2">
        <w:rPr>
          <w:rFonts w:ascii="Arial" w:hAnsi="Arial" w:cs="Arial"/>
          <w:sz w:val="22"/>
          <w:szCs w:val="22"/>
        </w:rPr>
        <w:t>shows how weaknesses in the integration of these two approaches played a key role in the adverse event.</w:t>
      </w:r>
    </w:p>
    <w:p w14:paraId="5070786B" w14:textId="7FC7058B" w:rsidR="007607A7" w:rsidRPr="002408C2" w:rsidRDefault="001E3316" w:rsidP="007607A7">
      <w:pPr>
        <w:spacing w:line="480" w:lineRule="auto"/>
        <w:ind w:firstLine="720"/>
        <w:rPr>
          <w:rFonts w:ascii="Arial" w:hAnsi="Arial" w:cs="Arial"/>
          <w:sz w:val="22"/>
          <w:szCs w:val="22"/>
        </w:rPr>
      </w:pPr>
      <w:r w:rsidRPr="002408C2">
        <w:rPr>
          <w:rFonts w:ascii="Arial" w:hAnsi="Arial" w:cs="Arial"/>
          <w:sz w:val="22"/>
          <w:szCs w:val="22"/>
        </w:rPr>
        <w:t xml:space="preserve">A </w:t>
      </w:r>
      <w:r w:rsidR="00BA7B2A" w:rsidRPr="002408C2">
        <w:rPr>
          <w:rFonts w:ascii="Arial" w:hAnsi="Arial" w:cs="Arial"/>
          <w:sz w:val="22"/>
          <w:szCs w:val="22"/>
        </w:rPr>
        <w:t>centralized</w:t>
      </w:r>
      <w:r w:rsidRPr="002408C2">
        <w:rPr>
          <w:rFonts w:ascii="Arial" w:hAnsi="Arial" w:cs="Arial"/>
          <w:sz w:val="22"/>
          <w:szCs w:val="22"/>
        </w:rPr>
        <w:t xml:space="preserve"> healthcare system brings strategic decisions to </w:t>
      </w:r>
      <w:r w:rsidR="00BA7B2A" w:rsidRPr="002408C2">
        <w:rPr>
          <w:rFonts w:ascii="Arial" w:hAnsi="Arial" w:cs="Arial"/>
          <w:sz w:val="22"/>
          <w:szCs w:val="22"/>
        </w:rPr>
        <w:t>national</w:t>
      </w:r>
      <w:r w:rsidRPr="002408C2">
        <w:rPr>
          <w:rFonts w:ascii="Arial" w:hAnsi="Arial" w:cs="Arial"/>
          <w:sz w:val="22"/>
          <w:szCs w:val="22"/>
        </w:rPr>
        <w:t xml:space="preserve"> or senior leaders. National standards for patient safety, medicines </w:t>
      </w:r>
      <w:r w:rsidR="00BA7B2A" w:rsidRPr="002408C2">
        <w:rPr>
          <w:rFonts w:ascii="Arial" w:hAnsi="Arial" w:cs="Arial"/>
          <w:sz w:val="22"/>
          <w:szCs w:val="22"/>
        </w:rPr>
        <w:t>optimization</w:t>
      </w:r>
      <w:r w:rsidRPr="002408C2">
        <w:rPr>
          <w:rFonts w:ascii="Arial" w:hAnsi="Arial" w:cs="Arial"/>
          <w:sz w:val="22"/>
          <w:szCs w:val="22"/>
        </w:rPr>
        <w:t xml:space="preserve"> and clinical governance in England are set by the Department of Health and Social Care, NHS England, the Care Quality Commission (CQC) and the National Institute for Health and Care Excellence (NICE). A clear plan for the management of anticoagulation therapy prior to invasive procedures to reduce the risk of bleeding and thromboembolism is recommended by NICE (2023). These national standards will help healthcare </w:t>
      </w:r>
      <w:r w:rsidR="00BA7B2A" w:rsidRPr="002408C2">
        <w:rPr>
          <w:rFonts w:ascii="Arial" w:hAnsi="Arial" w:cs="Arial"/>
          <w:sz w:val="22"/>
          <w:szCs w:val="22"/>
        </w:rPr>
        <w:t>organizations</w:t>
      </w:r>
      <w:r w:rsidRPr="002408C2">
        <w:rPr>
          <w:rFonts w:ascii="Arial" w:hAnsi="Arial" w:cs="Arial"/>
          <w:sz w:val="22"/>
          <w:szCs w:val="22"/>
        </w:rPr>
        <w:t xml:space="preserve"> to implement </w:t>
      </w:r>
      <w:proofErr w:type="gramStart"/>
      <w:r w:rsidRPr="002408C2">
        <w:rPr>
          <w:rFonts w:ascii="Arial" w:hAnsi="Arial" w:cs="Arial"/>
          <w:sz w:val="22"/>
          <w:szCs w:val="22"/>
        </w:rPr>
        <w:t>evidence based</w:t>
      </w:r>
      <w:proofErr w:type="gramEnd"/>
      <w:r w:rsidRPr="002408C2">
        <w:rPr>
          <w:rFonts w:ascii="Arial" w:hAnsi="Arial" w:cs="Arial"/>
          <w:sz w:val="22"/>
          <w:szCs w:val="22"/>
        </w:rPr>
        <w:t xml:space="preserve"> practice and </w:t>
      </w:r>
      <w:r w:rsidR="00BA7B2A" w:rsidRPr="002408C2">
        <w:rPr>
          <w:rFonts w:ascii="Arial" w:hAnsi="Arial" w:cs="Arial"/>
          <w:sz w:val="22"/>
          <w:szCs w:val="22"/>
        </w:rPr>
        <w:t>minimize</w:t>
      </w:r>
      <w:r w:rsidRPr="002408C2">
        <w:rPr>
          <w:rFonts w:ascii="Arial" w:hAnsi="Arial" w:cs="Arial"/>
          <w:sz w:val="22"/>
          <w:szCs w:val="22"/>
        </w:rPr>
        <w:t xml:space="preserve"> unnecessary variation in services provided. The initial management of </w:t>
      </w:r>
      <w:r w:rsidR="00E0410D" w:rsidRPr="002408C2">
        <w:rPr>
          <w:rFonts w:ascii="Arial" w:hAnsi="Arial" w:cs="Arial"/>
          <w:sz w:val="22"/>
          <w:szCs w:val="22"/>
        </w:rPr>
        <w:t xml:space="preserve">Patient X’s </w:t>
      </w:r>
      <w:r w:rsidRPr="002408C2">
        <w:rPr>
          <w:rFonts w:ascii="Arial" w:hAnsi="Arial" w:cs="Arial"/>
          <w:sz w:val="22"/>
          <w:szCs w:val="22"/>
        </w:rPr>
        <w:t xml:space="preserve">anticoagulation demonstrated the benefits of </w:t>
      </w:r>
      <w:r w:rsidR="00BA7B2A" w:rsidRPr="002408C2">
        <w:rPr>
          <w:rFonts w:ascii="Arial" w:hAnsi="Arial" w:cs="Arial"/>
          <w:sz w:val="22"/>
          <w:szCs w:val="22"/>
        </w:rPr>
        <w:t>centralization</w:t>
      </w:r>
      <w:r w:rsidRPr="002408C2">
        <w:rPr>
          <w:rFonts w:ascii="Arial" w:hAnsi="Arial" w:cs="Arial"/>
          <w:sz w:val="22"/>
          <w:szCs w:val="22"/>
        </w:rPr>
        <w:t xml:space="preserve">. Appropriately withheld apixaban due to current bleeding, as well as planned invasive procedure in line with nationally </w:t>
      </w:r>
      <w:r w:rsidR="00BA7B2A" w:rsidRPr="002408C2">
        <w:rPr>
          <w:rFonts w:ascii="Arial" w:hAnsi="Arial" w:cs="Arial"/>
          <w:sz w:val="22"/>
          <w:szCs w:val="22"/>
        </w:rPr>
        <w:t>recognized</w:t>
      </w:r>
      <w:r w:rsidRPr="002408C2">
        <w:rPr>
          <w:rFonts w:ascii="Arial" w:hAnsi="Arial" w:cs="Arial"/>
          <w:sz w:val="22"/>
          <w:szCs w:val="22"/>
        </w:rPr>
        <w:t xml:space="preserve"> clinical guidance. HSSIB (2024) determined the first prescribing decision was not a fallacy of judgement. Likewise, NHS England (2024) highlights the benefits of </w:t>
      </w:r>
      <w:r w:rsidR="00BA7B2A" w:rsidRPr="002408C2">
        <w:rPr>
          <w:rFonts w:ascii="Arial" w:hAnsi="Arial" w:cs="Arial"/>
          <w:sz w:val="22"/>
          <w:szCs w:val="22"/>
        </w:rPr>
        <w:t>standardization</w:t>
      </w:r>
      <w:r w:rsidRPr="002408C2">
        <w:rPr>
          <w:rFonts w:ascii="Arial" w:hAnsi="Arial" w:cs="Arial"/>
          <w:sz w:val="22"/>
          <w:szCs w:val="22"/>
        </w:rPr>
        <w:t xml:space="preserve"> of medicine practices in </w:t>
      </w:r>
      <w:r w:rsidR="00BA7B2A" w:rsidRPr="002408C2">
        <w:rPr>
          <w:rFonts w:ascii="Arial" w:hAnsi="Arial" w:cs="Arial"/>
          <w:sz w:val="22"/>
          <w:szCs w:val="22"/>
        </w:rPr>
        <w:t>minimizing</w:t>
      </w:r>
      <w:r w:rsidRPr="002408C2">
        <w:rPr>
          <w:rFonts w:ascii="Arial" w:hAnsi="Arial" w:cs="Arial"/>
          <w:sz w:val="22"/>
          <w:szCs w:val="22"/>
        </w:rPr>
        <w:t xml:space="preserve"> avoidable variation and enhancing patient safety across healthcare </w:t>
      </w:r>
      <w:r w:rsidR="00BA7B2A" w:rsidRPr="002408C2">
        <w:rPr>
          <w:rFonts w:ascii="Arial" w:hAnsi="Arial" w:cs="Arial"/>
          <w:sz w:val="22"/>
          <w:szCs w:val="22"/>
        </w:rPr>
        <w:t>organizations</w:t>
      </w:r>
      <w:r w:rsidRPr="002408C2">
        <w:rPr>
          <w:rFonts w:ascii="Arial" w:hAnsi="Arial" w:cs="Arial"/>
          <w:sz w:val="22"/>
          <w:szCs w:val="22"/>
        </w:rPr>
        <w:t>. These benefits, however, diminished when repeated procedural delays caused changes in the patient's clinical condition without the systematic reassessment of the condition.</w:t>
      </w:r>
    </w:p>
    <w:p w14:paraId="41B7D415" w14:textId="134ADC05" w:rsidR="007607A7" w:rsidRPr="002408C2" w:rsidRDefault="001E3316" w:rsidP="007607A7">
      <w:pPr>
        <w:spacing w:line="480" w:lineRule="auto"/>
        <w:ind w:firstLine="720"/>
        <w:rPr>
          <w:rFonts w:ascii="Arial" w:hAnsi="Arial" w:cs="Arial"/>
          <w:sz w:val="22"/>
          <w:szCs w:val="22"/>
        </w:rPr>
      </w:pPr>
      <w:r w:rsidRPr="002408C2">
        <w:rPr>
          <w:rFonts w:ascii="Arial" w:hAnsi="Arial" w:cs="Arial"/>
          <w:sz w:val="22"/>
          <w:szCs w:val="22"/>
        </w:rPr>
        <w:t xml:space="preserve">While </w:t>
      </w:r>
      <w:r w:rsidR="00BA7B2A" w:rsidRPr="002408C2">
        <w:rPr>
          <w:rFonts w:ascii="Arial" w:hAnsi="Arial" w:cs="Arial"/>
          <w:sz w:val="22"/>
          <w:szCs w:val="22"/>
        </w:rPr>
        <w:t>centralization</w:t>
      </w:r>
      <w:r w:rsidRPr="002408C2">
        <w:rPr>
          <w:rFonts w:ascii="Arial" w:hAnsi="Arial" w:cs="Arial"/>
          <w:sz w:val="22"/>
          <w:szCs w:val="22"/>
        </w:rPr>
        <w:t xml:space="preserve"> has its merits, it can negatively impact on the responsiveness of the </w:t>
      </w:r>
      <w:r w:rsidR="00BA7B2A" w:rsidRPr="002408C2">
        <w:rPr>
          <w:rFonts w:ascii="Arial" w:hAnsi="Arial" w:cs="Arial"/>
          <w:sz w:val="22"/>
          <w:szCs w:val="22"/>
        </w:rPr>
        <w:t>organization</w:t>
      </w:r>
      <w:r w:rsidRPr="002408C2">
        <w:rPr>
          <w:rFonts w:ascii="Arial" w:hAnsi="Arial" w:cs="Arial"/>
          <w:sz w:val="22"/>
          <w:szCs w:val="22"/>
        </w:rPr>
        <w:t xml:space="preserve"> when decision making is hierarchical. Frontline teams will also </w:t>
      </w:r>
      <w:proofErr w:type="gramStart"/>
      <w:r w:rsidRPr="002408C2">
        <w:rPr>
          <w:rFonts w:ascii="Arial" w:hAnsi="Arial" w:cs="Arial"/>
          <w:sz w:val="22"/>
          <w:szCs w:val="22"/>
        </w:rPr>
        <w:t>be needing</w:t>
      </w:r>
      <w:proofErr w:type="gramEnd"/>
      <w:r w:rsidRPr="002408C2">
        <w:rPr>
          <w:rFonts w:ascii="Arial" w:hAnsi="Arial" w:cs="Arial"/>
          <w:sz w:val="22"/>
          <w:szCs w:val="22"/>
        </w:rPr>
        <w:t xml:space="preserve"> to seek swift approval to change treatment plans without delay, as the clinical situation of patients continues to change. West et al. (2015) suggest that if </w:t>
      </w:r>
      <w:r w:rsidR="00BA7B2A" w:rsidRPr="002408C2">
        <w:rPr>
          <w:rFonts w:ascii="Arial" w:hAnsi="Arial" w:cs="Arial"/>
          <w:sz w:val="22"/>
          <w:szCs w:val="22"/>
        </w:rPr>
        <w:t>organizations</w:t>
      </w:r>
      <w:r w:rsidRPr="002408C2">
        <w:rPr>
          <w:rFonts w:ascii="Arial" w:hAnsi="Arial" w:cs="Arial"/>
          <w:sz w:val="22"/>
          <w:szCs w:val="22"/>
        </w:rPr>
        <w:t xml:space="preserve"> are very hierarchical, they can reduce the likelihood of proactive communication, as workers may choose not to speak out against decisions or communicate issues through professional lines. It was unclear who was responsible for restarting </w:t>
      </w:r>
      <w:r w:rsidR="00855678" w:rsidRPr="002408C2">
        <w:rPr>
          <w:rFonts w:ascii="Arial" w:hAnsi="Arial" w:cs="Arial"/>
          <w:sz w:val="22"/>
          <w:szCs w:val="22"/>
        </w:rPr>
        <w:t xml:space="preserve">Patient X’s </w:t>
      </w:r>
      <w:r w:rsidRPr="002408C2">
        <w:rPr>
          <w:rFonts w:ascii="Arial" w:hAnsi="Arial" w:cs="Arial"/>
          <w:sz w:val="22"/>
          <w:szCs w:val="22"/>
        </w:rPr>
        <w:t>anticoagulation therapy as several clinical teams were involved in his care. In the absence of an effective mechanism that would allow for the re-evaluation of clinical risks after repeated delay of the intended procedure, national guidance was present.</w:t>
      </w:r>
    </w:p>
    <w:p w14:paraId="7FB1C47F" w14:textId="52344793" w:rsidR="007607A7" w:rsidRPr="002408C2" w:rsidRDefault="00BA7B2A" w:rsidP="007607A7">
      <w:pPr>
        <w:spacing w:line="480" w:lineRule="auto"/>
        <w:ind w:firstLine="720"/>
        <w:rPr>
          <w:rFonts w:ascii="Arial" w:hAnsi="Arial" w:cs="Arial"/>
          <w:sz w:val="22"/>
          <w:szCs w:val="22"/>
        </w:rPr>
      </w:pPr>
      <w:r w:rsidRPr="002408C2">
        <w:rPr>
          <w:rFonts w:ascii="Arial" w:hAnsi="Arial" w:cs="Arial"/>
          <w:sz w:val="22"/>
          <w:szCs w:val="22"/>
        </w:rPr>
        <w:t>Decentralization</w:t>
      </w:r>
      <w:r w:rsidR="001E3316" w:rsidRPr="002408C2">
        <w:rPr>
          <w:rFonts w:ascii="Arial" w:hAnsi="Arial" w:cs="Arial"/>
          <w:sz w:val="22"/>
          <w:szCs w:val="22"/>
        </w:rPr>
        <w:t xml:space="preserve"> allocates power amongst the health care personnel who are most closely involved with the patient, giving opportunities for decisions to be made in response to varying clinical situations. Ward doctors, specialist clinicians, pharmacists, nurses and allied health professionals work together throughout the assessment process, drug review and discharge planning. The OECD (2023) claims that </w:t>
      </w:r>
      <w:r w:rsidRPr="002408C2">
        <w:rPr>
          <w:rFonts w:ascii="Arial" w:hAnsi="Arial" w:cs="Arial"/>
          <w:sz w:val="22"/>
          <w:szCs w:val="22"/>
        </w:rPr>
        <w:t>decentralization</w:t>
      </w:r>
      <w:r w:rsidR="001E3316" w:rsidRPr="002408C2">
        <w:rPr>
          <w:rFonts w:ascii="Arial" w:hAnsi="Arial" w:cs="Arial"/>
          <w:sz w:val="22"/>
          <w:szCs w:val="22"/>
        </w:rPr>
        <w:t xml:space="preserve"> enhances </w:t>
      </w:r>
      <w:r w:rsidRPr="002408C2">
        <w:rPr>
          <w:rFonts w:ascii="Arial" w:hAnsi="Arial" w:cs="Arial"/>
          <w:sz w:val="22"/>
          <w:szCs w:val="22"/>
        </w:rPr>
        <w:t>organizational</w:t>
      </w:r>
      <w:r w:rsidR="001E3316" w:rsidRPr="002408C2">
        <w:rPr>
          <w:rFonts w:ascii="Arial" w:hAnsi="Arial" w:cs="Arial"/>
          <w:sz w:val="22"/>
          <w:szCs w:val="22"/>
        </w:rPr>
        <w:t xml:space="preserve"> flexibility by enabling staff at the patient's level to react quickly to patient needs and fostering multidisciplinary working. Clinical autonomy consequently allows health care professionals to exercise evidence-based judgement in situations that are often complex and where the circumstances of each individual patient are likely to be dynamic.</w:t>
      </w:r>
    </w:p>
    <w:p w14:paraId="5817D456" w14:textId="2A692FBE" w:rsidR="009879EB" w:rsidRPr="002408C2" w:rsidRDefault="00BA7B2A" w:rsidP="009879EB">
      <w:pPr>
        <w:spacing w:line="480" w:lineRule="auto"/>
        <w:ind w:firstLine="720"/>
        <w:rPr>
          <w:rFonts w:ascii="Arial" w:hAnsi="Arial" w:cs="Arial"/>
          <w:sz w:val="22"/>
          <w:szCs w:val="22"/>
        </w:rPr>
      </w:pPr>
      <w:r w:rsidRPr="002408C2">
        <w:rPr>
          <w:rFonts w:ascii="Arial" w:hAnsi="Arial" w:cs="Arial"/>
          <w:sz w:val="22"/>
          <w:szCs w:val="22"/>
        </w:rPr>
        <w:t>Decentralized</w:t>
      </w:r>
      <w:r w:rsidR="001E3316" w:rsidRPr="002408C2">
        <w:rPr>
          <w:rFonts w:ascii="Arial" w:hAnsi="Arial" w:cs="Arial"/>
          <w:sz w:val="22"/>
          <w:szCs w:val="22"/>
        </w:rPr>
        <w:t xml:space="preserve"> practice led to </w:t>
      </w:r>
      <w:proofErr w:type="gramStart"/>
      <w:r w:rsidR="001E3316" w:rsidRPr="002408C2">
        <w:rPr>
          <w:rFonts w:ascii="Arial" w:hAnsi="Arial" w:cs="Arial"/>
          <w:sz w:val="22"/>
          <w:szCs w:val="22"/>
        </w:rPr>
        <w:t>a number of</w:t>
      </w:r>
      <w:proofErr w:type="gramEnd"/>
      <w:r w:rsidR="001E3316" w:rsidRPr="002408C2">
        <w:rPr>
          <w:rFonts w:ascii="Arial" w:hAnsi="Arial" w:cs="Arial"/>
          <w:sz w:val="22"/>
          <w:szCs w:val="22"/>
        </w:rPr>
        <w:t xml:space="preserve"> opportunities to prevent harm within </w:t>
      </w:r>
      <w:r w:rsidR="00855678" w:rsidRPr="002408C2">
        <w:rPr>
          <w:rFonts w:ascii="Arial" w:hAnsi="Arial" w:cs="Arial"/>
          <w:sz w:val="22"/>
          <w:szCs w:val="22"/>
        </w:rPr>
        <w:t>Patient X’s</w:t>
      </w:r>
      <w:r w:rsidR="001E3316" w:rsidRPr="002408C2">
        <w:rPr>
          <w:rFonts w:ascii="Arial" w:hAnsi="Arial" w:cs="Arial"/>
          <w:sz w:val="22"/>
          <w:szCs w:val="22"/>
        </w:rPr>
        <w:t xml:space="preserve"> admission. Medicines reconciliation performed by a pharmacist may have revealed that the person had not been on anticoagulant for a considerable </w:t>
      </w:r>
      <w:proofErr w:type="gramStart"/>
      <w:r w:rsidR="001E3316" w:rsidRPr="002408C2">
        <w:rPr>
          <w:rFonts w:ascii="Arial" w:hAnsi="Arial" w:cs="Arial"/>
          <w:sz w:val="22"/>
          <w:szCs w:val="22"/>
        </w:rPr>
        <w:t>period of time</w:t>
      </w:r>
      <w:proofErr w:type="gramEnd"/>
      <w:r w:rsidR="001E3316" w:rsidRPr="002408C2">
        <w:rPr>
          <w:rFonts w:ascii="Arial" w:hAnsi="Arial" w:cs="Arial"/>
          <w:sz w:val="22"/>
          <w:szCs w:val="22"/>
        </w:rPr>
        <w:t xml:space="preserve">. There was also a role for the nursing staff who had to give daily drugs, and for clinicians in the ward to have reviewed the problem again as the delays went on, considering the risks of bleeding versus the risks of thromboembolism. </w:t>
      </w:r>
      <w:r w:rsidR="007607A7" w:rsidRPr="002408C2">
        <w:rPr>
          <w:rFonts w:ascii="Arial" w:hAnsi="Arial" w:cs="Arial"/>
          <w:sz w:val="22"/>
          <w:szCs w:val="22"/>
        </w:rPr>
        <w:t>However,</w:t>
      </w:r>
      <w:r w:rsidR="001E3316" w:rsidRPr="002408C2">
        <w:rPr>
          <w:rFonts w:ascii="Arial" w:hAnsi="Arial" w:cs="Arial"/>
          <w:sz w:val="22"/>
          <w:szCs w:val="22"/>
        </w:rPr>
        <w:t xml:space="preserve"> </w:t>
      </w:r>
      <w:r w:rsidRPr="002408C2">
        <w:rPr>
          <w:rFonts w:ascii="Arial" w:hAnsi="Arial" w:cs="Arial"/>
          <w:sz w:val="22"/>
          <w:szCs w:val="22"/>
        </w:rPr>
        <w:t>decentralization</w:t>
      </w:r>
      <w:r w:rsidR="001E3316" w:rsidRPr="002408C2">
        <w:rPr>
          <w:rFonts w:ascii="Arial" w:hAnsi="Arial" w:cs="Arial"/>
          <w:sz w:val="22"/>
          <w:szCs w:val="22"/>
        </w:rPr>
        <w:t xml:space="preserve"> poses significant accountability challenges too. If multiple professionals are involved in patient management, there can be a lack of coordination and others may think they will take care of certain things. Communication failures and breakdowns are among the most important factors for the prevention of patient harm globally, as reported by WHO (2024). Similarly, The Institute for Healthcare Improvement (2023) identifies the lack of clarity around who is responsible for clinical decisions as a common source of medication-related adverse events in complex health care systems. The case of </w:t>
      </w:r>
      <w:r w:rsidR="00885D5E" w:rsidRPr="002408C2">
        <w:rPr>
          <w:rFonts w:ascii="Arial" w:hAnsi="Arial" w:cs="Arial"/>
          <w:sz w:val="22"/>
          <w:szCs w:val="22"/>
        </w:rPr>
        <w:t xml:space="preserve">Patient X </w:t>
      </w:r>
      <w:r w:rsidR="001E3316" w:rsidRPr="002408C2">
        <w:rPr>
          <w:rFonts w:ascii="Arial" w:hAnsi="Arial" w:cs="Arial"/>
          <w:sz w:val="22"/>
          <w:szCs w:val="22"/>
        </w:rPr>
        <w:t>is a clear example of how fragmented leadership can fail to lead, resulting in critical omissions going under the radar.</w:t>
      </w:r>
    </w:p>
    <w:p w14:paraId="48412263" w14:textId="3EEA4082" w:rsidR="004D202A" w:rsidRPr="002408C2" w:rsidRDefault="009879EB" w:rsidP="004D202A">
      <w:pPr>
        <w:spacing w:line="480" w:lineRule="auto"/>
        <w:ind w:firstLine="720"/>
        <w:rPr>
          <w:rFonts w:ascii="Arial" w:hAnsi="Arial" w:cs="Arial"/>
          <w:sz w:val="22"/>
          <w:szCs w:val="22"/>
        </w:rPr>
      </w:pPr>
      <w:r w:rsidRPr="002408C2">
        <w:rPr>
          <w:rFonts w:ascii="Arial" w:hAnsi="Arial" w:cs="Arial"/>
          <w:sz w:val="22"/>
          <w:szCs w:val="22"/>
        </w:rPr>
        <w:t>T</w:t>
      </w:r>
      <w:r w:rsidR="001E3316" w:rsidRPr="002408C2">
        <w:rPr>
          <w:rFonts w:ascii="Arial" w:hAnsi="Arial" w:cs="Arial"/>
          <w:sz w:val="22"/>
          <w:szCs w:val="22"/>
        </w:rPr>
        <w:t xml:space="preserve">he relationship between central authority and local practice did not improve the effectiveness of crisis management but rather diminished it. There were inadequate communication systems, coordination of care across disciplines, and leadership oversight of the implementation of components of the national policies on anticoagulation management. </w:t>
      </w:r>
      <w:r w:rsidR="00C03BF4" w:rsidRPr="002408C2">
        <w:rPr>
          <w:rFonts w:ascii="Arial" w:hAnsi="Arial" w:cs="Arial"/>
          <w:sz w:val="22"/>
          <w:szCs w:val="22"/>
        </w:rPr>
        <w:t xml:space="preserve">Medication-related incidents account for about 10% of reported patient safety incidents, demonstrating the continuing scale of </w:t>
      </w:r>
      <w:proofErr w:type="gramStart"/>
      <w:r w:rsidR="00C03BF4" w:rsidRPr="002408C2">
        <w:rPr>
          <w:rFonts w:ascii="Arial" w:hAnsi="Arial" w:cs="Arial"/>
          <w:sz w:val="22"/>
          <w:szCs w:val="22"/>
        </w:rPr>
        <w:t>medicines</w:t>
      </w:r>
      <w:proofErr w:type="gramEnd"/>
      <w:r w:rsidR="00C03BF4" w:rsidRPr="002408C2">
        <w:rPr>
          <w:rFonts w:ascii="Arial" w:hAnsi="Arial" w:cs="Arial"/>
          <w:sz w:val="22"/>
          <w:szCs w:val="22"/>
        </w:rPr>
        <w:t>-related risk across healthcare services (NHS England, 2024).</w:t>
      </w:r>
      <w:r w:rsidR="001E3316" w:rsidRPr="002408C2">
        <w:rPr>
          <w:rFonts w:ascii="Arial" w:hAnsi="Arial" w:cs="Arial"/>
          <w:sz w:val="22"/>
          <w:szCs w:val="22"/>
        </w:rPr>
        <w:t xml:space="preserve"> Moreover, HSSIB (2024) found that the incident was not a single event of clinical error, but a series of interconnected events that highlight the need to consider patient safety as a systems problem.</w:t>
      </w:r>
    </w:p>
    <w:p w14:paraId="5C7A9688" w14:textId="2DD921BB" w:rsidR="00CF016E" w:rsidRPr="002408C2" w:rsidRDefault="00BA7B2A" w:rsidP="00CF016E">
      <w:pPr>
        <w:spacing w:line="480" w:lineRule="auto"/>
        <w:ind w:firstLine="720"/>
        <w:rPr>
          <w:rFonts w:ascii="Arial" w:hAnsi="Arial" w:cs="Arial"/>
          <w:sz w:val="22"/>
          <w:szCs w:val="22"/>
        </w:rPr>
      </w:pPr>
      <w:r w:rsidRPr="002408C2">
        <w:rPr>
          <w:rFonts w:ascii="Arial" w:hAnsi="Arial" w:cs="Arial"/>
          <w:sz w:val="22"/>
          <w:szCs w:val="22"/>
        </w:rPr>
        <w:t>Organizational</w:t>
      </w:r>
      <w:r w:rsidR="001E3316" w:rsidRPr="002408C2">
        <w:rPr>
          <w:rFonts w:ascii="Arial" w:hAnsi="Arial" w:cs="Arial"/>
          <w:sz w:val="22"/>
          <w:szCs w:val="22"/>
        </w:rPr>
        <w:t xml:space="preserve"> structure had a major impact on patient safety, either positively or negatively, depending on the leadership. Good leaders establish clear accountability, open communication, and </w:t>
      </w:r>
      <w:proofErr w:type="gramStart"/>
      <w:r w:rsidR="001E3316" w:rsidRPr="002408C2">
        <w:rPr>
          <w:rFonts w:ascii="Arial" w:hAnsi="Arial" w:cs="Arial"/>
          <w:sz w:val="22"/>
          <w:szCs w:val="22"/>
        </w:rPr>
        <w:t>are able to</w:t>
      </w:r>
      <w:proofErr w:type="gramEnd"/>
      <w:r w:rsidR="001E3316" w:rsidRPr="002408C2">
        <w:rPr>
          <w:rFonts w:ascii="Arial" w:hAnsi="Arial" w:cs="Arial"/>
          <w:sz w:val="22"/>
          <w:szCs w:val="22"/>
        </w:rPr>
        <w:t xml:space="preserve"> coordinate multidisciplinary teams in times of clinical uncertainty. West et al. (2015) found that compassionate and inclusive leadership fosters greater engagement, communication and patient outcomes within the workforce by encouraging collaboration amongst various professions. Conversely, there was no </w:t>
      </w:r>
      <w:r w:rsidRPr="002408C2">
        <w:rPr>
          <w:rFonts w:ascii="Arial" w:hAnsi="Arial" w:cs="Arial"/>
          <w:sz w:val="22"/>
          <w:szCs w:val="22"/>
        </w:rPr>
        <w:t>coordinated</w:t>
      </w:r>
      <w:r w:rsidR="001E3316" w:rsidRPr="002408C2">
        <w:rPr>
          <w:rFonts w:ascii="Arial" w:hAnsi="Arial" w:cs="Arial"/>
          <w:sz w:val="22"/>
          <w:szCs w:val="22"/>
        </w:rPr>
        <w:t xml:space="preserve"> leadership in </w:t>
      </w:r>
      <w:r w:rsidR="00885D5E" w:rsidRPr="002408C2">
        <w:rPr>
          <w:rFonts w:ascii="Arial" w:hAnsi="Arial" w:cs="Arial"/>
          <w:sz w:val="22"/>
          <w:szCs w:val="22"/>
        </w:rPr>
        <w:t xml:space="preserve">Patient X’s </w:t>
      </w:r>
      <w:r w:rsidR="001E3316" w:rsidRPr="002408C2">
        <w:rPr>
          <w:rFonts w:ascii="Arial" w:hAnsi="Arial" w:cs="Arial"/>
          <w:sz w:val="22"/>
          <w:szCs w:val="22"/>
        </w:rPr>
        <w:t>pathway of care, leading to disjointed decision making which meant that there was not enough opportunity for prompt interventions before any irreversible damage took place.</w:t>
      </w:r>
    </w:p>
    <w:p w14:paraId="096543F2" w14:textId="4D696259" w:rsidR="00CF016E" w:rsidRPr="002408C2" w:rsidRDefault="00CF016E" w:rsidP="00CF016E">
      <w:pPr>
        <w:spacing w:line="480" w:lineRule="auto"/>
        <w:rPr>
          <w:rFonts w:ascii="Arial" w:hAnsi="Arial" w:cs="Arial"/>
          <w:b/>
          <w:bCs/>
        </w:rPr>
      </w:pPr>
      <w:r w:rsidRPr="002408C2">
        <w:rPr>
          <w:rFonts w:ascii="Arial" w:hAnsi="Arial" w:cs="Arial"/>
          <w:b/>
          <w:bCs/>
        </w:rPr>
        <w:t>c. Leadership Theories and Application to the Case Study</w:t>
      </w:r>
    </w:p>
    <w:p w14:paraId="2426C15A" w14:textId="17792F0C" w:rsidR="00CF0156" w:rsidRPr="002408C2" w:rsidRDefault="00CF0156" w:rsidP="00CF0156">
      <w:pPr>
        <w:spacing w:line="480" w:lineRule="auto"/>
        <w:ind w:firstLine="720"/>
        <w:rPr>
          <w:rFonts w:ascii="Arial" w:hAnsi="Arial" w:cs="Arial"/>
          <w:sz w:val="22"/>
          <w:szCs w:val="22"/>
        </w:rPr>
      </w:pPr>
      <w:r w:rsidRPr="002408C2">
        <w:rPr>
          <w:rFonts w:ascii="Arial" w:hAnsi="Arial" w:cs="Arial"/>
          <w:sz w:val="22"/>
          <w:szCs w:val="22"/>
        </w:rPr>
        <w:t xml:space="preserve">Leadership is a crucial element of patient safety, communication and accountability in health care </w:t>
      </w:r>
      <w:r w:rsidR="00BA7B2A" w:rsidRPr="002408C2">
        <w:rPr>
          <w:rFonts w:ascii="Arial" w:hAnsi="Arial" w:cs="Arial"/>
          <w:sz w:val="22"/>
          <w:szCs w:val="22"/>
        </w:rPr>
        <w:t>organizations</w:t>
      </w:r>
      <w:r w:rsidRPr="002408C2">
        <w:rPr>
          <w:rFonts w:ascii="Arial" w:hAnsi="Arial" w:cs="Arial"/>
          <w:sz w:val="22"/>
          <w:szCs w:val="22"/>
        </w:rPr>
        <w:t xml:space="preserve">. Failure to resume AA) has been linked to preventable patient harm as seen with the death of </w:t>
      </w:r>
      <w:r w:rsidR="005B356D" w:rsidRPr="002408C2">
        <w:rPr>
          <w:rFonts w:ascii="Arial" w:hAnsi="Arial" w:cs="Arial"/>
          <w:sz w:val="22"/>
          <w:szCs w:val="22"/>
        </w:rPr>
        <w:t>Patient X</w:t>
      </w:r>
      <w:r w:rsidRPr="002408C2">
        <w:rPr>
          <w:rFonts w:ascii="Arial" w:hAnsi="Arial" w:cs="Arial"/>
          <w:sz w:val="22"/>
          <w:szCs w:val="22"/>
        </w:rPr>
        <w:t xml:space="preserve">. The HSSIB (2024) found that the incident was not a failure of individual clinical care, but was a result of interacting </w:t>
      </w:r>
      <w:r w:rsidR="00BA7B2A" w:rsidRPr="002408C2">
        <w:rPr>
          <w:rFonts w:ascii="Arial" w:hAnsi="Arial" w:cs="Arial"/>
          <w:sz w:val="22"/>
          <w:szCs w:val="22"/>
        </w:rPr>
        <w:t>organizational</w:t>
      </w:r>
      <w:r w:rsidRPr="002408C2">
        <w:rPr>
          <w:rFonts w:ascii="Arial" w:hAnsi="Arial" w:cs="Arial"/>
          <w:sz w:val="22"/>
          <w:szCs w:val="22"/>
        </w:rPr>
        <w:t xml:space="preserve"> failures, therefore, increased focus on leadership to coordinate multidisciplinary care and strengthen governance.</w:t>
      </w:r>
    </w:p>
    <w:p w14:paraId="1A81FA9D" w14:textId="4B63D341" w:rsidR="00CF0156" w:rsidRPr="002408C2" w:rsidRDefault="00CF0156" w:rsidP="00CF0156">
      <w:pPr>
        <w:spacing w:line="480" w:lineRule="auto"/>
        <w:ind w:firstLine="720"/>
        <w:rPr>
          <w:rFonts w:ascii="Arial" w:hAnsi="Arial" w:cs="Arial"/>
          <w:sz w:val="22"/>
          <w:szCs w:val="22"/>
        </w:rPr>
      </w:pPr>
      <w:r w:rsidRPr="002408C2">
        <w:rPr>
          <w:rFonts w:ascii="Arial" w:hAnsi="Arial" w:cs="Arial"/>
          <w:sz w:val="22"/>
          <w:szCs w:val="22"/>
        </w:rPr>
        <w:t xml:space="preserve">Transformational leadership involves inspiring vision, empowering staff, spurring creativity and innovation and enabling a culture of continuous improvement. Northouse (2022) states that transformational leaders inspire employees to go beyond performing routine tasks, to collaborate and learn about their </w:t>
      </w:r>
      <w:r w:rsidR="00BA7B2A" w:rsidRPr="002408C2">
        <w:rPr>
          <w:rFonts w:ascii="Arial" w:hAnsi="Arial" w:cs="Arial"/>
          <w:sz w:val="22"/>
          <w:szCs w:val="22"/>
        </w:rPr>
        <w:t>organizations</w:t>
      </w:r>
      <w:r w:rsidRPr="002408C2">
        <w:rPr>
          <w:rFonts w:ascii="Arial" w:hAnsi="Arial" w:cs="Arial"/>
          <w:sz w:val="22"/>
          <w:szCs w:val="22"/>
        </w:rPr>
        <w:t xml:space="preserve">. This type of leadership in healthcare has been linked with both better </w:t>
      </w:r>
      <w:r w:rsidR="00BA7B2A" w:rsidRPr="002408C2">
        <w:rPr>
          <w:rFonts w:ascii="Arial" w:hAnsi="Arial" w:cs="Arial"/>
          <w:sz w:val="22"/>
          <w:szCs w:val="22"/>
        </w:rPr>
        <w:t>patients’</w:t>
      </w:r>
      <w:r w:rsidRPr="002408C2">
        <w:rPr>
          <w:rFonts w:ascii="Arial" w:hAnsi="Arial" w:cs="Arial"/>
          <w:sz w:val="22"/>
          <w:szCs w:val="22"/>
        </w:rPr>
        <w:t xml:space="preserve"> safety and increased levels of staff engagement and good multidisciplinary teamwork. </w:t>
      </w:r>
      <w:r w:rsidR="00BA7B2A" w:rsidRPr="002408C2">
        <w:rPr>
          <w:rFonts w:ascii="Arial" w:hAnsi="Arial" w:cs="Arial"/>
          <w:sz w:val="22"/>
          <w:szCs w:val="22"/>
        </w:rPr>
        <w:t>Organizations</w:t>
      </w:r>
      <w:r w:rsidRPr="002408C2">
        <w:rPr>
          <w:rFonts w:ascii="Arial" w:hAnsi="Arial" w:cs="Arial"/>
          <w:sz w:val="22"/>
          <w:szCs w:val="22"/>
        </w:rPr>
        <w:t xml:space="preserve"> with compassionate and transformational leadership have higher levels of staff wellbeing, communication and quality of care outcomes due to the psychological safety that employees feel when they can raise concerns, and be involved in decision making (West et al., 20</w:t>
      </w:r>
      <w:r w:rsidR="00926895" w:rsidRPr="002408C2">
        <w:rPr>
          <w:rFonts w:ascii="Arial" w:hAnsi="Arial" w:cs="Arial"/>
          <w:sz w:val="22"/>
          <w:szCs w:val="22"/>
        </w:rPr>
        <w:t>15</w:t>
      </w:r>
      <w:r w:rsidRPr="002408C2">
        <w:rPr>
          <w:rFonts w:ascii="Arial" w:hAnsi="Arial" w:cs="Arial"/>
          <w:sz w:val="22"/>
          <w:szCs w:val="22"/>
        </w:rPr>
        <w:t xml:space="preserve">). The care provided to </w:t>
      </w:r>
      <w:r w:rsidR="005B356D" w:rsidRPr="002408C2">
        <w:rPr>
          <w:rFonts w:ascii="Arial" w:hAnsi="Arial" w:cs="Arial"/>
          <w:sz w:val="22"/>
          <w:szCs w:val="22"/>
        </w:rPr>
        <w:t xml:space="preserve">Patient X </w:t>
      </w:r>
      <w:r w:rsidRPr="002408C2">
        <w:rPr>
          <w:rFonts w:ascii="Arial" w:hAnsi="Arial" w:cs="Arial"/>
          <w:sz w:val="22"/>
          <w:szCs w:val="22"/>
        </w:rPr>
        <w:t xml:space="preserve">indicated that the leadership style was not transformational enough. There was poor communication between professionals during admission, with no one taking overall responsibility for reviewing and re-starting anticoagulation therapy due to delays during procedures. The </w:t>
      </w:r>
      <w:r w:rsidR="00BA7B2A" w:rsidRPr="002408C2">
        <w:rPr>
          <w:rFonts w:ascii="Arial" w:hAnsi="Arial" w:cs="Arial"/>
          <w:sz w:val="22"/>
          <w:szCs w:val="22"/>
        </w:rPr>
        <w:t>organization</w:t>
      </w:r>
      <w:r w:rsidRPr="002408C2">
        <w:rPr>
          <w:rFonts w:ascii="Arial" w:hAnsi="Arial" w:cs="Arial"/>
          <w:sz w:val="22"/>
          <w:szCs w:val="22"/>
        </w:rPr>
        <w:t xml:space="preserve"> was more focused on the normal practice, rather than collaborative problem solving, despite changes in the clinical condition of the patient. Staff members who acknowledged supportive leadership cultures were more likely to have concerns about safety, be able to work well together and feel that patient safety was being </w:t>
      </w:r>
      <w:r w:rsidR="00BA7B2A" w:rsidRPr="002408C2">
        <w:rPr>
          <w:rFonts w:ascii="Arial" w:hAnsi="Arial" w:cs="Arial"/>
          <w:sz w:val="22"/>
          <w:szCs w:val="22"/>
        </w:rPr>
        <w:t>prioritized</w:t>
      </w:r>
      <w:r w:rsidRPr="002408C2">
        <w:rPr>
          <w:rFonts w:ascii="Arial" w:hAnsi="Arial" w:cs="Arial"/>
          <w:sz w:val="22"/>
          <w:szCs w:val="22"/>
        </w:rPr>
        <w:t xml:space="preserve"> compared to those who experienced less supportive leadership cultures (NHS England, 2025). The results in this report indicate that increased transformational leadership might have helped to prompt earlier multidisciplinary review, better communication, and decreased the risk of the medication omission.</w:t>
      </w:r>
    </w:p>
    <w:p w14:paraId="16B62CBA" w14:textId="69410116" w:rsidR="00CF0156" w:rsidRPr="002408C2" w:rsidRDefault="00CF0156" w:rsidP="00CF0156">
      <w:pPr>
        <w:spacing w:line="480" w:lineRule="auto"/>
        <w:ind w:firstLine="720"/>
        <w:rPr>
          <w:rFonts w:ascii="Arial" w:hAnsi="Arial" w:cs="Arial"/>
          <w:sz w:val="22"/>
          <w:szCs w:val="22"/>
        </w:rPr>
      </w:pPr>
      <w:r w:rsidRPr="002408C2">
        <w:rPr>
          <w:rFonts w:ascii="Arial" w:hAnsi="Arial" w:cs="Arial"/>
          <w:sz w:val="22"/>
          <w:szCs w:val="22"/>
        </w:rPr>
        <w:t xml:space="preserve">Transactional leadership is about keeping an </w:t>
      </w:r>
      <w:r w:rsidR="00BA7B2A" w:rsidRPr="002408C2">
        <w:rPr>
          <w:rFonts w:ascii="Arial" w:hAnsi="Arial" w:cs="Arial"/>
          <w:sz w:val="22"/>
          <w:szCs w:val="22"/>
        </w:rPr>
        <w:t>organization</w:t>
      </w:r>
      <w:r w:rsidRPr="002408C2">
        <w:rPr>
          <w:rFonts w:ascii="Arial" w:hAnsi="Arial" w:cs="Arial"/>
          <w:sz w:val="22"/>
          <w:szCs w:val="22"/>
        </w:rPr>
        <w:t xml:space="preserve"> stable by using clear roles, policies, monitoring of performance, and adherence to procedures. Bass and Avolio (1994) say that transactional leaders use structured supervision and follow the </w:t>
      </w:r>
      <w:r w:rsidR="00BA7B2A" w:rsidRPr="002408C2">
        <w:rPr>
          <w:rFonts w:ascii="Arial" w:hAnsi="Arial" w:cs="Arial"/>
          <w:sz w:val="22"/>
          <w:szCs w:val="22"/>
        </w:rPr>
        <w:t>organization’s</w:t>
      </w:r>
      <w:r w:rsidRPr="002408C2">
        <w:rPr>
          <w:rFonts w:ascii="Arial" w:hAnsi="Arial" w:cs="Arial"/>
          <w:sz w:val="22"/>
          <w:szCs w:val="22"/>
        </w:rPr>
        <w:t xml:space="preserve"> guidelines and procedures to get things done. This leadership style is particularly useful in healthcare settings with strict regulatory oversight, where adherence to guidelines, accountability, and uniformity are critical for patient safety. Leadership principles through medication prescribing, writing and governance systems are often transactional and are used to ensure unnecessary variation in clinical practice is </w:t>
      </w:r>
      <w:r w:rsidR="00BA7B2A" w:rsidRPr="002408C2">
        <w:rPr>
          <w:rFonts w:ascii="Arial" w:hAnsi="Arial" w:cs="Arial"/>
          <w:sz w:val="22"/>
          <w:szCs w:val="22"/>
        </w:rPr>
        <w:t>minimized</w:t>
      </w:r>
      <w:r w:rsidRPr="002408C2">
        <w:rPr>
          <w:rFonts w:ascii="Arial" w:hAnsi="Arial" w:cs="Arial"/>
          <w:sz w:val="22"/>
          <w:szCs w:val="22"/>
        </w:rPr>
        <w:t xml:space="preserve">. Some aspects of transactional leadership were used in the first management of </w:t>
      </w:r>
      <w:r w:rsidR="005B356D" w:rsidRPr="002408C2">
        <w:rPr>
          <w:rFonts w:ascii="Arial" w:hAnsi="Arial" w:cs="Arial"/>
          <w:sz w:val="22"/>
          <w:szCs w:val="22"/>
        </w:rPr>
        <w:t xml:space="preserve">Patient X’s </w:t>
      </w:r>
      <w:r w:rsidRPr="002408C2">
        <w:rPr>
          <w:rFonts w:ascii="Arial" w:hAnsi="Arial" w:cs="Arial"/>
          <w:sz w:val="22"/>
          <w:szCs w:val="22"/>
        </w:rPr>
        <w:t>admission. Appropriately discontinued apixaban for the presence of active bleeding and planned invasive procedure, following established anticoagulation guidelines. HSSIB (2024) noted that the initial decision to prescribe was not "professional misconduct" but was "in accordance with accepted clinical practice. As the patient's situation changed, however, transactional leadership was less effective. There were repeated procedural delays that needed to be re-thought and re-</w:t>
      </w:r>
      <w:r w:rsidR="002408C2" w:rsidRPr="002408C2">
        <w:rPr>
          <w:rFonts w:ascii="Arial" w:hAnsi="Arial" w:cs="Arial"/>
          <w:sz w:val="22"/>
          <w:szCs w:val="22"/>
        </w:rPr>
        <w:t>prioritized</w:t>
      </w:r>
      <w:r w:rsidRPr="002408C2">
        <w:rPr>
          <w:rFonts w:ascii="Arial" w:hAnsi="Arial" w:cs="Arial"/>
          <w:sz w:val="22"/>
          <w:szCs w:val="22"/>
        </w:rPr>
        <w:t xml:space="preserve"> with treatment, but leadership was still not focused on clinical review, but rather procedural review. The </w:t>
      </w:r>
      <w:r w:rsidR="002408C2" w:rsidRPr="002408C2">
        <w:rPr>
          <w:rFonts w:ascii="Arial" w:hAnsi="Arial" w:cs="Arial"/>
          <w:sz w:val="22"/>
          <w:szCs w:val="22"/>
        </w:rPr>
        <w:t>organization</w:t>
      </w:r>
      <w:r w:rsidRPr="002408C2">
        <w:rPr>
          <w:rFonts w:ascii="Arial" w:hAnsi="Arial" w:cs="Arial"/>
          <w:sz w:val="22"/>
          <w:szCs w:val="22"/>
        </w:rPr>
        <w:t xml:space="preserve"> therefore fulfilled the initial policy but did not </w:t>
      </w:r>
      <w:r w:rsidR="002408C2" w:rsidRPr="002408C2">
        <w:rPr>
          <w:rFonts w:ascii="Arial" w:hAnsi="Arial" w:cs="Arial"/>
          <w:sz w:val="22"/>
          <w:szCs w:val="22"/>
        </w:rPr>
        <w:t>realize</w:t>
      </w:r>
      <w:r w:rsidRPr="002408C2">
        <w:rPr>
          <w:rFonts w:ascii="Arial" w:hAnsi="Arial" w:cs="Arial"/>
          <w:sz w:val="22"/>
          <w:szCs w:val="22"/>
        </w:rPr>
        <w:t xml:space="preserve"> that the patient risked stroke by not taking his anticoagulants.</w:t>
      </w:r>
    </w:p>
    <w:p w14:paraId="557998B0" w14:textId="4FC3D62F" w:rsidR="00CF0156" w:rsidRPr="002408C2" w:rsidRDefault="00CF0156" w:rsidP="00CF0156">
      <w:pPr>
        <w:spacing w:line="480" w:lineRule="auto"/>
        <w:ind w:firstLine="720"/>
        <w:rPr>
          <w:rFonts w:ascii="Arial" w:hAnsi="Arial" w:cs="Arial"/>
          <w:sz w:val="22"/>
          <w:szCs w:val="22"/>
        </w:rPr>
      </w:pPr>
      <w:r w:rsidRPr="002408C2">
        <w:rPr>
          <w:rFonts w:ascii="Arial" w:hAnsi="Arial" w:cs="Arial"/>
          <w:sz w:val="22"/>
          <w:szCs w:val="22"/>
        </w:rPr>
        <w:t xml:space="preserve">Situational leadership suggests that good leaders will adjust their approach to leadership based on the situation, </w:t>
      </w:r>
      <w:r w:rsidR="002408C2" w:rsidRPr="002408C2">
        <w:rPr>
          <w:rFonts w:ascii="Arial" w:hAnsi="Arial" w:cs="Arial"/>
          <w:sz w:val="22"/>
          <w:szCs w:val="22"/>
        </w:rPr>
        <w:t>organization</w:t>
      </w:r>
      <w:r w:rsidRPr="002408C2">
        <w:rPr>
          <w:rFonts w:ascii="Arial" w:hAnsi="Arial" w:cs="Arial"/>
          <w:sz w:val="22"/>
          <w:szCs w:val="22"/>
        </w:rPr>
        <w:t>, and abilities of their team. Hersey et al. (2013) believe that there is no one right or wrong leadership style because things always change and leaders need to adjust their direction and support level. Situational leadership is especially relevant in healthcare environments because of its inherent features of uncertainty, quick changes in patient conditions and the involvement of multiple disciplines in decision making, thereby impacting patient safety</w:t>
      </w:r>
      <w:r w:rsidR="006B468F" w:rsidRPr="002408C2">
        <w:rPr>
          <w:rFonts w:ascii="Arial" w:hAnsi="Arial" w:cs="Arial"/>
          <w:sz w:val="22"/>
          <w:szCs w:val="22"/>
        </w:rPr>
        <w:t xml:space="preserve"> (Wang et al., 2024)</w:t>
      </w:r>
      <w:r w:rsidRPr="002408C2">
        <w:rPr>
          <w:rFonts w:ascii="Arial" w:hAnsi="Arial" w:cs="Arial"/>
          <w:sz w:val="22"/>
          <w:szCs w:val="22"/>
        </w:rPr>
        <w:t xml:space="preserve">. In </w:t>
      </w:r>
      <w:r w:rsidR="005B356D" w:rsidRPr="002408C2">
        <w:rPr>
          <w:rFonts w:ascii="Arial" w:hAnsi="Arial" w:cs="Arial"/>
          <w:sz w:val="22"/>
          <w:szCs w:val="22"/>
        </w:rPr>
        <w:t xml:space="preserve">Patient X’s </w:t>
      </w:r>
      <w:r w:rsidRPr="002408C2">
        <w:rPr>
          <w:rFonts w:ascii="Arial" w:hAnsi="Arial" w:cs="Arial"/>
          <w:sz w:val="22"/>
          <w:szCs w:val="22"/>
        </w:rPr>
        <w:t>case, the leadership required was flexible as the numerous procedural delays made a substantive change in his clinical risk profile. Withholding anticoagulation was clinically appropriate at first, but it was necessary to keep re-evaluating this for the duration, and this involved several health care professionals</w:t>
      </w:r>
      <w:r w:rsidR="00F9375E" w:rsidRPr="002408C2">
        <w:rPr>
          <w:rFonts w:ascii="Arial" w:hAnsi="Arial" w:cs="Arial"/>
          <w:sz w:val="22"/>
          <w:szCs w:val="22"/>
        </w:rPr>
        <w:t xml:space="preserve"> (Wang et al., 2024)</w:t>
      </w:r>
      <w:r w:rsidRPr="002408C2">
        <w:rPr>
          <w:rFonts w:ascii="Arial" w:hAnsi="Arial" w:cs="Arial"/>
          <w:sz w:val="22"/>
          <w:szCs w:val="22"/>
        </w:rPr>
        <w:t xml:space="preserve">. Leadership was largely reactive in the face of these changing situations and did not coordinate multidisciplinary review. Communication breakdowns and lack of effective teamwork are acknowledged by WHO (2024) as large contributors to preventable patient harm globally and the need for adaptive leadership to deal with complex clinical contexts. </w:t>
      </w:r>
    </w:p>
    <w:p w14:paraId="4533ADBA" w14:textId="2A6E200A" w:rsidR="00CF0156" w:rsidRPr="002408C2" w:rsidRDefault="000718DF" w:rsidP="00CF0156">
      <w:pPr>
        <w:spacing w:line="480" w:lineRule="auto"/>
        <w:ind w:firstLine="720"/>
        <w:rPr>
          <w:rFonts w:ascii="Arial" w:hAnsi="Arial" w:cs="Arial"/>
          <w:sz w:val="22"/>
          <w:szCs w:val="22"/>
        </w:rPr>
      </w:pPr>
      <w:r w:rsidRPr="002408C2">
        <w:rPr>
          <w:rFonts w:ascii="Arial" w:hAnsi="Arial" w:cs="Arial"/>
          <w:sz w:val="22"/>
          <w:szCs w:val="22"/>
        </w:rPr>
        <w:t>The study</w:t>
      </w:r>
      <w:r w:rsidR="00CF0156" w:rsidRPr="002408C2">
        <w:rPr>
          <w:rFonts w:ascii="Arial" w:hAnsi="Arial" w:cs="Arial"/>
          <w:sz w:val="22"/>
          <w:szCs w:val="22"/>
        </w:rPr>
        <w:t xml:space="preserve"> of the case shows that the leadership throughout the </w:t>
      </w:r>
      <w:r w:rsidR="00BA7B2A" w:rsidRPr="002408C2">
        <w:rPr>
          <w:rFonts w:ascii="Arial" w:hAnsi="Arial" w:cs="Arial"/>
          <w:sz w:val="22"/>
          <w:szCs w:val="22"/>
        </w:rPr>
        <w:t>organization</w:t>
      </w:r>
      <w:r w:rsidR="00CF0156" w:rsidRPr="002408C2">
        <w:rPr>
          <w:rFonts w:ascii="Arial" w:hAnsi="Arial" w:cs="Arial"/>
          <w:sz w:val="22"/>
          <w:szCs w:val="22"/>
        </w:rPr>
        <w:t xml:space="preserve"> was mostly reactive instead of proactive. The </w:t>
      </w:r>
      <w:r w:rsidR="00BA7B2A" w:rsidRPr="002408C2">
        <w:rPr>
          <w:rFonts w:ascii="Arial" w:hAnsi="Arial" w:cs="Arial"/>
          <w:sz w:val="22"/>
          <w:szCs w:val="22"/>
        </w:rPr>
        <w:t>organization</w:t>
      </w:r>
      <w:r w:rsidR="00CF0156" w:rsidRPr="002408C2">
        <w:rPr>
          <w:rFonts w:ascii="Arial" w:hAnsi="Arial" w:cs="Arial"/>
          <w:sz w:val="22"/>
          <w:szCs w:val="22"/>
        </w:rPr>
        <w:t xml:space="preserve"> reacted to issues that arose rather than to the possible clinical risks that might have occurred if the interruption of anticoagulants had been longer. HSSIB (2024) found there were numerous opportunities to detect the missed medication before the patient had a stroke, but these opportunities were not exploited due to communication failure and lack of accountability. Proactive leadership would have fostered regular multi-disciplinary medication reviews, improved escalation pathways and maintained clear accountability for the initiation of anticoagulation therapy in the face of delays</w:t>
      </w:r>
      <w:r w:rsidRPr="002408C2">
        <w:rPr>
          <w:rFonts w:ascii="Arial" w:hAnsi="Arial" w:cs="Arial"/>
          <w:sz w:val="22"/>
          <w:szCs w:val="22"/>
        </w:rPr>
        <w:t xml:space="preserve"> (Shrestha et al., 2025)</w:t>
      </w:r>
      <w:r w:rsidR="00CF0156" w:rsidRPr="002408C2">
        <w:rPr>
          <w:rFonts w:ascii="Arial" w:hAnsi="Arial" w:cs="Arial"/>
          <w:sz w:val="22"/>
          <w:szCs w:val="22"/>
        </w:rPr>
        <w:t>.</w:t>
      </w:r>
    </w:p>
    <w:p w14:paraId="32446631" w14:textId="4BDE25CB" w:rsidR="00CF0156" w:rsidRPr="002408C2" w:rsidRDefault="00CF0156" w:rsidP="00CF0156">
      <w:pPr>
        <w:spacing w:line="480" w:lineRule="auto"/>
        <w:ind w:firstLine="720"/>
        <w:rPr>
          <w:rFonts w:ascii="Arial" w:hAnsi="Arial" w:cs="Arial"/>
          <w:sz w:val="22"/>
          <w:szCs w:val="22"/>
        </w:rPr>
      </w:pPr>
      <w:r w:rsidRPr="002408C2">
        <w:rPr>
          <w:rFonts w:ascii="Arial" w:hAnsi="Arial" w:cs="Arial"/>
          <w:sz w:val="22"/>
          <w:szCs w:val="22"/>
        </w:rPr>
        <w:t xml:space="preserve">Other indicators of the effectiveness of leadership include indicators of the workforce and indicators of patient safety. NHS Staff Survey 2024 showed that staff who felt supported by their leaders were more likely to feel confident in raising concerns, more likely to feel psychologically safe and more likely to feel they work well as a team, whereas lower levels of support by leaders were linked to lower levels of team working, psychological safety and confidence to raise concerns (NHS England, 2025). Moreover, NHS England (2024) still </w:t>
      </w:r>
      <w:proofErr w:type="gramStart"/>
      <w:r w:rsidRPr="002408C2">
        <w:rPr>
          <w:rFonts w:ascii="Arial" w:hAnsi="Arial" w:cs="Arial"/>
          <w:sz w:val="22"/>
          <w:szCs w:val="22"/>
        </w:rPr>
        <w:t>list</w:t>
      </w:r>
      <w:proofErr w:type="gramEnd"/>
      <w:r w:rsidRPr="002408C2">
        <w:rPr>
          <w:rFonts w:ascii="Arial" w:hAnsi="Arial" w:cs="Arial"/>
          <w:sz w:val="22"/>
          <w:szCs w:val="22"/>
        </w:rPr>
        <w:t xml:space="preserve"> communication and leadership issues as one of the top </w:t>
      </w:r>
      <w:r w:rsidR="00BA7B2A" w:rsidRPr="002408C2">
        <w:rPr>
          <w:rFonts w:ascii="Arial" w:hAnsi="Arial" w:cs="Arial"/>
          <w:sz w:val="22"/>
          <w:szCs w:val="22"/>
        </w:rPr>
        <w:t>10</w:t>
      </w:r>
      <w:r w:rsidRPr="002408C2">
        <w:rPr>
          <w:rFonts w:ascii="Arial" w:hAnsi="Arial" w:cs="Arial"/>
          <w:sz w:val="22"/>
          <w:szCs w:val="22"/>
        </w:rPr>
        <w:t xml:space="preserve"> safety incidents that are reported in NHS </w:t>
      </w:r>
      <w:r w:rsidR="00BA7B2A" w:rsidRPr="002408C2">
        <w:rPr>
          <w:rFonts w:ascii="Arial" w:hAnsi="Arial" w:cs="Arial"/>
          <w:sz w:val="22"/>
          <w:szCs w:val="22"/>
        </w:rPr>
        <w:t>organizations</w:t>
      </w:r>
      <w:r w:rsidRPr="002408C2">
        <w:rPr>
          <w:rFonts w:ascii="Arial" w:hAnsi="Arial" w:cs="Arial"/>
          <w:sz w:val="22"/>
          <w:szCs w:val="22"/>
        </w:rPr>
        <w:t xml:space="preserve">, highlighting their continued role in contributing to avoidable harm. The data </w:t>
      </w:r>
      <w:r w:rsidR="002408C2" w:rsidRPr="002408C2">
        <w:rPr>
          <w:rFonts w:ascii="Arial" w:hAnsi="Arial" w:cs="Arial"/>
          <w:sz w:val="22"/>
          <w:szCs w:val="22"/>
        </w:rPr>
        <w:t>reinforces</w:t>
      </w:r>
      <w:r w:rsidRPr="002408C2">
        <w:rPr>
          <w:rFonts w:ascii="Arial" w:hAnsi="Arial" w:cs="Arial"/>
          <w:sz w:val="22"/>
          <w:szCs w:val="22"/>
        </w:rPr>
        <w:t xml:space="preserve"> the finding that good leadership directly affects </w:t>
      </w:r>
      <w:r w:rsidR="00BA7B2A" w:rsidRPr="002408C2">
        <w:rPr>
          <w:rFonts w:ascii="Arial" w:hAnsi="Arial" w:cs="Arial"/>
          <w:sz w:val="22"/>
          <w:szCs w:val="22"/>
        </w:rPr>
        <w:t>organizational</w:t>
      </w:r>
      <w:r w:rsidRPr="002408C2">
        <w:rPr>
          <w:rFonts w:ascii="Arial" w:hAnsi="Arial" w:cs="Arial"/>
          <w:sz w:val="22"/>
          <w:szCs w:val="22"/>
        </w:rPr>
        <w:t xml:space="preserve"> performance and patient safety outcomes.</w:t>
      </w:r>
    </w:p>
    <w:p w14:paraId="78FD39E3" w14:textId="2ACDCC84" w:rsidR="0094130D" w:rsidRPr="002408C2" w:rsidRDefault="0094130D" w:rsidP="00CF0156">
      <w:pPr>
        <w:spacing w:line="480" w:lineRule="auto"/>
        <w:rPr>
          <w:rFonts w:ascii="Arial" w:hAnsi="Arial" w:cs="Arial"/>
          <w:b/>
          <w:bCs/>
        </w:rPr>
      </w:pPr>
      <w:r w:rsidRPr="002408C2">
        <w:rPr>
          <w:rFonts w:ascii="Arial" w:hAnsi="Arial" w:cs="Arial"/>
          <w:b/>
          <w:bCs/>
        </w:rPr>
        <w:t>d. Improvement and Lessons Learned</w:t>
      </w:r>
    </w:p>
    <w:p w14:paraId="41F58BEC" w14:textId="52ECE43C" w:rsidR="002065E8" w:rsidRPr="002408C2" w:rsidRDefault="002065E8" w:rsidP="002065E8">
      <w:pPr>
        <w:spacing w:line="480" w:lineRule="auto"/>
        <w:ind w:firstLine="720"/>
        <w:rPr>
          <w:rFonts w:ascii="Arial" w:hAnsi="Arial" w:cs="Arial"/>
          <w:sz w:val="22"/>
          <w:szCs w:val="22"/>
        </w:rPr>
      </w:pPr>
      <w:r w:rsidRPr="002408C2">
        <w:rPr>
          <w:rFonts w:ascii="Arial" w:hAnsi="Arial" w:cs="Arial"/>
          <w:sz w:val="22"/>
          <w:szCs w:val="22"/>
        </w:rPr>
        <w:t xml:space="preserve">The case of </w:t>
      </w:r>
      <w:r w:rsidR="00EA12AA" w:rsidRPr="002408C2">
        <w:rPr>
          <w:rFonts w:ascii="Arial" w:hAnsi="Arial" w:cs="Arial"/>
          <w:sz w:val="22"/>
          <w:szCs w:val="22"/>
        </w:rPr>
        <w:t xml:space="preserve">Patient X </w:t>
      </w:r>
      <w:r w:rsidRPr="002408C2">
        <w:rPr>
          <w:rFonts w:ascii="Arial" w:hAnsi="Arial" w:cs="Arial"/>
          <w:sz w:val="22"/>
          <w:szCs w:val="22"/>
        </w:rPr>
        <w:t>illustrates that patient safety incidents do not occur in isolation of any single clinical incident but are a consequence of multiple types of failure a</w:t>
      </w:r>
      <w:r w:rsidR="00B57CC1" w:rsidRPr="002408C2">
        <w:rPr>
          <w:rFonts w:ascii="Arial" w:hAnsi="Arial" w:cs="Arial"/>
          <w:sz w:val="22"/>
          <w:szCs w:val="22"/>
        </w:rPr>
        <w:t>nd</w:t>
      </w:r>
      <w:r w:rsidRPr="002408C2">
        <w:rPr>
          <w:rFonts w:ascii="Arial" w:hAnsi="Arial" w:cs="Arial"/>
          <w:sz w:val="22"/>
          <w:szCs w:val="22"/>
        </w:rPr>
        <w:t xml:space="preserve"> interaction between leadership failure, weak governance, poor communication and lack of </w:t>
      </w:r>
      <w:r w:rsidR="002408C2" w:rsidRPr="002408C2">
        <w:rPr>
          <w:rFonts w:ascii="Arial" w:hAnsi="Arial" w:cs="Arial"/>
          <w:sz w:val="22"/>
          <w:szCs w:val="22"/>
        </w:rPr>
        <w:t>organizational</w:t>
      </w:r>
      <w:r w:rsidRPr="002408C2">
        <w:rPr>
          <w:rFonts w:ascii="Arial" w:hAnsi="Arial" w:cs="Arial"/>
          <w:sz w:val="22"/>
          <w:szCs w:val="22"/>
        </w:rPr>
        <w:t xml:space="preserve"> systems. These findings, which are in line with the concept of systems thinking, reported by HSSIB (2024), suggest that the failure to prescribe anticoagulation therapy was a failure of the system and not caused by each doctor's negligence. Good leadership and governance would have worked together to have identified risks as they developed, coordinated multi-disciplinary decision making, and ensured accountability along the patient's pathway</w:t>
      </w:r>
      <w:r w:rsidR="003A5892" w:rsidRPr="002408C2">
        <w:rPr>
          <w:rFonts w:ascii="Arial" w:hAnsi="Arial" w:cs="Arial"/>
          <w:sz w:val="22"/>
          <w:szCs w:val="22"/>
        </w:rPr>
        <w:t xml:space="preserve"> (Bhati et al., 2023)</w:t>
      </w:r>
      <w:r w:rsidRPr="002408C2">
        <w:rPr>
          <w:rFonts w:ascii="Arial" w:hAnsi="Arial" w:cs="Arial"/>
          <w:sz w:val="22"/>
          <w:szCs w:val="22"/>
        </w:rPr>
        <w:t>. However, weaknesses in each of these overlapping systems enabled harm to be avoided.</w:t>
      </w:r>
    </w:p>
    <w:p w14:paraId="0405AC8A" w14:textId="31584B4A" w:rsidR="002065E8" w:rsidRPr="002408C2" w:rsidRDefault="002065E8" w:rsidP="002065E8">
      <w:pPr>
        <w:spacing w:line="480" w:lineRule="auto"/>
        <w:ind w:firstLine="720"/>
        <w:rPr>
          <w:rFonts w:ascii="Arial" w:hAnsi="Arial" w:cs="Arial"/>
          <w:sz w:val="22"/>
          <w:szCs w:val="22"/>
        </w:rPr>
      </w:pPr>
      <w:r w:rsidRPr="002408C2">
        <w:rPr>
          <w:rFonts w:ascii="Arial" w:hAnsi="Arial" w:cs="Arial"/>
          <w:sz w:val="22"/>
          <w:szCs w:val="22"/>
        </w:rPr>
        <w:t xml:space="preserve">Failure to have clear accountability for reviewing and reinitiating anticoagulation </w:t>
      </w:r>
      <w:proofErr w:type="gramStart"/>
      <w:r w:rsidRPr="002408C2">
        <w:rPr>
          <w:rFonts w:ascii="Arial" w:hAnsi="Arial" w:cs="Arial"/>
          <w:sz w:val="22"/>
          <w:szCs w:val="22"/>
        </w:rPr>
        <w:t>one</w:t>
      </w:r>
      <w:proofErr w:type="gramEnd"/>
      <w:r w:rsidRPr="002408C2">
        <w:rPr>
          <w:rFonts w:ascii="Arial" w:hAnsi="Arial" w:cs="Arial"/>
          <w:sz w:val="22"/>
          <w:szCs w:val="22"/>
        </w:rPr>
        <w:t xml:space="preserve"> of the biggest opportunities missed. While national guidance stated it was acceptable to withhold apixaban before the intended procedure, many delays in the procedure changed </w:t>
      </w:r>
      <w:r w:rsidR="00EA12AA" w:rsidRPr="002408C2">
        <w:rPr>
          <w:rFonts w:ascii="Arial" w:hAnsi="Arial" w:cs="Arial"/>
          <w:sz w:val="22"/>
          <w:szCs w:val="22"/>
        </w:rPr>
        <w:t xml:space="preserve">Patient X’s </w:t>
      </w:r>
      <w:r w:rsidRPr="002408C2">
        <w:rPr>
          <w:rFonts w:ascii="Arial" w:hAnsi="Arial" w:cs="Arial"/>
          <w:sz w:val="22"/>
          <w:szCs w:val="22"/>
        </w:rPr>
        <w:t>clinical risk profile without requiring him to be re-evaluated. NICE (2023) suggests that anticoagulant treatment needs to be reviewed when the clinical situation changes to help ensure benefits from the treatment outweigh any risks that may arise. The HSSIB (2024) identified</w:t>
      </w:r>
      <w:r w:rsidR="00DE0F87" w:rsidRPr="002408C2">
        <w:rPr>
          <w:rFonts w:ascii="Arial" w:hAnsi="Arial" w:cs="Arial"/>
          <w:sz w:val="22"/>
          <w:szCs w:val="22"/>
        </w:rPr>
        <w:t xml:space="preserve"> that i</w:t>
      </w:r>
      <w:r w:rsidRPr="002408C2">
        <w:rPr>
          <w:rFonts w:ascii="Arial" w:hAnsi="Arial" w:cs="Arial"/>
          <w:sz w:val="22"/>
          <w:szCs w:val="22"/>
        </w:rPr>
        <w:t>mplementing mandatory medication review checkpoints, with electronic prescribing alerts, would thus reduce the risk of such medication omissions in the future.</w:t>
      </w:r>
    </w:p>
    <w:p w14:paraId="68B8DF68" w14:textId="780B65DC" w:rsidR="002065E8" w:rsidRPr="002408C2" w:rsidRDefault="002065E8" w:rsidP="002065E8">
      <w:pPr>
        <w:spacing w:line="480" w:lineRule="auto"/>
        <w:ind w:firstLine="720"/>
        <w:rPr>
          <w:rFonts w:ascii="Arial" w:hAnsi="Arial" w:cs="Arial"/>
          <w:sz w:val="22"/>
          <w:szCs w:val="22"/>
        </w:rPr>
      </w:pPr>
      <w:r w:rsidRPr="002408C2">
        <w:rPr>
          <w:rFonts w:ascii="Arial" w:hAnsi="Arial" w:cs="Arial"/>
          <w:sz w:val="22"/>
          <w:szCs w:val="22"/>
        </w:rPr>
        <w:t>The negative outcome was also due to leadership weaknesses. Communication was poor, leading to a reactive approach to leadership rather than a more proactive one that would encourage collaboration. Compassionate and inclusive leadership fosters patient safety by promoting teamwork, collaboration, and psychological safety within healthcare teams, as discussed by West et al. (20</w:t>
      </w:r>
      <w:r w:rsidR="00926895" w:rsidRPr="002408C2">
        <w:rPr>
          <w:rFonts w:ascii="Arial" w:hAnsi="Arial" w:cs="Arial"/>
          <w:sz w:val="22"/>
          <w:szCs w:val="22"/>
        </w:rPr>
        <w:t>15</w:t>
      </w:r>
      <w:r w:rsidRPr="002408C2">
        <w:rPr>
          <w:rFonts w:ascii="Arial" w:hAnsi="Arial" w:cs="Arial"/>
          <w:sz w:val="22"/>
          <w:szCs w:val="22"/>
        </w:rPr>
        <w:t xml:space="preserve">). The 2024 NHS Staff Survey also shows that staff in </w:t>
      </w:r>
      <w:r w:rsidR="002408C2" w:rsidRPr="002408C2">
        <w:rPr>
          <w:rFonts w:ascii="Arial" w:hAnsi="Arial" w:cs="Arial"/>
          <w:sz w:val="22"/>
          <w:szCs w:val="22"/>
        </w:rPr>
        <w:t>organizations</w:t>
      </w:r>
      <w:r w:rsidRPr="002408C2">
        <w:rPr>
          <w:rFonts w:ascii="Arial" w:hAnsi="Arial" w:cs="Arial"/>
          <w:sz w:val="22"/>
          <w:szCs w:val="22"/>
        </w:rPr>
        <w:t xml:space="preserve"> with supportive leadership are more likely to be engaged, have a strong safety culture and feel confident in raising concerns than those in </w:t>
      </w:r>
      <w:r w:rsidR="002408C2" w:rsidRPr="002408C2">
        <w:rPr>
          <w:rFonts w:ascii="Arial" w:hAnsi="Arial" w:cs="Arial"/>
          <w:sz w:val="22"/>
          <w:szCs w:val="22"/>
        </w:rPr>
        <w:t>organizations</w:t>
      </w:r>
      <w:r w:rsidRPr="002408C2">
        <w:rPr>
          <w:rFonts w:ascii="Arial" w:hAnsi="Arial" w:cs="Arial"/>
          <w:sz w:val="22"/>
          <w:szCs w:val="22"/>
        </w:rPr>
        <w:t xml:space="preserve"> which have weaker leadership practices (NHS England, 2025). </w:t>
      </w:r>
    </w:p>
    <w:p w14:paraId="71E3E698" w14:textId="6EDFF120" w:rsidR="002065E8" w:rsidRPr="002408C2" w:rsidRDefault="00C03BF4" w:rsidP="002065E8">
      <w:pPr>
        <w:spacing w:line="480" w:lineRule="auto"/>
        <w:ind w:firstLine="720"/>
        <w:rPr>
          <w:rFonts w:ascii="Arial" w:hAnsi="Arial" w:cs="Arial"/>
          <w:sz w:val="22"/>
          <w:szCs w:val="22"/>
        </w:rPr>
      </w:pPr>
      <w:r w:rsidRPr="002408C2">
        <w:rPr>
          <w:rFonts w:ascii="Arial" w:hAnsi="Arial" w:cs="Arial"/>
          <w:sz w:val="22"/>
          <w:szCs w:val="22"/>
        </w:rPr>
        <w:t>The outcome</w:t>
      </w:r>
      <w:r w:rsidR="002065E8" w:rsidRPr="002408C2">
        <w:rPr>
          <w:rFonts w:ascii="Arial" w:hAnsi="Arial" w:cs="Arial"/>
          <w:sz w:val="22"/>
          <w:szCs w:val="22"/>
        </w:rPr>
        <w:t xml:space="preserve"> was also driven by governance systems. The principles of clinical governance are to provide effective risk management, audit, accountability</w:t>
      </w:r>
      <w:r w:rsidRPr="002408C2">
        <w:rPr>
          <w:rFonts w:ascii="Arial" w:hAnsi="Arial" w:cs="Arial"/>
          <w:sz w:val="22"/>
          <w:szCs w:val="22"/>
        </w:rPr>
        <w:t>,</w:t>
      </w:r>
      <w:r w:rsidR="002065E8" w:rsidRPr="002408C2">
        <w:rPr>
          <w:rFonts w:ascii="Arial" w:hAnsi="Arial" w:cs="Arial"/>
          <w:sz w:val="22"/>
          <w:szCs w:val="22"/>
        </w:rPr>
        <w:t xml:space="preserve"> and </w:t>
      </w:r>
      <w:r w:rsidR="002408C2" w:rsidRPr="002408C2">
        <w:rPr>
          <w:rFonts w:ascii="Arial" w:hAnsi="Arial" w:cs="Arial"/>
          <w:sz w:val="22"/>
          <w:szCs w:val="22"/>
        </w:rPr>
        <w:t>organizational</w:t>
      </w:r>
      <w:r w:rsidR="002065E8" w:rsidRPr="002408C2">
        <w:rPr>
          <w:rFonts w:ascii="Arial" w:hAnsi="Arial" w:cs="Arial"/>
          <w:sz w:val="22"/>
          <w:szCs w:val="22"/>
        </w:rPr>
        <w:t xml:space="preserve"> learning to drive continuous quality improvement. This case, however, missed a chance for good governance to identify the fact that the patient had had a duration of no anticoagulation despite numerous changes in treatment plan. Scally and Donaldson (1998) state that good clinical governance involves the process of incorporating leadership, </w:t>
      </w:r>
      <w:r w:rsidRPr="002408C2">
        <w:rPr>
          <w:rFonts w:ascii="Arial" w:hAnsi="Arial" w:cs="Arial"/>
          <w:sz w:val="22"/>
          <w:szCs w:val="22"/>
        </w:rPr>
        <w:t>evidence-based practice, education, audit, and accountability into the day-to-day</w:t>
      </w:r>
      <w:r w:rsidR="002065E8" w:rsidRPr="002408C2">
        <w:rPr>
          <w:rFonts w:ascii="Arial" w:hAnsi="Arial" w:cs="Arial"/>
          <w:sz w:val="22"/>
          <w:szCs w:val="22"/>
        </w:rPr>
        <w:t xml:space="preserve"> delivery of health care. Recent NHS England guidance (2024) has highlighted the need to put in place good governance systems with real-time safety monitoring and multi-disciplinary </w:t>
      </w:r>
      <w:proofErr w:type="gramStart"/>
      <w:r w:rsidR="002065E8" w:rsidRPr="002408C2">
        <w:rPr>
          <w:rFonts w:ascii="Arial" w:hAnsi="Arial" w:cs="Arial"/>
          <w:sz w:val="22"/>
          <w:szCs w:val="22"/>
        </w:rPr>
        <w:t>look up</w:t>
      </w:r>
      <w:proofErr w:type="gramEnd"/>
      <w:r w:rsidR="002065E8" w:rsidRPr="002408C2">
        <w:rPr>
          <w:rFonts w:ascii="Arial" w:hAnsi="Arial" w:cs="Arial"/>
          <w:sz w:val="22"/>
          <w:szCs w:val="22"/>
        </w:rPr>
        <w:t xml:space="preserve"> to detect potential risks early and prevent harm to patients. </w:t>
      </w:r>
    </w:p>
    <w:p w14:paraId="4494A5BC" w14:textId="2C8423DE" w:rsidR="002065E8" w:rsidRPr="002408C2" w:rsidRDefault="002065E8" w:rsidP="002065E8">
      <w:pPr>
        <w:spacing w:line="480" w:lineRule="auto"/>
        <w:ind w:firstLine="720"/>
        <w:rPr>
          <w:rFonts w:ascii="Arial" w:hAnsi="Arial" w:cs="Arial"/>
          <w:sz w:val="22"/>
          <w:szCs w:val="22"/>
        </w:rPr>
      </w:pPr>
      <w:r w:rsidRPr="002408C2">
        <w:rPr>
          <w:rFonts w:ascii="Arial" w:hAnsi="Arial" w:cs="Arial"/>
          <w:sz w:val="22"/>
          <w:szCs w:val="22"/>
        </w:rPr>
        <w:t xml:space="preserve">Another area of improvement is the use of digital technologies which offer evidence-based opportunities. Multiple interactions with the patient went without notice that prolonged omission of anticoagulation therapy was occurring. World Health </w:t>
      </w:r>
      <w:r w:rsidR="002408C2" w:rsidRPr="002408C2">
        <w:rPr>
          <w:rFonts w:ascii="Arial" w:hAnsi="Arial" w:cs="Arial"/>
          <w:sz w:val="22"/>
          <w:szCs w:val="22"/>
        </w:rPr>
        <w:t>Organization</w:t>
      </w:r>
      <w:r w:rsidRPr="002408C2">
        <w:rPr>
          <w:rFonts w:ascii="Arial" w:hAnsi="Arial" w:cs="Arial"/>
          <w:sz w:val="22"/>
          <w:szCs w:val="22"/>
        </w:rPr>
        <w:t xml:space="preserve"> (2024) states that digital health technologies such as electronic prescribing and clinical decision-support technologies are effective ways to decrease medication-related harm and enhance patient safety. Similarly, </w:t>
      </w:r>
      <w:r w:rsidR="00926895" w:rsidRPr="002408C2">
        <w:rPr>
          <w:rFonts w:ascii="Arial" w:hAnsi="Arial" w:cs="Arial"/>
          <w:sz w:val="22"/>
          <w:szCs w:val="22"/>
        </w:rPr>
        <w:t>Cassidy</w:t>
      </w:r>
      <w:r w:rsidRPr="002408C2">
        <w:rPr>
          <w:rFonts w:ascii="Arial" w:hAnsi="Arial" w:cs="Arial"/>
          <w:sz w:val="22"/>
          <w:szCs w:val="22"/>
        </w:rPr>
        <w:t xml:space="preserve"> et al. (20</w:t>
      </w:r>
      <w:r w:rsidR="00926895" w:rsidRPr="002408C2">
        <w:rPr>
          <w:rFonts w:ascii="Arial" w:hAnsi="Arial" w:cs="Arial"/>
          <w:sz w:val="22"/>
          <w:szCs w:val="22"/>
        </w:rPr>
        <w:t>23</w:t>
      </w:r>
      <w:r w:rsidRPr="002408C2">
        <w:rPr>
          <w:rFonts w:ascii="Arial" w:hAnsi="Arial" w:cs="Arial"/>
          <w:sz w:val="22"/>
          <w:szCs w:val="22"/>
        </w:rPr>
        <w:t xml:space="preserve">) reported that electronic prescribing systems have been shown to be an important way to reduce medication errors by catching medication errors such as omitting medicines, inappropriate prescribing, and potential adverse drug events. </w:t>
      </w:r>
    </w:p>
    <w:p w14:paraId="15A6F484" w14:textId="1A411597" w:rsidR="002065E8" w:rsidRPr="002408C2" w:rsidRDefault="002065E8" w:rsidP="002065E8">
      <w:pPr>
        <w:spacing w:line="480" w:lineRule="auto"/>
        <w:ind w:firstLine="720"/>
        <w:rPr>
          <w:rFonts w:ascii="Arial" w:hAnsi="Arial" w:cs="Arial"/>
          <w:sz w:val="22"/>
          <w:szCs w:val="22"/>
        </w:rPr>
      </w:pPr>
      <w:r w:rsidRPr="002408C2">
        <w:rPr>
          <w:rFonts w:ascii="Arial" w:hAnsi="Arial" w:cs="Arial"/>
          <w:sz w:val="22"/>
          <w:szCs w:val="22"/>
        </w:rPr>
        <w:t xml:space="preserve">There is also a significant need for improvement in interprofessional communication. Poor communication between physicians, pharmacists, nurses and specialists lead to confusion about who was responsible for recommencing the anticoagulant. Effective communication is one of </w:t>
      </w:r>
      <w:proofErr w:type="gramStart"/>
      <w:r w:rsidRPr="002408C2">
        <w:rPr>
          <w:rFonts w:ascii="Arial" w:hAnsi="Arial" w:cs="Arial"/>
          <w:sz w:val="22"/>
          <w:szCs w:val="22"/>
        </w:rPr>
        <w:t>the majority of</w:t>
      </w:r>
      <w:proofErr w:type="gramEnd"/>
      <w:r w:rsidRPr="002408C2">
        <w:rPr>
          <w:rFonts w:ascii="Arial" w:hAnsi="Arial" w:cs="Arial"/>
          <w:sz w:val="22"/>
          <w:szCs w:val="22"/>
        </w:rPr>
        <w:t xml:space="preserve"> causes </w:t>
      </w:r>
      <w:proofErr w:type="gramStart"/>
      <w:r w:rsidRPr="002408C2">
        <w:rPr>
          <w:rFonts w:ascii="Arial" w:hAnsi="Arial" w:cs="Arial"/>
          <w:sz w:val="22"/>
          <w:szCs w:val="22"/>
        </w:rPr>
        <w:t>for</w:t>
      </w:r>
      <w:proofErr w:type="gramEnd"/>
      <w:r w:rsidRPr="002408C2">
        <w:rPr>
          <w:rFonts w:ascii="Arial" w:hAnsi="Arial" w:cs="Arial"/>
          <w:sz w:val="22"/>
          <w:szCs w:val="22"/>
        </w:rPr>
        <w:t xml:space="preserve"> serious adverse events in healthcare </w:t>
      </w:r>
      <w:proofErr w:type="spellStart"/>
      <w:r w:rsidRPr="002408C2">
        <w:rPr>
          <w:rFonts w:ascii="Arial" w:hAnsi="Arial" w:cs="Arial"/>
          <w:sz w:val="22"/>
          <w:szCs w:val="22"/>
        </w:rPr>
        <w:t>organisations</w:t>
      </w:r>
      <w:proofErr w:type="spellEnd"/>
      <w:r w:rsidRPr="002408C2">
        <w:rPr>
          <w:rFonts w:ascii="Arial" w:hAnsi="Arial" w:cs="Arial"/>
          <w:sz w:val="22"/>
          <w:szCs w:val="22"/>
        </w:rPr>
        <w:t xml:space="preserve"> (</w:t>
      </w:r>
      <w:r w:rsidR="00A17C3C" w:rsidRPr="002408C2">
        <w:rPr>
          <w:rFonts w:ascii="Arial" w:hAnsi="Arial" w:cs="Arial"/>
          <w:sz w:val="22"/>
          <w:szCs w:val="22"/>
        </w:rPr>
        <w:t>Alder</w:t>
      </w:r>
      <w:r w:rsidRPr="002408C2">
        <w:rPr>
          <w:rFonts w:ascii="Arial" w:hAnsi="Arial" w:cs="Arial"/>
          <w:sz w:val="22"/>
          <w:szCs w:val="22"/>
        </w:rPr>
        <w:t>, 202</w:t>
      </w:r>
      <w:r w:rsidR="00A17C3C" w:rsidRPr="002408C2">
        <w:rPr>
          <w:rFonts w:ascii="Arial" w:hAnsi="Arial" w:cs="Arial"/>
          <w:sz w:val="22"/>
          <w:szCs w:val="22"/>
        </w:rPr>
        <w:t>5</w:t>
      </w:r>
      <w:r w:rsidRPr="002408C2">
        <w:rPr>
          <w:rFonts w:ascii="Arial" w:hAnsi="Arial" w:cs="Arial"/>
          <w:sz w:val="22"/>
          <w:szCs w:val="22"/>
        </w:rPr>
        <w:t xml:space="preserve">). </w:t>
      </w:r>
      <w:r w:rsidR="001531C6" w:rsidRPr="002408C2">
        <w:rPr>
          <w:rFonts w:ascii="Arial" w:hAnsi="Arial" w:cs="Arial"/>
          <w:sz w:val="22"/>
          <w:szCs w:val="22"/>
        </w:rPr>
        <w:t>Similarly</w:t>
      </w:r>
      <w:r w:rsidRPr="002408C2">
        <w:rPr>
          <w:rFonts w:ascii="Arial" w:hAnsi="Arial" w:cs="Arial"/>
          <w:sz w:val="22"/>
          <w:szCs w:val="22"/>
        </w:rPr>
        <w:t>, WHO (2024) identifies lack of collaboration and communication as a significant cause of preventable patient harm worldwide. Structured multidisciplinary handovers and the use of the SBAR communication protocol (Situation–Background–Assessment–Recommendation) have been consistently linked to better information sharing and fewer clinical errors (Müller et al., 2018). Incorporation of these communication strategies into day-to-day clinical practice would facilitate a more seamless service and reduce the risk of gaps in care across complex care pathways.</w:t>
      </w:r>
    </w:p>
    <w:p w14:paraId="40FF2FEA" w14:textId="2EEFD998" w:rsidR="002065E8" w:rsidRPr="002408C2" w:rsidRDefault="002065E8" w:rsidP="002065E8">
      <w:pPr>
        <w:spacing w:line="480" w:lineRule="auto"/>
        <w:ind w:firstLine="720"/>
        <w:rPr>
          <w:rFonts w:ascii="Arial" w:hAnsi="Arial" w:cs="Arial"/>
          <w:sz w:val="22"/>
          <w:szCs w:val="22"/>
        </w:rPr>
      </w:pPr>
      <w:r w:rsidRPr="002408C2">
        <w:rPr>
          <w:rFonts w:ascii="Arial" w:hAnsi="Arial" w:cs="Arial"/>
          <w:sz w:val="22"/>
          <w:szCs w:val="22"/>
        </w:rPr>
        <w:t xml:space="preserve">A second key </w:t>
      </w:r>
      <w:proofErr w:type="gramStart"/>
      <w:r w:rsidRPr="002408C2">
        <w:rPr>
          <w:rFonts w:ascii="Arial" w:hAnsi="Arial" w:cs="Arial"/>
          <w:sz w:val="22"/>
          <w:szCs w:val="22"/>
        </w:rPr>
        <w:t>learning</w:t>
      </w:r>
      <w:proofErr w:type="gramEnd"/>
      <w:r w:rsidRPr="002408C2">
        <w:rPr>
          <w:rFonts w:ascii="Arial" w:hAnsi="Arial" w:cs="Arial"/>
          <w:sz w:val="22"/>
          <w:szCs w:val="22"/>
        </w:rPr>
        <w:t xml:space="preserve"> is in relation to learning from negative events within an </w:t>
      </w:r>
      <w:r w:rsidR="002408C2" w:rsidRPr="002408C2">
        <w:rPr>
          <w:rFonts w:ascii="Arial" w:hAnsi="Arial" w:cs="Arial"/>
          <w:sz w:val="22"/>
          <w:szCs w:val="22"/>
        </w:rPr>
        <w:t>organization</w:t>
      </w:r>
      <w:r w:rsidRPr="002408C2">
        <w:rPr>
          <w:rFonts w:ascii="Arial" w:hAnsi="Arial" w:cs="Arial"/>
          <w:sz w:val="22"/>
          <w:szCs w:val="22"/>
        </w:rPr>
        <w:t xml:space="preserve">. High reliability healthcare </w:t>
      </w:r>
      <w:r w:rsidR="002408C2" w:rsidRPr="002408C2">
        <w:rPr>
          <w:rFonts w:ascii="Arial" w:hAnsi="Arial" w:cs="Arial"/>
          <w:sz w:val="22"/>
          <w:szCs w:val="22"/>
        </w:rPr>
        <w:t>organizations</w:t>
      </w:r>
      <w:r w:rsidRPr="002408C2">
        <w:rPr>
          <w:rFonts w:ascii="Arial" w:hAnsi="Arial" w:cs="Arial"/>
          <w:sz w:val="22"/>
          <w:szCs w:val="22"/>
        </w:rPr>
        <w:t xml:space="preserve"> view patient safety incidents as a catalyst for ongoing improvements for the </w:t>
      </w:r>
      <w:r w:rsidR="002408C2" w:rsidRPr="002408C2">
        <w:rPr>
          <w:rFonts w:ascii="Arial" w:hAnsi="Arial" w:cs="Arial"/>
          <w:sz w:val="22"/>
          <w:szCs w:val="22"/>
        </w:rPr>
        <w:t>organization</w:t>
      </w:r>
      <w:r w:rsidRPr="002408C2">
        <w:rPr>
          <w:rFonts w:ascii="Arial" w:hAnsi="Arial" w:cs="Arial"/>
          <w:sz w:val="22"/>
          <w:szCs w:val="22"/>
        </w:rPr>
        <w:t xml:space="preserve">, not as an opportunity to apportion blame. To create sustainable safety improvements, we should be looking at latent </w:t>
      </w:r>
      <w:r w:rsidR="002408C2" w:rsidRPr="002408C2">
        <w:rPr>
          <w:rFonts w:ascii="Arial" w:hAnsi="Arial" w:cs="Arial"/>
          <w:sz w:val="22"/>
          <w:szCs w:val="22"/>
        </w:rPr>
        <w:t>organizational</w:t>
      </w:r>
      <w:r w:rsidRPr="002408C2">
        <w:rPr>
          <w:rFonts w:ascii="Arial" w:hAnsi="Arial" w:cs="Arial"/>
          <w:sz w:val="22"/>
          <w:szCs w:val="22"/>
        </w:rPr>
        <w:t xml:space="preserve"> weaknesses not just at human error on the front line, argues Reason (2000). The Institute for Healthcare Improvement (2023) also agrees that learning systems should regularly audit and review safety incidents; identify lessons learnt and disseminate through </w:t>
      </w:r>
      <w:r w:rsidR="002408C2" w:rsidRPr="002408C2">
        <w:rPr>
          <w:rFonts w:ascii="Arial" w:hAnsi="Arial" w:cs="Arial"/>
          <w:sz w:val="22"/>
          <w:szCs w:val="22"/>
        </w:rPr>
        <w:t>organizations</w:t>
      </w:r>
      <w:r w:rsidRPr="002408C2">
        <w:rPr>
          <w:rFonts w:ascii="Arial" w:hAnsi="Arial" w:cs="Arial"/>
          <w:sz w:val="22"/>
          <w:szCs w:val="22"/>
        </w:rPr>
        <w:t xml:space="preserve">; and monitor the impact of the change implemented. Healthcare </w:t>
      </w:r>
      <w:r w:rsidR="002408C2" w:rsidRPr="002408C2">
        <w:rPr>
          <w:rFonts w:ascii="Arial" w:hAnsi="Arial" w:cs="Arial"/>
          <w:sz w:val="22"/>
          <w:szCs w:val="22"/>
        </w:rPr>
        <w:t>organizations</w:t>
      </w:r>
      <w:r w:rsidRPr="002408C2">
        <w:rPr>
          <w:rFonts w:ascii="Arial" w:hAnsi="Arial" w:cs="Arial"/>
          <w:sz w:val="22"/>
          <w:szCs w:val="22"/>
        </w:rPr>
        <w:t xml:space="preserve"> should therefore augment incident reporting systems, undertake multidisciplinary learning reviews after </w:t>
      </w:r>
      <w:r w:rsidR="00EA12AA" w:rsidRPr="002408C2">
        <w:rPr>
          <w:rFonts w:ascii="Arial" w:hAnsi="Arial" w:cs="Arial"/>
          <w:sz w:val="22"/>
          <w:szCs w:val="22"/>
        </w:rPr>
        <w:t xml:space="preserve">Patient X’s </w:t>
      </w:r>
      <w:r w:rsidRPr="002408C2">
        <w:rPr>
          <w:rFonts w:ascii="Arial" w:hAnsi="Arial" w:cs="Arial"/>
          <w:sz w:val="22"/>
          <w:szCs w:val="22"/>
        </w:rPr>
        <w:t>death and follow up with action on the recommendations to tackle identified risks.</w:t>
      </w:r>
    </w:p>
    <w:p w14:paraId="18DDF42F" w14:textId="02AC7A1B" w:rsidR="002065E8" w:rsidRPr="002408C2" w:rsidRDefault="002065E8" w:rsidP="002065E8">
      <w:pPr>
        <w:spacing w:line="480" w:lineRule="auto"/>
        <w:ind w:firstLine="720"/>
        <w:rPr>
          <w:rFonts w:ascii="Arial" w:hAnsi="Arial" w:cs="Arial"/>
          <w:sz w:val="22"/>
          <w:szCs w:val="22"/>
        </w:rPr>
      </w:pPr>
      <w:r w:rsidRPr="002408C2">
        <w:rPr>
          <w:rFonts w:ascii="Arial" w:hAnsi="Arial" w:cs="Arial"/>
          <w:sz w:val="22"/>
          <w:szCs w:val="22"/>
        </w:rPr>
        <w:t xml:space="preserve">This case goes back to the interaction of </w:t>
      </w:r>
      <w:r w:rsidR="002408C2" w:rsidRPr="002408C2">
        <w:rPr>
          <w:rFonts w:ascii="Arial" w:hAnsi="Arial" w:cs="Arial"/>
          <w:sz w:val="22"/>
          <w:szCs w:val="22"/>
        </w:rPr>
        <w:t>organizational</w:t>
      </w:r>
      <w:r w:rsidRPr="002408C2">
        <w:rPr>
          <w:rFonts w:ascii="Arial" w:hAnsi="Arial" w:cs="Arial"/>
          <w:sz w:val="22"/>
          <w:szCs w:val="22"/>
        </w:rPr>
        <w:t xml:space="preserve"> structure, leadership style and system feedback which ultimately determined the outcome. With a </w:t>
      </w:r>
      <w:r w:rsidR="002408C2" w:rsidRPr="002408C2">
        <w:rPr>
          <w:rFonts w:ascii="Arial" w:hAnsi="Arial" w:cs="Arial"/>
          <w:sz w:val="22"/>
          <w:szCs w:val="22"/>
        </w:rPr>
        <w:t>centralized</w:t>
      </w:r>
      <w:r w:rsidRPr="002408C2">
        <w:rPr>
          <w:rFonts w:ascii="Arial" w:hAnsi="Arial" w:cs="Arial"/>
          <w:sz w:val="22"/>
          <w:szCs w:val="22"/>
        </w:rPr>
        <w:t xml:space="preserve"> governance system, national policies and clinical standards were established successfully, but there was a lack of coordination and leadership of the clinical teams in the </w:t>
      </w:r>
      <w:r w:rsidR="002408C2" w:rsidRPr="002408C2">
        <w:rPr>
          <w:rFonts w:ascii="Arial" w:hAnsi="Arial" w:cs="Arial"/>
          <w:sz w:val="22"/>
          <w:szCs w:val="22"/>
        </w:rPr>
        <w:t>decentralized</w:t>
      </w:r>
      <w:r w:rsidRPr="002408C2">
        <w:rPr>
          <w:rFonts w:ascii="Arial" w:hAnsi="Arial" w:cs="Arial"/>
          <w:sz w:val="22"/>
          <w:szCs w:val="22"/>
        </w:rPr>
        <w:t xml:space="preserve"> system, so that clinical standards were not consistently met throughout the patient's admission</w:t>
      </w:r>
      <w:r w:rsidR="003567C8" w:rsidRPr="002408C2">
        <w:rPr>
          <w:rFonts w:ascii="Arial" w:hAnsi="Arial" w:cs="Arial"/>
          <w:sz w:val="22"/>
          <w:szCs w:val="22"/>
        </w:rPr>
        <w:t xml:space="preserve"> (</w:t>
      </w:r>
      <w:proofErr w:type="spellStart"/>
      <w:r w:rsidR="003567C8" w:rsidRPr="002408C2">
        <w:rPr>
          <w:rFonts w:ascii="Arial" w:hAnsi="Arial" w:cs="Arial"/>
          <w:sz w:val="22"/>
          <w:szCs w:val="22"/>
        </w:rPr>
        <w:t>Sreeramareddy</w:t>
      </w:r>
      <w:proofErr w:type="spellEnd"/>
      <w:r w:rsidR="003567C8" w:rsidRPr="002408C2">
        <w:rPr>
          <w:rFonts w:ascii="Arial" w:hAnsi="Arial" w:cs="Arial"/>
          <w:sz w:val="22"/>
          <w:szCs w:val="22"/>
        </w:rPr>
        <w:t xml:space="preserve"> and Sathyanarayana, 2019)</w:t>
      </w:r>
      <w:r w:rsidRPr="002408C2">
        <w:rPr>
          <w:rFonts w:ascii="Arial" w:hAnsi="Arial" w:cs="Arial"/>
          <w:sz w:val="22"/>
          <w:szCs w:val="22"/>
        </w:rPr>
        <w:t>. The implementation of the anticoagulation guidelines was achieved in the short term through transactional leadership but was not responsive to changes in clinical situations.</w:t>
      </w:r>
      <w:r w:rsidR="00DE0F87" w:rsidRPr="002408C2">
        <w:rPr>
          <w:rFonts w:ascii="Arial" w:hAnsi="Arial" w:cs="Arial"/>
          <w:sz w:val="22"/>
          <w:szCs w:val="22"/>
        </w:rPr>
        <w:t xml:space="preserve"> </w:t>
      </w:r>
      <w:r w:rsidRPr="002408C2">
        <w:rPr>
          <w:rFonts w:ascii="Arial" w:hAnsi="Arial" w:cs="Arial"/>
          <w:sz w:val="22"/>
          <w:szCs w:val="22"/>
        </w:rPr>
        <w:t xml:space="preserve">Transformational, situational, and distributed leadership </w:t>
      </w:r>
      <w:proofErr w:type="spellStart"/>
      <w:r w:rsidRPr="002408C2">
        <w:rPr>
          <w:rFonts w:ascii="Arial" w:hAnsi="Arial" w:cs="Arial"/>
          <w:sz w:val="22"/>
          <w:szCs w:val="22"/>
        </w:rPr>
        <w:t>leadership</w:t>
      </w:r>
      <w:proofErr w:type="spellEnd"/>
      <w:r w:rsidRPr="002408C2">
        <w:rPr>
          <w:rFonts w:ascii="Arial" w:hAnsi="Arial" w:cs="Arial"/>
          <w:sz w:val="22"/>
          <w:szCs w:val="22"/>
        </w:rPr>
        <w:t xml:space="preserve"> models, however, could have bolstered communication, shared responsibility, and timely reconsideration of treatment decisions</w:t>
      </w:r>
      <w:r w:rsidR="00A5755A" w:rsidRPr="002408C2">
        <w:rPr>
          <w:rFonts w:ascii="Arial" w:hAnsi="Arial" w:cs="Arial"/>
          <w:sz w:val="22"/>
          <w:szCs w:val="22"/>
        </w:rPr>
        <w:t xml:space="preserve"> (Al-</w:t>
      </w:r>
      <w:proofErr w:type="spellStart"/>
      <w:r w:rsidR="00A5755A" w:rsidRPr="002408C2">
        <w:rPr>
          <w:rFonts w:ascii="Arial" w:hAnsi="Arial" w:cs="Arial"/>
          <w:sz w:val="22"/>
          <w:szCs w:val="22"/>
        </w:rPr>
        <w:t>Rjoub</w:t>
      </w:r>
      <w:proofErr w:type="spellEnd"/>
      <w:r w:rsidR="00A5755A" w:rsidRPr="002408C2">
        <w:rPr>
          <w:rFonts w:ascii="Arial" w:hAnsi="Arial" w:cs="Arial"/>
          <w:sz w:val="22"/>
          <w:szCs w:val="22"/>
        </w:rPr>
        <w:t xml:space="preserve"> et al., 2024)</w:t>
      </w:r>
      <w:r w:rsidRPr="002408C2">
        <w:rPr>
          <w:rFonts w:ascii="Arial" w:hAnsi="Arial" w:cs="Arial"/>
          <w:sz w:val="22"/>
          <w:szCs w:val="22"/>
        </w:rPr>
        <w:t xml:space="preserve">. Feedback from clinical audits, electronic reporting systems, staff surveys and patient safety investigations would have allowed for system failures to be detected </w:t>
      </w:r>
      <w:proofErr w:type="gramStart"/>
      <w:r w:rsidRPr="002408C2">
        <w:rPr>
          <w:rFonts w:ascii="Arial" w:hAnsi="Arial" w:cs="Arial"/>
          <w:sz w:val="22"/>
          <w:szCs w:val="22"/>
        </w:rPr>
        <w:t>earlier, and</w:t>
      </w:r>
      <w:proofErr w:type="gramEnd"/>
      <w:r w:rsidRPr="002408C2">
        <w:rPr>
          <w:rFonts w:ascii="Arial" w:hAnsi="Arial" w:cs="Arial"/>
          <w:sz w:val="22"/>
          <w:szCs w:val="22"/>
        </w:rPr>
        <w:t xml:space="preserve"> supported </w:t>
      </w:r>
      <w:r w:rsidR="002408C2" w:rsidRPr="002408C2">
        <w:rPr>
          <w:rFonts w:ascii="Arial" w:hAnsi="Arial" w:cs="Arial"/>
          <w:sz w:val="22"/>
          <w:szCs w:val="22"/>
        </w:rPr>
        <w:t>organizational</w:t>
      </w:r>
      <w:r w:rsidRPr="002408C2">
        <w:rPr>
          <w:rFonts w:ascii="Arial" w:hAnsi="Arial" w:cs="Arial"/>
          <w:sz w:val="22"/>
          <w:szCs w:val="22"/>
        </w:rPr>
        <w:t xml:space="preserve"> learning prior to the delivery of irreversible harm.</w:t>
      </w:r>
    </w:p>
    <w:p w14:paraId="5C1A48B5" w14:textId="7605E0ED" w:rsidR="0094130D" w:rsidRPr="002408C2" w:rsidRDefault="002065E8" w:rsidP="002065E8">
      <w:pPr>
        <w:spacing w:line="480" w:lineRule="auto"/>
        <w:ind w:firstLine="720"/>
        <w:rPr>
          <w:rFonts w:ascii="Arial" w:hAnsi="Arial" w:cs="Arial"/>
          <w:sz w:val="22"/>
          <w:szCs w:val="22"/>
        </w:rPr>
      </w:pPr>
      <w:r w:rsidRPr="002408C2">
        <w:rPr>
          <w:rFonts w:ascii="Arial" w:hAnsi="Arial" w:cs="Arial"/>
          <w:sz w:val="22"/>
          <w:szCs w:val="22"/>
        </w:rPr>
        <w:t xml:space="preserve">There are some key learnings for other health service </w:t>
      </w:r>
      <w:r w:rsidR="002408C2" w:rsidRPr="002408C2">
        <w:rPr>
          <w:rFonts w:ascii="Arial" w:hAnsi="Arial" w:cs="Arial"/>
          <w:sz w:val="22"/>
          <w:szCs w:val="22"/>
        </w:rPr>
        <w:t>organizations</w:t>
      </w:r>
      <w:r w:rsidRPr="002408C2">
        <w:rPr>
          <w:rFonts w:ascii="Arial" w:hAnsi="Arial" w:cs="Arial"/>
          <w:sz w:val="22"/>
          <w:szCs w:val="22"/>
        </w:rPr>
        <w:t xml:space="preserve">. First, the responsibility and accountability for medication management should be a shared </w:t>
      </w:r>
      <w:r w:rsidR="002408C2" w:rsidRPr="002408C2">
        <w:rPr>
          <w:rFonts w:ascii="Arial" w:hAnsi="Arial" w:cs="Arial"/>
          <w:sz w:val="22"/>
          <w:szCs w:val="22"/>
        </w:rPr>
        <w:t>organizational</w:t>
      </w:r>
      <w:r w:rsidRPr="002408C2">
        <w:rPr>
          <w:rFonts w:ascii="Arial" w:hAnsi="Arial" w:cs="Arial"/>
          <w:sz w:val="22"/>
          <w:szCs w:val="22"/>
        </w:rPr>
        <w:t xml:space="preserve"> responsibility with clearly defined accountability. Second, leadership development needs not only technical skills but also the ability to communicate and work cooperatively across disciplines and ensure that everyone feels safe. Third, governance systems should incorporate the use of digital technologies, regular audits and real-time monitoring to detect potential safety risks. </w:t>
      </w:r>
      <w:r w:rsidR="00EA103E" w:rsidRPr="002408C2">
        <w:rPr>
          <w:rFonts w:ascii="Arial" w:hAnsi="Arial" w:cs="Arial"/>
          <w:sz w:val="22"/>
          <w:szCs w:val="22"/>
        </w:rPr>
        <w:t>P</w:t>
      </w:r>
      <w:r w:rsidRPr="002408C2">
        <w:rPr>
          <w:rFonts w:ascii="Arial" w:hAnsi="Arial" w:cs="Arial"/>
          <w:sz w:val="22"/>
          <w:szCs w:val="22"/>
        </w:rPr>
        <w:t xml:space="preserve">atient safety information, staff engagement scores and independent investigations should be used to drive continuous quality improvement instead of compliance with current policies. </w:t>
      </w:r>
    </w:p>
    <w:p w14:paraId="4E71707C" w14:textId="7734E2A0" w:rsidR="00DE2644" w:rsidRPr="002408C2" w:rsidRDefault="00DE2644" w:rsidP="002065E8">
      <w:pPr>
        <w:spacing w:line="480" w:lineRule="auto"/>
        <w:ind w:firstLine="720"/>
        <w:rPr>
          <w:rFonts w:ascii="Arial" w:hAnsi="Arial" w:cs="Arial"/>
          <w:sz w:val="22"/>
          <w:szCs w:val="22"/>
        </w:rPr>
      </w:pPr>
      <w:r w:rsidRPr="002408C2">
        <w:rPr>
          <w:rFonts w:ascii="Arial" w:hAnsi="Arial" w:cs="Arial"/>
          <w:sz w:val="22"/>
          <w:szCs w:val="22"/>
        </w:rPr>
        <w:t>Implementation of the proposed improvement strategy may introduce risks, including alert fatigue from excessive electronic prescribing notifications, staff resistance to revised medication-review responsibilities, increased workload during implementation and over-reliance on digital systems. These risks should be mitigated through phased implementation, staff training, regular review of alert thresholds, clearly assigned medication-review responsibilities and continued clinical oversight. Monthly audits should monitor compliance with medication-review checkpoints, missed medication reviews and unintended consequences, enabling senior leaders to modify the intervention where necessary. This approach ensures that the improvement strategy remains responsive to emerging risks while maintaining patient safety and accountability.</w:t>
      </w:r>
    </w:p>
    <w:p w14:paraId="673B391C" w14:textId="77777777" w:rsidR="00BF3659" w:rsidRPr="002408C2" w:rsidRDefault="00BF3659" w:rsidP="00BF3659">
      <w:pPr>
        <w:spacing w:line="480" w:lineRule="auto"/>
        <w:rPr>
          <w:rFonts w:ascii="Arial" w:hAnsi="Arial" w:cs="Arial"/>
          <w:b/>
          <w:bCs/>
        </w:rPr>
      </w:pPr>
      <w:r w:rsidRPr="002408C2">
        <w:rPr>
          <w:rFonts w:ascii="Arial" w:hAnsi="Arial" w:cs="Arial"/>
          <w:b/>
          <w:bCs/>
        </w:rPr>
        <w:t>3.0 Recommendations</w:t>
      </w:r>
    </w:p>
    <w:p w14:paraId="7CEBC304" w14:textId="72B8195A" w:rsidR="002065E8" w:rsidRPr="002408C2" w:rsidRDefault="002065E8" w:rsidP="002065E8">
      <w:pPr>
        <w:spacing w:line="480" w:lineRule="auto"/>
        <w:ind w:firstLine="720"/>
        <w:rPr>
          <w:rFonts w:ascii="Arial" w:hAnsi="Arial" w:cs="Arial"/>
          <w:sz w:val="22"/>
          <w:szCs w:val="22"/>
        </w:rPr>
      </w:pPr>
      <w:r w:rsidRPr="002408C2">
        <w:rPr>
          <w:rFonts w:ascii="Arial" w:hAnsi="Arial" w:cs="Arial"/>
          <w:sz w:val="22"/>
          <w:szCs w:val="22"/>
        </w:rPr>
        <w:t xml:space="preserve">The </w:t>
      </w:r>
      <w:r w:rsidR="002408C2" w:rsidRPr="002408C2">
        <w:rPr>
          <w:rFonts w:ascii="Arial" w:hAnsi="Arial" w:cs="Arial"/>
          <w:sz w:val="22"/>
          <w:szCs w:val="22"/>
        </w:rPr>
        <w:t>organization</w:t>
      </w:r>
      <w:r w:rsidRPr="002408C2">
        <w:rPr>
          <w:rFonts w:ascii="Arial" w:hAnsi="Arial" w:cs="Arial"/>
          <w:sz w:val="22"/>
          <w:szCs w:val="22"/>
        </w:rPr>
        <w:t xml:space="preserve"> should put a comprehensive improvement plan in place to </w:t>
      </w:r>
      <w:r w:rsidR="002408C2" w:rsidRPr="002408C2">
        <w:rPr>
          <w:rFonts w:ascii="Arial" w:hAnsi="Arial" w:cs="Arial"/>
          <w:sz w:val="22"/>
          <w:szCs w:val="22"/>
        </w:rPr>
        <w:t>minimize</w:t>
      </w:r>
      <w:r w:rsidRPr="002408C2">
        <w:rPr>
          <w:rFonts w:ascii="Arial" w:hAnsi="Arial" w:cs="Arial"/>
          <w:sz w:val="22"/>
          <w:szCs w:val="22"/>
        </w:rPr>
        <w:t xml:space="preserve"> the risk of repetition of patient safety incidents including leadership development, improved governance, communication and learning</w:t>
      </w:r>
      <w:r w:rsidR="00D554B2" w:rsidRPr="002408C2">
        <w:rPr>
          <w:rFonts w:ascii="Arial" w:hAnsi="Arial" w:cs="Arial"/>
          <w:sz w:val="22"/>
          <w:szCs w:val="22"/>
        </w:rPr>
        <w:t xml:space="preserve"> (Hibbert et al., 2023)</w:t>
      </w:r>
      <w:r w:rsidRPr="002408C2">
        <w:rPr>
          <w:rFonts w:ascii="Arial" w:hAnsi="Arial" w:cs="Arial"/>
          <w:sz w:val="22"/>
          <w:szCs w:val="22"/>
        </w:rPr>
        <w:t xml:space="preserve">. This case illustrates the need to improve the </w:t>
      </w:r>
      <w:r w:rsidR="00D554B2" w:rsidRPr="002408C2">
        <w:rPr>
          <w:rFonts w:ascii="Arial" w:hAnsi="Arial" w:cs="Arial"/>
          <w:sz w:val="22"/>
          <w:szCs w:val="22"/>
        </w:rPr>
        <w:t>health care system, rather than individual care, to prevent failures in providing anticoagulation therapy, as the failure</w:t>
      </w:r>
      <w:r w:rsidRPr="002408C2">
        <w:rPr>
          <w:rFonts w:ascii="Arial" w:hAnsi="Arial" w:cs="Arial"/>
          <w:sz w:val="22"/>
          <w:szCs w:val="22"/>
        </w:rPr>
        <w:t xml:space="preserve"> was due to a combination of interacting system failures. HSSIB (2024) recommends more robust medicines management by assigning </w:t>
      </w:r>
      <w:r w:rsidR="00D554B2" w:rsidRPr="002408C2">
        <w:rPr>
          <w:rFonts w:ascii="Arial" w:hAnsi="Arial" w:cs="Arial"/>
          <w:sz w:val="22"/>
          <w:szCs w:val="22"/>
        </w:rPr>
        <w:t>clearer accountability and enhancing coordination across disciplines, and WHO (2024) suggests that sustainable improvement in</w:t>
      </w:r>
      <w:r w:rsidRPr="002408C2">
        <w:rPr>
          <w:rFonts w:ascii="Arial" w:hAnsi="Arial" w:cs="Arial"/>
          <w:sz w:val="22"/>
          <w:szCs w:val="22"/>
        </w:rPr>
        <w:t xml:space="preserve"> patient safety is only possible through a system-wide approach with strong leadership and governance.</w:t>
      </w:r>
    </w:p>
    <w:p w14:paraId="7BA57094" w14:textId="4A2ADE41" w:rsidR="002065E8" w:rsidRPr="002408C2" w:rsidRDefault="002065E8" w:rsidP="002065E8">
      <w:pPr>
        <w:spacing w:line="480" w:lineRule="auto"/>
        <w:ind w:firstLine="720"/>
        <w:rPr>
          <w:rFonts w:ascii="Arial" w:hAnsi="Arial" w:cs="Arial"/>
          <w:sz w:val="22"/>
          <w:szCs w:val="22"/>
        </w:rPr>
      </w:pPr>
      <w:r w:rsidRPr="002408C2">
        <w:rPr>
          <w:rFonts w:ascii="Arial" w:hAnsi="Arial" w:cs="Arial"/>
          <w:sz w:val="22"/>
          <w:szCs w:val="22"/>
        </w:rPr>
        <w:t xml:space="preserve">The </w:t>
      </w:r>
      <w:r w:rsidR="002408C2" w:rsidRPr="002408C2">
        <w:rPr>
          <w:rFonts w:ascii="Arial" w:hAnsi="Arial" w:cs="Arial"/>
          <w:sz w:val="22"/>
          <w:szCs w:val="22"/>
        </w:rPr>
        <w:t>organization</w:t>
      </w:r>
      <w:r w:rsidRPr="002408C2">
        <w:rPr>
          <w:rFonts w:ascii="Arial" w:hAnsi="Arial" w:cs="Arial"/>
          <w:sz w:val="22"/>
          <w:szCs w:val="22"/>
        </w:rPr>
        <w:t xml:space="preserve"> needs to embrace a blend of 'transformational', 'situational'</w:t>
      </w:r>
      <w:r w:rsidR="005D2A99" w:rsidRPr="002408C2">
        <w:rPr>
          <w:rFonts w:ascii="Arial" w:hAnsi="Arial" w:cs="Arial"/>
          <w:sz w:val="22"/>
          <w:szCs w:val="22"/>
        </w:rPr>
        <w:t>, and 'distributed' leadership to sustain long-term improvement</w:t>
      </w:r>
      <w:r w:rsidR="00EB2FD8" w:rsidRPr="002408C2">
        <w:rPr>
          <w:rFonts w:ascii="Arial" w:hAnsi="Arial" w:cs="Arial"/>
          <w:sz w:val="22"/>
          <w:szCs w:val="22"/>
        </w:rPr>
        <w:t xml:space="preserve"> (</w:t>
      </w:r>
      <w:proofErr w:type="spellStart"/>
      <w:r w:rsidR="00EB2FD8" w:rsidRPr="002408C2">
        <w:rPr>
          <w:rFonts w:ascii="Arial" w:hAnsi="Arial" w:cs="Arial"/>
          <w:sz w:val="22"/>
          <w:szCs w:val="22"/>
        </w:rPr>
        <w:t>Ystaas</w:t>
      </w:r>
      <w:proofErr w:type="spellEnd"/>
      <w:r w:rsidR="00EB2FD8" w:rsidRPr="002408C2">
        <w:rPr>
          <w:rFonts w:ascii="Arial" w:hAnsi="Arial" w:cs="Arial"/>
          <w:sz w:val="22"/>
          <w:szCs w:val="22"/>
        </w:rPr>
        <w:t xml:space="preserve"> et al., 2023)</w:t>
      </w:r>
      <w:r w:rsidRPr="002408C2">
        <w:rPr>
          <w:rFonts w:ascii="Arial" w:hAnsi="Arial" w:cs="Arial"/>
          <w:sz w:val="22"/>
          <w:szCs w:val="22"/>
        </w:rPr>
        <w:t>. Transformational leadership would foster a collaborative, innovative and patient-</w:t>
      </w:r>
      <w:r w:rsidR="002408C2" w:rsidRPr="002408C2">
        <w:rPr>
          <w:rFonts w:ascii="Arial" w:hAnsi="Arial" w:cs="Arial"/>
          <w:sz w:val="22"/>
          <w:szCs w:val="22"/>
        </w:rPr>
        <w:t>centered</w:t>
      </w:r>
      <w:r w:rsidRPr="002408C2">
        <w:rPr>
          <w:rFonts w:ascii="Arial" w:hAnsi="Arial" w:cs="Arial"/>
          <w:sz w:val="22"/>
          <w:szCs w:val="22"/>
        </w:rPr>
        <w:t xml:space="preserve"> culture, and situational leadership would allow the leader to make decisions as clinical circumstances evolve. Distributed leadership would mean that the responsibility for ensuring the safety of the medications would be shared appropriately between the doctors, nurses, pharmacists and other healthcare professionals, rather than just left to individual clinicians. West et al. (20</w:t>
      </w:r>
      <w:r w:rsidR="00926895" w:rsidRPr="002408C2">
        <w:rPr>
          <w:rFonts w:ascii="Arial" w:hAnsi="Arial" w:cs="Arial"/>
          <w:sz w:val="22"/>
          <w:szCs w:val="22"/>
        </w:rPr>
        <w:t>15</w:t>
      </w:r>
      <w:r w:rsidRPr="002408C2">
        <w:rPr>
          <w:rFonts w:ascii="Arial" w:hAnsi="Arial" w:cs="Arial"/>
          <w:sz w:val="22"/>
          <w:szCs w:val="22"/>
        </w:rPr>
        <w:t xml:space="preserve">) found that compassionate and inclusive leadership within </w:t>
      </w:r>
      <w:r w:rsidR="00BA7B2A" w:rsidRPr="002408C2">
        <w:rPr>
          <w:rFonts w:ascii="Arial" w:hAnsi="Arial" w:cs="Arial"/>
          <w:sz w:val="22"/>
          <w:szCs w:val="22"/>
        </w:rPr>
        <w:t>organizations</w:t>
      </w:r>
      <w:r w:rsidRPr="002408C2">
        <w:rPr>
          <w:rFonts w:ascii="Arial" w:hAnsi="Arial" w:cs="Arial"/>
          <w:sz w:val="22"/>
          <w:szCs w:val="22"/>
        </w:rPr>
        <w:t xml:space="preserve"> is associated with increased staff engagement, teamwork and improved patient outcomes. Communications, emotional intelligence and patient safety skills should also be incorporated into leadership development </w:t>
      </w:r>
      <w:r w:rsidR="00BA7B2A" w:rsidRPr="002408C2">
        <w:rPr>
          <w:rFonts w:ascii="Arial" w:hAnsi="Arial" w:cs="Arial"/>
          <w:sz w:val="22"/>
          <w:szCs w:val="22"/>
        </w:rPr>
        <w:t>programmers</w:t>
      </w:r>
      <w:r w:rsidRPr="002408C2">
        <w:rPr>
          <w:rFonts w:ascii="Arial" w:hAnsi="Arial" w:cs="Arial"/>
          <w:sz w:val="22"/>
          <w:szCs w:val="22"/>
        </w:rPr>
        <w:t xml:space="preserve"> along with clinical leadership skills.</w:t>
      </w:r>
    </w:p>
    <w:p w14:paraId="14DCCEFC" w14:textId="734952A8" w:rsidR="002065E8" w:rsidRPr="002408C2" w:rsidRDefault="002065E8" w:rsidP="002065E8">
      <w:pPr>
        <w:spacing w:line="480" w:lineRule="auto"/>
        <w:ind w:firstLine="720"/>
        <w:rPr>
          <w:rFonts w:ascii="Arial" w:hAnsi="Arial" w:cs="Arial"/>
          <w:sz w:val="22"/>
          <w:szCs w:val="22"/>
        </w:rPr>
      </w:pPr>
      <w:r w:rsidRPr="002408C2">
        <w:rPr>
          <w:rFonts w:ascii="Arial" w:hAnsi="Arial" w:cs="Arial"/>
          <w:sz w:val="22"/>
          <w:szCs w:val="22"/>
        </w:rPr>
        <w:t>Governance needs to be enhanced by improving accountability, regular multidisciplinary medicines reviews and greater use of information and communication technology to aid clinical decision making. Electronic prescribing systems, which alert the prescriber to the need to review the treatment of high-risk medicines if the treatment is not in line with the recommended duration, should be used to monitor these medicines</w:t>
      </w:r>
      <w:r w:rsidR="00D85BD8" w:rsidRPr="002408C2">
        <w:rPr>
          <w:rFonts w:ascii="Arial" w:hAnsi="Arial" w:cs="Arial"/>
          <w:sz w:val="22"/>
          <w:szCs w:val="22"/>
        </w:rPr>
        <w:t xml:space="preserve"> (Bell et al., 2025)</w:t>
      </w:r>
      <w:r w:rsidRPr="002408C2">
        <w:rPr>
          <w:rFonts w:ascii="Arial" w:hAnsi="Arial" w:cs="Arial"/>
          <w:sz w:val="22"/>
          <w:szCs w:val="22"/>
        </w:rPr>
        <w:t xml:space="preserve">. </w:t>
      </w:r>
      <w:r w:rsidR="00926895" w:rsidRPr="002408C2">
        <w:rPr>
          <w:rFonts w:ascii="Arial" w:hAnsi="Arial" w:cs="Arial"/>
          <w:sz w:val="22"/>
          <w:szCs w:val="22"/>
        </w:rPr>
        <w:t>Cassidy</w:t>
      </w:r>
      <w:r w:rsidRPr="002408C2">
        <w:rPr>
          <w:rFonts w:ascii="Arial" w:hAnsi="Arial" w:cs="Arial"/>
          <w:sz w:val="22"/>
          <w:szCs w:val="22"/>
        </w:rPr>
        <w:t xml:space="preserve"> et al (20</w:t>
      </w:r>
      <w:r w:rsidR="00926895" w:rsidRPr="002408C2">
        <w:rPr>
          <w:rFonts w:ascii="Arial" w:hAnsi="Arial" w:cs="Arial"/>
          <w:sz w:val="22"/>
          <w:szCs w:val="22"/>
        </w:rPr>
        <w:t>23</w:t>
      </w:r>
      <w:r w:rsidRPr="002408C2">
        <w:rPr>
          <w:rFonts w:ascii="Arial" w:hAnsi="Arial" w:cs="Arial"/>
          <w:sz w:val="22"/>
          <w:szCs w:val="22"/>
        </w:rPr>
        <w:t xml:space="preserve">) demonstrated that electronic prescribing systems reduce prescription errors by more than 50% and enhance the safety of prescribing, and NHS England (2024) stated that digital systems for medicines safety can be used to help support medicines </w:t>
      </w:r>
      <w:r w:rsidR="00BA7B2A" w:rsidRPr="002408C2">
        <w:rPr>
          <w:rFonts w:ascii="Arial" w:hAnsi="Arial" w:cs="Arial"/>
          <w:sz w:val="22"/>
          <w:szCs w:val="22"/>
        </w:rPr>
        <w:t>optimization</w:t>
      </w:r>
      <w:r w:rsidRPr="002408C2">
        <w:rPr>
          <w:rFonts w:ascii="Arial" w:hAnsi="Arial" w:cs="Arial"/>
          <w:sz w:val="22"/>
          <w:szCs w:val="22"/>
        </w:rPr>
        <w:t xml:space="preserve"> and medicines safety continuous quality improvement. Regular clinical audits and incident reviews are also recommended to assess compliance with medication safety standards and to find out if there are new risks before the patient is harmed.</w:t>
      </w:r>
    </w:p>
    <w:p w14:paraId="15764207" w14:textId="610D85D1" w:rsidR="00BF3659" w:rsidRPr="002408C2" w:rsidRDefault="002065E8" w:rsidP="00C15112">
      <w:pPr>
        <w:spacing w:line="480" w:lineRule="auto"/>
        <w:ind w:firstLine="720"/>
        <w:rPr>
          <w:rFonts w:ascii="Arial" w:hAnsi="Arial" w:cs="Arial"/>
          <w:sz w:val="22"/>
          <w:szCs w:val="22"/>
        </w:rPr>
      </w:pPr>
      <w:r w:rsidRPr="002408C2">
        <w:rPr>
          <w:rFonts w:ascii="Arial" w:hAnsi="Arial" w:cs="Arial"/>
          <w:sz w:val="22"/>
          <w:szCs w:val="22"/>
        </w:rPr>
        <w:t xml:space="preserve">One further area of improvement is the need for the </w:t>
      </w:r>
      <w:r w:rsidR="00BA7B2A" w:rsidRPr="002408C2">
        <w:rPr>
          <w:rFonts w:ascii="Arial" w:hAnsi="Arial" w:cs="Arial"/>
          <w:sz w:val="22"/>
          <w:szCs w:val="22"/>
        </w:rPr>
        <w:t>organization</w:t>
      </w:r>
      <w:r w:rsidRPr="002408C2">
        <w:rPr>
          <w:rFonts w:ascii="Arial" w:hAnsi="Arial" w:cs="Arial"/>
          <w:sz w:val="22"/>
          <w:szCs w:val="22"/>
        </w:rPr>
        <w:t xml:space="preserve"> to further </w:t>
      </w:r>
      <w:r w:rsidR="00BA7B2A" w:rsidRPr="002408C2">
        <w:rPr>
          <w:rFonts w:ascii="Arial" w:hAnsi="Arial" w:cs="Arial"/>
          <w:sz w:val="22"/>
          <w:szCs w:val="22"/>
        </w:rPr>
        <w:t>standardize</w:t>
      </w:r>
      <w:r w:rsidRPr="002408C2">
        <w:rPr>
          <w:rFonts w:ascii="Arial" w:hAnsi="Arial" w:cs="Arial"/>
          <w:sz w:val="22"/>
          <w:szCs w:val="22"/>
        </w:rPr>
        <w:t xml:space="preserve"> handovers between multidisciplinary teams and enhance working across clinical teams to achieve a better degree of communication and systems integration. SBAR (Situation–Background–Assessment–Recommendation) should be adopted and consistently applied to facilitate the sharing of information during patient transfers and changes in treatment plans</w:t>
      </w:r>
      <w:r w:rsidR="00C15112" w:rsidRPr="002408C2">
        <w:rPr>
          <w:rFonts w:ascii="Arial" w:hAnsi="Arial" w:cs="Arial"/>
          <w:sz w:val="22"/>
          <w:szCs w:val="22"/>
        </w:rPr>
        <w:t xml:space="preserve"> (Shahid and Thomas, 2020)</w:t>
      </w:r>
      <w:r w:rsidRPr="002408C2">
        <w:rPr>
          <w:rFonts w:ascii="Arial" w:hAnsi="Arial" w:cs="Arial"/>
          <w:sz w:val="22"/>
          <w:szCs w:val="22"/>
        </w:rPr>
        <w:t xml:space="preserve">. Technical efficiency should also be increased by </w:t>
      </w:r>
      <w:r w:rsidR="00BA7B2A" w:rsidRPr="002408C2">
        <w:rPr>
          <w:rFonts w:ascii="Arial" w:hAnsi="Arial" w:cs="Arial"/>
          <w:sz w:val="22"/>
          <w:szCs w:val="22"/>
        </w:rPr>
        <w:t>minimizing</w:t>
      </w:r>
      <w:r w:rsidRPr="002408C2">
        <w:rPr>
          <w:rFonts w:ascii="Arial" w:hAnsi="Arial" w:cs="Arial"/>
          <w:sz w:val="22"/>
          <w:szCs w:val="22"/>
        </w:rPr>
        <w:t xml:space="preserve"> redundant documentation, increasing interoperability between EHRs, and streamlining medication review. Allocative efficiency can be achieved through investments in technologies for digital prescribing, workforce training and patient safety programs that have been shown to achieve measurable clinical outcomes. Finally, ongoing </w:t>
      </w:r>
      <w:r w:rsidR="00BA7B2A" w:rsidRPr="002408C2">
        <w:rPr>
          <w:rFonts w:ascii="Arial" w:hAnsi="Arial" w:cs="Arial"/>
          <w:sz w:val="22"/>
          <w:szCs w:val="22"/>
        </w:rPr>
        <w:t>organizational</w:t>
      </w:r>
      <w:r w:rsidRPr="002408C2">
        <w:rPr>
          <w:rFonts w:ascii="Arial" w:hAnsi="Arial" w:cs="Arial"/>
          <w:sz w:val="22"/>
          <w:szCs w:val="22"/>
        </w:rPr>
        <w:t xml:space="preserve"> learning should be encouraged by regular staff education, patient and family engagement in service improvement, stakeholder engagement, and systematic review of patient safety data to assess performance. Incorporating these evidence-based interventions into routine practice will enhance </w:t>
      </w:r>
      <w:r w:rsidR="00BA7B2A" w:rsidRPr="002408C2">
        <w:rPr>
          <w:rFonts w:ascii="Arial" w:hAnsi="Arial" w:cs="Arial"/>
          <w:sz w:val="22"/>
          <w:szCs w:val="22"/>
        </w:rPr>
        <w:t>organizational</w:t>
      </w:r>
      <w:r w:rsidRPr="002408C2">
        <w:rPr>
          <w:rFonts w:ascii="Arial" w:hAnsi="Arial" w:cs="Arial"/>
          <w:sz w:val="22"/>
          <w:szCs w:val="22"/>
        </w:rPr>
        <w:t xml:space="preserve"> resilience, accountability and </w:t>
      </w:r>
      <w:r w:rsidR="00BA7B2A" w:rsidRPr="002408C2">
        <w:rPr>
          <w:rFonts w:ascii="Arial" w:hAnsi="Arial" w:cs="Arial"/>
          <w:sz w:val="22"/>
          <w:szCs w:val="22"/>
        </w:rPr>
        <w:t>minimize</w:t>
      </w:r>
      <w:r w:rsidRPr="002408C2">
        <w:rPr>
          <w:rFonts w:ascii="Arial" w:hAnsi="Arial" w:cs="Arial"/>
          <w:sz w:val="22"/>
          <w:szCs w:val="22"/>
        </w:rPr>
        <w:t xml:space="preserve"> the risk of preventable medication related harm.</w:t>
      </w:r>
    </w:p>
    <w:p w14:paraId="5CE30393" w14:textId="67F7EB77" w:rsidR="00F632AA" w:rsidRPr="002408C2" w:rsidRDefault="00F632AA" w:rsidP="002065E8">
      <w:pPr>
        <w:spacing w:line="480" w:lineRule="auto"/>
        <w:ind w:firstLine="720"/>
        <w:rPr>
          <w:rFonts w:ascii="Arial" w:hAnsi="Arial" w:cs="Arial"/>
          <w:sz w:val="22"/>
          <w:szCs w:val="22"/>
        </w:rPr>
      </w:pPr>
      <w:r w:rsidRPr="002408C2">
        <w:rPr>
          <w:rFonts w:ascii="Arial" w:hAnsi="Arial" w:cs="Arial"/>
          <w:sz w:val="22"/>
          <w:szCs w:val="22"/>
        </w:rPr>
        <w:t xml:space="preserve">These recommendations should be implemented through a clear action plan with measurable responsibilities, timelines and outcome indicators. Senior leaders should assign named individuals to oversee each intervention and report progress through governance meetings. Staff should receive regular feedback on safety data so that improvements remain visible and meaningful. Patient and family perspectives should also inform changes, ensuring that service redesign reflects real experiences and supports shared accountability across the </w:t>
      </w:r>
      <w:r w:rsidR="00BA7B2A" w:rsidRPr="002408C2">
        <w:rPr>
          <w:rFonts w:ascii="Arial" w:hAnsi="Arial" w:cs="Arial"/>
          <w:sz w:val="22"/>
          <w:szCs w:val="22"/>
        </w:rPr>
        <w:t>organization</w:t>
      </w:r>
      <w:r w:rsidRPr="002408C2">
        <w:rPr>
          <w:rFonts w:ascii="Arial" w:hAnsi="Arial" w:cs="Arial"/>
          <w:sz w:val="22"/>
          <w:szCs w:val="22"/>
        </w:rPr>
        <w:t>. This approach supports transparency, learning and sustained improvement across</w:t>
      </w:r>
      <w:r w:rsidRPr="00F632AA">
        <w:rPr>
          <w:rFonts w:ascii="Times New Roman" w:hAnsi="Times New Roman" w:cs="Times New Roman"/>
        </w:rPr>
        <w:t xml:space="preserve"> </w:t>
      </w:r>
      <w:r w:rsidRPr="002408C2">
        <w:rPr>
          <w:rFonts w:ascii="Arial" w:hAnsi="Arial" w:cs="Arial"/>
          <w:sz w:val="22"/>
          <w:szCs w:val="22"/>
        </w:rPr>
        <w:t>services.</w:t>
      </w:r>
    </w:p>
    <w:p w14:paraId="772DB7AA" w14:textId="77777777" w:rsidR="008A686C" w:rsidRPr="008A686C" w:rsidRDefault="008A686C" w:rsidP="008A686C">
      <w:pPr>
        <w:spacing w:line="480" w:lineRule="auto"/>
        <w:rPr>
          <w:rFonts w:ascii="Times New Roman" w:hAnsi="Times New Roman" w:cs="Times New Roman"/>
          <w:b/>
          <w:bCs/>
        </w:rPr>
      </w:pPr>
      <w:r w:rsidRPr="008A686C">
        <w:rPr>
          <w:rFonts w:ascii="Times New Roman" w:hAnsi="Times New Roman" w:cs="Times New Roman"/>
          <w:b/>
          <w:bCs/>
        </w:rPr>
        <w:t>4.0 Conclusion</w:t>
      </w:r>
    </w:p>
    <w:p w14:paraId="6B4F0E46" w14:textId="72DC8673" w:rsidR="002065E8" w:rsidRPr="002408C2" w:rsidRDefault="002065E8" w:rsidP="002065E8">
      <w:pPr>
        <w:spacing w:line="480" w:lineRule="auto"/>
        <w:ind w:firstLine="720"/>
        <w:rPr>
          <w:rFonts w:ascii="Arial" w:hAnsi="Arial" w:cs="Arial"/>
          <w:sz w:val="22"/>
          <w:szCs w:val="22"/>
        </w:rPr>
      </w:pPr>
      <w:r w:rsidRPr="002408C2">
        <w:rPr>
          <w:rFonts w:ascii="Arial" w:hAnsi="Arial" w:cs="Arial"/>
          <w:sz w:val="22"/>
          <w:szCs w:val="22"/>
        </w:rPr>
        <w:t xml:space="preserve">This report critically reviewed the factors that led to the death of </w:t>
      </w:r>
      <w:r w:rsidR="00EA12AA" w:rsidRPr="002408C2">
        <w:rPr>
          <w:rFonts w:ascii="Arial" w:hAnsi="Arial" w:cs="Arial"/>
          <w:sz w:val="22"/>
          <w:szCs w:val="22"/>
        </w:rPr>
        <w:t>Patient X</w:t>
      </w:r>
      <w:r w:rsidRPr="002408C2">
        <w:rPr>
          <w:rFonts w:ascii="Arial" w:hAnsi="Arial" w:cs="Arial"/>
          <w:sz w:val="22"/>
          <w:szCs w:val="22"/>
        </w:rPr>
        <w:t xml:space="preserve"> who died </w:t>
      </w:r>
      <w:proofErr w:type="gramStart"/>
      <w:r w:rsidRPr="002408C2">
        <w:rPr>
          <w:rFonts w:ascii="Arial" w:hAnsi="Arial" w:cs="Arial"/>
          <w:sz w:val="22"/>
          <w:szCs w:val="22"/>
        </w:rPr>
        <w:t>as a result of</w:t>
      </w:r>
      <w:proofErr w:type="gramEnd"/>
      <w:r w:rsidRPr="002408C2">
        <w:rPr>
          <w:rFonts w:ascii="Arial" w:hAnsi="Arial" w:cs="Arial"/>
          <w:sz w:val="22"/>
          <w:szCs w:val="22"/>
        </w:rPr>
        <w:t xml:space="preserve"> not being able to restart his anti-coagulant treatment after a planned procedure. It showed that the incident was not a single fault by one health worker but a series of errors by many. The lack of communication, accountability issues, the insufficient review of medicines and the poor interprofessional working were all contributing factors to patients not being safe, despite the presence of national guidance and established clinical protocols. The findings confirm that taking a systems approach to investigating adverse events is essential because patient harm can be a result of an unraveling of responsibilities by interconnected </w:t>
      </w:r>
      <w:r w:rsidR="00BA7B2A" w:rsidRPr="002408C2">
        <w:rPr>
          <w:rFonts w:ascii="Arial" w:hAnsi="Arial" w:cs="Arial"/>
          <w:sz w:val="22"/>
          <w:szCs w:val="22"/>
        </w:rPr>
        <w:t>organizational</w:t>
      </w:r>
      <w:r w:rsidRPr="002408C2">
        <w:rPr>
          <w:rFonts w:ascii="Arial" w:hAnsi="Arial" w:cs="Arial"/>
          <w:sz w:val="22"/>
          <w:szCs w:val="22"/>
        </w:rPr>
        <w:t xml:space="preserve"> processes, not necessarily from any one person's negligence.</w:t>
      </w:r>
    </w:p>
    <w:p w14:paraId="06A91B28" w14:textId="65617B7B" w:rsidR="008A686C" w:rsidRPr="002408C2" w:rsidRDefault="002065E8" w:rsidP="002065E8">
      <w:pPr>
        <w:spacing w:line="480" w:lineRule="auto"/>
        <w:ind w:firstLine="720"/>
        <w:rPr>
          <w:rFonts w:ascii="Arial" w:hAnsi="Arial" w:cs="Arial"/>
          <w:sz w:val="22"/>
          <w:szCs w:val="22"/>
        </w:rPr>
      </w:pPr>
      <w:r w:rsidRPr="002408C2">
        <w:rPr>
          <w:rFonts w:ascii="Arial" w:hAnsi="Arial" w:cs="Arial"/>
          <w:sz w:val="22"/>
          <w:szCs w:val="22"/>
        </w:rPr>
        <w:t xml:space="preserve">The report also highlighted the importance of leadership and governance in the improvement of the quality of healthcare and the prevention of similar incidents. </w:t>
      </w:r>
      <w:r w:rsidR="00BA7B2A" w:rsidRPr="002408C2">
        <w:rPr>
          <w:rFonts w:ascii="Arial" w:hAnsi="Arial" w:cs="Arial"/>
          <w:sz w:val="22"/>
          <w:szCs w:val="22"/>
        </w:rPr>
        <w:t>Centralized</w:t>
      </w:r>
      <w:r w:rsidRPr="002408C2">
        <w:rPr>
          <w:rFonts w:ascii="Arial" w:hAnsi="Arial" w:cs="Arial"/>
          <w:sz w:val="22"/>
          <w:szCs w:val="22"/>
        </w:rPr>
        <w:t xml:space="preserve"> governance ensured evidence-based policy and regulation, but a lack of front-line support prevented this from being effective. The critical evaluation of transformational, transactional, situational and distributed leadership </w:t>
      </w:r>
      <w:r w:rsidR="00BA7B2A" w:rsidRPr="002408C2">
        <w:rPr>
          <w:rFonts w:ascii="Arial" w:hAnsi="Arial" w:cs="Arial"/>
          <w:sz w:val="22"/>
          <w:szCs w:val="22"/>
        </w:rPr>
        <w:t>emphasized</w:t>
      </w:r>
      <w:r w:rsidRPr="002408C2">
        <w:rPr>
          <w:rFonts w:ascii="Arial" w:hAnsi="Arial" w:cs="Arial"/>
          <w:sz w:val="22"/>
          <w:szCs w:val="22"/>
        </w:rPr>
        <w:t xml:space="preserve"> that in complex healthcare setting a single leadership style is not enough. Rather, collaborative leadership, clear accountability and continuous communication between professionals is necessary for effective patient safety. Systems thinking also demonstrated the interplay between leadership, governance, </w:t>
      </w:r>
      <w:r w:rsidR="00BA7B2A" w:rsidRPr="002408C2">
        <w:rPr>
          <w:rFonts w:ascii="Arial" w:hAnsi="Arial" w:cs="Arial"/>
          <w:sz w:val="22"/>
          <w:szCs w:val="22"/>
        </w:rPr>
        <w:t>organizational</w:t>
      </w:r>
      <w:r w:rsidRPr="002408C2">
        <w:rPr>
          <w:rFonts w:ascii="Arial" w:hAnsi="Arial" w:cs="Arial"/>
          <w:sz w:val="22"/>
          <w:szCs w:val="22"/>
        </w:rPr>
        <w:t xml:space="preserve"> structure and feedback within the system and its impact on clinical outcomes.</w:t>
      </w:r>
    </w:p>
    <w:p w14:paraId="6697D81E" w14:textId="2E785BB2" w:rsidR="009B0361" w:rsidRPr="002408C2" w:rsidRDefault="009B0361" w:rsidP="002065E8">
      <w:pPr>
        <w:spacing w:line="480" w:lineRule="auto"/>
        <w:ind w:firstLine="720"/>
        <w:rPr>
          <w:rFonts w:ascii="Arial" w:hAnsi="Arial" w:cs="Arial"/>
          <w:sz w:val="22"/>
          <w:szCs w:val="22"/>
        </w:rPr>
      </w:pPr>
      <w:r w:rsidRPr="002408C2">
        <w:rPr>
          <w:rFonts w:ascii="Arial" w:hAnsi="Arial" w:cs="Arial"/>
          <w:sz w:val="22"/>
          <w:szCs w:val="22"/>
        </w:rPr>
        <w:t xml:space="preserve">Therefore, the case demonstrates that sustainable patient safety improvement requires </w:t>
      </w:r>
      <w:r w:rsidR="00BA7B2A" w:rsidRPr="002408C2">
        <w:rPr>
          <w:rFonts w:ascii="Arial" w:hAnsi="Arial" w:cs="Arial"/>
          <w:sz w:val="22"/>
          <w:szCs w:val="22"/>
        </w:rPr>
        <w:t>organizations</w:t>
      </w:r>
      <w:r w:rsidRPr="002408C2">
        <w:rPr>
          <w:rFonts w:ascii="Arial" w:hAnsi="Arial" w:cs="Arial"/>
          <w:sz w:val="22"/>
          <w:szCs w:val="22"/>
        </w:rPr>
        <w:t xml:space="preserve"> to move beyond responding to incidents and develop proactive systems that identify risks before harm occurs. Strengthening multidisciplinary communication, digital medication monitoring, leadership capability and continuous learning can create stronger safeguards around high-risk medicines. These measures can also support greater staff engagement and accountability, enabling healthcare </w:t>
      </w:r>
      <w:r w:rsidR="00BA7B2A" w:rsidRPr="002408C2">
        <w:rPr>
          <w:rFonts w:ascii="Arial" w:hAnsi="Arial" w:cs="Arial"/>
          <w:sz w:val="22"/>
          <w:szCs w:val="22"/>
        </w:rPr>
        <w:t>organizations</w:t>
      </w:r>
      <w:r w:rsidRPr="002408C2">
        <w:rPr>
          <w:rFonts w:ascii="Arial" w:hAnsi="Arial" w:cs="Arial"/>
          <w:sz w:val="22"/>
          <w:szCs w:val="22"/>
        </w:rPr>
        <w:t xml:space="preserve"> to translate lessons from individual incidents into wider improvements in practice.</w:t>
      </w:r>
    </w:p>
    <w:p w14:paraId="64074E4E" w14:textId="77777777" w:rsidR="002408C2" w:rsidRDefault="002408C2" w:rsidP="002408C2">
      <w:pPr>
        <w:rPr>
          <w:rFonts w:ascii="Arial" w:hAnsi="Arial" w:cs="Arial"/>
          <w:sz w:val="22"/>
          <w:szCs w:val="22"/>
        </w:rPr>
      </w:pPr>
    </w:p>
    <w:p w14:paraId="7F612728" w14:textId="6FFED2B6" w:rsidR="008123FF" w:rsidRPr="002408C2" w:rsidRDefault="002408C2" w:rsidP="002408C2">
      <w:pPr>
        <w:rPr>
          <w:rFonts w:ascii="Times New Roman" w:hAnsi="Times New Roman" w:cs="Times New Roman"/>
        </w:rPr>
      </w:pPr>
      <w:r>
        <w:rPr>
          <w:rFonts w:ascii="Arial" w:hAnsi="Arial" w:cs="Arial"/>
          <w:sz w:val="22"/>
          <w:szCs w:val="22"/>
        </w:rPr>
        <w:t xml:space="preserve">                                                                                        </w:t>
      </w:r>
      <w:r w:rsidR="00297799">
        <w:rPr>
          <w:rFonts w:ascii="Times New Roman" w:hAnsi="Times New Roman" w:cs="Times New Roman"/>
          <w:b/>
          <w:bCs/>
        </w:rPr>
        <w:t>References</w:t>
      </w:r>
    </w:p>
    <w:p w14:paraId="05A15890" w14:textId="17ADFA7A" w:rsidR="005F0673" w:rsidRDefault="005F0673" w:rsidP="005F0673">
      <w:pPr>
        <w:spacing w:line="480" w:lineRule="auto"/>
        <w:ind w:left="720" w:hanging="720"/>
        <w:rPr>
          <w:rFonts w:ascii="Times New Roman" w:hAnsi="Times New Roman" w:cs="Times New Roman"/>
        </w:rPr>
      </w:pPr>
      <w:r w:rsidRPr="005F0673">
        <w:rPr>
          <w:rFonts w:ascii="Times New Roman" w:hAnsi="Times New Roman" w:cs="Times New Roman"/>
        </w:rPr>
        <w:t xml:space="preserve">Alder, S. (2025) </w:t>
      </w:r>
      <w:r w:rsidRPr="005F0673">
        <w:rPr>
          <w:rFonts w:ascii="Times New Roman" w:hAnsi="Times New Roman" w:cs="Times New Roman"/>
          <w:i/>
          <w:iCs/>
        </w:rPr>
        <w:t>Effects of Poor Communication in Healthcare</w:t>
      </w:r>
      <w:r w:rsidRPr="005F0673">
        <w:rPr>
          <w:rFonts w:ascii="Times New Roman" w:hAnsi="Times New Roman" w:cs="Times New Roman"/>
        </w:rPr>
        <w:t xml:space="preserve">. Available at: </w:t>
      </w:r>
      <w:hyperlink r:id="rId8" w:history="1">
        <w:r w:rsidRPr="00866A99">
          <w:rPr>
            <w:rStyle w:val="Hyperlink"/>
            <w:rFonts w:ascii="Times New Roman" w:hAnsi="Times New Roman" w:cs="Times New Roman"/>
          </w:rPr>
          <w:t>https://www.hipaajournal.com/effects-of-poor-communication-in-healthcare/</w:t>
        </w:r>
      </w:hyperlink>
      <w:r>
        <w:rPr>
          <w:rFonts w:ascii="Times New Roman" w:hAnsi="Times New Roman" w:cs="Times New Roman"/>
        </w:rPr>
        <w:t xml:space="preserve"> </w:t>
      </w:r>
      <w:r w:rsidRPr="005F0673">
        <w:rPr>
          <w:rFonts w:ascii="Times New Roman" w:hAnsi="Times New Roman" w:cs="Times New Roman"/>
        </w:rPr>
        <w:t>(Accessed: 9 August 2026).</w:t>
      </w:r>
    </w:p>
    <w:p w14:paraId="4E136475" w14:textId="3E794E3C" w:rsidR="00951CD0" w:rsidRPr="00951CD0" w:rsidRDefault="00951CD0" w:rsidP="00951CD0">
      <w:pPr>
        <w:spacing w:line="480" w:lineRule="auto"/>
        <w:ind w:left="720" w:hanging="720"/>
        <w:rPr>
          <w:rFonts w:ascii="Times New Roman" w:hAnsi="Times New Roman" w:cs="Times New Roman"/>
        </w:rPr>
      </w:pPr>
      <w:r w:rsidRPr="00951CD0">
        <w:rPr>
          <w:rFonts w:ascii="Times New Roman" w:hAnsi="Times New Roman" w:cs="Times New Roman"/>
        </w:rPr>
        <w:t>Al-</w:t>
      </w:r>
      <w:proofErr w:type="spellStart"/>
      <w:r w:rsidRPr="00951CD0">
        <w:rPr>
          <w:rFonts w:ascii="Times New Roman" w:hAnsi="Times New Roman" w:cs="Times New Roman"/>
        </w:rPr>
        <w:t>Rjoub</w:t>
      </w:r>
      <w:proofErr w:type="spellEnd"/>
      <w:r w:rsidRPr="00951CD0">
        <w:rPr>
          <w:rFonts w:ascii="Times New Roman" w:hAnsi="Times New Roman" w:cs="Times New Roman"/>
        </w:rPr>
        <w:t xml:space="preserve">, S., </w:t>
      </w:r>
      <w:proofErr w:type="spellStart"/>
      <w:r w:rsidRPr="00951CD0">
        <w:rPr>
          <w:rFonts w:ascii="Times New Roman" w:hAnsi="Times New Roman" w:cs="Times New Roman"/>
        </w:rPr>
        <w:t>Alsharawneh</w:t>
      </w:r>
      <w:proofErr w:type="spellEnd"/>
      <w:r w:rsidRPr="00951CD0">
        <w:rPr>
          <w:rFonts w:ascii="Times New Roman" w:hAnsi="Times New Roman" w:cs="Times New Roman"/>
        </w:rPr>
        <w:t xml:space="preserve">, A., </w:t>
      </w:r>
      <w:proofErr w:type="spellStart"/>
      <w:r w:rsidRPr="00951CD0">
        <w:rPr>
          <w:rFonts w:ascii="Times New Roman" w:hAnsi="Times New Roman" w:cs="Times New Roman"/>
        </w:rPr>
        <w:t>Alhawajreh</w:t>
      </w:r>
      <w:proofErr w:type="spellEnd"/>
      <w:r w:rsidRPr="00951CD0">
        <w:rPr>
          <w:rFonts w:ascii="Times New Roman" w:hAnsi="Times New Roman" w:cs="Times New Roman"/>
        </w:rPr>
        <w:t xml:space="preserve">, M. and Othman, E. (2024) “Exploring the impact of transformational and transactional style of leadership on nursing care performance and patient outcomes.” </w:t>
      </w:r>
      <w:r w:rsidRPr="00951CD0">
        <w:rPr>
          <w:rFonts w:ascii="Times New Roman" w:hAnsi="Times New Roman" w:cs="Times New Roman"/>
          <w:i/>
          <w:iCs/>
        </w:rPr>
        <w:t>Journal of Healthcare Leadership</w:t>
      </w:r>
      <w:r w:rsidRPr="00951CD0">
        <w:rPr>
          <w:rFonts w:ascii="Times New Roman" w:hAnsi="Times New Roman" w:cs="Times New Roman"/>
        </w:rPr>
        <w:t xml:space="preserve"> 16(16), pp. 557–568. Available at: doi:10.2147/</w:t>
      </w:r>
      <w:proofErr w:type="gramStart"/>
      <w:r w:rsidRPr="00951CD0">
        <w:rPr>
          <w:rFonts w:ascii="Times New Roman" w:hAnsi="Times New Roman" w:cs="Times New Roman"/>
        </w:rPr>
        <w:t>jhl.s</w:t>
      </w:r>
      <w:proofErr w:type="gramEnd"/>
      <w:r w:rsidRPr="00951CD0">
        <w:rPr>
          <w:rFonts w:ascii="Times New Roman" w:hAnsi="Times New Roman" w:cs="Times New Roman"/>
        </w:rPr>
        <w:t>496266 (Accessed: 9 August 2026).</w:t>
      </w:r>
    </w:p>
    <w:p w14:paraId="0671ACE4" w14:textId="65EA290D" w:rsidR="009A1C1E" w:rsidRDefault="009A1C1E" w:rsidP="009A1C1E">
      <w:pPr>
        <w:spacing w:line="480" w:lineRule="auto"/>
        <w:ind w:left="720" w:hanging="720"/>
        <w:rPr>
          <w:rFonts w:ascii="Times New Roman" w:hAnsi="Times New Roman" w:cs="Times New Roman"/>
        </w:rPr>
      </w:pPr>
      <w:proofErr w:type="spellStart"/>
      <w:r w:rsidRPr="009A1C1E">
        <w:rPr>
          <w:rFonts w:ascii="Times New Roman" w:hAnsi="Times New Roman" w:cs="Times New Roman"/>
        </w:rPr>
        <w:t>Auraaen</w:t>
      </w:r>
      <w:proofErr w:type="spellEnd"/>
      <w:r w:rsidRPr="009A1C1E">
        <w:rPr>
          <w:rFonts w:ascii="Times New Roman" w:hAnsi="Times New Roman" w:cs="Times New Roman"/>
        </w:rPr>
        <w:t xml:space="preserve">, A., </w:t>
      </w:r>
      <w:proofErr w:type="spellStart"/>
      <w:r w:rsidRPr="009A1C1E">
        <w:rPr>
          <w:rFonts w:ascii="Times New Roman" w:hAnsi="Times New Roman" w:cs="Times New Roman"/>
        </w:rPr>
        <w:t>Slawomirski</w:t>
      </w:r>
      <w:proofErr w:type="spellEnd"/>
      <w:r w:rsidRPr="009A1C1E">
        <w:rPr>
          <w:rFonts w:ascii="Times New Roman" w:hAnsi="Times New Roman" w:cs="Times New Roman"/>
        </w:rPr>
        <w:t xml:space="preserve">, L. and </w:t>
      </w:r>
      <w:proofErr w:type="spellStart"/>
      <w:r w:rsidRPr="009A1C1E">
        <w:rPr>
          <w:rFonts w:ascii="Times New Roman" w:hAnsi="Times New Roman" w:cs="Times New Roman"/>
        </w:rPr>
        <w:t>Klazinga</w:t>
      </w:r>
      <w:proofErr w:type="spellEnd"/>
      <w:r w:rsidRPr="009A1C1E">
        <w:rPr>
          <w:rFonts w:ascii="Times New Roman" w:hAnsi="Times New Roman" w:cs="Times New Roman"/>
        </w:rPr>
        <w:t xml:space="preserve">, N. (2018) “The Economics of Patient Safety in Primary and Ambulatory Care.” </w:t>
      </w:r>
      <w:r w:rsidRPr="009A1C1E">
        <w:rPr>
          <w:rFonts w:ascii="Times New Roman" w:hAnsi="Times New Roman" w:cs="Times New Roman"/>
          <w:i/>
          <w:iCs/>
        </w:rPr>
        <w:t>OECD Health Working Papers</w:t>
      </w:r>
      <w:r w:rsidRPr="009A1C1E">
        <w:rPr>
          <w:rFonts w:ascii="Times New Roman" w:hAnsi="Times New Roman" w:cs="Times New Roman"/>
        </w:rPr>
        <w:t>. Available at: doi:10.1787/baf425ad-en (Accessed: 31 July 2026).</w:t>
      </w:r>
    </w:p>
    <w:p w14:paraId="0745094E" w14:textId="77777777" w:rsidR="00A15CC8" w:rsidRDefault="00A15CC8" w:rsidP="00A15CC8">
      <w:pPr>
        <w:spacing w:line="480" w:lineRule="auto"/>
        <w:ind w:left="720" w:hanging="720"/>
        <w:rPr>
          <w:rFonts w:ascii="Times New Roman" w:hAnsi="Times New Roman" w:cs="Times New Roman"/>
        </w:rPr>
      </w:pPr>
      <w:r w:rsidRPr="00A15CC8">
        <w:rPr>
          <w:rFonts w:ascii="Times New Roman" w:hAnsi="Times New Roman" w:cs="Times New Roman"/>
        </w:rPr>
        <w:t xml:space="preserve">Bass, B.M. and Avolio, B.J. (1994) </w:t>
      </w:r>
      <w:r w:rsidRPr="00A15CC8">
        <w:rPr>
          <w:rFonts w:ascii="Times New Roman" w:hAnsi="Times New Roman" w:cs="Times New Roman"/>
          <w:i/>
          <w:iCs/>
        </w:rPr>
        <w:t>Improving organizational effectiveness through transformational leadership</w:t>
      </w:r>
      <w:r w:rsidRPr="00A15CC8">
        <w:rPr>
          <w:rFonts w:ascii="Times New Roman" w:hAnsi="Times New Roman" w:cs="Times New Roman"/>
        </w:rPr>
        <w:t>. Thousand Oaks, Calif.: Sage.</w:t>
      </w:r>
    </w:p>
    <w:p w14:paraId="4BC50967" w14:textId="05FD6A78" w:rsidR="00FB44EE" w:rsidRDefault="00FB44EE" w:rsidP="00FB44EE">
      <w:pPr>
        <w:spacing w:line="480" w:lineRule="auto"/>
        <w:ind w:left="720" w:hanging="720"/>
        <w:rPr>
          <w:rFonts w:ascii="Times New Roman" w:hAnsi="Times New Roman" w:cs="Times New Roman"/>
        </w:rPr>
      </w:pPr>
      <w:r w:rsidRPr="00FB44EE">
        <w:rPr>
          <w:rFonts w:ascii="Times New Roman" w:hAnsi="Times New Roman" w:cs="Times New Roman"/>
        </w:rPr>
        <w:t xml:space="preserve">Bell, B.G., Khimji, A., Hussain, B. and Avery, A.J. (2025) “The effect of computerized alerts on prescribing and patient outcomes: A systematic review.” </w:t>
      </w:r>
      <w:r w:rsidRPr="00FB44EE">
        <w:rPr>
          <w:rFonts w:ascii="Times New Roman" w:hAnsi="Times New Roman" w:cs="Times New Roman"/>
          <w:i/>
          <w:iCs/>
        </w:rPr>
        <w:t>Applied Clinical Informatics</w:t>
      </w:r>
      <w:r w:rsidRPr="00FB44EE">
        <w:rPr>
          <w:rFonts w:ascii="Times New Roman" w:hAnsi="Times New Roman" w:cs="Times New Roman"/>
        </w:rPr>
        <w:t xml:space="preserve"> 16(05), pp. 1381–1392. Available at: doi:10.1055/a-2620-3244 (Accessed: 9 August 2026).</w:t>
      </w:r>
    </w:p>
    <w:p w14:paraId="36F802B9" w14:textId="77777777" w:rsidR="00766D92" w:rsidRPr="00766D92" w:rsidRDefault="00766D92" w:rsidP="00766D92">
      <w:pPr>
        <w:spacing w:line="480" w:lineRule="auto"/>
        <w:ind w:left="720" w:hanging="720"/>
        <w:rPr>
          <w:rFonts w:ascii="Times New Roman" w:hAnsi="Times New Roman" w:cs="Times New Roman"/>
        </w:rPr>
      </w:pPr>
      <w:r w:rsidRPr="00766D92">
        <w:rPr>
          <w:rFonts w:ascii="Times New Roman" w:hAnsi="Times New Roman" w:cs="Times New Roman"/>
        </w:rPr>
        <w:t xml:space="preserve">Bhati, D., Deogade, M.S. and </w:t>
      </w:r>
      <w:proofErr w:type="spellStart"/>
      <w:r w:rsidRPr="00766D92">
        <w:rPr>
          <w:rFonts w:ascii="Times New Roman" w:hAnsi="Times New Roman" w:cs="Times New Roman"/>
        </w:rPr>
        <w:t>Kanyal</w:t>
      </w:r>
      <w:proofErr w:type="spellEnd"/>
      <w:r w:rsidRPr="00766D92">
        <w:rPr>
          <w:rFonts w:ascii="Times New Roman" w:hAnsi="Times New Roman" w:cs="Times New Roman"/>
        </w:rPr>
        <w:t xml:space="preserve">, D. (2023) “Improving patient outcomes through effective hospital administration: A comprehensive </w:t>
      </w:r>
      <w:proofErr w:type="gramStart"/>
      <w:r w:rsidRPr="00766D92">
        <w:rPr>
          <w:rFonts w:ascii="Times New Roman" w:hAnsi="Times New Roman" w:cs="Times New Roman"/>
        </w:rPr>
        <w:t>review..</w:t>
      </w:r>
      <w:proofErr w:type="gramEnd"/>
      <w:r w:rsidRPr="00766D92">
        <w:rPr>
          <w:rFonts w:ascii="Times New Roman" w:hAnsi="Times New Roman" w:cs="Times New Roman"/>
        </w:rPr>
        <w:t xml:space="preserve">” </w:t>
      </w:r>
      <w:proofErr w:type="spellStart"/>
      <w:r w:rsidRPr="00766D92">
        <w:rPr>
          <w:rFonts w:ascii="Times New Roman" w:hAnsi="Times New Roman" w:cs="Times New Roman"/>
          <w:i/>
          <w:iCs/>
        </w:rPr>
        <w:t>Cureus</w:t>
      </w:r>
      <w:proofErr w:type="spellEnd"/>
      <w:r w:rsidRPr="00766D92">
        <w:rPr>
          <w:rFonts w:ascii="Times New Roman" w:hAnsi="Times New Roman" w:cs="Times New Roman"/>
        </w:rPr>
        <w:t xml:space="preserve"> 15(10), pp. 1–12. Available at: doi:10.7759/cureus.47731 (Accessed: 9 August 2026).</w:t>
      </w:r>
    </w:p>
    <w:p w14:paraId="5DAA5EDA" w14:textId="48086AFE" w:rsidR="00926895" w:rsidRPr="00926895" w:rsidRDefault="00926895" w:rsidP="00926895">
      <w:pPr>
        <w:spacing w:line="480" w:lineRule="auto"/>
        <w:ind w:left="720" w:hanging="720"/>
        <w:rPr>
          <w:rFonts w:ascii="Times New Roman" w:hAnsi="Times New Roman" w:cs="Times New Roman"/>
        </w:rPr>
      </w:pPr>
      <w:r w:rsidRPr="00BA7B2A">
        <w:rPr>
          <w:rFonts w:ascii="Times New Roman" w:hAnsi="Times New Roman" w:cs="Times New Roman"/>
          <w:lang w:val="nl-NL"/>
        </w:rPr>
        <w:t xml:space="preserve">Cassidy, C.E. et al. </w:t>
      </w:r>
      <w:r w:rsidRPr="00926895">
        <w:rPr>
          <w:rFonts w:ascii="Times New Roman" w:hAnsi="Times New Roman" w:cs="Times New Roman"/>
        </w:rPr>
        <w:t xml:space="preserve">(2023) “E-prescribing and medication safety in community settings: A rapid scoping review.” </w:t>
      </w:r>
      <w:r w:rsidRPr="00926895">
        <w:rPr>
          <w:rFonts w:ascii="Times New Roman" w:hAnsi="Times New Roman" w:cs="Times New Roman"/>
          <w:i/>
          <w:iCs/>
        </w:rPr>
        <w:t>Exploratory Research in Clinical and Social Pharmacy</w:t>
      </w:r>
      <w:r w:rsidRPr="00926895">
        <w:rPr>
          <w:rFonts w:ascii="Times New Roman" w:hAnsi="Times New Roman" w:cs="Times New Roman"/>
        </w:rPr>
        <w:t xml:space="preserve"> 12, p. 100365. Available at: </w:t>
      </w:r>
      <w:proofErr w:type="gramStart"/>
      <w:r w:rsidRPr="00926895">
        <w:rPr>
          <w:rFonts w:ascii="Times New Roman" w:hAnsi="Times New Roman" w:cs="Times New Roman"/>
        </w:rPr>
        <w:t>doi:10.1016/j.rcsop</w:t>
      </w:r>
      <w:proofErr w:type="gramEnd"/>
      <w:r w:rsidRPr="00926895">
        <w:rPr>
          <w:rFonts w:ascii="Times New Roman" w:hAnsi="Times New Roman" w:cs="Times New Roman"/>
        </w:rPr>
        <w:t>.2023.100365</w:t>
      </w:r>
      <w:r>
        <w:rPr>
          <w:rFonts w:ascii="Times New Roman" w:hAnsi="Times New Roman" w:cs="Times New Roman"/>
        </w:rPr>
        <w:t xml:space="preserve"> </w:t>
      </w:r>
      <w:r w:rsidRPr="00926895">
        <w:rPr>
          <w:rFonts w:ascii="Times New Roman" w:hAnsi="Times New Roman" w:cs="Times New Roman"/>
        </w:rPr>
        <w:t>(Accessed: 9 August 2026).</w:t>
      </w:r>
    </w:p>
    <w:p w14:paraId="30E31B9E" w14:textId="7171C4C6" w:rsidR="004B28D5" w:rsidRDefault="00144341" w:rsidP="004B28D5">
      <w:pPr>
        <w:spacing w:line="480" w:lineRule="auto"/>
        <w:ind w:left="720" w:hanging="720"/>
        <w:rPr>
          <w:rFonts w:ascii="Times New Roman" w:hAnsi="Times New Roman" w:cs="Times New Roman"/>
        </w:rPr>
      </w:pPr>
      <w:r w:rsidRPr="00144341">
        <w:rPr>
          <w:rFonts w:ascii="Times New Roman" w:hAnsi="Times New Roman" w:cs="Times New Roman"/>
        </w:rPr>
        <w:t xml:space="preserve">Health Services Safety Investigations Body (HSSIB) (2024) </w:t>
      </w:r>
      <w:r w:rsidRPr="00144341">
        <w:rPr>
          <w:rFonts w:ascii="Times New Roman" w:hAnsi="Times New Roman" w:cs="Times New Roman"/>
          <w:i/>
          <w:iCs/>
        </w:rPr>
        <w:t>Medication Related Harm</w:t>
      </w:r>
      <w:r w:rsidRPr="00144341">
        <w:rPr>
          <w:rFonts w:ascii="Times New Roman" w:hAnsi="Times New Roman" w:cs="Times New Roman"/>
        </w:rPr>
        <w:t xml:space="preserve">. Available at: </w:t>
      </w:r>
      <w:hyperlink r:id="rId9" w:history="1">
        <w:r w:rsidRPr="00866A99">
          <w:rPr>
            <w:rStyle w:val="Hyperlink"/>
            <w:rFonts w:ascii="Times New Roman" w:hAnsi="Times New Roman" w:cs="Times New Roman"/>
          </w:rPr>
          <w:t>https://www.hssib.org.uk/patient-safety-investigations/medication-related-harm/</w:t>
        </w:r>
      </w:hyperlink>
      <w:r>
        <w:rPr>
          <w:rFonts w:ascii="Times New Roman" w:hAnsi="Times New Roman" w:cs="Times New Roman"/>
        </w:rPr>
        <w:t xml:space="preserve"> </w:t>
      </w:r>
      <w:r w:rsidRPr="00144341">
        <w:rPr>
          <w:rFonts w:ascii="Times New Roman" w:hAnsi="Times New Roman" w:cs="Times New Roman"/>
        </w:rPr>
        <w:t>(Accessed: 31 July 2026).</w:t>
      </w:r>
    </w:p>
    <w:p w14:paraId="6C380AED" w14:textId="77777777" w:rsidR="00DC0C50" w:rsidRDefault="00DC0C50" w:rsidP="00DC0C50">
      <w:pPr>
        <w:spacing w:line="480" w:lineRule="auto"/>
        <w:ind w:left="720" w:hanging="720"/>
        <w:rPr>
          <w:rFonts w:ascii="Times New Roman" w:hAnsi="Times New Roman" w:cs="Times New Roman"/>
        </w:rPr>
      </w:pPr>
      <w:r w:rsidRPr="00DC0C50">
        <w:rPr>
          <w:rFonts w:ascii="Times New Roman" w:hAnsi="Times New Roman" w:cs="Times New Roman"/>
        </w:rPr>
        <w:t xml:space="preserve">Hersey, P., Blanchard, K.H. and Johnson, D.E. (2013) </w:t>
      </w:r>
      <w:r w:rsidRPr="00DC0C50">
        <w:rPr>
          <w:rFonts w:ascii="Times New Roman" w:hAnsi="Times New Roman" w:cs="Times New Roman"/>
          <w:i/>
          <w:iCs/>
        </w:rPr>
        <w:t>Management of Organizational Behavior</w:t>
      </w:r>
      <w:r w:rsidRPr="00DC0C50">
        <w:rPr>
          <w:rFonts w:ascii="Times New Roman" w:hAnsi="Times New Roman" w:cs="Times New Roman"/>
        </w:rPr>
        <w:t>. Prentice Hall.</w:t>
      </w:r>
    </w:p>
    <w:p w14:paraId="2897E2D3" w14:textId="6498768A" w:rsidR="00AE0653" w:rsidRPr="00AE0653" w:rsidRDefault="00AE0653" w:rsidP="00AE0653">
      <w:pPr>
        <w:spacing w:line="480" w:lineRule="auto"/>
        <w:ind w:left="720" w:hanging="720"/>
        <w:rPr>
          <w:rFonts w:ascii="Times New Roman" w:hAnsi="Times New Roman" w:cs="Times New Roman"/>
        </w:rPr>
      </w:pPr>
      <w:r w:rsidRPr="00AE0653">
        <w:rPr>
          <w:rFonts w:ascii="Times New Roman" w:hAnsi="Times New Roman" w:cs="Times New Roman"/>
        </w:rPr>
        <w:t xml:space="preserve">Hibbert, P. D, Stewart, S., Wiles, L.K., Braithwaite, J., Runciman, W.B. and Thomas, M.J.W. (2023) “Improving patient safety governance and systems through learning from successes and failures: Qualitative surveys and interviews with international experts.” </w:t>
      </w:r>
      <w:r w:rsidRPr="00AE0653">
        <w:rPr>
          <w:rFonts w:ascii="Times New Roman" w:hAnsi="Times New Roman" w:cs="Times New Roman"/>
          <w:i/>
          <w:iCs/>
        </w:rPr>
        <w:t>International Journal for Quality in Health Care</w:t>
      </w:r>
      <w:r w:rsidRPr="00AE0653">
        <w:rPr>
          <w:rFonts w:ascii="Times New Roman" w:hAnsi="Times New Roman" w:cs="Times New Roman"/>
        </w:rPr>
        <w:t xml:space="preserve"> 35(4). Available at: doi:10.1093/</w:t>
      </w:r>
      <w:proofErr w:type="spellStart"/>
      <w:r w:rsidRPr="00AE0653">
        <w:rPr>
          <w:rFonts w:ascii="Times New Roman" w:hAnsi="Times New Roman" w:cs="Times New Roman"/>
        </w:rPr>
        <w:t>intqhc</w:t>
      </w:r>
      <w:proofErr w:type="spellEnd"/>
      <w:r w:rsidRPr="00AE0653">
        <w:rPr>
          <w:rFonts w:ascii="Times New Roman" w:hAnsi="Times New Roman" w:cs="Times New Roman"/>
        </w:rPr>
        <w:t>/mzad088.</w:t>
      </w:r>
    </w:p>
    <w:p w14:paraId="43F23E77" w14:textId="40E8FDFB" w:rsidR="004B28D5" w:rsidRDefault="004B28D5" w:rsidP="004B28D5">
      <w:pPr>
        <w:spacing w:line="480" w:lineRule="auto"/>
        <w:ind w:left="720" w:hanging="720"/>
        <w:rPr>
          <w:rFonts w:ascii="Times New Roman" w:hAnsi="Times New Roman" w:cs="Times New Roman"/>
        </w:rPr>
      </w:pPr>
      <w:r w:rsidRPr="004B28D5">
        <w:rPr>
          <w:rFonts w:ascii="Times New Roman" w:hAnsi="Times New Roman" w:cs="Times New Roman"/>
        </w:rPr>
        <w:t>Institute for Healthcare Improvement (IHI) (202</w:t>
      </w:r>
      <w:r w:rsidR="00236F81">
        <w:rPr>
          <w:rFonts w:ascii="Times New Roman" w:hAnsi="Times New Roman" w:cs="Times New Roman"/>
        </w:rPr>
        <w:t>3</w:t>
      </w:r>
      <w:r w:rsidRPr="004B28D5">
        <w:rPr>
          <w:rFonts w:ascii="Times New Roman" w:hAnsi="Times New Roman" w:cs="Times New Roman"/>
        </w:rPr>
        <w:t xml:space="preserve">) </w:t>
      </w:r>
      <w:r w:rsidRPr="004B28D5">
        <w:rPr>
          <w:rFonts w:ascii="Times New Roman" w:hAnsi="Times New Roman" w:cs="Times New Roman"/>
          <w:i/>
          <w:iCs/>
        </w:rPr>
        <w:t>Patient Safety Essentials Toolkit</w:t>
      </w:r>
      <w:r w:rsidRPr="004B28D5">
        <w:rPr>
          <w:rFonts w:ascii="Times New Roman" w:hAnsi="Times New Roman" w:cs="Times New Roman"/>
        </w:rPr>
        <w:t xml:space="preserve">. Available at: </w:t>
      </w:r>
      <w:hyperlink r:id="rId10" w:history="1">
        <w:r w:rsidRPr="00866A99">
          <w:rPr>
            <w:rStyle w:val="Hyperlink"/>
            <w:rFonts w:ascii="Times New Roman" w:hAnsi="Times New Roman" w:cs="Times New Roman"/>
          </w:rPr>
          <w:t>https://www.ihi.org/library/tools/patient-safety-essentials-toolkit</w:t>
        </w:r>
      </w:hyperlink>
      <w:r>
        <w:rPr>
          <w:rFonts w:ascii="Times New Roman" w:hAnsi="Times New Roman" w:cs="Times New Roman"/>
        </w:rPr>
        <w:t xml:space="preserve"> </w:t>
      </w:r>
      <w:r w:rsidRPr="004B28D5">
        <w:rPr>
          <w:rFonts w:ascii="Times New Roman" w:hAnsi="Times New Roman" w:cs="Times New Roman"/>
        </w:rPr>
        <w:t>(Accessed: 31 July 2026).</w:t>
      </w:r>
    </w:p>
    <w:p w14:paraId="7D541FE6" w14:textId="610DDC12" w:rsidR="00EC0549" w:rsidRPr="00EC0549" w:rsidRDefault="00EC0549" w:rsidP="00EC0549">
      <w:pPr>
        <w:spacing w:line="480" w:lineRule="auto"/>
        <w:ind w:left="720" w:hanging="720"/>
        <w:rPr>
          <w:rFonts w:ascii="Times New Roman" w:hAnsi="Times New Roman" w:cs="Times New Roman"/>
        </w:rPr>
      </w:pPr>
      <w:r w:rsidRPr="00EC0549">
        <w:rPr>
          <w:rFonts w:ascii="Times New Roman" w:hAnsi="Times New Roman" w:cs="Times New Roman"/>
        </w:rPr>
        <w:t xml:space="preserve">Müller, M., Jürgens, J., </w:t>
      </w:r>
      <w:proofErr w:type="spellStart"/>
      <w:r w:rsidRPr="00EC0549">
        <w:rPr>
          <w:rFonts w:ascii="Times New Roman" w:hAnsi="Times New Roman" w:cs="Times New Roman"/>
        </w:rPr>
        <w:t>Redaèlli</w:t>
      </w:r>
      <w:proofErr w:type="spellEnd"/>
      <w:r w:rsidRPr="00EC0549">
        <w:rPr>
          <w:rFonts w:ascii="Times New Roman" w:hAnsi="Times New Roman" w:cs="Times New Roman"/>
        </w:rPr>
        <w:t xml:space="preserve">, M., Klingberg, K., Hautz, W.E. and Stock, S. (2018) “Impact of the communication and patient hand-off tool SBAR on patient safety: A systematic review.” </w:t>
      </w:r>
      <w:r w:rsidRPr="00EC0549">
        <w:rPr>
          <w:rFonts w:ascii="Times New Roman" w:hAnsi="Times New Roman" w:cs="Times New Roman"/>
          <w:i/>
          <w:iCs/>
        </w:rPr>
        <w:t>BMJ Open</w:t>
      </w:r>
      <w:r w:rsidRPr="00EC0549">
        <w:rPr>
          <w:rFonts w:ascii="Times New Roman" w:hAnsi="Times New Roman" w:cs="Times New Roman"/>
        </w:rPr>
        <w:t xml:space="preserve"> 8(8), pp. 1–10. Available at: </w:t>
      </w:r>
      <w:proofErr w:type="spellStart"/>
      <w:r w:rsidRPr="00EC0549">
        <w:rPr>
          <w:rFonts w:ascii="Times New Roman" w:hAnsi="Times New Roman" w:cs="Times New Roman"/>
        </w:rPr>
        <w:t>doi</w:t>
      </w:r>
      <w:proofErr w:type="spellEnd"/>
      <w:r w:rsidRPr="00EC0549">
        <w:rPr>
          <w:rFonts w:ascii="Times New Roman" w:hAnsi="Times New Roman" w:cs="Times New Roman"/>
        </w:rPr>
        <w:t>:</w:t>
      </w:r>
      <w:r w:rsidR="00465715">
        <w:rPr>
          <w:rFonts w:ascii="Times New Roman" w:hAnsi="Times New Roman" w:cs="Times New Roman"/>
        </w:rPr>
        <w:t xml:space="preserve"> </w:t>
      </w:r>
      <w:hyperlink r:id="rId11" w:history="1">
        <w:r w:rsidR="00465715" w:rsidRPr="00866A99">
          <w:rPr>
            <w:rStyle w:val="Hyperlink"/>
            <w:rFonts w:ascii="Times New Roman" w:hAnsi="Times New Roman" w:cs="Times New Roman"/>
          </w:rPr>
          <w:t>https://doi.org/10.1136/bmjopen-2018-022202</w:t>
        </w:r>
      </w:hyperlink>
      <w:r w:rsidRPr="00EC0549">
        <w:rPr>
          <w:rFonts w:ascii="Times New Roman" w:hAnsi="Times New Roman" w:cs="Times New Roman"/>
        </w:rPr>
        <w:t>.</w:t>
      </w:r>
      <w:r w:rsidR="00465715">
        <w:rPr>
          <w:rFonts w:ascii="Times New Roman" w:hAnsi="Times New Roman" w:cs="Times New Roman"/>
        </w:rPr>
        <w:t xml:space="preserve">  </w:t>
      </w:r>
    </w:p>
    <w:p w14:paraId="44846D76" w14:textId="7B7A86FF" w:rsidR="004B28D5" w:rsidRDefault="004B28D5" w:rsidP="004B28D5">
      <w:pPr>
        <w:spacing w:line="480" w:lineRule="auto"/>
        <w:ind w:left="720" w:hanging="720"/>
        <w:rPr>
          <w:rFonts w:ascii="Times New Roman" w:hAnsi="Times New Roman" w:cs="Times New Roman"/>
        </w:rPr>
      </w:pPr>
      <w:r w:rsidRPr="004B28D5">
        <w:rPr>
          <w:rFonts w:ascii="Times New Roman" w:hAnsi="Times New Roman" w:cs="Times New Roman"/>
        </w:rPr>
        <w:t>National Institute for Health and Care Excellence</w:t>
      </w:r>
      <w:r w:rsidR="00E23C14">
        <w:rPr>
          <w:rFonts w:ascii="Times New Roman" w:hAnsi="Times New Roman" w:cs="Times New Roman"/>
        </w:rPr>
        <w:t xml:space="preserve"> (NICE)</w:t>
      </w:r>
      <w:r w:rsidRPr="004B28D5">
        <w:rPr>
          <w:rFonts w:ascii="Times New Roman" w:hAnsi="Times New Roman" w:cs="Times New Roman"/>
        </w:rPr>
        <w:t xml:space="preserve"> (202</w:t>
      </w:r>
      <w:r w:rsidR="00E23C14">
        <w:rPr>
          <w:rFonts w:ascii="Times New Roman" w:hAnsi="Times New Roman" w:cs="Times New Roman"/>
        </w:rPr>
        <w:t>1</w:t>
      </w:r>
      <w:r w:rsidRPr="004B28D5">
        <w:rPr>
          <w:rFonts w:ascii="Times New Roman" w:hAnsi="Times New Roman" w:cs="Times New Roman"/>
        </w:rPr>
        <w:t xml:space="preserve">) </w:t>
      </w:r>
      <w:r w:rsidRPr="004B28D5">
        <w:rPr>
          <w:rFonts w:ascii="Times New Roman" w:hAnsi="Times New Roman" w:cs="Times New Roman"/>
          <w:i/>
          <w:iCs/>
        </w:rPr>
        <w:t>Perioperative care in adults</w:t>
      </w:r>
      <w:r w:rsidRPr="004B28D5">
        <w:rPr>
          <w:rFonts w:ascii="Times New Roman" w:hAnsi="Times New Roman" w:cs="Times New Roman"/>
        </w:rPr>
        <w:t>. Available at: https://www.nice.org.uk/guidance/ng180 (Accessed: 31 July 2026).</w:t>
      </w:r>
    </w:p>
    <w:p w14:paraId="011E8646" w14:textId="77777777" w:rsidR="00E26BEB" w:rsidRDefault="000F2533" w:rsidP="00E26BEB">
      <w:pPr>
        <w:spacing w:line="480" w:lineRule="auto"/>
        <w:ind w:left="720" w:hanging="720"/>
        <w:rPr>
          <w:rFonts w:ascii="Times New Roman" w:hAnsi="Times New Roman" w:cs="Times New Roman"/>
        </w:rPr>
      </w:pPr>
      <w:r w:rsidRPr="000F2533">
        <w:rPr>
          <w:rFonts w:ascii="Times New Roman" w:hAnsi="Times New Roman" w:cs="Times New Roman"/>
        </w:rPr>
        <w:t>NHS England (20</w:t>
      </w:r>
      <w:r>
        <w:rPr>
          <w:rFonts w:ascii="Times New Roman" w:hAnsi="Times New Roman" w:cs="Times New Roman"/>
        </w:rPr>
        <w:t>24</w:t>
      </w:r>
      <w:r w:rsidRPr="000F2533">
        <w:rPr>
          <w:rFonts w:ascii="Times New Roman" w:hAnsi="Times New Roman" w:cs="Times New Roman"/>
        </w:rPr>
        <w:t xml:space="preserve">) </w:t>
      </w:r>
      <w:r w:rsidRPr="000F2533">
        <w:rPr>
          <w:rFonts w:ascii="Times New Roman" w:hAnsi="Times New Roman" w:cs="Times New Roman"/>
          <w:i/>
          <w:iCs/>
        </w:rPr>
        <w:t>The NHS Patient Safety Strategy</w:t>
      </w:r>
      <w:r w:rsidRPr="000F2533">
        <w:rPr>
          <w:rFonts w:ascii="Times New Roman" w:hAnsi="Times New Roman" w:cs="Times New Roman"/>
        </w:rPr>
        <w:t xml:space="preserve">. NHS England. Available at: </w:t>
      </w:r>
      <w:hyperlink r:id="rId12" w:history="1">
        <w:r w:rsidR="00E26BEB" w:rsidRPr="00866A99">
          <w:rPr>
            <w:rStyle w:val="Hyperlink"/>
            <w:rFonts w:ascii="Times New Roman" w:hAnsi="Times New Roman" w:cs="Times New Roman"/>
          </w:rPr>
          <w:t>https://www.england.nhs.uk/patient-safety/the-nhs-patient-safety-strategy/</w:t>
        </w:r>
      </w:hyperlink>
      <w:r w:rsidR="00E26BEB">
        <w:rPr>
          <w:rFonts w:ascii="Times New Roman" w:hAnsi="Times New Roman" w:cs="Times New Roman"/>
        </w:rPr>
        <w:t xml:space="preserve"> </w:t>
      </w:r>
      <w:r w:rsidRPr="000F2533">
        <w:rPr>
          <w:rFonts w:ascii="Times New Roman" w:hAnsi="Times New Roman" w:cs="Times New Roman"/>
        </w:rPr>
        <w:t>(Accessed: 31 July 2026).</w:t>
      </w:r>
    </w:p>
    <w:p w14:paraId="5BB059AA" w14:textId="7295C676" w:rsidR="00500A8C" w:rsidRDefault="00500A8C" w:rsidP="00500A8C">
      <w:pPr>
        <w:spacing w:line="480" w:lineRule="auto"/>
        <w:ind w:left="720" w:hanging="720"/>
        <w:rPr>
          <w:rFonts w:ascii="Times New Roman" w:hAnsi="Times New Roman" w:cs="Times New Roman"/>
        </w:rPr>
      </w:pPr>
      <w:r w:rsidRPr="00500A8C">
        <w:rPr>
          <w:rFonts w:ascii="Times New Roman" w:hAnsi="Times New Roman" w:cs="Times New Roman"/>
        </w:rPr>
        <w:t>NHS England (202</w:t>
      </w:r>
      <w:r>
        <w:rPr>
          <w:rFonts w:ascii="Times New Roman" w:hAnsi="Times New Roman" w:cs="Times New Roman"/>
        </w:rPr>
        <w:t>4</w:t>
      </w:r>
      <w:r w:rsidRPr="00500A8C">
        <w:rPr>
          <w:rFonts w:ascii="Times New Roman" w:hAnsi="Times New Roman" w:cs="Times New Roman"/>
        </w:rPr>
        <w:t xml:space="preserve">) </w:t>
      </w:r>
      <w:r w:rsidRPr="00500A8C">
        <w:rPr>
          <w:rFonts w:ascii="Times New Roman" w:hAnsi="Times New Roman" w:cs="Times New Roman"/>
          <w:i/>
          <w:iCs/>
        </w:rPr>
        <w:t>Medication safety management</w:t>
      </w:r>
      <w:r w:rsidRPr="00500A8C">
        <w:rPr>
          <w:rFonts w:ascii="Times New Roman" w:hAnsi="Times New Roman" w:cs="Times New Roman"/>
        </w:rPr>
        <w:t xml:space="preserve">. Available at: </w:t>
      </w:r>
      <w:hyperlink r:id="rId13" w:history="1">
        <w:r w:rsidRPr="00866A99">
          <w:rPr>
            <w:rStyle w:val="Hyperlink"/>
            <w:rFonts w:ascii="Times New Roman" w:hAnsi="Times New Roman" w:cs="Times New Roman"/>
          </w:rPr>
          <w:t>https://www.england.nhs.uk/long-read/medication-safety-management/</w:t>
        </w:r>
      </w:hyperlink>
      <w:r>
        <w:rPr>
          <w:rFonts w:ascii="Times New Roman" w:hAnsi="Times New Roman" w:cs="Times New Roman"/>
        </w:rPr>
        <w:t xml:space="preserve"> </w:t>
      </w:r>
      <w:r w:rsidRPr="00500A8C">
        <w:rPr>
          <w:rFonts w:ascii="Times New Roman" w:hAnsi="Times New Roman" w:cs="Times New Roman"/>
        </w:rPr>
        <w:t>(Accessed: 9 August 2026).</w:t>
      </w:r>
    </w:p>
    <w:p w14:paraId="1A515A9F" w14:textId="0A137BC5" w:rsidR="00C40E70" w:rsidRDefault="00C40E70" w:rsidP="00C40E70">
      <w:pPr>
        <w:spacing w:line="480" w:lineRule="auto"/>
        <w:ind w:left="720" w:hanging="720"/>
        <w:rPr>
          <w:rFonts w:ascii="Times New Roman" w:hAnsi="Times New Roman" w:cs="Times New Roman"/>
        </w:rPr>
      </w:pPr>
      <w:r w:rsidRPr="00C40E70">
        <w:rPr>
          <w:rFonts w:ascii="Times New Roman" w:hAnsi="Times New Roman" w:cs="Times New Roman"/>
        </w:rPr>
        <w:t>NHS England (202</w:t>
      </w:r>
      <w:r>
        <w:rPr>
          <w:rFonts w:ascii="Times New Roman" w:hAnsi="Times New Roman" w:cs="Times New Roman"/>
        </w:rPr>
        <w:t>5</w:t>
      </w:r>
      <w:r w:rsidRPr="00C40E70">
        <w:rPr>
          <w:rFonts w:ascii="Times New Roman" w:hAnsi="Times New Roman" w:cs="Times New Roman"/>
        </w:rPr>
        <w:t xml:space="preserve">) </w:t>
      </w:r>
      <w:r w:rsidRPr="00C40E70">
        <w:rPr>
          <w:rFonts w:ascii="Times New Roman" w:hAnsi="Times New Roman" w:cs="Times New Roman"/>
          <w:i/>
          <w:iCs/>
        </w:rPr>
        <w:t>Medication safety</w:t>
      </w:r>
      <w:r w:rsidRPr="00C40E70">
        <w:rPr>
          <w:rFonts w:ascii="Times New Roman" w:hAnsi="Times New Roman" w:cs="Times New Roman"/>
        </w:rPr>
        <w:t>. Available at: https://www.england.nhs.uk/patient-safety/patient-safety-insight/patient-safety-alerts/enduring-standards/standards-that-remain-valid/medication-safety/ (Accessed: 9 August 2026).</w:t>
      </w:r>
    </w:p>
    <w:p w14:paraId="06941322" w14:textId="4342EF59" w:rsidR="00777F62" w:rsidRPr="00C40E70" w:rsidRDefault="00777F62" w:rsidP="00C40E70">
      <w:pPr>
        <w:spacing w:line="480" w:lineRule="auto"/>
        <w:ind w:left="720" w:hanging="720"/>
        <w:rPr>
          <w:rFonts w:ascii="Times New Roman" w:hAnsi="Times New Roman" w:cs="Times New Roman"/>
        </w:rPr>
      </w:pPr>
      <w:r w:rsidRPr="00777F62">
        <w:rPr>
          <w:rFonts w:ascii="Times New Roman" w:hAnsi="Times New Roman" w:cs="Times New Roman"/>
        </w:rPr>
        <w:t xml:space="preserve">Northouse, P.G. (2022) </w:t>
      </w:r>
      <w:r w:rsidRPr="00777F62">
        <w:rPr>
          <w:rFonts w:ascii="Times New Roman" w:hAnsi="Times New Roman" w:cs="Times New Roman"/>
          <w:i/>
          <w:iCs/>
        </w:rPr>
        <w:t>Leadership: Theory and Practice</w:t>
      </w:r>
      <w:r w:rsidRPr="00777F62">
        <w:rPr>
          <w:rFonts w:ascii="Times New Roman" w:hAnsi="Times New Roman" w:cs="Times New Roman"/>
        </w:rPr>
        <w:t xml:space="preserve">. 9th </w:t>
      </w:r>
      <w:proofErr w:type="spellStart"/>
      <w:r w:rsidRPr="00777F62">
        <w:rPr>
          <w:rFonts w:ascii="Times New Roman" w:hAnsi="Times New Roman" w:cs="Times New Roman"/>
        </w:rPr>
        <w:t>edn</w:t>
      </w:r>
      <w:proofErr w:type="spellEnd"/>
      <w:r w:rsidRPr="00777F62">
        <w:rPr>
          <w:rFonts w:ascii="Times New Roman" w:hAnsi="Times New Roman" w:cs="Times New Roman"/>
        </w:rPr>
        <w:t xml:space="preserve">. Thousand Oaks, CA: Sage.  </w:t>
      </w:r>
    </w:p>
    <w:p w14:paraId="65E8A8D3" w14:textId="41610FC0" w:rsidR="00ED5932" w:rsidRDefault="00E26BEB" w:rsidP="00ED5932">
      <w:pPr>
        <w:spacing w:line="480" w:lineRule="auto"/>
        <w:ind w:left="720" w:hanging="720"/>
        <w:rPr>
          <w:rFonts w:ascii="Times New Roman" w:hAnsi="Times New Roman" w:cs="Times New Roman"/>
        </w:rPr>
      </w:pPr>
      <w:proofErr w:type="spellStart"/>
      <w:r w:rsidRPr="00E26BEB">
        <w:rPr>
          <w:rFonts w:ascii="Times New Roman" w:hAnsi="Times New Roman" w:cs="Times New Roman"/>
        </w:rPr>
        <w:t>Organisation</w:t>
      </w:r>
      <w:proofErr w:type="spellEnd"/>
      <w:r w:rsidRPr="00E26BEB">
        <w:rPr>
          <w:rFonts w:ascii="Times New Roman" w:hAnsi="Times New Roman" w:cs="Times New Roman"/>
        </w:rPr>
        <w:t xml:space="preserve"> for Economic Co-operation and Development (OECD) (2023) </w:t>
      </w:r>
      <w:r w:rsidRPr="00E26BEB">
        <w:rPr>
          <w:rFonts w:ascii="Times New Roman" w:hAnsi="Times New Roman" w:cs="Times New Roman"/>
          <w:i/>
          <w:iCs/>
        </w:rPr>
        <w:t>Health at a glance 2023</w:t>
      </w:r>
      <w:r w:rsidRPr="00E26BEB">
        <w:rPr>
          <w:rFonts w:ascii="Times New Roman" w:hAnsi="Times New Roman" w:cs="Times New Roman"/>
        </w:rPr>
        <w:t xml:space="preserve">. Available at: </w:t>
      </w:r>
      <w:hyperlink r:id="rId14" w:history="1">
        <w:r w:rsidR="005D6161" w:rsidRPr="00866A99">
          <w:rPr>
            <w:rStyle w:val="Hyperlink"/>
            <w:rFonts w:ascii="Times New Roman" w:hAnsi="Times New Roman" w:cs="Times New Roman"/>
          </w:rPr>
          <w:t>https://www.oecd.org/en/publications/2023/11/health-at-a-glance-2023_e04f8239.html</w:t>
        </w:r>
      </w:hyperlink>
      <w:r w:rsidR="005D6161">
        <w:rPr>
          <w:rFonts w:ascii="Times New Roman" w:hAnsi="Times New Roman" w:cs="Times New Roman"/>
        </w:rPr>
        <w:t xml:space="preserve"> </w:t>
      </w:r>
      <w:r w:rsidRPr="00E26BEB">
        <w:rPr>
          <w:rFonts w:ascii="Times New Roman" w:hAnsi="Times New Roman" w:cs="Times New Roman"/>
        </w:rPr>
        <w:t>(Accessed: 31 July 2026).</w:t>
      </w:r>
    </w:p>
    <w:p w14:paraId="0CF81C26" w14:textId="580C229B" w:rsidR="00926895" w:rsidRPr="00926895" w:rsidRDefault="00926895" w:rsidP="00926895">
      <w:pPr>
        <w:spacing w:line="480" w:lineRule="auto"/>
        <w:ind w:left="720" w:hanging="720"/>
        <w:rPr>
          <w:rFonts w:ascii="Times New Roman" w:hAnsi="Times New Roman" w:cs="Times New Roman"/>
        </w:rPr>
      </w:pPr>
      <w:r w:rsidRPr="00926895">
        <w:rPr>
          <w:rFonts w:ascii="Times New Roman" w:hAnsi="Times New Roman" w:cs="Times New Roman"/>
        </w:rPr>
        <w:t xml:space="preserve">Patient Safety Commissioner (2024) </w:t>
      </w:r>
      <w:r w:rsidRPr="00926895">
        <w:rPr>
          <w:rFonts w:ascii="Times New Roman" w:hAnsi="Times New Roman" w:cs="Times New Roman"/>
          <w:i/>
          <w:iCs/>
        </w:rPr>
        <w:t>Annual report 2023-24</w:t>
      </w:r>
      <w:r w:rsidRPr="00926895">
        <w:rPr>
          <w:rFonts w:ascii="Times New Roman" w:hAnsi="Times New Roman" w:cs="Times New Roman"/>
        </w:rPr>
        <w:t>. Available at: https://www.patientsafetycommissioner.org.uk/our-reports/annual-report-2023-24/ (Accessed: 9 August 2026).</w:t>
      </w:r>
    </w:p>
    <w:p w14:paraId="537C7A7C" w14:textId="7A70E4F2" w:rsidR="00384AEA" w:rsidRDefault="00384AEA" w:rsidP="00384AEA">
      <w:pPr>
        <w:spacing w:line="480" w:lineRule="auto"/>
        <w:ind w:left="720" w:hanging="720"/>
        <w:rPr>
          <w:rFonts w:ascii="Times New Roman" w:hAnsi="Times New Roman" w:cs="Times New Roman"/>
        </w:rPr>
      </w:pPr>
      <w:r w:rsidRPr="00384AEA">
        <w:rPr>
          <w:rFonts w:ascii="Times New Roman" w:hAnsi="Times New Roman" w:cs="Times New Roman"/>
        </w:rPr>
        <w:t xml:space="preserve">Reason, J. (2000) “Human error: Models and management.” </w:t>
      </w:r>
      <w:r w:rsidRPr="00384AEA">
        <w:rPr>
          <w:rFonts w:ascii="Times New Roman" w:hAnsi="Times New Roman" w:cs="Times New Roman"/>
          <w:i/>
          <w:iCs/>
        </w:rPr>
        <w:t>British Medical Journal</w:t>
      </w:r>
      <w:r w:rsidRPr="00384AEA">
        <w:rPr>
          <w:rFonts w:ascii="Times New Roman" w:hAnsi="Times New Roman" w:cs="Times New Roman"/>
        </w:rPr>
        <w:t xml:space="preserve"> 320(7237), pp. 768–770. Available at: doi:10.1136/bmj.320.7237.768.</w:t>
      </w:r>
    </w:p>
    <w:p w14:paraId="623DB6E9" w14:textId="70557285" w:rsidR="009322A7" w:rsidRDefault="009322A7" w:rsidP="009322A7">
      <w:pPr>
        <w:spacing w:line="480" w:lineRule="auto"/>
        <w:ind w:left="720" w:hanging="720"/>
        <w:rPr>
          <w:rFonts w:ascii="Times New Roman" w:hAnsi="Times New Roman" w:cs="Times New Roman"/>
        </w:rPr>
      </w:pPr>
      <w:r w:rsidRPr="009322A7">
        <w:rPr>
          <w:rFonts w:ascii="Times New Roman" w:hAnsi="Times New Roman" w:cs="Times New Roman"/>
        </w:rPr>
        <w:t xml:space="preserve">Scally, G. and Donaldson, L.J. (1998) “Looking forward: Clinical governance and the drive for quality improvement in the new NHS in England.” </w:t>
      </w:r>
      <w:r w:rsidRPr="009322A7">
        <w:rPr>
          <w:rFonts w:ascii="Times New Roman" w:hAnsi="Times New Roman" w:cs="Times New Roman"/>
          <w:i/>
          <w:iCs/>
        </w:rPr>
        <w:t>British Medical Journal</w:t>
      </w:r>
      <w:r w:rsidRPr="009322A7">
        <w:rPr>
          <w:rFonts w:ascii="Times New Roman" w:hAnsi="Times New Roman" w:cs="Times New Roman"/>
        </w:rPr>
        <w:t xml:space="preserve"> 317(7150), pp. 61–65. Available at: doi:10.1136/bmj.317.7150.61 (Accessed: 9 August 2026).</w:t>
      </w:r>
    </w:p>
    <w:p w14:paraId="226C0659" w14:textId="13CE9C24" w:rsidR="00C15112" w:rsidRPr="00C15112" w:rsidRDefault="00C15112" w:rsidP="00C15112">
      <w:pPr>
        <w:spacing w:line="480" w:lineRule="auto"/>
        <w:ind w:left="720" w:hanging="720"/>
        <w:rPr>
          <w:rFonts w:ascii="Times New Roman" w:hAnsi="Times New Roman" w:cs="Times New Roman"/>
        </w:rPr>
      </w:pPr>
      <w:r w:rsidRPr="00C15112">
        <w:rPr>
          <w:rFonts w:ascii="Times New Roman" w:hAnsi="Times New Roman" w:cs="Times New Roman"/>
        </w:rPr>
        <w:t>Shahid, S. and Thomas, S. (2020) “Situation, background, assessment, recommendation (SBAR) communication tool for handoff in health care</w:t>
      </w:r>
      <w:r w:rsidR="008545FE">
        <w:rPr>
          <w:rFonts w:ascii="Times New Roman" w:hAnsi="Times New Roman" w:cs="Times New Roman"/>
        </w:rPr>
        <w:t xml:space="preserve">: </w:t>
      </w:r>
      <w:r w:rsidRPr="00C15112">
        <w:rPr>
          <w:rFonts w:ascii="Times New Roman" w:hAnsi="Times New Roman" w:cs="Times New Roman"/>
        </w:rPr>
        <w:t xml:space="preserve">A narrative review.” </w:t>
      </w:r>
      <w:r w:rsidRPr="00C15112">
        <w:rPr>
          <w:rFonts w:ascii="Times New Roman" w:hAnsi="Times New Roman" w:cs="Times New Roman"/>
          <w:i/>
          <w:iCs/>
        </w:rPr>
        <w:t>Safety in Health</w:t>
      </w:r>
      <w:r w:rsidRPr="00C15112">
        <w:rPr>
          <w:rFonts w:ascii="Times New Roman" w:hAnsi="Times New Roman" w:cs="Times New Roman"/>
        </w:rPr>
        <w:t xml:space="preserve"> 4(1), pp. 1–9. Available at: </w:t>
      </w:r>
      <w:hyperlink r:id="rId15" w:history="1">
        <w:r w:rsidRPr="00866A99">
          <w:rPr>
            <w:rStyle w:val="Hyperlink"/>
            <w:rFonts w:ascii="Times New Roman" w:hAnsi="Times New Roman" w:cs="Times New Roman"/>
          </w:rPr>
          <w:t>https://safetyinhealth.biomedcentral.com/articles/10.1186/s40886-018-0073-1</w:t>
        </w:r>
      </w:hyperlink>
      <w:r>
        <w:rPr>
          <w:rFonts w:ascii="Times New Roman" w:hAnsi="Times New Roman" w:cs="Times New Roman"/>
        </w:rPr>
        <w:t xml:space="preserve"> </w:t>
      </w:r>
      <w:r w:rsidRPr="00C15112">
        <w:rPr>
          <w:rFonts w:ascii="Times New Roman" w:hAnsi="Times New Roman" w:cs="Times New Roman"/>
        </w:rPr>
        <w:t>(Accessed: 9 August 2026).</w:t>
      </w:r>
    </w:p>
    <w:p w14:paraId="0CD607E7" w14:textId="7FA5064A" w:rsidR="002A6BB2" w:rsidRDefault="002A6BB2" w:rsidP="002A6BB2">
      <w:pPr>
        <w:spacing w:line="480" w:lineRule="auto"/>
        <w:ind w:left="720" w:hanging="720"/>
        <w:rPr>
          <w:rFonts w:ascii="Times New Roman" w:hAnsi="Times New Roman" w:cs="Times New Roman"/>
        </w:rPr>
      </w:pPr>
      <w:r w:rsidRPr="002A6BB2">
        <w:rPr>
          <w:rFonts w:ascii="Times New Roman" w:hAnsi="Times New Roman" w:cs="Times New Roman"/>
        </w:rPr>
        <w:t xml:space="preserve">Shrestha, O., Joshi, H., San, S. and Richards, J. (2025) “Improving safe initiation of direct oral anticoagulant therapy: A two-cycle quality improvement project.” </w:t>
      </w:r>
      <w:r w:rsidRPr="002A6BB2">
        <w:rPr>
          <w:rFonts w:ascii="Times New Roman" w:hAnsi="Times New Roman" w:cs="Times New Roman"/>
          <w:i/>
          <w:iCs/>
        </w:rPr>
        <w:t>Cureus</w:t>
      </w:r>
      <w:r w:rsidRPr="002A6BB2">
        <w:rPr>
          <w:rFonts w:ascii="Times New Roman" w:hAnsi="Times New Roman" w:cs="Times New Roman"/>
        </w:rPr>
        <w:t>. Available at: doi:10.7759/cureus.91646 (Accessed: 9 August 2026).</w:t>
      </w:r>
    </w:p>
    <w:p w14:paraId="0261176C" w14:textId="62B5A411" w:rsidR="00E16AFD" w:rsidRPr="00E16AFD" w:rsidRDefault="00E16AFD" w:rsidP="00E16AFD">
      <w:pPr>
        <w:spacing w:line="480" w:lineRule="auto"/>
        <w:ind w:left="720" w:hanging="720"/>
        <w:rPr>
          <w:rFonts w:ascii="Times New Roman" w:hAnsi="Times New Roman" w:cs="Times New Roman"/>
        </w:rPr>
      </w:pPr>
      <w:r w:rsidRPr="00E16AFD">
        <w:rPr>
          <w:rFonts w:ascii="Times New Roman" w:hAnsi="Times New Roman" w:cs="Times New Roman"/>
        </w:rPr>
        <w:t>Sreeramareddy, C.T. and Sathyanarayana, T. (2019) “</w:t>
      </w:r>
      <w:proofErr w:type="spellStart"/>
      <w:r w:rsidRPr="00E16AFD">
        <w:rPr>
          <w:rFonts w:ascii="Times New Roman" w:hAnsi="Times New Roman" w:cs="Times New Roman"/>
        </w:rPr>
        <w:t>Decentralised</w:t>
      </w:r>
      <w:proofErr w:type="spellEnd"/>
      <w:r w:rsidRPr="00E16AFD">
        <w:rPr>
          <w:rFonts w:ascii="Times New Roman" w:hAnsi="Times New Roman" w:cs="Times New Roman"/>
        </w:rPr>
        <w:t xml:space="preserve"> versus </w:t>
      </w:r>
      <w:proofErr w:type="spellStart"/>
      <w:r w:rsidRPr="00E16AFD">
        <w:rPr>
          <w:rFonts w:ascii="Times New Roman" w:hAnsi="Times New Roman" w:cs="Times New Roman"/>
        </w:rPr>
        <w:t>centralised</w:t>
      </w:r>
      <w:proofErr w:type="spellEnd"/>
      <w:r w:rsidRPr="00E16AFD">
        <w:rPr>
          <w:rFonts w:ascii="Times New Roman" w:hAnsi="Times New Roman" w:cs="Times New Roman"/>
        </w:rPr>
        <w:t xml:space="preserve"> governance of health services.” </w:t>
      </w:r>
      <w:r w:rsidRPr="00E16AFD">
        <w:rPr>
          <w:rFonts w:ascii="Times New Roman" w:hAnsi="Times New Roman" w:cs="Times New Roman"/>
          <w:i/>
          <w:iCs/>
        </w:rPr>
        <w:t>Cochrane Database of Systematic Reviews</w:t>
      </w:r>
      <w:r w:rsidRPr="00E16AFD">
        <w:rPr>
          <w:rFonts w:ascii="Times New Roman" w:hAnsi="Times New Roman" w:cs="Times New Roman"/>
        </w:rPr>
        <w:t xml:space="preserve">. Available at: </w:t>
      </w:r>
      <w:proofErr w:type="gramStart"/>
      <w:r w:rsidRPr="00E16AFD">
        <w:rPr>
          <w:rFonts w:ascii="Times New Roman" w:hAnsi="Times New Roman" w:cs="Times New Roman"/>
        </w:rPr>
        <w:t>doi:10.1002/14651858.cd010830.pub2</w:t>
      </w:r>
      <w:proofErr w:type="gramEnd"/>
      <w:r w:rsidRPr="00E16AFD">
        <w:rPr>
          <w:rFonts w:ascii="Times New Roman" w:hAnsi="Times New Roman" w:cs="Times New Roman"/>
        </w:rPr>
        <w:t xml:space="preserve"> (Accessed: 9 August 2026).</w:t>
      </w:r>
    </w:p>
    <w:p w14:paraId="45F8C872" w14:textId="77777777" w:rsidR="00926895" w:rsidRDefault="00926895" w:rsidP="00926895">
      <w:pPr>
        <w:spacing w:line="480" w:lineRule="auto"/>
        <w:ind w:left="720" w:hanging="720"/>
        <w:rPr>
          <w:rFonts w:ascii="Times New Roman" w:hAnsi="Times New Roman" w:cs="Times New Roman"/>
        </w:rPr>
      </w:pPr>
      <w:r w:rsidRPr="00926895">
        <w:rPr>
          <w:rFonts w:ascii="Times New Roman" w:hAnsi="Times New Roman" w:cs="Times New Roman"/>
        </w:rPr>
        <w:t xml:space="preserve">Senge, P.M. (2006) </w:t>
      </w:r>
      <w:r w:rsidRPr="00926895">
        <w:rPr>
          <w:rFonts w:ascii="Times New Roman" w:hAnsi="Times New Roman" w:cs="Times New Roman"/>
          <w:i/>
          <w:iCs/>
        </w:rPr>
        <w:t>The fifth discipline</w:t>
      </w:r>
      <w:r w:rsidRPr="00926895">
        <w:rPr>
          <w:rFonts w:ascii="Times New Roman" w:hAnsi="Times New Roman" w:cs="Times New Roman"/>
        </w:rPr>
        <w:t>. Random House.</w:t>
      </w:r>
    </w:p>
    <w:p w14:paraId="21A0798B" w14:textId="366FD11A" w:rsidR="008E6837" w:rsidRPr="008E6837" w:rsidRDefault="008E6837" w:rsidP="008E6837">
      <w:pPr>
        <w:spacing w:line="480" w:lineRule="auto"/>
        <w:ind w:left="720" w:hanging="720"/>
        <w:rPr>
          <w:rFonts w:ascii="Times New Roman" w:hAnsi="Times New Roman" w:cs="Times New Roman"/>
        </w:rPr>
      </w:pPr>
      <w:r w:rsidRPr="008E6837">
        <w:rPr>
          <w:rFonts w:ascii="Times New Roman" w:hAnsi="Times New Roman" w:cs="Times New Roman"/>
        </w:rPr>
        <w:t xml:space="preserve">Wang, X., Liu, Y., Peng, Z., Li, B., Liang, Q., Liao, S. and Liu, M. (2024) “Situational leadership theory in nursing management: A scoping review.” </w:t>
      </w:r>
      <w:r w:rsidRPr="008E6837">
        <w:rPr>
          <w:rFonts w:ascii="Times New Roman" w:hAnsi="Times New Roman" w:cs="Times New Roman"/>
          <w:i/>
          <w:iCs/>
        </w:rPr>
        <w:t>BMC Nursing</w:t>
      </w:r>
      <w:r w:rsidRPr="008E6837">
        <w:rPr>
          <w:rFonts w:ascii="Times New Roman" w:hAnsi="Times New Roman" w:cs="Times New Roman"/>
        </w:rPr>
        <w:t xml:space="preserve"> 23(1). Available at: </w:t>
      </w:r>
      <w:proofErr w:type="spellStart"/>
      <w:proofErr w:type="gramStart"/>
      <w:r w:rsidRPr="008E6837">
        <w:rPr>
          <w:rFonts w:ascii="Times New Roman" w:hAnsi="Times New Roman" w:cs="Times New Roman"/>
        </w:rPr>
        <w:t>doi:https</w:t>
      </w:r>
      <w:proofErr w:type="spellEnd"/>
      <w:r w:rsidRPr="008E6837">
        <w:rPr>
          <w:rFonts w:ascii="Times New Roman" w:hAnsi="Times New Roman" w:cs="Times New Roman"/>
        </w:rPr>
        <w:t>://doi.org/10.1186/s12912-024-02582-9</w:t>
      </w:r>
      <w:proofErr w:type="gramEnd"/>
      <w:r w:rsidRPr="008E6837">
        <w:rPr>
          <w:rFonts w:ascii="Times New Roman" w:hAnsi="Times New Roman" w:cs="Times New Roman"/>
        </w:rPr>
        <w:t xml:space="preserve"> (Accessed: 9 August 2026).</w:t>
      </w:r>
    </w:p>
    <w:p w14:paraId="6F9F5A3A" w14:textId="6120A0FC" w:rsidR="00233DC9" w:rsidRDefault="00233DC9" w:rsidP="00233DC9">
      <w:pPr>
        <w:spacing w:line="480" w:lineRule="auto"/>
        <w:ind w:left="720" w:hanging="720"/>
        <w:rPr>
          <w:rFonts w:ascii="Times New Roman" w:hAnsi="Times New Roman" w:cs="Times New Roman"/>
        </w:rPr>
      </w:pPr>
      <w:r w:rsidRPr="00233DC9">
        <w:rPr>
          <w:rFonts w:ascii="Times New Roman" w:hAnsi="Times New Roman" w:cs="Times New Roman"/>
        </w:rPr>
        <w:t xml:space="preserve">West, M., Armit, K., Loewenthal, L., Eckert, R., West, T. and Lee, A. (2015) </w:t>
      </w:r>
      <w:r w:rsidRPr="00233DC9">
        <w:rPr>
          <w:rFonts w:ascii="Times New Roman" w:hAnsi="Times New Roman" w:cs="Times New Roman"/>
          <w:i/>
          <w:iCs/>
        </w:rPr>
        <w:t>Leadership and Leadership Development in Health Care</w:t>
      </w:r>
      <w:r w:rsidRPr="00233DC9">
        <w:rPr>
          <w:rFonts w:ascii="Times New Roman" w:hAnsi="Times New Roman" w:cs="Times New Roman"/>
        </w:rPr>
        <w:t xml:space="preserve">. Available at: </w:t>
      </w:r>
      <w:hyperlink r:id="rId16" w:history="1">
        <w:r w:rsidRPr="00866A99">
          <w:rPr>
            <w:rStyle w:val="Hyperlink"/>
            <w:rFonts w:ascii="Times New Roman" w:hAnsi="Times New Roman" w:cs="Times New Roman"/>
          </w:rPr>
          <w:t>https://www.kingsfund.org.uk/insight-and-analysis/reports/leadership-development-health-care</w:t>
        </w:r>
      </w:hyperlink>
      <w:r>
        <w:rPr>
          <w:rFonts w:ascii="Times New Roman" w:hAnsi="Times New Roman" w:cs="Times New Roman"/>
        </w:rPr>
        <w:t xml:space="preserve"> </w:t>
      </w:r>
      <w:r w:rsidRPr="00233DC9">
        <w:rPr>
          <w:rFonts w:ascii="Times New Roman" w:hAnsi="Times New Roman" w:cs="Times New Roman"/>
        </w:rPr>
        <w:t>(Accessed: 31 July 2026).</w:t>
      </w:r>
    </w:p>
    <w:p w14:paraId="37D2AA54" w14:textId="6115A019" w:rsidR="009D316F" w:rsidRDefault="00233DC9" w:rsidP="00233DC9">
      <w:pPr>
        <w:spacing w:line="480" w:lineRule="auto"/>
        <w:ind w:left="720" w:hanging="720"/>
        <w:rPr>
          <w:rFonts w:ascii="Times New Roman" w:hAnsi="Times New Roman" w:cs="Times New Roman"/>
        </w:rPr>
      </w:pPr>
      <w:r w:rsidRPr="00233DC9">
        <w:rPr>
          <w:rFonts w:ascii="Times New Roman" w:hAnsi="Times New Roman" w:cs="Times New Roman"/>
        </w:rPr>
        <w:t xml:space="preserve">World Health </w:t>
      </w:r>
      <w:proofErr w:type="spellStart"/>
      <w:r w:rsidRPr="00233DC9">
        <w:rPr>
          <w:rFonts w:ascii="Times New Roman" w:hAnsi="Times New Roman" w:cs="Times New Roman"/>
        </w:rPr>
        <w:t>Organi</w:t>
      </w:r>
      <w:r w:rsidR="00AE1140">
        <w:rPr>
          <w:rFonts w:ascii="Times New Roman" w:hAnsi="Times New Roman" w:cs="Times New Roman"/>
        </w:rPr>
        <w:t>s</w:t>
      </w:r>
      <w:r w:rsidRPr="00233DC9">
        <w:rPr>
          <w:rFonts w:ascii="Times New Roman" w:hAnsi="Times New Roman" w:cs="Times New Roman"/>
        </w:rPr>
        <w:t>ation</w:t>
      </w:r>
      <w:proofErr w:type="spellEnd"/>
      <w:r w:rsidRPr="00233DC9">
        <w:rPr>
          <w:rFonts w:ascii="Times New Roman" w:hAnsi="Times New Roman" w:cs="Times New Roman"/>
        </w:rPr>
        <w:t xml:space="preserve"> (2024) </w:t>
      </w:r>
      <w:r w:rsidRPr="00233DC9">
        <w:rPr>
          <w:rFonts w:ascii="Times New Roman" w:hAnsi="Times New Roman" w:cs="Times New Roman"/>
          <w:i/>
          <w:iCs/>
        </w:rPr>
        <w:t>Global Patient Safety Report 2024</w:t>
      </w:r>
      <w:r w:rsidRPr="00233DC9">
        <w:rPr>
          <w:rFonts w:ascii="Times New Roman" w:hAnsi="Times New Roman" w:cs="Times New Roman"/>
        </w:rPr>
        <w:t xml:space="preserve">. World Health </w:t>
      </w:r>
      <w:proofErr w:type="spellStart"/>
      <w:r w:rsidRPr="00233DC9">
        <w:rPr>
          <w:rFonts w:ascii="Times New Roman" w:hAnsi="Times New Roman" w:cs="Times New Roman"/>
        </w:rPr>
        <w:t>Organi</w:t>
      </w:r>
      <w:r w:rsidR="00AE1140">
        <w:rPr>
          <w:rFonts w:ascii="Times New Roman" w:hAnsi="Times New Roman" w:cs="Times New Roman"/>
        </w:rPr>
        <w:t>s</w:t>
      </w:r>
      <w:r w:rsidRPr="00233DC9">
        <w:rPr>
          <w:rFonts w:ascii="Times New Roman" w:hAnsi="Times New Roman" w:cs="Times New Roman"/>
        </w:rPr>
        <w:t>ation</w:t>
      </w:r>
      <w:proofErr w:type="spellEnd"/>
      <w:r w:rsidRPr="00233DC9">
        <w:rPr>
          <w:rFonts w:ascii="Times New Roman" w:hAnsi="Times New Roman" w:cs="Times New Roman"/>
        </w:rPr>
        <w:t>.</w:t>
      </w:r>
    </w:p>
    <w:p w14:paraId="48C43A20" w14:textId="37C9BBA9" w:rsidR="009322A7" w:rsidRDefault="009322A7" w:rsidP="009322A7">
      <w:pPr>
        <w:spacing w:line="480" w:lineRule="auto"/>
        <w:ind w:left="720" w:hanging="720"/>
        <w:rPr>
          <w:rFonts w:ascii="Times New Roman" w:hAnsi="Times New Roman" w:cs="Times New Roman"/>
        </w:rPr>
      </w:pPr>
      <w:r w:rsidRPr="009322A7">
        <w:rPr>
          <w:rFonts w:ascii="Times New Roman" w:hAnsi="Times New Roman" w:cs="Times New Roman"/>
        </w:rPr>
        <w:t xml:space="preserve">WHO (2023) </w:t>
      </w:r>
      <w:r w:rsidRPr="009322A7">
        <w:rPr>
          <w:rFonts w:ascii="Times New Roman" w:hAnsi="Times New Roman" w:cs="Times New Roman"/>
          <w:i/>
          <w:iCs/>
        </w:rPr>
        <w:t>Global burden of preventable medication-related harm in health care: A systematic review</w:t>
      </w:r>
      <w:r w:rsidRPr="009322A7">
        <w:rPr>
          <w:rFonts w:ascii="Times New Roman" w:hAnsi="Times New Roman" w:cs="Times New Roman"/>
        </w:rPr>
        <w:t xml:space="preserve">. Available at: </w:t>
      </w:r>
      <w:hyperlink r:id="rId17" w:history="1">
        <w:r w:rsidR="00183343" w:rsidRPr="00866A99">
          <w:rPr>
            <w:rStyle w:val="Hyperlink"/>
            <w:rFonts w:ascii="Times New Roman" w:hAnsi="Times New Roman" w:cs="Times New Roman"/>
          </w:rPr>
          <w:t>https://www.who.int/publications/i/item/9789240088887</w:t>
        </w:r>
      </w:hyperlink>
      <w:r w:rsidR="00183343">
        <w:rPr>
          <w:rFonts w:ascii="Times New Roman" w:hAnsi="Times New Roman" w:cs="Times New Roman"/>
        </w:rPr>
        <w:t xml:space="preserve"> </w:t>
      </w:r>
      <w:r w:rsidRPr="009322A7">
        <w:rPr>
          <w:rFonts w:ascii="Times New Roman" w:hAnsi="Times New Roman" w:cs="Times New Roman"/>
        </w:rPr>
        <w:t>(Accessed: 9 August 2026).</w:t>
      </w:r>
    </w:p>
    <w:p w14:paraId="0C08E0BD" w14:textId="439ADC6A" w:rsidR="005D2A99" w:rsidRPr="005D2A99" w:rsidRDefault="005D2A99" w:rsidP="005D2A99">
      <w:pPr>
        <w:spacing w:line="480" w:lineRule="auto"/>
        <w:ind w:left="720" w:hanging="720"/>
        <w:rPr>
          <w:rFonts w:ascii="Times New Roman" w:hAnsi="Times New Roman" w:cs="Times New Roman"/>
        </w:rPr>
      </w:pPr>
      <w:proofErr w:type="spellStart"/>
      <w:r w:rsidRPr="005D2A99">
        <w:rPr>
          <w:rFonts w:ascii="Times New Roman" w:hAnsi="Times New Roman" w:cs="Times New Roman"/>
        </w:rPr>
        <w:t>Ystaas</w:t>
      </w:r>
      <w:proofErr w:type="spellEnd"/>
      <w:r w:rsidRPr="005D2A99">
        <w:rPr>
          <w:rFonts w:ascii="Times New Roman" w:hAnsi="Times New Roman" w:cs="Times New Roman"/>
        </w:rPr>
        <w:t xml:space="preserve">, L.M.K., </w:t>
      </w:r>
      <w:proofErr w:type="spellStart"/>
      <w:r w:rsidRPr="005D2A99">
        <w:rPr>
          <w:rFonts w:ascii="Times New Roman" w:hAnsi="Times New Roman" w:cs="Times New Roman"/>
        </w:rPr>
        <w:t>Nikitara</w:t>
      </w:r>
      <w:proofErr w:type="spellEnd"/>
      <w:r w:rsidRPr="005D2A99">
        <w:rPr>
          <w:rFonts w:ascii="Times New Roman" w:hAnsi="Times New Roman" w:cs="Times New Roman"/>
        </w:rPr>
        <w:t xml:space="preserve">, M., Ghobrial, S., </w:t>
      </w:r>
      <w:proofErr w:type="spellStart"/>
      <w:r w:rsidRPr="005D2A99">
        <w:rPr>
          <w:rFonts w:ascii="Times New Roman" w:hAnsi="Times New Roman" w:cs="Times New Roman"/>
        </w:rPr>
        <w:t>Latzourakis</w:t>
      </w:r>
      <w:proofErr w:type="spellEnd"/>
      <w:r w:rsidRPr="005D2A99">
        <w:rPr>
          <w:rFonts w:ascii="Times New Roman" w:hAnsi="Times New Roman" w:cs="Times New Roman"/>
        </w:rPr>
        <w:t xml:space="preserve">, E., Polychronis, G. and Constantinou, C.S. (2023) “The impact of transformational leadership in the nursing work environment and patients’ outcomes: A systematic review.” </w:t>
      </w:r>
      <w:r w:rsidRPr="005D2A99">
        <w:rPr>
          <w:rFonts w:ascii="Times New Roman" w:hAnsi="Times New Roman" w:cs="Times New Roman"/>
          <w:i/>
          <w:iCs/>
        </w:rPr>
        <w:t>Nursing Reports</w:t>
      </w:r>
      <w:r w:rsidRPr="005D2A99">
        <w:rPr>
          <w:rFonts w:ascii="Times New Roman" w:hAnsi="Times New Roman" w:cs="Times New Roman"/>
        </w:rPr>
        <w:t xml:space="preserve"> 13(3), pp. 1271–1290. Available at: doi:10.3390/nursrep13030108 (Accessed: 9 August 2026).</w:t>
      </w:r>
    </w:p>
    <w:p w14:paraId="15ABD4E9" w14:textId="77777777" w:rsidR="009D316F" w:rsidRDefault="009D316F">
      <w:pPr>
        <w:rPr>
          <w:rFonts w:ascii="Times New Roman" w:hAnsi="Times New Roman" w:cs="Times New Roman"/>
        </w:rPr>
      </w:pPr>
      <w:r>
        <w:rPr>
          <w:rFonts w:ascii="Times New Roman" w:hAnsi="Times New Roman" w:cs="Times New Roman"/>
        </w:rPr>
        <w:br w:type="page"/>
      </w:r>
    </w:p>
    <w:p w14:paraId="11EB6E91" w14:textId="069C01FB" w:rsidR="009D316F" w:rsidRDefault="009D316F" w:rsidP="009D316F">
      <w:pPr>
        <w:spacing w:line="480" w:lineRule="auto"/>
        <w:rPr>
          <w:rFonts w:ascii="Times New Roman" w:hAnsi="Times New Roman" w:cs="Times New Roman"/>
          <w:b/>
          <w:bCs/>
        </w:rPr>
      </w:pPr>
      <w:r>
        <w:rPr>
          <w:rFonts w:ascii="Times New Roman" w:hAnsi="Times New Roman" w:cs="Times New Roman"/>
          <w:b/>
          <w:bCs/>
        </w:rPr>
        <w:t>Appendix A</w:t>
      </w:r>
    </w:p>
    <w:p w14:paraId="2E523AA7" w14:textId="5EDE984A" w:rsidR="009D316F" w:rsidRPr="009D316F" w:rsidRDefault="009D316F" w:rsidP="009D316F">
      <w:pPr>
        <w:spacing w:line="480" w:lineRule="auto"/>
        <w:rPr>
          <w:rFonts w:ascii="Times New Roman" w:hAnsi="Times New Roman" w:cs="Times New Roman"/>
        </w:rPr>
      </w:pPr>
      <w:r>
        <w:rPr>
          <w:rFonts w:ascii="Times New Roman" w:hAnsi="Times New Roman" w:cs="Times New Roman"/>
          <w:noProof/>
        </w:rPr>
        <w:drawing>
          <wp:inline distT="0" distB="0" distL="0" distR="0" wp14:anchorId="018E97A8" wp14:editId="522D6683">
            <wp:extent cx="5674257" cy="4014984"/>
            <wp:effectExtent l="0" t="0" r="3175" b="5080"/>
            <wp:docPr id="19229092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684680" cy="4022359"/>
                    </a:xfrm>
                    <a:prstGeom prst="rect">
                      <a:avLst/>
                    </a:prstGeom>
                    <a:noFill/>
                  </pic:spPr>
                </pic:pic>
              </a:graphicData>
            </a:graphic>
          </wp:inline>
        </w:drawing>
      </w:r>
      <w:r w:rsidRPr="009D316F">
        <w:rPr>
          <w:rFonts w:ascii="Times New Roman" w:hAnsi="Times New Roman" w:cs="Times New Roman"/>
        </w:rPr>
        <w:t>Patient X Medication Safety Rich Picture</w:t>
      </w:r>
    </w:p>
    <w:p w14:paraId="12F9A1E0" w14:textId="77777777" w:rsidR="009D316F" w:rsidRPr="009D316F" w:rsidRDefault="009D316F" w:rsidP="009D316F">
      <w:pPr>
        <w:spacing w:line="480" w:lineRule="auto"/>
        <w:rPr>
          <w:rFonts w:ascii="Times New Roman" w:hAnsi="Times New Roman" w:cs="Times New Roman"/>
        </w:rPr>
      </w:pPr>
    </w:p>
    <w:sectPr w:rsidR="009D316F" w:rsidRPr="009D316F">
      <w:head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AA63A0" w14:textId="77777777" w:rsidR="008F4870" w:rsidRDefault="008F4870" w:rsidP="00F40928">
      <w:pPr>
        <w:spacing w:after="0" w:line="240" w:lineRule="auto"/>
      </w:pPr>
      <w:r>
        <w:separator/>
      </w:r>
    </w:p>
  </w:endnote>
  <w:endnote w:type="continuationSeparator" w:id="0">
    <w:p w14:paraId="24769FF5" w14:textId="77777777" w:rsidR="008F4870" w:rsidRDefault="008F4870" w:rsidP="00F409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218EBD" w14:textId="77777777" w:rsidR="008F4870" w:rsidRDefault="008F4870" w:rsidP="00F40928">
      <w:pPr>
        <w:spacing w:after="0" w:line="240" w:lineRule="auto"/>
      </w:pPr>
      <w:r>
        <w:separator/>
      </w:r>
    </w:p>
  </w:footnote>
  <w:footnote w:type="continuationSeparator" w:id="0">
    <w:p w14:paraId="70A9273B" w14:textId="77777777" w:rsidR="008F4870" w:rsidRDefault="008F4870" w:rsidP="00F409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rPr>
      <w:id w:val="1198589626"/>
      <w:docPartObj>
        <w:docPartGallery w:val="Page Numbers (Top of Page)"/>
        <w:docPartUnique/>
      </w:docPartObj>
    </w:sdtPr>
    <w:sdtEndPr>
      <w:rPr>
        <w:noProof/>
      </w:rPr>
    </w:sdtEndPr>
    <w:sdtContent>
      <w:p w14:paraId="1D54D174" w14:textId="0453F3B3" w:rsidR="00F40928" w:rsidRPr="00F40928" w:rsidRDefault="00F40928">
        <w:pPr>
          <w:pStyle w:val="Header"/>
          <w:jc w:val="right"/>
          <w:rPr>
            <w:rFonts w:ascii="Times New Roman" w:hAnsi="Times New Roman" w:cs="Times New Roman"/>
          </w:rPr>
        </w:pPr>
        <w:r w:rsidRPr="00F40928">
          <w:rPr>
            <w:rFonts w:ascii="Times New Roman" w:hAnsi="Times New Roman" w:cs="Times New Roman"/>
          </w:rPr>
          <w:fldChar w:fldCharType="begin"/>
        </w:r>
        <w:r w:rsidRPr="00F40928">
          <w:rPr>
            <w:rFonts w:ascii="Times New Roman" w:hAnsi="Times New Roman" w:cs="Times New Roman"/>
          </w:rPr>
          <w:instrText xml:space="preserve"> PAGE   \* MERGEFORMAT </w:instrText>
        </w:r>
        <w:r w:rsidRPr="00F40928">
          <w:rPr>
            <w:rFonts w:ascii="Times New Roman" w:hAnsi="Times New Roman" w:cs="Times New Roman"/>
          </w:rPr>
          <w:fldChar w:fldCharType="separate"/>
        </w:r>
        <w:r w:rsidRPr="00F40928">
          <w:rPr>
            <w:rFonts w:ascii="Times New Roman" w:hAnsi="Times New Roman" w:cs="Times New Roman"/>
            <w:noProof/>
          </w:rPr>
          <w:t>2</w:t>
        </w:r>
        <w:r w:rsidRPr="00F40928">
          <w:rPr>
            <w:rFonts w:ascii="Times New Roman" w:hAnsi="Times New Roman" w:cs="Times New Roman"/>
            <w:noProof/>
          </w:rPr>
          <w:fldChar w:fldCharType="end"/>
        </w:r>
      </w:p>
    </w:sdtContent>
  </w:sdt>
  <w:p w14:paraId="51EE71E9" w14:textId="77777777" w:rsidR="00F40928" w:rsidRPr="00F40928" w:rsidRDefault="00F40928">
    <w:pPr>
      <w:pStyle w:val="Head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F0EF7"/>
    <w:multiLevelType w:val="multilevel"/>
    <w:tmpl w:val="AC54A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DD0AF3"/>
    <w:multiLevelType w:val="multilevel"/>
    <w:tmpl w:val="8F262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2761689">
    <w:abstractNumId w:val="1"/>
  </w:num>
  <w:num w:numId="2" w16cid:durableId="17158855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42"/>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928"/>
    <w:rsid w:val="000057D2"/>
    <w:rsid w:val="00017307"/>
    <w:rsid w:val="00034ED2"/>
    <w:rsid w:val="000718DF"/>
    <w:rsid w:val="00076016"/>
    <w:rsid w:val="000F2533"/>
    <w:rsid w:val="00144341"/>
    <w:rsid w:val="0015250A"/>
    <w:rsid w:val="001531C6"/>
    <w:rsid w:val="00176955"/>
    <w:rsid w:val="00183343"/>
    <w:rsid w:val="001C6856"/>
    <w:rsid w:val="001E3316"/>
    <w:rsid w:val="001E441F"/>
    <w:rsid w:val="001E4DCB"/>
    <w:rsid w:val="001F4804"/>
    <w:rsid w:val="002065E8"/>
    <w:rsid w:val="00221750"/>
    <w:rsid w:val="002267C5"/>
    <w:rsid w:val="00233DC9"/>
    <w:rsid w:val="00236F81"/>
    <w:rsid w:val="002408C2"/>
    <w:rsid w:val="002730C7"/>
    <w:rsid w:val="00297799"/>
    <w:rsid w:val="002A6BB2"/>
    <w:rsid w:val="003378AA"/>
    <w:rsid w:val="003567C8"/>
    <w:rsid w:val="003773A6"/>
    <w:rsid w:val="003809B2"/>
    <w:rsid w:val="003847A3"/>
    <w:rsid w:val="00384AEA"/>
    <w:rsid w:val="003A53D3"/>
    <w:rsid w:val="003A5892"/>
    <w:rsid w:val="00465715"/>
    <w:rsid w:val="004B28D5"/>
    <w:rsid w:val="004D202A"/>
    <w:rsid w:val="00500A8C"/>
    <w:rsid w:val="00527756"/>
    <w:rsid w:val="0053408C"/>
    <w:rsid w:val="00542254"/>
    <w:rsid w:val="005B356D"/>
    <w:rsid w:val="005D2A99"/>
    <w:rsid w:val="005D6161"/>
    <w:rsid w:val="005E081F"/>
    <w:rsid w:val="005E4FE6"/>
    <w:rsid w:val="005F0673"/>
    <w:rsid w:val="00672B15"/>
    <w:rsid w:val="00673ECB"/>
    <w:rsid w:val="006B468F"/>
    <w:rsid w:val="00711B7C"/>
    <w:rsid w:val="007607A7"/>
    <w:rsid w:val="00766D92"/>
    <w:rsid w:val="00771080"/>
    <w:rsid w:val="00777F62"/>
    <w:rsid w:val="00784792"/>
    <w:rsid w:val="00794B91"/>
    <w:rsid w:val="007E75CF"/>
    <w:rsid w:val="007F15AF"/>
    <w:rsid w:val="008123FF"/>
    <w:rsid w:val="008545FE"/>
    <w:rsid w:val="00855678"/>
    <w:rsid w:val="00874C87"/>
    <w:rsid w:val="00885D5E"/>
    <w:rsid w:val="008A0A21"/>
    <w:rsid w:val="008A686C"/>
    <w:rsid w:val="008E6837"/>
    <w:rsid w:val="008F4870"/>
    <w:rsid w:val="00912A7A"/>
    <w:rsid w:val="00926895"/>
    <w:rsid w:val="009322A7"/>
    <w:rsid w:val="0094130D"/>
    <w:rsid w:val="00951CD0"/>
    <w:rsid w:val="009879EB"/>
    <w:rsid w:val="009A1C1E"/>
    <w:rsid w:val="009A4D7C"/>
    <w:rsid w:val="009B0361"/>
    <w:rsid w:val="009D316F"/>
    <w:rsid w:val="00A15CC8"/>
    <w:rsid w:val="00A170FD"/>
    <w:rsid w:val="00A17C3C"/>
    <w:rsid w:val="00A5755A"/>
    <w:rsid w:val="00A7148C"/>
    <w:rsid w:val="00AE0653"/>
    <w:rsid w:val="00AE1140"/>
    <w:rsid w:val="00B57CC1"/>
    <w:rsid w:val="00B7739B"/>
    <w:rsid w:val="00B92B3C"/>
    <w:rsid w:val="00BA7B2A"/>
    <w:rsid w:val="00BD56B2"/>
    <w:rsid w:val="00BF3659"/>
    <w:rsid w:val="00C03BF4"/>
    <w:rsid w:val="00C076C6"/>
    <w:rsid w:val="00C15112"/>
    <w:rsid w:val="00C205C5"/>
    <w:rsid w:val="00C40E70"/>
    <w:rsid w:val="00CF0156"/>
    <w:rsid w:val="00CF016E"/>
    <w:rsid w:val="00D554B2"/>
    <w:rsid w:val="00D85BD8"/>
    <w:rsid w:val="00DC0C50"/>
    <w:rsid w:val="00DE0F87"/>
    <w:rsid w:val="00DE2644"/>
    <w:rsid w:val="00E0410D"/>
    <w:rsid w:val="00E16AFD"/>
    <w:rsid w:val="00E23C14"/>
    <w:rsid w:val="00E26BEB"/>
    <w:rsid w:val="00E61A61"/>
    <w:rsid w:val="00EA103E"/>
    <w:rsid w:val="00EA12AA"/>
    <w:rsid w:val="00EB2FD8"/>
    <w:rsid w:val="00EB30A3"/>
    <w:rsid w:val="00EC014F"/>
    <w:rsid w:val="00EC0549"/>
    <w:rsid w:val="00ED5932"/>
    <w:rsid w:val="00F172A5"/>
    <w:rsid w:val="00F40928"/>
    <w:rsid w:val="00F56D68"/>
    <w:rsid w:val="00F632AA"/>
    <w:rsid w:val="00F9375E"/>
    <w:rsid w:val="00FA2DBE"/>
    <w:rsid w:val="00FB44EE"/>
    <w:rsid w:val="00FD2D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EEF1D"/>
  <w15:chartTrackingRefBased/>
  <w15:docId w15:val="{7C468D46-1101-4ED8-BD6C-017423AC5F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092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4092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4092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4092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4092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409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09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09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09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092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4092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4092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4092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4092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409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09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09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0928"/>
    <w:rPr>
      <w:rFonts w:eastAsiaTheme="majorEastAsia" w:cstheme="majorBidi"/>
      <w:color w:val="272727" w:themeColor="text1" w:themeTint="D8"/>
    </w:rPr>
  </w:style>
  <w:style w:type="paragraph" w:styleId="Title">
    <w:name w:val="Title"/>
    <w:basedOn w:val="Normal"/>
    <w:next w:val="Normal"/>
    <w:link w:val="TitleChar"/>
    <w:uiPriority w:val="10"/>
    <w:qFormat/>
    <w:rsid w:val="00F409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09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09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09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0928"/>
    <w:pPr>
      <w:spacing w:before="160"/>
      <w:jc w:val="center"/>
    </w:pPr>
    <w:rPr>
      <w:i/>
      <w:iCs/>
      <w:color w:val="404040" w:themeColor="text1" w:themeTint="BF"/>
    </w:rPr>
  </w:style>
  <w:style w:type="character" w:customStyle="1" w:styleId="QuoteChar">
    <w:name w:val="Quote Char"/>
    <w:basedOn w:val="DefaultParagraphFont"/>
    <w:link w:val="Quote"/>
    <w:uiPriority w:val="29"/>
    <w:rsid w:val="00F40928"/>
    <w:rPr>
      <w:i/>
      <w:iCs/>
      <w:color w:val="404040" w:themeColor="text1" w:themeTint="BF"/>
    </w:rPr>
  </w:style>
  <w:style w:type="paragraph" w:styleId="ListParagraph">
    <w:name w:val="List Paragraph"/>
    <w:basedOn w:val="Normal"/>
    <w:uiPriority w:val="34"/>
    <w:qFormat/>
    <w:rsid w:val="00F40928"/>
    <w:pPr>
      <w:ind w:left="720"/>
      <w:contextualSpacing/>
    </w:pPr>
  </w:style>
  <w:style w:type="character" w:styleId="IntenseEmphasis">
    <w:name w:val="Intense Emphasis"/>
    <w:basedOn w:val="DefaultParagraphFont"/>
    <w:uiPriority w:val="21"/>
    <w:qFormat/>
    <w:rsid w:val="00F40928"/>
    <w:rPr>
      <w:i/>
      <w:iCs/>
      <w:color w:val="2F5496" w:themeColor="accent1" w:themeShade="BF"/>
    </w:rPr>
  </w:style>
  <w:style w:type="paragraph" w:styleId="IntenseQuote">
    <w:name w:val="Intense Quote"/>
    <w:basedOn w:val="Normal"/>
    <w:next w:val="Normal"/>
    <w:link w:val="IntenseQuoteChar"/>
    <w:uiPriority w:val="30"/>
    <w:qFormat/>
    <w:rsid w:val="00F4092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40928"/>
    <w:rPr>
      <w:i/>
      <w:iCs/>
      <w:color w:val="2F5496" w:themeColor="accent1" w:themeShade="BF"/>
    </w:rPr>
  </w:style>
  <w:style w:type="character" w:styleId="IntenseReference">
    <w:name w:val="Intense Reference"/>
    <w:basedOn w:val="DefaultParagraphFont"/>
    <w:uiPriority w:val="32"/>
    <w:qFormat/>
    <w:rsid w:val="00F40928"/>
    <w:rPr>
      <w:b/>
      <w:bCs/>
      <w:smallCaps/>
      <w:color w:val="2F5496" w:themeColor="accent1" w:themeShade="BF"/>
      <w:spacing w:val="5"/>
    </w:rPr>
  </w:style>
  <w:style w:type="paragraph" w:styleId="Header">
    <w:name w:val="header"/>
    <w:basedOn w:val="Normal"/>
    <w:link w:val="HeaderChar"/>
    <w:uiPriority w:val="99"/>
    <w:unhideWhenUsed/>
    <w:rsid w:val="00F409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0928"/>
  </w:style>
  <w:style w:type="paragraph" w:styleId="Footer">
    <w:name w:val="footer"/>
    <w:basedOn w:val="Normal"/>
    <w:link w:val="FooterChar"/>
    <w:uiPriority w:val="99"/>
    <w:unhideWhenUsed/>
    <w:rsid w:val="00F409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0928"/>
  </w:style>
  <w:style w:type="character" w:styleId="Hyperlink">
    <w:name w:val="Hyperlink"/>
    <w:basedOn w:val="DefaultParagraphFont"/>
    <w:uiPriority w:val="99"/>
    <w:unhideWhenUsed/>
    <w:rsid w:val="001F4804"/>
    <w:rPr>
      <w:color w:val="0563C1" w:themeColor="hyperlink"/>
      <w:u w:val="single"/>
    </w:rPr>
  </w:style>
  <w:style w:type="character" w:styleId="UnresolvedMention">
    <w:name w:val="Unresolved Mention"/>
    <w:basedOn w:val="DefaultParagraphFont"/>
    <w:uiPriority w:val="99"/>
    <w:semiHidden/>
    <w:unhideWhenUsed/>
    <w:rsid w:val="001F48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paajournal.com/effects-of-poor-communication-in-healthcare/" TargetMode="External"/><Relationship Id="rId13" Type="http://schemas.openxmlformats.org/officeDocument/2006/relationships/hyperlink" Target="https://www.england.nhs.uk/long-read/medication-safety-management/" TargetMode="External"/><Relationship Id="rId18" Type="http://schemas.openxmlformats.org/officeDocument/2006/relationships/image" Target="media/image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england.nhs.uk/patient-safety/the-nhs-patient-safety-strategy/" TargetMode="External"/><Relationship Id="rId17" Type="http://schemas.openxmlformats.org/officeDocument/2006/relationships/hyperlink" Target="https://www.who.int/publications/i/item/9789240088887" TargetMode="External"/><Relationship Id="rId2" Type="http://schemas.openxmlformats.org/officeDocument/2006/relationships/styles" Target="styles.xml"/><Relationship Id="rId16" Type="http://schemas.openxmlformats.org/officeDocument/2006/relationships/hyperlink" Target="https://www.kingsfund.org.uk/insight-and-analysis/reports/leadership-development-health-car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36/bmjopen-2018-022202" TargetMode="External"/><Relationship Id="rId5" Type="http://schemas.openxmlformats.org/officeDocument/2006/relationships/footnotes" Target="footnotes.xml"/><Relationship Id="rId15" Type="http://schemas.openxmlformats.org/officeDocument/2006/relationships/hyperlink" Target="https://safetyinhealth.biomedcentral.com/articles/10.1186/s40886-018-0073-1" TargetMode="External"/><Relationship Id="rId10" Type="http://schemas.openxmlformats.org/officeDocument/2006/relationships/hyperlink" Target="https://www.ihi.org/library/tools/patient-safety-essentials-toolkit"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hssib.org.uk/patient-safety-investigations/medication-related-harm/" TargetMode="External"/><Relationship Id="rId14" Type="http://schemas.openxmlformats.org/officeDocument/2006/relationships/hyperlink" Target="https://www.oecd.org/en/publications/2023/11/health-at-a-glance-2023_e04f8239.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2903</TotalTime>
  <Pages>1</Pages>
  <Words>6778</Words>
  <Characters>38637</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Danielle Gotz Colombo Das Candeias (2231187)</cp:lastModifiedBy>
  <cp:revision>113</cp:revision>
  <dcterms:created xsi:type="dcterms:W3CDTF">2026-07-31T08:08:00Z</dcterms:created>
  <dcterms:modified xsi:type="dcterms:W3CDTF">2026-08-11T17:08:00Z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8f129c44-d7db-41dc-840d-280634605d21</vt:lpwstr>
  </property>
</Properties>
</file>