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3BCA1" w14:textId="77777777" w:rsidR="009F1C87" w:rsidRPr="00835EA4" w:rsidRDefault="009F1C87" w:rsidP="008D4B8A">
      <w:pPr>
        <w:pStyle w:val="Title"/>
        <w:spacing w:line="360" w:lineRule="auto"/>
        <w:rPr>
          <w:lang w:val="en-GB"/>
        </w:rPr>
      </w:pPr>
      <w:r w:rsidRPr="00835EA4">
        <w:rPr>
          <w:lang w:val="en-GB"/>
        </w:rPr>
        <w:t xml:space="preserve">BMPL4011: </w:t>
      </w:r>
      <w:r w:rsidR="00612D69" w:rsidRPr="00835EA4">
        <w:rPr>
          <w:lang w:val="en-GB"/>
        </w:rPr>
        <w:t>Cert He Professional P</w:t>
      </w:r>
      <w:r w:rsidRPr="00835EA4">
        <w:rPr>
          <w:lang w:val="en-GB"/>
        </w:rPr>
        <w:t>olicing</w:t>
      </w:r>
    </w:p>
    <w:p w14:paraId="00684C40" w14:textId="5A98A8D1" w:rsidR="00BB222E" w:rsidRPr="00835EA4" w:rsidRDefault="00EB0C66" w:rsidP="008D4B8A">
      <w:pPr>
        <w:spacing w:after="0" w:line="360" w:lineRule="auto"/>
        <w:jc w:val="center"/>
      </w:pPr>
      <w:r>
        <w:t xml:space="preserve">Maryam </w:t>
      </w:r>
      <w:proofErr w:type="spellStart"/>
      <w:r>
        <w:t>rahouf</w:t>
      </w:r>
      <w:proofErr w:type="spellEnd"/>
    </w:p>
    <w:p w14:paraId="3C41EBF9" w14:textId="31BB2D85" w:rsidR="00BB222E" w:rsidRPr="00835EA4" w:rsidRDefault="00EB0C66" w:rsidP="008D4B8A">
      <w:pPr>
        <w:spacing w:after="0" w:line="360" w:lineRule="auto"/>
        <w:jc w:val="center"/>
      </w:pPr>
      <w:r>
        <w:t xml:space="preserve">Tutor </w:t>
      </w:r>
      <w:proofErr w:type="spellStart"/>
      <w:r>
        <w:t>zita</w:t>
      </w:r>
      <w:proofErr w:type="spellEnd"/>
      <w:r>
        <w:t xml:space="preserve"> draper</w:t>
      </w:r>
    </w:p>
    <w:p w14:paraId="48067631" w14:textId="685A5B3D" w:rsidR="00BB222E" w:rsidRPr="00835EA4" w:rsidRDefault="00EB0C66" w:rsidP="008D4B8A">
      <w:pPr>
        <w:spacing w:after="0" w:line="360" w:lineRule="auto"/>
        <w:jc w:val="center"/>
      </w:pPr>
      <w:r>
        <w:t xml:space="preserve">University of </w:t>
      </w:r>
      <w:proofErr w:type="spellStart"/>
      <w:r>
        <w:t>wales</w:t>
      </w:r>
      <w:proofErr w:type="spellEnd"/>
      <w:r>
        <w:t xml:space="preserve"> trinity saint David </w:t>
      </w:r>
    </w:p>
    <w:p w14:paraId="3AF109A5" w14:textId="77777777" w:rsidR="00BB222E" w:rsidRPr="00835EA4" w:rsidRDefault="00BB222E" w:rsidP="008D4B8A">
      <w:pPr>
        <w:spacing w:after="0" w:line="360" w:lineRule="auto"/>
        <w:rPr>
          <w:b/>
        </w:rPr>
      </w:pPr>
      <w:r w:rsidRPr="00835EA4">
        <w:rPr>
          <w:b/>
        </w:rPr>
        <w:t xml:space="preserve">Word Count:  </w:t>
      </w:r>
      <w:r w:rsidR="00376972" w:rsidRPr="00835EA4">
        <w:rPr>
          <w:b/>
        </w:rPr>
        <w:t>1564</w:t>
      </w:r>
      <w:r w:rsidRPr="00835EA4">
        <w:rPr>
          <w:b/>
        </w:rPr>
        <w:br w:type="page"/>
      </w:r>
    </w:p>
    <w:p w14:paraId="4C0BE298" w14:textId="77777777" w:rsidR="009F1C87" w:rsidRPr="00835EA4" w:rsidRDefault="009F1C87" w:rsidP="008D4B8A">
      <w:pPr>
        <w:pStyle w:val="Heading1"/>
        <w:spacing w:before="0" w:line="360" w:lineRule="auto"/>
      </w:pPr>
      <w:r w:rsidRPr="00835EA4">
        <w:lastRenderedPageBreak/>
        <w:t>Part 1</w:t>
      </w:r>
    </w:p>
    <w:p w14:paraId="7F00D162" w14:textId="77777777" w:rsidR="00C16F40" w:rsidRPr="00356C07" w:rsidRDefault="009F1C87" w:rsidP="00356C07">
      <w:pPr>
        <w:spacing w:after="0" w:line="360" w:lineRule="auto"/>
        <w:jc w:val="center"/>
        <w:rPr>
          <w:b/>
        </w:rPr>
      </w:pPr>
      <w:r w:rsidRPr="00835EA4">
        <w:rPr>
          <w:b/>
        </w:rPr>
        <w:t>The Constitutional Reform Act 2005 has mad</w:t>
      </w:r>
      <w:r w:rsidR="00926186" w:rsidRPr="00835EA4">
        <w:rPr>
          <w:b/>
        </w:rPr>
        <w:t>e little to no changes to the UK</w:t>
      </w:r>
      <w:r w:rsidRPr="00835EA4">
        <w:rPr>
          <w:b/>
        </w:rPr>
        <w:t>’s constitution and the Separation of powers theory. Discuss.</w:t>
      </w:r>
    </w:p>
    <w:p w14:paraId="5D6D9995" w14:textId="77777777" w:rsidR="00C16F40" w:rsidRPr="00835EA4" w:rsidRDefault="009307BF" w:rsidP="008D4B8A">
      <w:pPr>
        <w:spacing w:after="0" w:line="360" w:lineRule="auto"/>
      </w:pPr>
      <w:r>
        <w:t>The concept of “separation of powers”</w:t>
      </w:r>
      <w:r w:rsidR="000E5A30" w:rsidRPr="000E5A30">
        <w:t xml:space="preserve"> pertains to the notion that the primary institutions of the state should possess functional autonomy, ensuring that no individual wields authority that extends across these branches</w:t>
      </w:r>
      <w:r w:rsidR="00571913">
        <w:t xml:space="preserve"> (</w:t>
      </w:r>
      <w:proofErr w:type="spellStart"/>
      <w:r w:rsidR="00571913">
        <w:t>Benwell</w:t>
      </w:r>
      <w:proofErr w:type="spellEnd"/>
      <w:r w:rsidR="00571913">
        <w:t xml:space="preserve">, and </w:t>
      </w:r>
      <w:r w:rsidR="00571913" w:rsidRPr="00890F8F">
        <w:t>Gay</w:t>
      </w:r>
      <w:r w:rsidR="00571913">
        <w:t>, 2023)</w:t>
      </w:r>
      <w:r w:rsidR="000E5A30" w:rsidRPr="000E5A30">
        <w:t>. The primary institutions commonly recognised in political science are typically identified as the executive, the legislative, and the judiciary. In historical narratives, such as Montesqui</w:t>
      </w:r>
      <w:r w:rsidR="004436BD">
        <w:t>eu's renowned work “The Spirit of the Laws,”</w:t>
      </w:r>
      <w:r w:rsidR="000E5A30" w:rsidRPr="000E5A30">
        <w:t xml:space="preserve"> the concept of the division of powers is posited as a means to safeguard against despotic rule and uphold the principles of individual freedom</w:t>
      </w:r>
      <w:r w:rsidR="00571913">
        <w:t xml:space="preserve"> (</w:t>
      </w:r>
      <w:proofErr w:type="spellStart"/>
      <w:r w:rsidR="00571913">
        <w:t>Benwell</w:t>
      </w:r>
      <w:proofErr w:type="spellEnd"/>
      <w:r w:rsidR="00571913">
        <w:t xml:space="preserve">, and </w:t>
      </w:r>
      <w:r w:rsidR="00571913" w:rsidRPr="00890F8F">
        <w:t>Gay</w:t>
      </w:r>
      <w:r w:rsidR="00571913">
        <w:t>, 2023)</w:t>
      </w:r>
      <w:r w:rsidR="000E5A30" w:rsidRPr="000E5A30">
        <w:t>. It was determined that the primary institutions ought to be segregated and interdependent, so preventing any one authority from surpassing the others. In contemporary discourse, the concept of the separation of powers is frequently proposed as a means to cultivate a system of checks and balances that is deemed essential for the establishment of effective governance.</w:t>
      </w:r>
    </w:p>
    <w:p w14:paraId="50A9C211" w14:textId="77777777" w:rsidR="00560291" w:rsidRPr="00835EA4" w:rsidRDefault="00B349C8" w:rsidP="00356C07">
      <w:pPr>
        <w:spacing w:after="0" w:line="360" w:lineRule="auto"/>
      </w:pPr>
      <w:r w:rsidRPr="00B349C8">
        <w:t xml:space="preserve">The </w:t>
      </w:r>
      <w:r w:rsidR="004F09DC">
        <w:t>“</w:t>
      </w:r>
      <w:r w:rsidRPr="00B349C8">
        <w:t>Constitutional Reform Act of 2005</w:t>
      </w:r>
      <w:r w:rsidR="004F09DC">
        <w:t>”</w:t>
      </w:r>
      <w:r w:rsidRPr="00B349C8">
        <w:t xml:space="preserve"> witnessed the Government and Parliament undertaking reforms in certain domains where the separation of powers in the </w:t>
      </w:r>
      <w:r w:rsidR="004F09DC">
        <w:t>UK</w:t>
      </w:r>
      <w:r w:rsidRPr="00B349C8">
        <w:t xml:space="preserve"> had been relatively less distinct. In his address to the House, </w:t>
      </w:r>
      <w:r w:rsidR="00CB0D15">
        <w:t>“</w:t>
      </w:r>
      <w:r w:rsidRPr="00B349C8">
        <w:t>Christopher Leslie,</w:t>
      </w:r>
      <w:r w:rsidR="00CB0D15">
        <w:t>”</w:t>
      </w:r>
      <w:r w:rsidRPr="00B349C8">
        <w:t xml:space="preserve"> the Minister overseeing the bill in the Commons, emphasised the importance of establishing a distinct demarcation of authorities while also acknowledging the possibility of fostering collaboration across the many</w:t>
      </w:r>
      <w:r w:rsidR="00D30607">
        <w:t xml:space="preserve"> branches of the state</w:t>
      </w:r>
      <w:r w:rsidR="00571913">
        <w:t xml:space="preserve"> (</w:t>
      </w:r>
      <w:proofErr w:type="spellStart"/>
      <w:r w:rsidR="00571913">
        <w:t>Benwell</w:t>
      </w:r>
      <w:proofErr w:type="spellEnd"/>
      <w:r w:rsidR="00571913">
        <w:t xml:space="preserve">, and </w:t>
      </w:r>
      <w:r w:rsidR="00571913" w:rsidRPr="00890F8F">
        <w:t>Gay</w:t>
      </w:r>
      <w:r w:rsidR="00571913">
        <w:t>, 2023)</w:t>
      </w:r>
      <w:r w:rsidR="00D30607">
        <w:t>.</w:t>
      </w:r>
      <w:r w:rsidRPr="00B349C8">
        <w:t xml:space="preserve"> The aforementioned legislation established an independent Supreme Court, wherein the Lord Chief Justice assumed the role of the head of the Judiciary in England and Wales, so supplanting the Lord Chancellor.</w:t>
      </w:r>
      <w:r w:rsidR="00F03119">
        <w:t xml:space="preserve"> </w:t>
      </w:r>
      <w:r w:rsidR="00D84A87" w:rsidRPr="00D84A87">
        <w:t>Additionally, it imposed a legal obligation on Ministers to safeguard the princ</w:t>
      </w:r>
      <w:r w:rsidR="00F03119">
        <w:t>iple of judicial independence</w:t>
      </w:r>
      <w:r w:rsidR="00571913">
        <w:t xml:space="preserve"> (</w:t>
      </w:r>
      <w:proofErr w:type="spellStart"/>
      <w:r w:rsidR="00571913">
        <w:t>Benwell</w:t>
      </w:r>
      <w:proofErr w:type="spellEnd"/>
      <w:r w:rsidR="00571913">
        <w:t xml:space="preserve">, and </w:t>
      </w:r>
      <w:r w:rsidR="00571913" w:rsidRPr="00890F8F">
        <w:t>Gay</w:t>
      </w:r>
      <w:r w:rsidR="00571913">
        <w:t>, 2023)</w:t>
      </w:r>
      <w:r w:rsidR="00F03119">
        <w:t>.</w:t>
      </w:r>
    </w:p>
    <w:p w14:paraId="1B86F752" w14:textId="77777777" w:rsidR="00414713" w:rsidRPr="00835EA4" w:rsidRDefault="00EF74E3" w:rsidP="008D4B8A">
      <w:pPr>
        <w:spacing w:after="0" w:line="360" w:lineRule="auto"/>
      </w:pPr>
      <w:r w:rsidRPr="00835EA4">
        <w:t xml:space="preserve">Prior to 2005, the individual responsible for overseeing the judiciary in the </w:t>
      </w:r>
      <w:r w:rsidR="004D1F40" w:rsidRPr="00835EA4">
        <w:t>UK</w:t>
      </w:r>
      <w:r w:rsidRPr="00835EA4">
        <w:t xml:space="preserve"> held the position of Cabinet minister, known as the Lord Chancellor. The individual in question assumed the role of overseeing the judicial appointments system and executing the process of appointing members to the judiciary</w:t>
      </w:r>
      <w:r w:rsidR="00F56E47" w:rsidRPr="00835EA4">
        <w:t xml:space="preserve"> (Dixon, and Landau, 2021)</w:t>
      </w:r>
      <w:r w:rsidRPr="00835EA4">
        <w:t xml:space="preserve">. Additionally, they held the authority to determine the remuneration and retirement benefits of these individuals. They were entrusted with the task of investigating grievances filed against judges and imposing disciplinary measures when necessary. Furthermore, they possessed the power to dismiss subordinate judges and were </w:t>
      </w:r>
      <w:r w:rsidRPr="00835EA4">
        <w:lastRenderedPageBreak/>
        <w:t xml:space="preserve">accountable for the provision and administration of the Courts Service. In a notable violation of the principle of separation of powers, he was additionally able to serve as a judge in the highest court. The </w:t>
      </w:r>
      <w:r w:rsidR="007A5C51" w:rsidRPr="00835EA4">
        <w:t>“</w:t>
      </w:r>
      <w:r w:rsidRPr="00835EA4">
        <w:t>Constitutional Reform Act of 2005</w:t>
      </w:r>
      <w:r w:rsidR="007A5C51" w:rsidRPr="00835EA4">
        <w:t>”</w:t>
      </w:r>
      <w:r w:rsidRPr="00835EA4">
        <w:t xml:space="preserve"> effectively eliminated the Lord Chancellor's position as the head of the judiciary, while preserving the existence of the office in other respects</w:t>
      </w:r>
      <w:r w:rsidR="00F56E47" w:rsidRPr="00835EA4">
        <w:t xml:space="preserve"> (Dixon, and Landau, 2021)</w:t>
      </w:r>
      <w:r w:rsidRPr="00835EA4">
        <w:t xml:space="preserve">. The document delineated the specific responsibilities that were to be delegated to the Lord Chief Justice, who would serve as the leader of the judiciary. This implementation was in accordance with the terms agreed upon in the </w:t>
      </w:r>
      <w:r w:rsidR="00311AB4" w:rsidRPr="00835EA4">
        <w:t>“</w:t>
      </w:r>
      <w:r w:rsidRPr="00835EA4">
        <w:t>Concordat of 2004.</w:t>
      </w:r>
      <w:r w:rsidR="00311AB4" w:rsidRPr="00835EA4">
        <w:t>”</w:t>
      </w:r>
      <w:r w:rsidRPr="00835EA4">
        <w:t xml:space="preserve"> The allocation of powers between the </w:t>
      </w:r>
      <w:r w:rsidR="00CD784C" w:rsidRPr="00835EA4">
        <w:t>“</w:t>
      </w:r>
      <w:r w:rsidRPr="00835EA4">
        <w:t>Executive and Judiciary</w:t>
      </w:r>
      <w:r w:rsidR="00CD784C" w:rsidRPr="00835EA4">
        <w:t>”</w:t>
      </w:r>
      <w:r w:rsidRPr="00835EA4">
        <w:t xml:space="preserve"> underwent additional refinement in 2008 through the implementation of a Framework Document designed to govern the administration of the Courts Service</w:t>
      </w:r>
      <w:r w:rsidR="00370146" w:rsidRPr="00835EA4">
        <w:t xml:space="preserve"> (Dixon, and Landau, 2021)</w:t>
      </w:r>
      <w:r w:rsidRPr="00835EA4">
        <w:t>. This document was subsequently revised and updated in 2011 to include the incorporation of the Tribunals Service.</w:t>
      </w:r>
    </w:p>
    <w:p w14:paraId="23CAC2E8" w14:textId="77777777" w:rsidR="000B0689" w:rsidRPr="00835EA4" w:rsidRDefault="00C151AE" w:rsidP="008D4B8A">
      <w:pPr>
        <w:spacing w:after="0" w:line="360" w:lineRule="auto"/>
      </w:pPr>
      <w:r w:rsidRPr="00835EA4">
        <w:t>The previous political landscape exhibited characteristics of informality, as it relied on regular gatherings between the Lord Chancellor and senior judges. Additionally, it was characterised by a closed nature, as these meetings constituted the primary means of interaction between the judiciary and the government</w:t>
      </w:r>
      <w:r w:rsidR="0086578E" w:rsidRPr="00835EA4">
        <w:t xml:space="preserve"> (Woodhouse, 2023)</w:t>
      </w:r>
      <w:r w:rsidRPr="00835EA4">
        <w:t>. Furthermore, a sense of secrecy prevailed, as both parties upheld the confidentiality of their discussions. Both factions exhibited a shared inclination towards maintaining the existing system, as they were mutually agreeable and inclined towards conservatism. In contrast, the contemporary political landscape is characterised by a greater emphasis on formality</w:t>
      </w:r>
      <w:r w:rsidR="0086578E" w:rsidRPr="00835EA4">
        <w:t xml:space="preserve"> (Woodhouse, 2023)</w:t>
      </w:r>
      <w:r w:rsidRPr="00835EA4">
        <w:t xml:space="preserve">. The </w:t>
      </w:r>
      <w:r w:rsidR="00BC30DE" w:rsidRPr="00835EA4">
        <w:t>CRA</w:t>
      </w:r>
      <w:r w:rsidRPr="00835EA4">
        <w:t xml:space="preserve"> necessitated the implementation of formal structures and processes to effectively manage the interrelationships among its various branches of government. The establishment of the </w:t>
      </w:r>
      <w:r w:rsidR="00C62B28" w:rsidRPr="00835EA4">
        <w:t>“</w:t>
      </w:r>
      <w:r w:rsidRPr="00835EA4">
        <w:t>Judicial Appointments Commission, Judicial Appointments and Conduct Ombudsman, and Judicial Conduct Investigations Office can be attributed to the creation of the CRA</w:t>
      </w:r>
      <w:r w:rsidR="00C62B28" w:rsidRPr="00835EA4">
        <w:t>”</w:t>
      </w:r>
      <w:r w:rsidR="0086578E" w:rsidRPr="00835EA4">
        <w:t xml:space="preserve"> (Woodhouse, 2023)</w:t>
      </w:r>
      <w:r w:rsidRPr="00835EA4">
        <w:t xml:space="preserve">. The newly implemented formal procedures encompass periodic gatherings between the judiciary and other branches of government. Notably, these procedures involve biannual meetings between the </w:t>
      </w:r>
      <w:r w:rsidR="00776E1D" w:rsidRPr="00835EA4">
        <w:t>“</w:t>
      </w:r>
      <w:r w:rsidRPr="00835EA4">
        <w:t>Lord Chief Justice (LCJ)</w:t>
      </w:r>
      <w:r w:rsidR="00776E1D" w:rsidRPr="00835EA4">
        <w:t>”</w:t>
      </w:r>
      <w:r w:rsidRPr="00835EA4">
        <w:t xml:space="preserve"> and the Prime Minister, the establishment of regular meetings with high-ranking officials in parliament, and the annual presence of the LCJ and President of the Supreme Court in front of the Constitution Committee</w:t>
      </w:r>
      <w:r w:rsidR="0086578E" w:rsidRPr="00835EA4">
        <w:t xml:space="preserve"> (Woodhouse, 2023)</w:t>
      </w:r>
      <w:r w:rsidRPr="00835EA4">
        <w:t>.</w:t>
      </w:r>
    </w:p>
    <w:p w14:paraId="34A40803" w14:textId="77777777" w:rsidR="000B0689" w:rsidRPr="00835EA4" w:rsidRDefault="00E85918" w:rsidP="008D4B8A">
      <w:pPr>
        <w:spacing w:after="0" w:line="360" w:lineRule="auto"/>
      </w:pPr>
      <w:r w:rsidRPr="00835EA4">
        <w:t xml:space="preserve">One notable distinction lies in the increased fragmentation of contemporary politics. The role of the Lord Chancellor as the intermediary between the judiciary and the government has diminished, with a shift towards utilising alternative channels. These include the </w:t>
      </w:r>
      <w:r w:rsidR="00EC6DAF" w:rsidRPr="00835EA4">
        <w:t>“</w:t>
      </w:r>
      <w:r w:rsidRPr="00835EA4">
        <w:t xml:space="preserve">Attorney </w:t>
      </w:r>
      <w:r w:rsidRPr="00835EA4">
        <w:lastRenderedPageBreak/>
        <w:t>General, Treasury Solicitor, Crown Prosecution Service, and Parliamentary Counsel</w:t>
      </w:r>
      <w:r w:rsidR="00EC6DAF" w:rsidRPr="00835EA4">
        <w:t>”</w:t>
      </w:r>
      <w:r w:rsidRPr="00835EA4">
        <w:t xml:space="preserve"> on the government side, as well as the </w:t>
      </w:r>
      <w:r w:rsidR="00EC6DAF" w:rsidRPr="00835EA4">
        <w:t>“</w:t>
      </w:r>
      <w:r w:rsidRPr="00835EA4">
        <w:t>Senior Presiding Judge and Senior President of Tribunals</w:t>
      </w:r>
      <w:r w:rsidR="00EC6DAF" w:rsidRPr="00835EA4">
        <w:t>”</w:t>
      </w:r>
      <w:r w:rsidRPr="00835EA4">
        <w:t xml:space="preserve"> within the judiciary</w:t>
      </w:r>
      <w:r w:rsidR="00AE5E69" w:rsidRPr="00835EA4">
        <w:t xml:space="preserve"> (Woodhouse, 2023)</w:t>
      </w:r>
      <w:r w:rsidRPr="00835EA4">
        <w:t>.</w:t>
      </w:r>
    </w:p>
    <w:p w14:paraId="13D42ABE" w14:textId="77777777" w:rsidR="000B0689" w:rsidRPr="00835EA4" w:rsidRDefault="008657C1" w:rsidP="008D4B8A">
      <w:pPr>
        <w:spacing w:after="0" w:line="360" w:lineRule="auto"/>
      </w:pPr>
      <w:r w:rsidRPr="00835EA4">
        <w:t>Judicial officials commonly make appearances before parliamentary committees in the capacity of expert witnesses, providing insights and expertise pertaining to various domains of the legal system and its practical implementation</w:t>
      </w:r>
      <w:r w:rsidR="00D80528" w:rsidRPr="00835EA4">
        <w:t xml:space="preserve"> (Hazell, R., 2022)</w:t>
      </w:r>
      <w:r w:rsidRPr="00835EA4">
        <w:t>. Parliament serves as a platform on certain occasions to assist in the resolution of significant conflicts between the judiciary and executive branches. Notable instances include the highly exceptional 2004 Lords Select Committee on the Constitutional Reform Bill and the expeditious investigation conducted by the Constitution Committee in 2007 regarding the potential consequences for the judiciary resulting from the establishment of the Ministry of Justice</w:t>
      </w:r>
      <w:r w:rsidR="00B16F32" w:rsidRPr="00835EA4">
        <w:t xml:space="preserve"> (Hazell, R., 2022)</w:t>
      </w:r>
      <w:r w:rsidRPr="00835EA4">
        <w:t>.</w:t>
      </w:r>
      <w:r w:rsidR="006314D6" w:rsidRPr="00835EA4">
        <w:t xml:space="preserve"> </w:t>
      </w:r>
      <w:r w:rsidR="00B40684" w:rsidRPr="00835EA4">
        <w:t>One additional distinction lies in the heightened intensity and increased overt conflict that can be observed in contemporary politics. It is a common occurrence for governments to encounter conflicts with the judiciary; however, what distinguishes the present situation is the increased likelihood of these tensions being publicly exposed. In 2011, Lord Phillips expressed his disapproval of the government's proposed budget for the Supreme Court, a position he held as President of the Court. One year later, Lord Chancellor Chris Grayling expressed his intention to vigorously pursue modifications to judic</w:t>
      </w:r>
      <w:r w:rsidR="00860E2E" w:rsidRPr="00835EA4">
        <w:t>ial pensions, using the phrase “draw blood”</w:t>
      </w:r>
      <w:r w:rsidR="00B40684" w:rsidRPr="00835EA4">
        <w:t xml:space="preserve"> to emphasise his determination</w:t>
      </w:r>
      <w:r w:rsidR="00495BB4" w:rsidRPr="00835EA4">
        <w:t xml:space="preserve"> (Hazell, R., 2022)</w:t>
      </w:r>
      <w:r w:rsidR="00B40684" w:rsidRPr="00835EA4">
        <w:t>.</w:t>
      </w:r>
    </w:p>
    <w:p w14:paraId="4D7871B8" w14:textId="77777777" w:rsidR="00A57F0D" w:rsidRPr="00835EA4" w:rsidRDefault="00830338" w:rsidP="008D4B8A">
      <w:pPr>
        <w:spacing w:after="0" w:line="360" w:lineRule="auto"/>
      </w:pPr>
      <w:r w:rsidRPr="00835EA4">
        <w:t xml:space="preserve">One additional distinction, arising from the aforementioned factors, is the heightened visibility and exposure enjoyed by judges. Press conferences are conducted and press releases are issued by individuals, with the assistance of the recently established Judicial Communications Office. The </w:t>
      </w:r>
      <w:r w:rsidR="00B017BC" w:rsidRPr="00835EA4">
        <w:t>LCJ</w:t>
      </w:r>
      <w:r w:rsidRPr="00835EA4">
        <w:t xml:space="preserve"> organisation releases regular reports and conducts annual press conferences</w:t>
      </w:r>
      <w:r w:rsidR="00495BB4" w:rsidRPr="00835EA4">
        <w:t xml:space="preserve"> (Hazell, R., 2022)</w:t>
      </w:r>
      <w:r w:rsidRPr="00835EA4">
        <w:t>. In light of the Lord Chancellor's diminished capacity to advocate on their behalf, judges are compelled to assume a more proactive role in articulating their own perspectives. Certain aspects remain constant. The contemporary political landscape continues to rely on informal channels and interpersonal connections between the government and judiciary, placing significant emphasis on individual personalities to facilitate conflict resolution and negotiate mutually agreeable solutions</w:t>
      </w:r>
      <w:r w:rsidR="00495BB4" w:rsidRPr="00835EA4">
        <w:t xml:space="preserve"> (Hazell, R., 2022)</w:t>
      </w:r>
      <w:r w:rsidRPr="00835EA4">
        <w:t>.</w:t>
      </w:r>
    </w:p>
    <w:p w14:paraId="20AF909D" w14:textId="77777777" w:rsidR="00C421F0" w:rsidRPr="00835EA4" w:rsidRDefault="00D16F47" w:rsidP="008D4B8A">
      <w:pPr>
        <w:spacing w:after="0" w:line="360" w:lineRule="auto"/>
      </w:pPr>
      <w:r w:rsidRPr="00835EA4">
        <w:t xml:space="preserve">The judiciary holds a firm belief that the alterations made in 2005 have had a detrimental impact on the autonomy of the judiciary. A significant portion of the individuals interviewed for the </w:t>
      </w:r>
      <w:r w:rsidRPr="00835EA4">
        <w:lastRenderedPageBreak/>
        <w:t xml:space="preserve">study expressed a sense of bereavement over the loss of the former Lord Chancellor, a highly regarded individual who served as their representative in the Cabinet. However, it is possible that the judiciary possesses somewhat </w:t>
      </w:r>
      <w:proofErr w:type="spellStart"/>
      <w:r w:rsidRPr="00835EA4">
        <w:t>biassed</w:t>
      </w:r>
      <w:proofErr w:type="spellEnd"/>
      <w:r w:rsidRPr="00835EA4">
        <w:t xml:space="preserve"> recollections regarding the attentiveness of the former Lord Chancellor. In 1931, Lord Sankey did not intervene to prevent reductions in judicial salaries. Similarly, in the 1970s, </w:t>
      </w:r>
      <w:r w:rsidR="00EF1939" w:rsidRPr="00835EA4">
        <w:t>“</w:t>
      </w:r>
      <w:r w:rsidRPr="00835EA4">
        <w:t>Lord Elwyn Jones</w:t>
      </w:r>
      <w:r w:rsidR="00EF1939" w:rsidRPr="00835EA4">
        <w:t>”</w:t>
      </w:r>
      <w:r w:rsidRPr="00835EA4">
        <w:t xml:space="preserve"> declined to promote </w:t>
      </w:r>
      <w:r w:rsidR="00EF1939" w:rsidRPr="00835EA4">
        <w:t>“</w:t>
      </w:r>
      <w:r w:rsidRPr="00835EA4">
        <w:t>Sir John Donaldson</w:t>
      </w:r>
      <w:r w:rsidR="00EF1939" w:rsidRPr="00835EA4">
        <w:t>”</w:t>
      </w:r>
      <w:r w:rsidRPr="00835EA4">
        <w:t xml:space="preserve"> due to his involvement in the Industrial Relations Court. Lord Mackay, in 1993, faced significant criticism for his modifications to judicial pensions, which resulted in widespread disapproval</w:t>
      </w:r>
      <w:r w:rsidR="00DC46F3" w:rsidRPr="00835EA4">
        <w:t xml:space="preserve"> (</w:t>
      </w:r>
      <w:proofErr w:type="spellStart"/>
      <w:r w:rsidR="00DC46F3" w:rsidRPr="00835EA4">
        <w:t>Masterman</w:t>
      </w:r>
      <w:proofErr w:type="spellEnd"/>
      <w:r w:rsidR="00DC46F3" w:rsidRPr="00835EA4">
        <w:t>, 2010)</w:t>
      </w:r>
      <w:r w:rsidRPr="00835EA4">
        <w:t>. Based on our analysis, it is evident that judicial independence exhibits a greater degree of strength. The judiciary has experienced a notable increase in institutional independence from both the executive and legislature. This has resulted in enhanced autonomy and accountability in managing the judicial system and courts. Additionally, the responsibility for safeguarding judicial independence is now shared among multiple entities, rather than solely resting with the Lord Chancellor</w:t>
      </w:r>
      <w:r w:rsidR="00DC46F3" w:rsidRPr="00835EA4">
        <w:t xml:space="preserve"> (</w:t>
      </w:r>
      <w:proofErr w:type="spellStart"/>
      <w:r w:rsidR="00DC46F3" w:rsidRPr="00835EA4">
        <w:t>Masterman</w:t>
      </w:r>
      <w:proofErr w:type="spellEnd"/>
      <w:r w:rsidR="00DC46F3" w:rsidRPr="00835EA4">
        <w:t>, 2010)</w:t>
      </w:r>
      <w:r w:rsidRPr="00835EA4">
        <w:t>.</w:t>
      </w:r>
    </w:p>
    <w:p w14:paraId="0A4B98AD" w14:textId="77777777" w:rsidR="00DF69F1" w:rsidRPr="00835EA4" w:rsidRDefault="00DF69F1" w:rsidP="008D4B8A">
      <w:pPr>
        <w:spacing w:after="0" w:line="360" w:lineRule="auto"/>
      </w:pPr>
      <w:r w:rsidRPr="00835EA4">
        <w:t>Not enough attention has been paid by the judiciary to the most significant development: the incorporation of the Leggatt review's recommendations into the Tribunals Courts and Enforcement Act of 2007</w:t>
      </w:r>
      <w:r w:rsidR="00AB4AD0" w:rsidRPr="00835EA4">
        <w:t xml:space="preserve"> (</w:t>
      </w:r>
      <w:proofErr w:type="spellStart"/>
      <w:r w:rsidR="00AB4AD0" w:rsidRPr="00835EA4">
        <w:t>Masterman</w:t>
      </w:r>
      <w:proofErr w:type="spellEnd"/>
      <w:r w:rsidR="00AB4AD0" w:rsidRPr="00835EA4">
        <w:t>, 2010)</w:t>
      </w:r>
      <w:r w:rsidRPr="00835EA4">
        <w:t>. That's fantastic news for the impartiality of tribunals and judges everywhere! In the past, tribunals' funding and membership appointments were made solely by the government agencies that backed them. HM Courts and Tribunals Service provides money, and appointments are no longer made by the government</w:t>
      </w:r>
      <w:r w:rsidR="00AB4AD0" w:rsidRPr="00835EA4">
        <w:t xml:space="preserve"> (</w:t>
      </w:r>
      <w:proofErr w:type="spellStart"/>
      <w:r w:rsidR="00AB4AD0" w:rsidRPr="00835EA4">
        <w:t>Masterman</w:t>
      </w:r>
      <w:proofErr w:type="spellEnd"/>
      <w:r w:rsidR="00AB4AD0" w:rsidRPr="00835EA4">
        <w:t>, 2010)</w:t>
      </w:r>
      <w:r w:rsidRPr="00835EA4">
        <w:t>.</w:t>
      </w:r>
    </w:p>
    <w:p w14:paraId="112CDCD3" w14:textId="77777777" w:rsidR="00C421F0" w:rsidRPr="00835EA4" w:rsidRDefault="00DF69F1" w:rsidP="008D4B8A">
      <w:pPr>
        <w:spacing w:after="0" w:line="360" w:lineRule="auto"/>
      </w:pPr>
      <w:r w:rsidRPr="00835EA4">
        <w:t xml:space="preserve">The second most significant alteration is the transfer of authority for making judicial nominations from the Lord Chancellor to the courts themselves. The independent </w:t>
      </w:r>
      <w:r w:rsidR="00FA7B73" w:rsidRPr="00835EA4">
        <w:t>“</w:t>
      </w:r>
      <w:r w:rsidRPr="00835EA4">
        <w:t>Judicial Appointments Commission (JAC)</w:t>
      </w:r>
      <w:r w:rsidR="00FA7B73" w:rsidRPr="00835EA4">
        <w:t>”</w:t>
      </w:r>
      <w:r w:rsidRPr="00835EA4">
        <w:t xml:space="preserve"> is in charge of the procedure, but in practise the judiciary has a great deal of sway. Judiciary members take part in the development of examinations and references, serve on interview panels, and participate in statutory consultation. Seven of the fifteen commissioners on the JAC are judges</w:t>
      </w:r>
      <w:r w:rsidR="00A129C8" w:rsidRPr="00835EA4">
        <w:t xml:space="preserve"> (Woodhouse, 2023)</w:t>
      </w:r>
      <w:r w:rsidRPr="00835EA4">
        <w:t>. The LCJ now legally appoints all judges at the circuit court level and below, and the Senior President of Tribunals appoints all members of the Tribunals; together, they are responsible for 97</w:t>
      </w:r>
      <w:r w:rsidR="009850F9" w:rsidRPr="00835EA4">
        <w:t>% of all judicial appointments.</w:t>
      </w:r>
    </w:p>
    <w:p w14:paraId="01203212" w14:textId="77777777" w:rsidR="00596553" w:rsidRPr="00835EA4" w:rsidRDefault="00596553" w:rsidP="008D4B8A">
      <w:pPr>
        <w:spacing w:after="0" w:line="360" w:lineRule="auto"/>
      </w:pPr>
      <w:r w:rsidRPr="00835EA4">
        <w:t>The establishment of the Supreme Court is the third major step forward for judicial autonomy</w:t>
      </w:r>
      <w:r w:rsidR="00A129C8" w:rsidRPr="00835EA4">
        <w:t xml:space="preserve"> (Woodhouse, 2023)</w:t>
      </w:r>
      <w:r w:rsidRPr="00835EA4">
        <w:t>. It is no longer tucked away in the House of Lords but rather has its own premises, money, and personnel, and hence far more autonomy over its own operations</w:t>
      </w:r>
      <w:r w:rsidR="00E81901" w:rsidRPr="00835EA4">
        <w:t xml:space="preserve"> </w:t>
      </w:r>
      <w:r w:rsidR="00E81901" w:rsidRPr="00835EA4">
        <w:lastRenderedPageBreak/>
        <w:t>(</w:t>
      </w:r>
      <w:r w:rsidR="00A129C8" w:rsidRPr="00835EA4">
        <w:t xml:space="preserve">Woodhouse, 2023; </w:t>
      </w:r>
      <w:proofErr w:type="spellStart"/>
      <w:r w:rsidR="00E81901" w:rsidRPr="00835EA4">
        <w:t>Khaitan</w:t>
      </w:r>
      <w:proofErr w:type="spellEnd"/>
      <w:r w:rsidR="00E81901" w:rsidRPr="00835EA4">
        <w:t>, 2013)</w:t>
      </w:r>
      <w:r w:rsidRPr="00835EA4">
        <w:t>. The sessions are now televised by Sky News; the Justices have more room, and can sit in panels of seven or nine; and the Supreme Court's new website is very different from the previous law lords' austere webpage</w:t>
      </w:r>
      <w:r w:rsidR="00E81901" w:rsidRPr="00835EA4">
        <w:t xml:space="preserve"> (</w:t>
      </w:r>
      <w:r w:rsidR="00A129C8" w:rsidRPr="00835EA4">
        <w:t xml:space="preserve">Woodhouse, 2023; </w:t>
      </w:r>
      <w:proofErr w:type="spellStart"/>
      <w:r w:rsidR="00E81901" w:rsidRPr="00835EA4">
        <w:t>Khaitan</w:t>
      </w:r>
      <w:proofErr w:type="spellEnd"/>
      <w:r w:rsidR="00E81901" w:rsidRPr="00835EA4">
        <w:t>, 2013)</w:t>
      </w:r>
      <w:r w:rsidRPr="00835EA4">
        <w:t>. The new court is such an improvement that even those who opposed the relocation admit it.</w:t>
      </w:r>
    </w:p>
    <w:p w14:paraId="4B2D7E7B" w14:textId="77777777" w:rsidR="00E14965" w:rsidRPr="00835EA4" w:rsidRDefault="00596553" w:rsidP="008D4B8A">
      <w:pPr>
        <w:spacing w:after="0" w:line="360" w:lineRule="auto"/>
      </w:pPr>
      <w:r w:rsidRPr="00835EA4">
        <w:t>The fourth area where the judiciary's autonomy has been bolstered is in its ability to function independently from other government agencies. The judicial branch has evolved into one that operates more autonomously</w:t>
      </w:r>
      <w:r w:rsidR="00E81901" w:rsidRPr="00835EA4">
        <w:t xml:space="preserve"> (</w:t>
      </w:r>
      <w:r w:rsidR="00A129C8" w:rsidRPr="00835EA4">
        <w:t xml:space="preserve">Woodhouse, 2023; </w:t>
      </w:r>
      <w:proofErr w:type="spellStart"/>
      <w:r w:rsidR="00E81901" w:rsidRPr="00835EA4">
        <w:t>Khaitan</w:t>
      </w:r>
      <w:proofErr w:type="spellEnd"/>
      <w:r w:rsidR="00E81901" w:rsidRPr="00835EA4">
        <w:t>, 2013)</w:t>
      </w:r>
      <w:r w:rsidRPr="00835EA4">
        <w:t>. The Lord Chief Justice now has the authority to appoint judges to lesser courts, exert significant influence over senior appointments, and co-supervise judicial discipline, all of which were formerly the purview of the Lord Chancellor. The executive no longer solely controls the courts service; instead, the judiciary and executive work together. As part of the Courts and Tribunals Service, the Tribunals are governed by a board of three judges, including the Senior President of Tribunals</w:t>
      </w:r>
      <w:r w:rsidR="00E81901" w:rsidRPr="00835EA4">
        <w:t xml:space="preserve"> (</w:t>
      </w:r>
      <w:r w:rsidR="00A129C8" w:rsidRPr="00835EA4">
        <w:t xml:space="preserve">Woodhouse, 2023; </w:t>
      </w:r>
      <w:proofErr w:type="spellStart"/>
      <w:r w:rsidR="00E81901" w:rsidRPr="00835EA4">
        <w:t>Khaitan</w:t>
      </w:r>
      <w:proofErr w:type="spellEnd"/>
      <w:r w:rsidR="00E81901" w:rsidRPr="00835EA4">
        <w:t>, 2013)</w:t>
      </w:r>
      <w:r w:rsidRPr="00835EA4">
        <w:t>. Why, then, is the judicial system so hesitant to recognise these advancements? The constitutional amendments of 2005 and the subsequent economic crisis of 2007 may be contributing factors. Because of this, judicial salaries have been frozen and pensions have been drastically altered. While these budget cuts have been painful, they have not compromised the judiciary's ability to render fair and unbiased judgements. If judges are going to claim that judicial independence has been eroded, they need to provide greater detail about how and in what ways they believe this to be the case.</w:t>
      </w:r>
      <w:r w:rsidR="00E14965" w:rsidRPr="00835EA4">
        <w:rPr>
          <w:b/>
        </w:rPr>
        <w:br w:type="page"/>
      </w:r>
    </w:p>
    <w:p w14:paraId="2B5A1964" w14:textId="77777777" w:rsidR="00E11B43" w:rsidRPr="00835EA4" w:rsidRDefault="00340188" w:rsidP="008D4B8A">
      <w:pPr>
        <w:spacing w:after="0" w:line="360" w:lineRule="auto"/>
        <w:rPr>
          <w:b/>
        </w:rPr>
      </w:pPr>
      <w:r w:rsidRPr="00835EA4">
        <w:rPr>
          <w:b/>
        </w:rPr>
        <w:lastRenderedPageBreak/>
        <w:t>Bibliography</w:t>
      </w:r>
    </w:p>
    <w:p w14:paraId="3A8CD510" w14:textId="77777777" w:rsidR="005312FD" w:rsidRDefault="005312FD" w:rsidP="008D4B8A">
      <w:pPr>
        <w:spacing w:after="0" w:line="360" w:lineRule="auto"/>
      </w:pPr>
    </w:p>
    <w:p w14:paraId="47D6A872" w14:textId="77777777" w:rsidR="005312FD" w:rsidRPr="00835EA4" w:rsidRDefault="005312FD" w:rsidP="008D4B8A">
      <w:pPr>
        <w:spacing w:after="0" w:line="360" w:lineRule="auto"/>
      </w:pPr>
      <w:proofErr w:type="spellStart"/>
      <w:r>
        <w:t>Benwell</w:t>
      </w:r>
      <w:proofErr w:type="spellEnd"/>
      <w:r>
        <w:t xml:space="preserve">, R., and </w:t>
      </w:r>
      <w:r w:rsidRPr="00890F8F">
        <w:t>Gay</w:t>
      </w:r>
      <w:r>
        <w:t xml:space="preserve">, O., 2023. </w:t>
      </w:r>
      <w:r w:rsidRPr="00CD41EA">
        <w:t>The Separation of Powers</w:t>
      </w:r>
      <w:r>
        <w:t>-</w:t>
      </w:r>
      <w:r w:rsidRPr="00CD41EA">
        <w:t>Parliament and Constitution Centre</w:t>
      </w:r>
      <w:r>
        <w:t xml:space="preserve">. Retrieved from: </w:t>
      </w:r>
      <w:r w:rsidRPr="005733FC">
        <w:t>https://researchbriefings.files.parliament.uk/documents/SN06053/SN06053.pdf</w:t>
      </w:r>
      <w:r>
        <w:t xml:space="preserve"> </w:t>
      </w:r>
    </w:p>
    <w:p w14:paraId="1108EAE5" w14:textId="77777777" w:rsidR="005312FD" w:rsidRPr="00835EA4" w:rsidRDefault="005312FD" w:rsidP="008D4B8A">
      <w:pPr>
        <w:spacing w:after="0" w:line="360" w:lineRule="auto"/>
      </w:pPr>
      <w:r w:rsidRPr="00835EA4">
        <w:t>Dixon, R. and Landau, D.E., 2021. </w:t>
      </w:r>
      <w:r w:rsidRPr="00835EA4">
        <w:rPr>
          <w:i/>
          <w:iCs/>
        </w:rPr>
        <w:t>Abusive Constitutional Borrowing: legal globalization and the subversion of liberal democracy</w:t>
      </w:r>
      <w:r w:rsidRPr="00835EA4">
        <w:t>. Oxford University Press.</w:t>
      </w:r>
    </w:p>
    <w:p w14:paraId="1E27FFA0" w14:textId="77777777" w:rsidR="005312FD" w:rsidRPr="00835EA4" w:rsidRDefault="005312FD" w:rsidP="008D4B8A">
      <w:pPr>
        <w:spacing w:after="0" w:line="360" w:lineRule="auto"/>
      </w:pPr>
      <w:r w:rsidRPr="00835EA4">
        <w:t>Hazell, R., 2022. The Constitutional Reform Act 2005 led to greater judicial independence: politicians and parliament must continue to support it. Retrieved from: https://constitution-unit.com/2022/04/27/the-constitutional-reform-act-2005-led-to-greater-judicial-independence-politicians-and-parliament-must-continue-to-support-it/</w:t>
      </w:r>
    </w:p>
    <w:p w14:paraId="7F866BF2" w14:textId="77777777" w:rsidR="005312FD" w:rsidRPr="00835EA4" w:rsidRDefault="005312FD" w:rsidP="008D4B8A">
      <w:pPr>
        <w:spacing w:after="0" w:line="360" w:lineRule="auto"/>
      </w:pPr>
      <w:proofErr w:type="spellStart"/>
      <w:r w:rsidRPr="00835EA4">
        <w:t>Khaitan</w:t>
      </w:r>
      <w:proofErr w:type="spellEnd"/>
      <w:r w:rsidRPr="00835EA4">
        <w:t>, T., 2013. ‘</w:t>
      </w:r>
      <w:proofErr w:type="spellStart"/>
      <w:r w:rsidRPr="00835EA4">
        <w:t>Constitution’as</w:t>
      </w:r>
      <w:proofErr w:type="spellEnd"/>
      <w:r w:rsidRPr="00835EA4">
        <w:t xml:space="preserve"> a Statutory Term. </w:t>
      </w:r>
      <w:r w:rsidRPr="00835EA4">
        <w:rPr>
          <w:i/>
          <w:iCs/>
        </w:rPr>
        <w:t>LQR</w:t>
      </w:r>
      <w:r w:rsidRPr="00835EA4">
        <w:t>, </w:t>
      </w:r>
      <w:r w:rsidRPr="00835EA4">
        <w:rPr>
          <w:i/>
          <w:iCs/>
        </w:rPr>
        <w:t>129</w:t>
      </w:r>
      <w:r w:rsidRPr="00835EA4">
        <w:t>, pp.589-609.</w:t>
      </w:r>
    </w:p>
    <w:p w14:paraId="62E82669" w14:textId="77777777" w:rsidR="005312FD" w:rsidRPr="00835EA4" w:rsidRDefault="005312FD" w:rsidP="008D4B8A">
      <w:pPr>
        <w:spacing w:after="0" w:line="360" w:lineRule="auto"/>
      </w:pPr>
      <w:proofErr w:type="spellStart"/>
      <w:r w:rsidRPr="00835EA4">
        <w:t>Masterman</w:t>
      </w:r>
      <w:proofErr w:type="spellEnd"/>
      <w:r w:rsidRPr="00835EA4">
        <w:t>, R., 2010. </w:t>
      </w:r>
      <w:r w:rsidRPr="00835EA4">
        <w:rPr>
          <w:i/>
          <w:iCs/>
        </w:rPr>
        <w:t>The separation of powers in the contemporary constitution: Judicial competence and independence in the United Kingdom</w:t>
      </w:r>
      <w:r w:rsidRPr="00835EA4">
        <w:t>. Cambridge University Press.</w:t>
      </w:r>
    </w:p>
    <w:p w14:paraId="7F1681F4" w14:textId="77777777" w:rsidR="005312FD" w:rsidRDefault="005312FD" w:rsidP="008D4B8A">
      <w:pPr>
        <w:spacing w:after="0" w:line="360" w:lineRule="auto"/>
      </w:pPr>
      <w:r w:rsidRPr="00835EA4">
        <w:t xml:space="preserve">Woodhouse, D., 2023. United Kingdom </w:t>
      </w:r>
      <w:proofErr w:type="gramStart"/>
      <w:r w:rsidRPr="00835EA4">
        <w:t>The</w:t>
      </w:r>
      <w:proofErr w:type="gramEnd"/>
      <w:r w:rsidRPr="00835EA4">
        <w:t xml:space="preserve"> Constitutional Reform Act 2005 — defending judicial independence the English way. Retrieved from: https://watermark.silverchair.com/mol039.pdf?token=AQECAHi208BE49Ooan9kkhW_Ercy7Dm3ZL_9Cf3qfKAc485ysgAAArswggK3BgkqhkiG9w0BBwagggKoMIICpAIBADCCAp0GCSqGSIb3DQEHATAeBglghkgBZQMEAS4wEQQMUsnYq8qFh1CbXgbPAgEQgIICbvQRNiUPkMCgJI1uKrfzbCSbzGiBVU8DGRhLlmr_t6-s_-rqvSQx2ywzfZiSbRVB1T0omiZklbW5z1qxF-wlVlLBCw-4yN3BYCnG_nVPXeEHPRjIAQrkcyPov3VgWSLiNkEbjx3HZr4Ut1XqIt_xCH-rkpI5ka9ui46mpOSm6ETNppARY4nx2zKPxi5c7UUEA_s6ywsX1ND-scQgHkmjN3xXTkqTR7IRwQgfiI0qBtnki8BC_sWAWO-2_mpY86bT2E1D6jA56hTN0cMe2r8CI31aJ01dwnlY8PxQXPQBXQa0mj7guS3aNqe5tyMn9NPBK9T4fgIzLH59wglAPbDnQSuBNBFRyCElTbZ7oGzel_79sdFasBU5JRI8dKG5LVfFebV9P_vYoeTdQcmgUdwbW9eBEjeJVpk6eNzIf1M8Ex1rtWzA4-kIP7hXDQiaAgzb1DBFoPV4hI2J_5gNvZh2AoTWlIbD4GALU3yYFdYgsu49l9x1lvVBUfRnL50PVqnuhJp3IK8AlZ6M3dhV9uRBgFyoUCLxqFvHJgZvFgqeQuxSsEuRa2Qg2cEYoWwvDX86qNIOZsysOk20Bk_0ysMQNxsqJ6ZxniHjikSc_LuBrcPqXwQjQWV95KaMTXo9Zu0ygEmaDlSkixfC4CdoPzx6snmFCiRmUcH0aZVMtlkXEMBCSxGe3CgXyeqnKZpuc_UIB2mEqDYvaxiZLsrAmmWwTH1aFrOer2_oXSqelxQ63LuvwSbf8eJ5ftfLZHDd64XRERRYt0qBiNA0ZNkZjzt6OHy1jbpaT3c21oZIDJ5G0qpF8CadQAHrh1gRlYZbds0</w:t>
      </w:r>
    </w:p>
    <w:sectPr w:rsidR="005312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0262F"/>
    <w:multiLevelType w:val="hybridMultilevel"/>
    <w:tmpl w:val="80B41818"/>
    <w:lvl w:ilvl="0" w:tplc="95E295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52776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C87"/>
    <w:rsid w:val="00014636"/>
    <w:rsid w:val="000269ED"/>
    <w:rsid w:val="000277A5"/>
    <w:rsid w:val="00037DB3"/>
    <w:rsid w:val="00047F39"/>
    <w:rsid w:val="000843C2"/>
    <w:rsid w:val="000B0689"/>
    <w:rsid w:val="000C1AA5"/>
    <w:rsid w:val="000E261A"/>
    <w:rsid w:val="000E5A30"/>
    <w:rsid w:val="000F5F9A"/>
    <w:rsid w:val="001612DC"/>
    <w:rsid w:val="001621DD"/>
    <w:rsid w:val="00180D13"/>
    <w:rsid w:val="00191B57"/>
    <w:rsid w:val="001A2D3F"/>
    <w:rsid w:val="00275E10"/>
    <w:rsid w:val="002D013B"/>
    <w:rsid w:val="00311AB4"/>
    <w:rsid w:val="003207D2"/>
    <w:rsid w:val="00340188"/>
    <w:rsid w:val="00346D99"/>
    <w:rsid w:val="0034747B"/>
    <w:rsid w:val="00351746"/>
    <w:rsid w:val="00356C07"/>
    <w:rsid w:val="00370146"/>
    <w:rsid w:val="00376972"/>
    <w:rsid w:val="00383A0C"/>
    <w:rsid w:val="003916F9"/>
    <w:rsid w:val="003D1152"/>
    <w:rsid w:val="00411CF2"/>
    <w:rsid w:val="00412757"/>
    <w:rsid w:val="00414713"/>
    <w:rsid w:val="00416500"/>
    <w:rsid w:val="004436BD"/>
    <w:rsid w:val="004509B5"/>
    <w:rsid w:val="0048484F"/>
    <w:rsid w:val="00492BE5"/>
    <w:rsid w:val="00495B05"/>
    <w:rsid w:val="00495BB4"/>
    <w:rsid w:val="004B1418"/>
    <w:rsid w:val="004D1F40"/>
    <w:rsid w:val="004F09DC"/>
    <w:rsid w:val="00505A7A"/>
    <w:rsid w:val="005312FD"/>
    <w:rsid w:val="005560FD"/>
    <w:rsid w:val="005579FC"/>
    <w:rsid w:val="00560291"/>
    <w:rsid w:val="00570344"/>
    <w:rsid w:val="00571913"/>
    <w:rsid w:val="005733FC"/>
    <w:rsid w:val="005819A5"/>
    <w:rsid w:val="00596553"/>
    <w:rsid w:val="005A7FDD"/>
    <w:rsid w:val="005C22A7"/>
    <w:rsid w:val="005D1869"/>
    <w:rsid w:val="005D187B"/>
    <w:rsid w:val="00612D69"/>
    <w:rsid w:val="006314D6"/>
    <w:rsid w:val="006B7492"/>
    <w:rsid w:val="006E0087"/>
    <w:rsid w:val="006E3E2E"/>
    <w:rsid w:val="007003E8"/>
    <w:rsid w:val="00726401"/>
    <w:rsid w:val="00776E1D"/>
    <w:rsid w:val="007A5C51"/>
    <w:rsid w:val="007B0398"/>
    <w:rsid w:val="007B7229"/>
    <w:rsid w:val="007C0C2C"/>
    <w:rsid w:val="00830338"/>
    <w:rsid w:val="00835EA4"/>
    <w:rsid w:val="00860E2E"/>
    <w:rsid w:val="0086578E"/>
    <w:rsid w:val="008657C1"/>
    <w:rsid w:val="00890F8F"/>
    <w:rsid w:val="00893EA6"/>
    <w:rsid w:val="008D4B8A"/>
    <w:rsid w:val="008E565E"/>
    <w:rsid w:val="009203A1"/>
    <w:rsid w:val="00926186"/>
    <w:rsid w:val="009307BF"/>
    <w:rsid w:val="009360CE"/>
    <w:rsid w:val="00964F29"/>
    <w:rsid w:val="0097074B"/>
    <w:rsid w:val="00970F0B"/>
    <w:rsid w:val="009850F9"/>
    <w:rsid w:val="009F1C87"/>
    <w:rsid w:val="009F6E00"/>
    <w:rsid w:val="00A018E3"/>
    <w:rsid w:val="00A06144"/>
    <w:rsid w:val="00A129C8"/>
    <w:rsid w:val="00A468D0"/>
    <w:rsid w:val="00A577BA"/>
    <w:rsid w:val="00A57F0D"/>
    <w:rsid w:val="00A64E01"/>
    <w:rsid w:val="00A85FE4"/>
    <w:rsid w:val="00AB4AD0"/>
    <w:rsid w:val="00AE5E69"/>
    <w:rsid w:val="00B017BC"/>
    <w:rsid w:val="00B079C5"/>
    <w:rsid w:val="00B16F32"/>
    <w:rsid w:val="00B26954"/>
    <w:rsid w:val="00B26B17"/>
    <w:rsid w:val="00B349C8"/>
    <w:rsid w:val="00B40684"/>
    <w:rsid w:val="00B43F08"/>
    <w:rsid w:val="00B61999"/>
    <w:rsid w:val="00B96C83"/>
    <w:rsid w:val="00BB222E"/>
    <w:rsid w:val="00BC0311"/>
    <w:rsid w:val="00BC30DE"/>
    <w:rsid w:val="00BD3A42"/>
    <w:rsid w:val="00BF2E40"/>
    <w:rsid w:val="00C02039"/>
    <w:rsid w:val="00C151AE"/>
    <w:rsid w:val="00C16F40"/>
    <w:rsid w:val="00C21EA3"/>
    <w:rsid w:val="00C316DB"/>
    <w:rsid w:val="00C421F0"/>
    <w:rsid w:val="00C54883"/>
    <w:rsid w:val="00C62B28"/>
    <w:rsid w:val="00C923B6"/>
    <w:rsid w:val="00C92B1A"/>
    <w:rsid w:val="00CA4201"/>
    <w:rsid w:val="00CB0D15"/>
    <w:rsid w:val="00CC0FFD"/>
    <w:rsid w:val="00CD41EA"/>
    <w:rsid w:val="00CD784C"/>
    <w:rsid w:val="00D16F47"/>
    <w:rsid w:val="00D30607"/>
    <w:rsid w:val="00D54528"/>
    <w:rsid w:val="00D563EB"/>
    <w:rsid w:val="00D57C98"/>
    <w:rsid w:val="00D617B3"/>
    <w:rsid w:val="00D80528"/>
    <w:rsid w:val="00D84A87"/>
    <w:rsid w:val="00DC2741"/>
    <w:rsid w:val="00DC46F3"/>
    <w:rsid w:val="00DC5D7A"/>
    <w:rsid w:val="00DF69F1"/>
    <w:rsid w:val="00E11B43"/>
    <w:rsid w:val="00E14965"/>
    <w:rsid w:val="00E2049E"/>
    <w:rsid w:val="00E22B61"/>
    <w:rsid w:val="00E31173"/>
    <w:rsid w:val="00E4535F"/>
    <w:rsid w:val="00E562B1"/>
    <w:rsid w:val="00E81901"/>
    <w:rsid w:val="00E85918"/>
    <w:rsid w:val="00EB0C66"/>
    <w:rsid w:val="00EB6FAA"/>
    <w:rsid w:val="00EC6DAF"/>
    <w:rsid w:val="00ED21AA"/>
    <w:rsid w:val="00EF1939"/>
    <w:rsid w:val="00EF74E3"/>
    <w:rsid w:val="00F03119"/>
    <w:rsid w:val="00F3085F"/>
    <w:rsid w:val="00F329D4"/>
    <w:rsid w:val="00F33B4C"/>
    <w:rsid w:val="00F401F8"/>
    <w:rsid w:val="00F56E47"/>
    <w:rsid w:val="00F77170"/>
    <w:rsid w:val="00F814B4"/>
    <w:rsid w:val="00F858CD"/>
    <w:rsid w:val="00FA7B73"/>
    <w:rsid w:val="00FD374F"/>
    <w:rsid w:val="00FE75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38E25"/>
  <w15:chartTrackingRefBased/>
  <w15:docId w15:val="{3976F4EC-1ECB-43C8-BA7F-2E91BE578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9D4"/>
    <w:rPr>
      <w:rFonts w:ascii="Times New Roman" w:hAnsi="Times New Roman"/>
      <w:sz w:val="24"/>
      <w:lang w:val="en-GB"/>
    </w:rPr>
  </w:style>
  <w:style w:type="paragraph" w:styleId="Heading1">
    <w:name w:val="heading 1"/>
    <w:basedOn w:val="Normal"/>
    <w:next w:val="Normal"/>
    <w:link w:val="Heading1Char"/>
    <w:autoRedefine/>
    <w:uiPriority w:val="9"/>
    <w:qFormat/>
    <w:rsid w:val="00F329D4"/>
    <w:pPr>
      <w:keepNext/>
      <w:keepLines/>
      <w:spacing w:before="240" w:after="0" w:line="240" w:lineRule="auto"/>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F329D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C923B6"/>
    <w:pPr>
      <w:keepNext/>
      <w:keepLines/>
      <w:spacing w:before="40" w:after="0"/>
      <w:outlineLvl w:val="2"/>
    </w:pPr>
    <w:rPr>
      <w:rFonts w:eastAsiaTheme="majorEastAsia" w:cstheme="majorBidi"/>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8D0"/>
    <w:pPr>
      <w:spacing w:after="0" w:line="240" w:lineRule="auto"/>
      <w:contextualSpacing/>
      <w:jc w:val="center"/>
    </w:pPr>
    <w:rPr>
      <w:rFonts w:eastAsiaTheme="majorEastAsia" w:cs="Times New Roman"/>
      <w:b/>
      <w:spacing w:val="-10"/>
      <w:kern w:val="28"/>
      <w:szCs w:val="24"/>
      <w:lang w:val="en-US"/>
    </w:rPr>
  </w:style>
  <w:style w:type="character" w:customStyle="1" w:styleId="TitleChar">
    <w:name w:val="Title Char"/>
    <w:basedOn w:val="DefaultParagraphFont"/>
    <w:link w:val="Title"/>
    <w:uiPriority w:val="10"/>
    <w:rsid w:val="00A468D0"/>
    <w:rPr>
      <w:rFonts w:ascii="Times New Roman" w:eastAsiaTheme="majorEastAsia" w:hAnsi="Times New Roman" w:cs="Times New Roman"/>
      <w:b/>
      <w:spacing w:val="-10"/>
      <w:kern w:val="28"/>
      <w:sz w:val="24"/>
      <w:szCs w:val="24"/>
    </w:rPr>
  </w:style>
  <w:style w:type="character" w:customStyle="1" w:styleId="Heading1Char">
    <w:name w:val="Heading 1 Char"/>
    <w:basedOn w:val="DefaultParagraphFont"/>
    <w:link w:val="Heading1"/>
    <w:uiPriority w:val="9"/>
    <w:rsid w:val="00F329D4"/>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F329D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923B6"/>
    <w:rPr>
      <w:rFonts w:ascii="Times New Roman" w:eastAsiaTheme="majorEastAsia" w:hAnsi="Times New Roman" w:cstheme="majorBidi"/>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957942">
      <w:bodyDiv w:val="1"/>
      <w:marLeft w:val="0"/>
      <w:marRight w:val="0"/>
      <w:marTop w:val="0"/>
      <w:marBottom w:val="0"/>
      <w:divBdr>
        <w:top w:val="none" w:sz="0" w:space="0" w:color="auto"/>
        <w:left w:val="none" w:sz="0" w:space="0" w:color="auto"/>
        <w:bottom w:val="none" w:sz="0" w:space="0" w:color="auto"/>
        <w:right w:val="none" w:sz="0" w:space="0" w:color="auto"/>
      </w:divBdr>
    </w:div>
    <w:div w:id="2134903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7</Pages>
  <Words>2235</Words>
  <Characters>12741</Characters>
  <Application>Microsoft Office Word</Application>
  <DocSecurity>0</DocSecurity>
  <Lines>106</Lines>
  <Paragraphs>29</Paragraphs>
  <ScaleCrop>false</ScaleCrop>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19arahouf</cp:lastModifiedBy>
  <cp:revision>2</cp:revision>
  <dcterms:created xsi:type="dcterms:W3CDTF">2023-07-15T11:32:00Z</dcterms:created>
  <dcterms:modified xsi:type="dcterms:W3CDTF">2023-08-11T22:18:00Z</dcterms:modified>
</cp:coreProperties>
</file>