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1554" w:rsidRDefault="00D31554" w:rsidP="0034485C">
      <w:pPr>
        <w:rPr>
          <w:rFonts w:ascii="Helvetica" w:hAnsi="Helvetica"/>
          <w:color w:val="3C4043"/>
          <w:spacing w:val="3"/>
          <w:sz w:val="21"/>
          <w:szCs w:val="21"/>
          <w:shd w:val="clear" w:color="auto" w:fill="FFFFFF"/>
        </w:rPr>
      </w:pPr>
    </w:p>
    <w:p w:rsidR="005C15B0" w:rsidRDefault="005C15B0" w:rsidP="005C15B0">
      <w:pPr>
        <w:spacing w:before="240" w:after="200" w:line="480" w:lineRule="auto"/>
        <w:ind w:right="140"/>
        <w:jc w:val="center"/>
        <w:rPr>
          <w:rFonts w:ascii="Arial" w:eastAsia="Times New Roman" w:hAnsi="Arial" w:cs="Arial"/>
          <w:sz w:val="24"/>
          <w:szCs w:val="24"/>
          <w:lang w:eastAsia="en-GB"/>
        </w:rPr>
      </w:pPr>
    </w:p>
    <w:p w:rsidR="00B43CBA" w:rsidRPr="00B43CBA" w:rsidRDefault="00B43CBA" w:rsidP="005C15B0">
      <w:pPr>
        <w:spacing w:before="240" w:after="20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University of Wales Trinity Saint David</w:t>
      </w:r>
    </w:p>
    <w:p w:rsidR="005C15B0" w:rsidRDefault="005C15B0" w:rsidP="005C15B0">
      <w:pPr>
        <w:spacing w:after="0" w:line="480" w:lineRule="auto"/>
        <w:ind w:right="140"/>
        <w:jc w:val="center"/>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Emerging Issues in the Public Sector </w:t>
      </w: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(BMPS6002)</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5C15B0">
        <w:rPr>
          <w:rFonts w:ascii="Arial" w:eastAsia="Times New Roman" w:hAnsi="Arial" w:cs="Arial"/>
          <w:sz w:val="24"/>
          <w:szCs w:val="24"/>
          <w:lang w:eastAsia="en-GB"/>
        </w:rPr>
        <w:drawing>
          <wp:anchor distT="0" distB="0" distL="114300" distR="114300" simplePos="0" relativeHeight="251658240" behindDoc="1" locked="0" layoutInCell="1" allowOverlap="1" wp14:anchorId="1419D251" wp14:editId="3DA6349C">
            <wp:simplePos x="0" y="0"/>
            <wp:positionH relativeFrom="column">
              <wp:posOffset>1743075</wp:posOffset>
            </wp:positionH>
            <wp:positionV relativeFrom="paragraph">
              <wp:posOffset>407035</wp:posOffset>
            </wp:positionV>
            <wp:extent cx="2295525" cy="2286000"/>
            <wp:effectExtent l="0" t="0" r="9525" b="0"/>
            <wp:wrapTopAndBottom/>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5525"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15B0">
        <w:rPr>
          <w:rFonts w:ascii="Arial" w:eastAsia="Times New Roman" w:hAnsi="Arial" w:cs="Arial"/>
          <w:sz w:val="24"/>
          <w:szCs w:val="24"/>
          <w:lang w:eastAsia="en-GB"/>
        </w:rPr>
        <w:t xml:space="preserve">Lecturer: </w:t>
      </w:r>
      <w:r w:rsidRPr="00B43CBA">
        <w:rPr>
          <w:rFonts w:ascii="Arial" w:eastAsia="Times New Roman" w:hAnsi="Arial" w:cs="Arial"/>
          <w:sz w:val="24"/>
          <w:szCs w:val="24"/>
          <w:lang w:eastAsia="en-GB"/>
        </w:rPr>
        <w:t xml:space="preserve">Mike </w:t>
      </w:r>
      <w:proofErr w:type="spellStart"/>
      <w:r w:rsidRPr="00B43CBA">
        <w:rPr>
          <w:rFonts w:ascii="Arial" w:eastAsia="Times New Roman" w:hAnsi="Arial" w:cs="Arial"/>
          <w:sz w:val="24"/>
          <w:szCs w:val="24"/>
          <w:lang w:eastAsia="en-GB"/>
        </w:rPr>
        <w:t>Durke</w:t>
      </w:r>
      <w:proofErr w:type="spellEnd"/>
      <w:r w:rsidRPr="00B43CBA">
        <w:rPr>
          <w:rFonts w:ascii="Arial" w:eastAsia="Times New Roman" w:hAnsi="Arial" w:cs="Arial"/>
          <w:sz w:val="24"/>
          <w:szCs w:val="24"/>
          <w:lang w:eastAsia="en-GB"/>
        </w:rPr>
        <w:t> </w:t>
      </w:r>
    </w:p>
    <w:p w:rsidR="00B43CBA" w:rsidRPr="005C15B0" w:rsidRDefault="00B43CBA" w:rsidP="005C15B0">
      <w:pPr>
        <w:spacing w:after="0" w:line="480" w:lineRule="auto"/>
        <w:rPr>
          <w:rFonts w:ascii="Arial" w:eastAsia="Times New Roman" w:hAnsi="Arial" w:cs="Arial"/>
          <w:sz w:val="24"/>
          <w:szCs w:val="24"/>
          <w:lang w:eastAsia="en-GB"/>
        </w:rPr>
      </w:pPr>
    </w:p>
    <w:p w:rsidR="00B43CBA" w:rsidRPr="005C15B0"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Trwdi Morgan </w:t>
      </w: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1702024</w:t>
      </w:r>
    </w:p>
    <w:p w:rsidR="00B43CBA" w:rsidRPr="005C15B0"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8th May 2020</w:t>
      </w:r>
    </w:p>
    <w:p w:rsidR="00B43CBA" w:rsidRPr="005C15B0" w:rsidRDefault="00B43CBA" w:rsidP="005C15B0">
      <w:pPr>
        <w:spacing w:after="0" w:line="480" w:lineRule="auto"/>
        <w:ind w:right="140"/>
        <w:jc w:val="center"/>
        <w:rPr>
          <w:rFonts w:ascii="Arial" w:eastAsia="Times New Roman" w:hAnsi="Arial" w:cs="Arial"/>
          <w:sz w:val="24"/>
          <w:szCs w:val="24"/>
          <w:lang w:eastAsia="en-GB"/>
        </w:rPr>
      </w:pPr>
    </w:p>
    <w:p w:rsidR="006D6FB4" w:rsidRPr="005C15B0" w:rsidRDefault="005C15B0" w:rsidP="005C15B0">
      <w:pPr>
        <w:spacing w:after="240" w:line="480" w:lineRule="auto"/>
        <w:rPr>
          <w:rFonts w:ascii="Arial" w:eastAsia="Times New Roman" w:hAnsi="Arial" w:cs="Arial"/>
          <w:sz w:val="24"/>
          <w:szCs w:val="24"/>
          <w:lang w:eastAsia="en-GB"/>
        </w:rPr>
      </w:pPr>
      <w:r>
        <w:rPr>
          <w:rFonts w:ascii="Arial" w:eastAsia="Times New Roman" w:hAnsi="Arial" w:cs="Arial"/>
          <w:sz w:val="24"/>
          <w:szCs w:val="24"/>
          <w:lang w:eastAsia="en-GB"/>
        </w:rPr>
        <w:br/>
      </w:r>
    </w:p>
    <w:p w:rsidR="005C15B0" w:rsidRDefault="005C15B0" w:rsidP="005C15B0">
      <w:pPr>
        <w:spacing w:after="240" w:line="480" w:lineRule="auto"/>
        <w:jc w:val="center"/>
        <w:rPr>
          <w:rFonts w:ascii="Arial" w:eastAsia="Times New Roman" w:hAnsi="Arial" w:cs="Arial"/>
          <w:b/>
          <w:bCs/>
          <w:sz w:val="24"/>
          <w:szCs w:val="24"/>
          <w:u w:val="single"/>
          <w:lang w:eastAsia="en-GB"/>
        </w:rPr>
      </w:pPr>
    </w:p>
    <w:p w:rsidR="002F20F3" w:rsidRPr="005C15B0" w:rsidRDefault="00B43CBA" w:rsidP="005C15B0">
      <w:pPr>
        <w:spacing w:after="240" w:line="480" w:lineRule="auto"/>
        <w:jc w:val="center"/>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Contents page</w:t>
      </w:r>
      <w:r w:rsidRPr="00B43CBA">
        <w:rPr>
          <w:rFonts w:ascii="Arial" w:eastAsia="Times New Roman" w:hAnsi="Arial" w:cs="Arial"/>
          <w:sz w:val="24"/>
          <w:szCs w:val="24"/>
          <w:lang w:eastAsia="en-GB"/>
        </w:rPr>
        <w:br/>
      </w:r>
    </w:p>
    <w:sdt>
      <w:sdtPr>
        <w:rPr>
          <w:rFonts w:ascii="Arial" w:hAnsi="Arial" w:cs="Arial"/>
          <w:color w:val="auto"/>
          <w:sz w:val="24"/>
          <w:szCs w:val="24"/>
        </w:rPr>
        <w:id w:val="-1961259071"/>
        <w:docPartObj>
          <w:docPartGallery w:val="Table of Contents"/>
          <w:docPartUnique/>
        </w:docPartObj>
      </w:sdtPr>
      <w:sdtEndPr>
        <w:rPr>
          <w:rFonts w:eastAsiaTheme="minorHAnsi"/>
          <w:b/>
          <w:lang w:val="en-GB"/>
        </w:rPr>
      </w:sdtEndPr>
      <w:sdtContent>
        <w:p w:rsidR="002F20F3" w:rsidRPr="005C15B0" w:rsidRDefault="002F20F3" w:rsidP="005C15B0">
          <w:pPr>
            <w:pStyle w:val="TOCHeading"/>
            <w:spacing w:line="480" w:lineRule="auto"/>
            <w:outlineLvl w:val="2"/>
            <w:rPr>
              <w:rFonts w:ascii="Arial" w:hAnsi="Arial" w:cs="Arial"/>
              <w:b/>
              <w:color w:val="auto"/>
              <w:sz w:val="24"/>
              <w:szCs w:val="24"/>
            </w:rPr>
          </w:pPr>
          <w:r w:rsidRPr="005C15B0">
            <w:rPr>
              <w:rFonts w:ascii="Arial" w:hAnsi="Arial" w:cs="Arial"/>
              <w:b/>
              <w:color w:val="auto"/>
              <w:sz w:val="24"/>
              <w:szCs w:val="24"/>
            </w:rPr>
            <w:t>Table of Contents</w:t>
          </w:r>
        </w:p>
        <w:p w:rsidR="002F20F3" w:rsidRPr="005C15B0" w:rsidRDefault="002F20F3" w:rsidP="005C15B0">
          <w:pPr>
            <w:pStyle w:val="TOC1"/>
            <w:spacing w:line="480" w:lineRule="auto"/>
            <w:outlineLvl w:val="2"/>
            <w:rPr>
              <w:rFonts w:ascii="Arial" w:hAnsi="Arial" w:cs="Arial"/>
              <w:b/>
              <w:sz w:val="24"/>
              <w:szCs w:val="24"/>
            </w:rPr>
          </w:pPr>
          <w:r w:rsidRPr="005C15B0">
            <w:rPr>
              <w:rFonts w:ascii="Arial" w:hAnsi="Arial" w:cs="Arial"/>
              <w:b/>
              <w:bCs/>
              <w:sz w:val="24"/>
              <w:szCs w:val="24"/>
            </w:rPr>
            <w:t>Introduction</w:t>
          </w:r>
          <w:r w:rsidRPr="005C15B0">
            <w:rPr>
              <w:rFonts w:ascii="Arial" w:hAnsi="Arial" w:cs="Arial"/>
              <w:b/>
              <w:sz w:val="24"/>
              <w:szCs w:val="24"/>
            </w:rPr>
            <w:ptab w:relativeTo="margin" w:alignment="right" w:leader="dot"/>
          </w:r>
          <w:r w:rsidR="006D6FB4" w:rsidRPr="005C15B0">
            <w:rPr>
              <w:rFonts w:ascii="Arial" w:hAnsi="Arial" w:cs="Arial"/>
              <w:b/>
              <w:bCs/>
              <w:sz w:val="24"/>
              <w:szCs w:val="24"/>
            </w:rPr>
            <w:t>3</w:t>
          </w:r>
        </w:p>
        <w:p w:rsidR="009F7C5D"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 xml:space="preserve">Objectives </w:t>
          </w:r>
          <w:r w:rsidR="002F20F3" w:rsidRPr="005C15B0">
            <w:rPr>
              <w:rFonts w:ascii="Arial" w:hAnsi="Arial" w:cs="Arial"/>
              <w:b/>
              <w:sz w:val="24"/>
              <w:szCs w:val="24"/>
            </w:rPr>
            <w:ptab w:relativeTo="margin" w:alignment="right" w:leader="dot"/>
          </w:r>
          <w:r w:rsidR="006D6FB4" w:rsidRPr="005C15B0">
            <w:rPr>
              <w:rFonts w:ascii="Arial" w:hAnsi="Arial" w:cs="Arial"/>
              <w:b/>
              <w:sz w:val="24"/>
              <w:szCs w:val="24"/>
            </w:rPr>
            <w:t>3</w:t>
          </w:r>
        </w:p>
        <w:p w:rsidR="002F20F3"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Scope</w:t>
          </w:r>
          <w:r w:rsidR="002F20F3" w:rsidRPr="005C15B0">
            <w:rPr>
              <w:rFonts w:ascii="Arial" w:hAnsi="Arial" w:cs="Arial"/>
              <w:b/>
              <w:sz w:val="24"/>
              <w:szCs w:val="24"/>
            </w:rPr>
            <w:ptab w:relativeTo="margin" w:alignment="right" w:leader="dot"/>
          </w:r>
          <w:r w:rsidR="006D6FB4" w:rsidRPr="005C15B0">
            <w:rPr>
              <w:rFonts w:ascii="Arial" w:hAnsi="Arial" w:cs="Arial"/>
              <w:b/>
              <w:sz w:val="24"/>
              <w:szCs w:val="24"/>
            </w:rPr>
            <w:t>4</w:t>
          </w:r>
        </w:p>
        <w:p w:rsidR="002F20F3" w:rsidRPr="005C15B0" w:rsidRDefault="009F7C5D" w:rsidP="005C15B0">
          <w:pPr>
            <w:pStyle w:val="TOC1"/>
            <w:spacing w:line="480" w:lineRule="auto"/>
            <w:outlineLvl w:val="2"/>
            <w:rPr>
              <w:rFonts w:ascii="Arial" w:hAnsi="Arial" w:cs="Arial"/>
              <w:b/>
              <w:sz w:val="24"/>
              <w:szCs w:val="24"/>
            </w:rPr>
          </w:pPr>
          <w:r w:rsidRPr="005C15B0">
            <w:rPr>
              <w:rFonts w:ascii="Arial" w:hAnsi="Arial" w:cs="Arial"/>
              <w:b/>
              <w:bCs/>
              <w:sz w:val="24"/>
              <w:szCs w:val="24"/>
            </w:rPr>
            <w:t>Poverty</w:t>
          </w:r>
          <w:r w:rsidR="002F20F3" w:rsidRPr="005C15B0">
            <w:rPr>
              <w:rFonts w:ascii="Arial" w:hAnsi="Arial" w:cs="Arial"/>
              <w:b/>
              <w:sz w:val="24"/>
              <w:szCs w:val="24"/>
            </w:rPr>
            <w:ptab w:relativeTo="margin" w:alignment="right" w:leader="dot"/>
          </w:r>
          <w:r w:rsidR="002F20F3" w:rsidRPr="005C15B0">
            <w:rPr>
              <w:rFonts w:ascii="Arial" w:hAnsi="Arial" w:cs="Arial"/>
              <w:b/>
              <w:bCs/>
              <w:sz w:val="24"/>
              <w:szCs w:val="24"/>
            </w:rPr>
            <w:t>4</w:t>
          </w:r>
        </w:p>
        <w:p w:rsidR="009F7C5D"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Multi-partnership collaboration</w:t>
          </w:r>
          <w:r w:rsidR="002F20F3" w:rsidRPr="005C15B0">
            <w:rPr>
              <w:rFonts w:ascii="Arial" w:hAnsi="Arial" w:cs="Arial"/>
              <w:b/>
              <w:sz w:val="24"/>
              <w:szCs w:val="24"/>
            </w:rPr>
            <w:ptab w:relativeTo="margin" w:alignment="right" w:leader="dot"/>
          </w:r>
          <w:r w:rsidR="00DF04BF" w:rsidRPr="005C15B0">
            <w:rPr>
              <w:rFonts w:ascii="Arial" w:hAnsi="Arial" w:cs="Arial"/>
              <w:b/>
              <w:sz w:val="24"/>
              <w:szCs w:val="24"/>
            </w:rPr>
            <w:t>8</w:t>
          </w:r>
        </w:p>
        <w:p w:rsidR="006D6FB4" w:rsidRPr="005C15B0" w:rsidRDefault="009F7C5D" w:rsidP="005C15B0">
          <w:pPr>
            <w:spacing w:before="240" w:after="200" w:line="480" w:lineRule="auto"/>
            <w:ind w:right="140"/>
            <w:outlineLvl w:val="2"/>
            <w:rPr>
              <w:rFonts w:ascii="Arial" w:hAnsi="Arial" w:cs="Arial"/>
              <w:b/>
              <w:sz w:val="24"/>
              <w:szCs w:val="24"/>
            </w:rPr>
          </w:pPr>
          <w:r w:rsidRPr="00B43CBA">
            <w:rPr>
              <w:rFonts w:ascii="Arial" w:eastAsia="Times New Roman" w:hAnsi="Arial" w:cs="Arial"/>
              <w:b/>
              <w:bCs/>
              <w:sz w:val="24"/>
              <w:szCs w:val="24"/>
              <w:lang w:eastAsia="en-GB"/>
            </w:rPr>
            <w:t>Countries and communities</w:t>
          </w:r>
          <w:r w:rsidR="002F20F3" w:rsidRPr="005C15B0">
            <w:rPr>
              <w:rFonts w:ascii="Arial" w:hAnsi="Arial" w:cs="Arial"/>
              <w:b/>
              <w:sz w:val="24"/>
              <w:szCs w:val="24"/>
            </w:rPr>
            <w:ptab w:relativeTo="margin" w:alignment="right" w:leader="dot"/>
          </w:r>
          <w:r w:rsidR="00DF04BF" w:rsidRPr="005C15B0">
            <w:rPr>
              <w:rFonts w:ascii="Arial" w:hAnsi="Arial" w:cs="Arial"/>
              <w:b/>
              <w:sz w:val="24"/>
              <w:szCs w:val="24"/>
            </w:rPr>
            <w:t>11</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Statistics</w:t>
          </w:r>
          <w:r w:rsidR="006D6FB4" w:rsidRPr="005C15B0">
            <w:rPr>
              <w:rFonts w:ascii="Arial" w:hAnsi="Arial" w:cs="Arial"/>
              <w:b/>
              <w:sz w:val="24"/>
              <w:szCs w:val="24"/>
            </w:rPr>
            <w:t>…………………………………………………………………………………</w:t>
          </w:r>
          <w:r w:rsidR="00DF04BF" w:rsidRPr="005C15B0">
            <w:rPr>
              <w:rFonts w:ascii="Arial" w:hAnsi="Arial" w:cs="Arial"/>
              <w:b/>
              <w:sz w:val="24"/>
              <w:szCs w:val="24"/>
            </w:rPr>
            <w:t>.12</w:t>
          </w:r>
          <w:r w:rsidRPr="005C15B0">
            <w:rPr>
              <w:rFonts w:ascii="Arial" w:hAnsi="Arial" w:cs="Arial"/>
              <w:b/>
              <w:sz w:val="24"/>
              <w:szCs w:val="24"/>
            </w:rPr>
            <w:t xml:space="preserve"> </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 xml:space="preserve">Legislation </w:t>
          </w:r>
          <w:r w:rsidR="006D6FB4" w:rsidRPr="005C15B0">
            <w:rPr>
              <w:rFonts w:ascii="Arial" w:hAnsi="Arial" w:cs="Arial"/>
              <w:b/>
              <w:sz w:val="24"/>
              <w:szCs w:val="24"/>
            </w:rPr>
            <w:t>and indicators……………………………………………………………</w:t>
          </w:r>
          <w:r w:rsidR="00DF04BF" w:rsidRPr="005C15B0">
            <w:rPr>
              <w:rFonts w:ascii="Arial" w:hAnsi="Arial" w:cs="Arial"/>
              <w:b/>
              <w:sz w:val="24"/>
              <w:szCs w:val="24"/>
            </w:rPr>
            <w:t>12</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Hunger poverty- food banks</w:t>
          </w:r>
          <w:r w:rsidR="006D6FB4" w:rsidRPr="005C15B0">
            <w:rPr>
              <w:rFonts w:ascii="Arial" w:hAnsi="Arial" w:cs="Arial"/>
              <w:b/>
              <w:sz w:val="24"/>
              <w:szCs w:val="24"/>
            </w:rPr>
            <w:t>………………………………………………………….</w:t>
          </w:r>
          <w:r w:rsidR="00DF04BF" w:rsidRPr="005C15B0">
            <w:rPr>
              <w:rFonts w:ascii="Arial" w:hAnsi="Arial" w:cs="Arial"/>
              <w:b/>
              <w:sz w:val="24"/>
              <w:szCs w:val="24"/>
            </w:rPr>
            <w:t>14</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Education</w:t>
          </w:r>
          <w:r w:rsidR="006D6FB4" w:rsidRPr="005C15B0">
            <w:rPr>
              <w:rFonts w:ascii="Arial" w:hAnsi="Arial" w:cs="Arial"/>
              <w:b/>
              <w:sz w:val="24"/>
              <w:szCs w:val="24"/>
            </w:rPr>
            <w:t>…………………………………………………………………………….......</w:t>
          </w:r>
          <w:r w:rsidR="00DF04BF" w:rsidRPr="005C15B0">
            <w:rPr>
              <w:rFonts w:ascii="Arial" w:hAnsi="Arial" w:cs="Arial"/>
              <w:b/>
              <w:sz w:val="24"/>
              <w:szCs w:val="24"/>
            </w:rPr>
            <w:t>16</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Transitioning from child poverty into adulthood</w:t>
          </w:r>
          <w:r w:rsidR="006D6FB4" w:rsidRPr="005C15B0">
            <w:rPr>
              <w:rFonts w:ascii="Arial" w:hAnsi="Arial" w:cs="Arial"/>
              <w:b/>
              <w:sz w:val="24"/>
              <w:szCs w:val="24"/>
            </w:rPr>
            <w:t>……………………</w:t>
          </w:r>
          <w:r w:rsidR="00DF04BF" w:rsidRPr="005C15B0">
            <w:rPr>
              <w:rFonts w:ascii="Arial" w:hAnsi="Arial" w:cs="Arial"/>
              <w:b/>
              <w:sz w:val="24"/>
              <w:szCs w:val="24"/>
            </w:rPr>
            <w:t>.</w:t>
          </w:r>
          <w:r w:rsidR="006D6FB4" w:rsidRPr="005C15B0">
            <w:rPr>
              <w:rFonts w:ascii="Arial" w:hAnsi="Arial" w:cs="Arial"/>
              <w:b/>
              <w:sz w:val="24"/>
              <w:szCs w:val="24"/>
            </w:rPr>
            <w:t>……………</w:t>
          </w:r>
          <w:r w:rsidR="00DF04BF" w:rsidRPr="005C15B0">
            <w:rPr>
              <w:rFonts w:ascii="Arial" w:hAnsi="Arial" w:cs="Arial"/>
              <w:b/>
              <w:sz w:val="24"/>
              <w:szCs w:val="24"/>
            </w:rPr>
            <w:t>18</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Conclusion</w:t>
          </w:r>
          <w:r w:rsidR="006D6FB4" w:rsidRPr="005C15B0">
            <w:rPr>
              <w:rFonts w:ascii="Arial" w:hAnsi="Arial" w:cs="Arial"/>
              <w:b/>
              <w:sz w:val="24"/>
              <w:szCs w:val="24"/>
            </w:rPr>
            <w:t>…………………………………………………………………………</w:t>
          </w:r>
          <w:r w:rsidR="00DF04BF" w:rsidRPr="005C15B0">
            <w:rPr>
              <w:rFonts w:ascii="Arial" w:hAnsi="Arial" w:cs="Arial"/>
              <w:b/>
              <w:sz w:val="24"/>
              <w:szCs w:val="24"/>
            </w:rPr>
            <w:t>.</w:t>
          </w:r>
          <w:r w:rsidR="006D6FB4" w:rsidRPr="005C15B0">
            <w:rPr>
              <w:rFonts w:ascii="Arial" w:hAnsi="Arial" w:cs="Arial"/>
              <w:b/>
              <w:sz w:val="24"/>
              <w:szCs w:val="24"/>
            </w:rPr>
            <w:t>……</w:t>
          </w:r>
          <w:r w:rsidR="00DF04BF" w:rsidRPr="005C15B0">
            <w:rPr>
              <w:rFonts w:ascii="Arial" w:hAnsi="Arial" w:cs="Arial"/>
              <w:b/>
              <w:sz w:val="24"/>
              <w:szCs w:val="24"/>
            </w:rPr>
            <w:t>19</w:t>
          </w:r>
        </w:p>
        <w:p w:rsidR="002F20F3"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 xml:space="preserve">Reference list </w:t>
          </w:r>
          <w:r w:rsidR="006D6FB4" w:rsidRPr="005C15B0">
            <w:rPr>
              <w:rFonts w:ascii="Arial" w:hAnsi="Arial" w:cs="Arial"/>
              <w:b/>
              <w:sz w:val="24"/>
              <w:szCs w:val="24"/>
            </w:rPr>
            <w:t>……………………………………………………………………………</w:t>
          </w:r>
          <w:r w:rsidR="00DF04BF" w:rsidRPr="005C15B0">
            <w:rPr>
              <w:rFonts w:ascii="Arial" w:hAnsi="Arial" w:cs="Arial"/>
              <w:b/>
              <w:sz w:val="24"/>
              <w:szCs w:val="24"/>
            </w:rPr>
            <w:t>21</w:t>
          </w:r>
        </w:p>
      </w:sdtContent>
    </w:sdt>
    <w:p w:rsidR="002F20F3" w:rsidRPr="005C15B0" w:rsidRDefault="002F20F3" w:rsidP="005C15B0">
      <w:pPr>
        <w:spacing w:after="240" w:line="480" w:lineRule="auto"/>
        <w:rPr>
          <w:rFonts w:ascii="Arial" w:eastAsia="Times New Roman" w:hAnsi="Arial" w:cs="Arial"/>
          <w:sz w:val="24"/>
          <w:szCs w:val="24"/>
          <w:lang w:eastAsia="en-GB"/>
        </w:rPr>
      </w:pPr>
    </w:p>
    <w:p w:rsidR="003422FC" w:rsidRDefault="003422FC" w:rsidP="003422FC">
      <w:pPr>
        <w:spacing w:after="240" w:line="480" w:lineRule="auto"/>
        <w:rPr>
          <w:rFonts w:ascii="Arial" w:eastAsia="Times New Roman" w:hAnsi="Arial" w:cs="Arial"/>
          <w:sz w:val="24"/>
          <w:szCs w:val="24"/>
          <w:lang w:eastAsia="en-GB"/>
        </w:rPr>
      </w:pPr>
    </w:p>
    <w:p w:rsidR="003422FC" w:rsidRDefault="003422FC" w:rsidP="003422FC">
      <w:pPr>
        <w:spacing w:after="240" w:line="480" w:lineRule="auto"/>
        <w:rPr>
          <w:rFonts w:ascii="Arial" w:eastAsia="Times New Roman" w:hAnsi="Arial" w:cs="Arial"/>
          <w:sz w:val="24"/>
          <w:szCs w:val="24"/>
          <w:lang w:eastAsia="en-GB"/>
        </w:rPr>
      </w:pPr>
    </w:p>
    <w:p w:rsidR="00B43CBA" w:rsidRPr="00B43CBA" w:rsidRDefault="00B43CBA" w:rsidP="003422FC">
      <w:pPr>
        <w:spacing w:after="240" w:line="480" w:lineRule="auto"/>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Summary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w:t>
      </w:r>
      <w:r w:rsidR="006D6FB4" w:rsidRPr="005C15B0">
        <w:rPr>
          <w:rFonts w:ascii="Arial" w:eastAsia="Times New Roman" w:hAnsi="Arial" w:cs="Arial"/>
          <w:sz w:val="24"/>
          <w:szCs w:val="24"/>
          <w:lang w:eastAsia="en-GB"/>
        </w:rPr>
        <w:t xml:space="preserve">is report has examines and evaluated the surround in the issue faced by children in poverty. These issues often are unattached to the issue but have an astounding impact on the individual and areas of their </w:t>
      </w:r>
      <w:r w:rsidR="00DF04BF" w:rsidRPr="005C15B0">
        <w:rPr>
          <w:rFonts w:ascii="Arial" w:eastAsia="Times New Roman" w:hAnsi="Arial" w:cs="Arial"/>
          <w:sz w:val="24"/>
          <w:szCs w:val="24"/>
          <w:lang w:eastAsia="en-GB"/>
        </w:rPr>
        <w:t xml:space="preserve">life. By evaluating these areas there is abilities to improve the outcomes of these on the individual. Partnership collaborations have shown to achieve positive changes which have benefitted this issue. </w:t>
      </w:r>
    </w:p>
    <w:p w:rsidR="00B43CBA" w:rsidRPr="00B43CBA" w:rsidRDefault="00B43CBA" w:rsidP="005C15B0">
      <w:pPr>
        <w:spacing w:after="24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00D47484">
        <w:rPr>
          <w:rFonts w:ascii="Arial" w:eastAsia="Times New Roman" w:hAnsi="Arial" w:cs="Arial"/>
          <w:sz w:val="24"/>
          <w:szCs w:val="24"/>
          <w:lang w:eastAsia="en-GB"/>
        </w:rPr>
        <w:br/>
      </w:r>
      <w:r w:rsidRPr="00B43CBA">
        <w:rPr>
          <w:rFonts w:ascii="Arial" w:eastAsia="Times New Roman" w:hAnsi="Arial" w:cs="Arial"/>
          <w:sz w:val="24"/>
          <w:szCs w:val="24"/>
          <w:lang w:eastAsia="en-GB"/>
        </w:rPr>
        <w:lastRenderedPageBreak/>
        <w:br/>
      </w:r>
    </w:p>
    <w:p w:rsidR="00B43CBA" w:rsidRPr="00B43CBA" w:rsidRDefault="00B43CBA" w:rsidP="005C15B0">
      <w:pPr>
        <w:spacing w:before="240" w:after="200" w:line="480" w:lineRule="auto"/>
        <w:ind w:right="140"/>
        <w:jc w:val="center"/>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The inequalities faced by children in </w:t>
      </w:r>
    </w:p>
    <w:p w:rsidR="00B43CBA" w:rsidRPr="00B43CBA" w:rsidRDefault="002F20F3" w:rsidP="005C15B0">
      <w:pPr>
        <w:spacing w:before="240" w:after="200" w:line="480" w:lineRule="auto"/>
        <w:ind w:right="140"/>
        <w:jc w:val="center"/>
        <w:rPr>
          <w:rFonts w:ascii="Arial" w:eastAsia="Times New Roman" w:hAnsi="Arial" w:cs="Arial"/>
          <w:sz w:val="24"/>
          <w:szCs w:val="24"/>
          <w:lang w:eastAsia="en-GB"/>
        </w:rPr>
      </w:pPr>
      <w:proofErr w:type="gramStart"/>
      <w:r w:rsidRPr="005C15B0">
        <w:rPr>
          <w:rFonts w:ascii="Arial" w:eastAsia="Times New Roman" w:hAnsi="Arial" w:cs="Arial"/>
          <w:b/>
          <w:bCs/>
          <w:sz w:val="24"/>
          <w:szCs w:val="24"/>
          <w:u w:val="single"/>
          <w:lang w:eastAsia="en-GB"/>
        </w:rPr>
        <w:t>poverty</w:t>
      </w:r>
      <w:proofErr w:type="gramEnd"/>
      <w:r w:rsidR="00B43CBA" w:rsidRPr="00B43CBA">
        <w:rPr>
          <w:rFonts w:ascii="Arial" w:eastAsia="Times New Roman" w:hAnsi="Arial" w:cs="Arial"/>
          <w:b/>
          <w:bCs/>
          <w:sz w:val="24"/>
          <w:szCs w:val="24"/>
          <w:u w:val="single"/>
          <w:lang w:eastAsia="en-GB"/>
        </w:rPr>
        <w:t xml:space="preserve"> and the prevention of this issue</w:t>
      </w:r>
    </w:p>
    <w:p w:rsidR="00B43CBA" w:rsidRPr="00B43CBA" w:rsidRDefault="00B43CBA" w:rsidP="005C15B0">
      <w:pPr>
        <w:spacing w:after="24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lang w:eastAsia="en-GB"/>
        </w:rPr>
        <w:t>Introduction</w:t>
      </w:r>
      <w:r w:rsidRPr="00B43CBA">
        <w:rPr>
          <w:rFonts w:ascii="Arial" w:eastAsia="Times New Roman" w:hAnsi="Arial" w:cs="Arial"/>
          <w:sz w:val="24"/>
          <w:szCs w:val="24"/>
          <w:lang w:eastAsia="en-GB"/>
        </w:rPr>
        <w:t>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This report has been written to examine the factors within </w:t>
      </w:r>
      <w:r w:rsidR="00A75812">
        <w:rPr>
          <w:rFonts w:ascii="Arial" w:eastAsia="Times New Roman" w:hAnsi="Arial" w:cs="Arial"/>
          <w:sz w:val="24"/>
          <w:szCs w:val="24"/>
          <w:lang w:eastAsia="en-GB"/>
        </w:rPr>
        <w:t xml:space="preserve">the </w:t>
      </w:r>
      <w:r w:rsidRPr="00B43CBA">
        <w:rPr>
          <w:rFonts w:ascii="Arial" w:eastAsia="Times New Roman" w:hAnsi="Arial" w:cs="Arial"/>
          <w:sz w:val="24"/>
          <w:szCs w:val="24"/>
          <w:lang w:eastAsia="en-GB"/>
        </w:rPr>
        <w:t xml:space="preserve">inequalities being faced by children in poverty. These individuals have been impacted greatly due to their </w:t>
      </w:r>
      <w:r w:rsidR="005945B8" w:rsidRPr="005C15B0">
        <w:rPr>
          <w:rFonts w:ascii="Arial" w:eastAsia="Times New Roman" w:hAnsi="Arial" w:cs="Arial"/>
          <w:sz w:val="24"/>
          <w:szCs w:val="24"/>
          <w:lang w:eastAsia="en-GB"/>
        </w:rPr>
        <w:t>household’s</w:t>
      </w:r>
      <w:r w:rsidRPr="00B43CBA">
        <w:rPr>
          <w:rFonts w:ascii="Arial" w:eastAsia="Times New Roman" w:hAnsi="Arial" w:cs="Arial"/>
          <w:sz w:val="24"/>
          <w:szCs w:val="24"/>
          <w:lang w:eastAsia="en-GB"/>
        </w:rPr>
        <w:t xml:space="preserve"> economic status. This can be evident from historical evidence which states the issues seen from these individuals in society and the procedures and schemes implemented for the prevention (Brando and Schweiger, 2019). This can be compare to society today and how the issue as developed.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The prevention of this topic is extremely vital to ensure that the issues attached to this situation is elim</w:t>
      </w:r>
      <w:r w:rsidR="005945B8" w:rsidRPr="005C15B0">
        <w:rPr>
          <w:rFonts w:ascii="Arial" w:eastAsia="Times New Roman" w:hAnsi="Arial" w:cs="Arial"/>
          <w:sz w:val="24"/>
          <w:szCs w:val="24"/>
          <w:lang w:eastAsia="en-GB"/>
        </w:rPr>
        <w:t>in</w:t>
      </w:r>
      <w:r w:rsidRPr="00B43CBA">
        <w:rPr>
          <w:rFonts w:ascii="Arial" w:eastAsia="Times New Roman" w:hAnsi="Arial" w:cs="Arial"/>
          <w:sz w:val="24"/>
          <w:szCs w:val="24"/>
          <w:lang w:eastAsia="en-GB"/>
        </w:rPr>
        <w:t xml:space="preserve">ated. The focus on the prevention of poverty is focused </w:t>
      </w:r>
      <w:r w:rsidR="005945B8" w:rsidRPr="005C15B0">
        <w:rPr>
          <w:rFonts w:ascii="Arial" w:eastAsia="Times New Roman" w:hAnsi="Arial" w:cs="Arial"/>
          <w:sz w:val="24"/>
          <w:szCs w:val="24"/>
          <w:lang w:eastAsia="en-GB"/>
        </w:rPr>
        <w:t>throughout</w:t>
      </w:r>
      <w:r w:rsidRPr="00B43CBA">
        <w:rPr>
          <w:rFonts w:ascii="Arial" w:eastAsia="Times New Roman" w:hAnsi="Arial" w:cs="Arial"/>
          <w:sz w:val="24"/>
          <w:szCs w:val="24"/>
          <w:lang w:eastAsia="en-GB"/>
        </w:rPr>
        <w:t xml:space="preserve"> this report due to the understanding that the reason for the inequality is due to the poverty. Factors from this, have been researched below for a greater understanding of how it can be prevented. Throughout this report, there is an emphasis on the prevention of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b/>
          <w:sz w:val="24"/>
          <w:szCs w:val="24"/>
          <w:lang w:eastAsia="en-GB"/>
        </w:rPr>
      </w:pPr>
      <w:r w:rsidRPr="00B43CBA">
        <w:rPr>
          <w:rFonts w:ascii="Arial" w:eastAsia="Times New Roman" w:hAnsi="Arial" w:cs="Arial"/>
          <w:b/>
          <w:sz w:val="24"/>
          <w:szCs w:val="24"/>
          <w:u w:val="single"/>
          <w:lang w:eastAsia="en-GB"/>
        </w:rPr>
        <w:t>Objectives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The objectives of this report are to evaluate the issues contained and surrounding the topic of inequalities faced by children in poverty. </w:t>
      </w:r>
    </w:p>
    <w:p w:rsidR="00B43CBA" w:rsidRPr="00B43CBA" w:rsidRDefault="00B43CBA" w:rsidP="005C15B0">
      <w:pPr>
        <w:numPr>
          <w:ilvl w:val="0"/>
          <w:numId w:val="7"/>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lastRenderedPageBreak/>
        <w:t>To have a greater understanding of the areas of development which are negatively targeted by child poverty</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numPr>
          <w:ilvl w:val="0"/>
          <w:numId w:val="8"/>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t>Partnerships and provisions placed to support and prevent negative impacts on children in poverty.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numPr>
          <w:ilvl w:val="0"/>
          <w:numId w:val="9"/>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t>Are the basic needs of the child not being met due to this issue?</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b/>
          <w:sz w:val="24"/>
          <w:szCs w:val="24"/>
          <w:lang w:eastAsia="en-GB"/>
        </w:rPr>
      </w:pPr>
      <w:r w:rsidRPr="00B43CBA">
        <w:rPr>
          <w:rFonts w:ascii="Arial" w:eastAsia="Times New Roman" w:hAnsi="Arial" w:cs="Arial"/>
          <w:b/>
          <w:sz w:val="24"/>
          <w:szCs w:val="24"/>
          <w:u w:val="single"/>
          <w:lang w:eastAsia="en-GB"/>
        </w:rPr>
        <w:t>Scope</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This report examines th</w:t>
      </w:r>
      <w:r w:rsidRPr="00B43CBA">
        <w:rPr>
          <w:rFonts w:ascii="Arial" w:eastAsia="Times New Roman" w:hAnsi="Arial" w:cs="Arial"/>
          <w:sz w:val="24"/>
          <w:szCs w:val="24"/>
          <w:lang w:eastAsia="en-GB"/>
        </w:rPr>
        <w:t xml:space="preserve">e areas connected to the issue of inequality in regards to poverty. The areas surround this topic allows for a greater understanding of the extent of impact caused from this issue. By gathering this data, it will </w:t>
      </w:r>
      <w:r w:rsidR="005945B8" w:rsidRPr="005C15B0">
        <w:rPr>
          <w:rFonts w:ascii="Arial" w:eastAsia="Times New Roman" w:hAnsi="Arial" w:cs="Arial"/>
          <w:sz w:val="24"/>
          <w:szCs w:val="24"/>
          <w:lang w:eastAsia="en-GB"/>
        </w:rPr>
        <w:t>allow</w:t>
      </w:r>
      <w:r w:rsidRPr="00B43CBA">
        <w:rPr>
          <w:rFonts w:ascii="Arial" w:eastAsia="Times New Roman" w:hAnsi="Arial" w:cs="Arial"/>
          <w:sz w:val="24"/>
          <w:szCs w:val="24"/>
          <w:lang w:eastAsia="en-GB"/>
        </w:rPr>
        <w:t xml:space="preserve"> for indicators and provisions to be placed to prevent further individuals falling into this category.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This report has not focused on this issue at a global position due to evidence stating that procedures and research from this view does not achieve the extent of the issue. A local and governmental focused area allows knowledge and data to be collected which can be implemented to the community.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Poverty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Studies of poverty have conventionally adopted three broa</w:t>
      </w:r>
      <w:r w:rsidRPr="00B43CBA">
        <w:rPr>
          <w:rFonts w:ascii="Arial" w:eastAsia="Times New Roman" w:hAnsi="Arial" w:cs="Arial"/>
          <w:i/>
          <w:iCs/>
          <w:sz w:val="24"/>
          <w:szCs w:val="24"/>
          <w:lang w:eastAsia="en-GB"/>
        </w:rPr>
        <w:t xml:space="preserve">d areas </w:t>
      </w:r>
      <w:r w:rsidR="005945B8" w:rsidRPr="005C15B0">
        <w:rPr>
          <w:rFonts w:ascii="Arial" w:eastAsia="Times New Roman" w:hAnsi="Arial" w:cs="Arial"/>
          <w:i/>
          <w:iCs/>
          <w:sz w:val="24"/>
          <w:szCs w:val="24"/>
          <w:lang w:eastAsia="en-GB"/>
        </w:rPr>
        <w:t>which define the measuring</w:t>
      </w:r>
      <w:r w:rsidRPr="00B43CBA">
        <w:rPr>
          <w:rFonts w:ascii="Arial" w:eastAsia="Times New Roman" w:hAnsi="Arial" w:cs="Arial"/>
          <w:i/>
          <w:iCs/>
          <w:sz w:val="24"/>
          <w:szCs w:val="24"/>
          <w:lang w:eastAsia="en-GB"/>
        </w:rPr>
        <w:t xml:space="preserve"> study of the extent (Wagle, 2018). These forms are the economic well</w:t>
      </w:r>
      <w:r w:rsidRPr="00B43CBA">
        <w:rPr>
          <w:rFonts w:ascii="Cambria Math" w:eastAsia="Times New Roman" w:hAnsi="Cambria Math" w:cs="Cambria Math"/>
          <w:i/>
          <w:iCs/>
          <w:sz w:val="24"/>
          <w:szCs w:val="24"/>
          <w:lang w:eastAsia="en-GB"/>
        </w:rPr>
        <w:t>‐</w:t>
      </w:r>
      <w:r w:rsidRPr="00B43CBA">
        <w:rPr>
          <w:rFonts w:ascii="Arial" w:eastAsia="Times New Roman" w:hAnsi="Arial" w:cs="Arial"/>
          <w:i/>
          <w:iCs/>
          <w:sz w:val="24"/>
          <w:szCs w:val="24"/>
          <w:lang w:eastAsia="en-GB"/>
        </w:rPr>
        <w:t xml:space="preserve">being of the individuals, their capability, and social exclusion. There is a complexity when aiming to define poverty, this issue is argued to indicate that this a reductionist approach to poverty. The emphasis on one aspect constricts the </w:t>
      </w:r>
      <w:r w:rsidR="005945B8" w:rsidRPr="005C15B0">
        <w:rPr>
          <w:rFonts w:ascii="Arial" w:eastAsia="Times New Roman" w:hAnsi="Arial" w:cs="Arial"/>
          <w:i/>
          <w:iCs/>
          <w:sz w:val="24"/>
          <w:szCs w:val="24"/>
          <w:lang w:eastAsia="en-GB"/>
        </w:rPr>
        <w:t>understanding</w:t>
      </w:r>
      <w:r w:rsidRPr="00B43CBA">
        <w:rPr>
          <w:rFonts w:ascii="Arial" w:eastAsia="Times New Roman" w:hAnsi="Arial" w:cs="Arial"/>
          <w:i/>
          <w:iCs/>
          <w:sz w:val="24"/>
          <w:szCs w:val="24"/>
          <w:lang w:eastAsia="en-GB"/>
        </w:rPr>
        <w:t xml:space="preserve"> of the </w:t>
      </w:r>
      <w:r w:rsidR="005945B8" w:rsidRPr="005C15B0">
        <w:rPr>
          <w:rFonts w:ascii="Arial" w:eastAsia="Times New Roman" w:hAnsi="Arial" w:cs="Arial"/>
          <w:i/>
          <w:iCs/>
          <w:sz w:val="24"/>
          <w:szCs w:val="24"/>
          <w:lang w:eastAsia="en-GB"/>
        </w:rPr>
        <w:t>issue</w:t>
      </w:r>
      <w:r w:rsidRPr="00B43CBA">
        <w:rPr>
          <w:rFonts w:ascii="Arial" w:eastAsia="Times New Roman" w:hAnsi="Arial" w:cs="Arial"/>
          <w:i/>
          <w:iCs/>
          <w:sz w:val="24"/>
          <w:szCs w:val="24"/>
          <w:lang w:eastAsia="en-GB"/>
        </w:rPr>
        <w:t xml:space="preserve"> which ultimatel</w:t>
      </w:r>
      <w:r w:rsidR="005945B8" w:rsidRPr="005C15B0">
        <w:rPr>
          <w:rFonts w:ascii="Arial" w:eastAsia="Times New Roman" w:hAnsi="Arial" w:cs="Arial"/>
          <w:i/>
          <w:iCs/>
          <w:sz w:val="24"/>
          <w:szCs w:val="24"/>
          <w:lang w:eastAsia="en-GB"/>
        </w:rPr>
        <w:t>y conceals the factors which we</w:t>
      </w:r>
      <w:r w:rsidRPr="00B43CBA">
        <w:rPr>
          <w:rFonts w:ascii="Arial" w:eastAsia="Times New Roman" w:hAnsi="Arial" w:cs="Arial"/>
          <w:i/>
          <w:iCs/>
          <w:sz w:val="24"/>
          <w:szCs w:val="24"/>
          <w:lang w:eastAsia="en-GB"/>
        </w:rPr>
        <w:t xml:space="preserve">re situated at the </w:t>
      </w:r>
      <w:r w:rsidR="005945B8" w:rsidRPr="005C15B0">
        <w:rPr>
          <w:rFonts w:ascii="Arial" w:eastAsia="Times New Roman" w:hAnsi="Arial" w:cs="Arial"/>
          <w:i/>
          <w:iCs/>
          <w:sz w:val="24"/>
          <w:szCs w:val="24"/>
          <w:lang w:eastAsia="en-GB"/>
        </w:rPr>
        <w:t>centre</w:t>
      </w:r>
      <w:r w:rsidRPr="00B43CBA">
        <w:rPr>
          <w:rFonts w:ascii="Arial" w:eastAsia="Times New Roman" w:hAnsi="Arial" w:cs="Arial"/>
          <w:i/>
          <w:iCs/>
          <w:sz w:val="24"/>
          <w:szCs w:val="24"/>
          <w:lang w:eastAsia="en-GB"/>
        </w:rPr>
        <w:t xml:space="preserve"> of the issues. Commonly the study replies on the economic status which with the insight of their human welfare. Using this representative to understand and measure one's status of poverty and well</w:t>
      </w:r>
      <w:r w:rsidRPr="00B43CBA">
        <w:rPr>
          <w:rFonts w:ascii="Cambria Math" w:eastAsia="Times New Roman" w:hAnsi="Cambria Math" w:cs="Cambria Math"/>
          <w:i/>
          <w:iCs/>
          <w:sz w:val="24"/>
          <w:szCs w:val="24"/>
          <w:lang w:eastAsia="en-GB"/>
        </w:rPr>
        <w:t>‐</w:t>
      </w:r>
      <w:r w:rsidRPr="00B43CBA">
        <w:rPr>
          <w:rFonts w:ascii="Arial" w:eastAsia="Times New Roman" w:hAnsi="Arial" w:cs="Arial"/>
          <w:i/>
          <w:iCs/>
          <w:sz w:val="24"/>
          <w:szCs w:val="24"/>
          <w:lang w:eastAsia="en-GB"/>
        </w:rPr>
        <w:t>being. The common concept of study of economic well</w:t>
      </w:r>
      <w:r w:rsidRPr="00B43CBA">
        <w:rPr>
          <w:rFonts w:ascii="Cambria Math" w:eastAsia="Times New Roman" w:hAnsi="Cambria Math" w:cs="Cambria Math"/>
          <w:i/>
          <w:iCs/>
          <w:sz w:val="24"/>
          <w:szCs w:val="24"/>
          <w:lang w:eastAsia="en-GB"/>
        </w:rPr>
        <w:t>‐</w:t>
      </w:r>
      <w:r w:rsidRPr="00B43CBA">
        <w:rPr>
          <w:rFonts w:ascii="Arial" w:eastAsia="Times New Roman" w:hAnsi="Arial" w:cs="Arial"/>
          <w:i/>
          <w:iCs/>
          <w:sz w:val="24"/>
          <w:szCs w:val="24"/>
          <w:lang w:eastAsia="en-GB"/>
        </w:rPr>
        <w:t xml:space="preserve">being is to discover whether the individual has adequate income to support their basic needs for human welfare. However, this is argued, as social scientists have stated that poverty needs to be viewed as a lack </w:t>
      </w:r>
      <w:bookmarkStart w:id="0" w:name="_GoBack"/>
      <w:bookmarkEnd w:id="0"/>
      <w:r w:rsidRPr="00B43CBA">
        <w:rPr>
          <w:rFonts w:ascii="Arial" w:eastAsia="Times New Roman" w:hAnsi="Arial" w:cs="Arial"/>
          <w:i/>
          <w:iCs/>
          <w:sz w:val="24"/>
          <w:szCs w:val="24"/>
          <w:lang w:eastAsia="en-GB"/>
        </w:rPr>
        <w:t>of individual capabilities. These are aspects such as education or health which prevent the individual from attaining a basic level of human well</w:t>
      </w:r>
      <w:r w:rsidRPr="00B43CBA">
        <w:rPr>
          <w:rFonts w:ascii="Cambria Math" w:eastAsia="Times New Roman" w:hAnsi="Cambria Math" w:cs="Cambria Math"/>
          <w:i/>
          <w:iCs/>
          <w:sz w:val="24"/>
          <w:szCs w:val="24"/>
          <w:lang w:eastAsia="en-GB"/>
        </w:rPr>
        <w:t>‐</w:t>
      </w:r>
      <w:r w:rsidRPr="00B43CBA">
        <w:rPr>
          <w:rFonts w:ascii="Arial" w:eastAsia="Times New Roman" w:hAnsi="Arial" w:cs="Arial"/>
          <w:i/>
          <w:iCs/>
          <w:sz w:val="24"/>
          <w:szCs w:val="24"/>
          <w:lang w:eastAsia="en-GB"/>
        </w:rPr>
        <w:t>being. Contradicting to the previous beliefs,</w:t>
      </w:r>
      <w:r w:rsidR="005945B8" w:rsidRPr="005C15B0">
        <w:rPr>
          <w:rFonts w:ascii="Arial" w:eastAsia="Times New Roman" w:hAnsi="Arial" w:cs="Arial"/>
          <w:i/>
          <w:iCs/>
          <w:sz w:val="24"/>
          <w:szCs w:val="24"/>
          <w:lang w:eastAsia="en-GB"/>
        </w:rPr>
        <w:t> many</w:t>
      </w:r>
      <w:r w:rsidRPr="00B43CBA">
        <w:rPr>
          <w:rFonts w:ascii="Arial" w:eastAsia="Times New Roman" w:hAnsi="Arial" w:cs="Arial"/>
          <w:i/>
          <w:iCs/>
          <w:sz w:val="24"/>
          <w:szCs w:val="24"/>
          <w:lang w:eastAsia="en-GB"/>
        </w:rPr>
        <w:t xml:space="preserve"> believe that focusing on social, behavioural, and political underpinnings of the individual. These aspects are argued to motivate behaviour or isolation that is perceived to cause poverty.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This is exacerbated through the involvement of media (Bochel and Powell, 2018).  It has been highlighted that the relationship between the media’s perception of</w:t>
      </w:r>
      <w:r w:rsidR="005945B8" w:rsidRPr="005C15B0">
        <w:rPr>
          <w:rFonts w:ascii="Arial" w:eastAsia="Times New Roman" w:hAnsi="Arial" w:cs="Arial"/>
          <w:i/>
          <w:iCs/>
          <w:sz w:val="24"/>
          <w:szCs w:val="24"/>
          <w:lang w:eastAsia="en-GB"/>
        </w:rPr>
        <w:t> poverty</w:t>
      </w:r>
      <w:r w:rsidRPr="00B43CBA">
        <w:rPr>
          <w:rFonts w:ascii="Arial" w:eastAsia="Times New Roman" w:hAnsi="Arial" w:cs="Arial"/>
          <w:i/>
          <w:iCs/>
          <w:sz w:val="24"/>
          <w:szCs w:val="24"/>
          <w:lang w:eastAsia="en-GB"/>
        </w:rPr>
        <w:t xml:space="preserve"> and</w:t>
      </w:r>
      <w:r w:rsidR="005945B8" w:rsidRPr="005C15B0">
        <w:rPr>
          <w:rFonts w:ascii="Arial" w:eastAsia="Times New Roman" w:hAnsi="Arial" w:cs="Arial"/>
          <w:i/>
          <w:iCs/>
          <w:sz w:val="24"/>
          <w:szCs w:val="24"/>
          <w:lang w:eastAsia="en-GB"/>
        </w:rPr>
        <w:t> social</w:t>
      </w:r>
      <w:r w:rsidRPr="00B43CBA">
        <w:rPr>
          <w:rFonts w:ascii="Arial" w:eastAsia="Times New Roman" w:hAnsi="Arial" w:cs="Arial"/>
          <w:i/>
          <w:iCs/>
          <w:sz w:val="24"/>
          <w:szCs w:val="24"/>
          <w:lang w:eastAsia="en-GB"/>
        </w:rPr>
        <w:t xml:space="preserve"> inequality has amplified the public attitudes towards poverty. This was evident after the UK Coalition and Conservative governments since 2010 which increased the numbers of people living in constrained circumstances in the context of neoliberalism and austerity. This is expanded by McLaughlin (2005) who </w:t>
      </w:r>
      <w:r w:rsidRPr="00B43CBA">
        <w:rPr>
          <w:rFonts w:ascii="Arial" w:eastAsia="Times New Roman" w:hAnsi="Arial" w:cs="Arial"/>
          <w:i/>
          <w:iCs/>
          <w:sz w:val="24"/>
          <w:szCs w:val="24"/>
          <w:lang w:eastAsia="en-GB"/>
        </w:rPr>
        <w:lastRenderedPageBreak/>
        <w:t>explains that many current understandings of poverty believe that there has been an end to the</w:t>
      </w:r>
      <w:r w:rsidR="005945B8" w:rsidRPr="005C15B0">
        <w:rPr>
          <w:rFonts w:ascii="Arial" w:eastAsia="Times New Roman" w:hAnsi="Arial" w:cs="Arial"/>
          <w:i/>
          <w:iCs/>
          <w:sz w:val="24"/>
          <w:szCs w:val="24"/>
          <w:lang w:eastAsia="en-GB"/>
        </w:rPr>
        <w:t> ‘post</w:t>
      </w:r>
      <w:r w:rsidRPr="00B43CBA">
        <w:rPr>
          <w:rFonts w:ascii="Arial" w:eastAsia="Times New Roman" w:hAnsi="Arial" w:cs="Arial"/>
          <w:i/>
          <w:iCs/>
          <w:sz w:val="24"/>
          <w:szCs w:val="24"/>
          <w:lang w:eastAsia="en-GB"/>
        </w:rPr>
        <w:t xml:space="preserve">-liberalism’ class. He states that this belief is a form of denial, to believe that these causes have been </w:t>
      </w:r>
      <w:r w:rsidR="005945B8" w:rsidRPr="005C15B0">
        <w:rPr>
          <w:rFonts w:ascii="Arial" w:eastAsia="Times New Roman" w:hAnsi="Arial" w:cs="Arial"/>
          <w:i/>
          <w:iCs/>
          <w:sz w:val="24"/>
          <w:szCs w:val="24"/>
          <w:lang w:eastAsia="en-GB"/>
        </w:rPr>
        <w:t>eradicated</w:t>
      </w:r>
      <w:r w:rsidRPr="00B43CBA">
        <w:rPr>
          <w:rFonts w:ascii="Arial" w:eastAsia="Times New Roman" w:hAnsi="Arial" w:cs="Arial"/>
          <w:i/>
          <w:iCs/>
          <w:sz w:val="24"/>
          <w:szCs w:val="24"/>
          <w:lang w:eastAsia="en-GB"/>
        </w:rPr>
        <w:t xml:space="preserve"> and that the opportunity for ‘real’ equality of opportunity is often absent for many.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 xml:space="preserve">Due to the previous arguments, Atkinson (2015) argues that means-testing is the wrong approach to tackle poverty. Factors to back this statement is the evidence which states that there are twin failures which affect these individuals. The high marginal tax rates created when benefits are withdrawn met with the needs which are unmet with the individuals who do not access the support and services available due to a variety of reasons such as the complexity and stigma of this procedure. Atkinson explains that </w:t>
      </w:r>
      <w:r w:rsidR="005945B8" w:rsidRPr="005C15B0">
        <w:rPr>
          <w:rFonts w:ascii="Arial" w:eastAsia="Times New Roman" w:hAnsi="Arial" w:cs="Arial"/>
          <w:i/>
          <w:iCs/>
          <w:sz w:val="24"/>
          <w:szCs w:val="24"/>
          <w:lang w:eastAsia="en-GB"/>
        </w:rPr>
        <w:t>through</w:t>
      </w:r>
      <w:r w:rsidRPr="00B43CBA">
        <w:rPr>
          <w:rFonts w:ascii="Arial" w:eastAsia="Times New Roman" w:hAnsi="Arial" w:cs="Arial"/>
          <w:i/>
          <w:iCs/>
          <w:sz w:val="24"/>
          <w:szCs w:val="24"/>
          <w:lang w:eastAsia="en-GB"/>
        </w:rPr>
        <w:t xml:space="preserve"> the use of</w:t>
      </w:r>
      <w:r w:rsidR="005945B8" w:rsidRPr="005C15B0">
        <w:rPr>
          <w:rFonts w:ascii="Arial" w:eastAsia="Times New Roman" w:hAnsi="Arial" w:cs="Arial"/>
          <w:i/>
          <w:iCs/>
          <w:sz w:val="24"/>
          <w:szCs w:val="24"/>
          <w:lang w:eastAsia="en-GB"/>
        </w:rPr>
        <w:t> increasing</w:t>
      </w:r>
      <w:r w:rsidRPr="00B43CBA">
        <w:rPr>
          <w:rFonts w:ascii="Arial" w:eastAsia="Times New Roman" w:hAnsi="Arial" w:cs="Arial"/>
          <w:i/>
          <w:iCs/>
          <w:sz w:val="24"/>
          <w:szCs w:val="24"/>
          <w:lang w:eastAsia="en-GB"/>
        </w:rPr>
        <w:t xml:space="preserve"> income tax progressively and increasing Child Benefit substantially for all families, it will </w:t>
      </w:r>
      <w:r w:rsidR="005945B8" w:rsidRPr="005C15B0">
        <w:rPr>
          <w:rFonts w:ascii="Arial" w:eastAsia="Times New Roman" w:hAnsi="Arial" w:cs="Arial"/>
          <w:i/>
          <w:iCs/>
          <w:sz w:val="24"/>
          <w:szCs w:val="24"/>
          <w:lang w:eastAsia="en-GB"/>
        </w:rPr>
        <w:t>allow</w:t>
      </w:r>
      <w:r w:rsidRPr="00B43CBA">
        <w:rPr>
          <w:rFonts w:ascii="Arial" w:eastAsia="Times New Roman" w:hAnsi="Arial" w:cs="Arial"/>
          <w:i/>
          <w:iCs/>
          <w:sz w:val="24"/>
          <w:szCs w:val="24"/>
          <w:lang w:eastAsia="en-GB"/>
        </w:rPr>
        <w:t xml:space="preserve"> a fair redistribution of income which will allow individuals in need of the fin</w:t>
      </w:r>
      <w:r w:rsidR="005945B8" w:rsidRPr="005C15B0">
        <w:rPr>
          <w:rFonts w:ascii="Arial" w:eastAsia="Times New Roman" w:hAnsi="Arial" w:cs="Arial"/>
          <w:i/>
          <w:iCs/>
          <w:sz w:val="24"/>
          <w:szCs w:val="24"/>
          <w:lang w:eastAsia="en-GB"/>
        </w:rPr>
        <w:t>an</w:t>
      </w:r>
      <w:r w:rsidRPr="00B43CBA">
        <w:rPr>
          <w:rFonts w:ascii="Arial" w:eastAsia="Times New Roman" w:hAnsi="Arial" w:cs="Arial"/>
          <w:i/>
          <w:iCs/>
          <w:sz w:val="24"/>
          <w:szCs w:val="24"/>
          <w:lang w:eastAsia="en-GB"/>
        </w:rPr>
        <w:t xml:space="preserve">cial support to </w:t>
      </w:r>
      <w:r w:rsidR="005945B8" w:rsidRPr="005C15B0">
        <w:rPr>
          <w:rFonts w:ascii="Arial" w:eastAsia="Times New Roman" w:hAnsi="Arial" w:cs="Arial"/>
          <w:i/>
          <w:iCs/>
          <w:sz w:val="24"/>
          <w:szCs w:val="24"/>
          <w:lang w:eastAsia="en-GB"/>
        </w:rPr>
        <w:t>receive</w:t>
      </w:r>
      <w:r w:rsidRPr="00B43CBA">
        <w:rPr>
          <w:rFonts w:ascii="Arial" w:eastAsia="Times New Roman" w:hAnsi="Arial" w:cs="Arial"/>
          <w:i/>
          <w:iCs/>
          <w:sz w:val="24"/>
          <w:szCs w:val="24"/>
          <w:lang w:eastAsia="en-GB"/>
        </w:rPr>
        <w:t xml:space="preserve"> what is need through a structure which prevents any stigma or complexity.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Whilst changes to the </w:t>
      </w:r>
      <w:r w:rsidR="005945B8" w:rsidRPr="005C15B0">
        <w:rPr>
          <w:rFonts w:ascii="Arial" w:eastAsia="Times New Roman" w:hAnsi="Arial" w:cs="Arial"/>
          <w:sz w:val="24"/>
          <w:szCs w:val="24"/>
          <w:lang w:eastAsia="en-GB"/>
        </w:rPr>
        <w:t>accessibility</w:t>
      </w:r>
      <w:r w:rsidRPr="00B43CBA">
        <w:rPr>
          <w:rFonts w:ascii="Arial" w:eastAsia="Times New Roman" w:hAnsi="Arial" w:cs="Arial"/>
          <w:sz w:val="24"/>
          <w:szCs w:val="24"/>
          <w:lang w:eastAsia="en-GB"/>
        </w:rPr>
        <w:t xml:space="preserve"> of </w:t>
      </w:r>
      <w:r w:rsidR="005945B8" w:rsidRPr="005C15B0">
        <w:rPr>
          <w:rFonts w:ascii="Arial" w:eastAsia="Times New Roman" w:hAnsi="Arial" w:cs="Arial"/>
          <w:sz w:val="24"/>
          <w:szCs w:val="24"/>
          <w:lang w:eastAsia="en-GB"/>
        </w:rPr>
        <w:t>financial</w:t>
      </w:r>
      <w:r w:rsidRPr="00B43CBA">
        <w:rPr>
          <w:rFonts w:ascii="Arial" w:eastAsia="Times New Roman" w:hAnsi="Arial" w:cs="Arial"/>
          <w:sz w:val="24"/>
          <w:szCs w:val="24"/>
          <w:lang w:eastAsia="en-GB"/>
        </w:rPr>
        <w:t xml:space="preserve"> support is vital to </w:t>
      </w:r>
      <w:r w:rsidR="005945B8" w:rsidRPr="005C15B0">
        <w:rPr>
          <w:rFonts w:ascii="Arial" w:eastAsia="Times New Roman" w:hAnsi="Arial" w:cs="Arial"/>
          <w:sz w:val="24"/>
          <w:szCs w:val="24"/>
          <w:lang w:eastAsia="en-GB"/>
        </w:rPr>
        <w:t>prevent</w:t>
      </w:r>
      <w:r w:rsidRPr="00B43CBA">
        <w:rPr>
          <w:rFonts w:ascii="Arial" w:eastAsia="Times New Roman" w:hAnsi="Arial" w:cs="Arial"/>
          <w:sz w:val="24"/>
          <w:szCs w:val="24"/>
          <w:lang w:eastAsia="en-GB"/>
        </w:rPr>
        <w:t xml:space="preserve"> further inequalities to families in poverty. There is evidence </w:t>
      </w:r>
      <w:r w:rsidR="005945B8" w:rsidRPr="005C15B0">
        <w:rPr>
          <w:rFonts w:ascii="Arial" w:eastAsia="Times New Roman" w:hAnsi="Arial" w:cs="Arial"/>
          <w:sz w:val="24"/>
          <w:szCs w:val="24"/>
          <w:lang w:eastAsia="en-GB"/>
        </w:rPr>
        <w:t>(Purdam</w:t>
      </w:r>
      <w:r w:rsidRPr="00B43CBA">
        <w:rPr>
          <w:rFonts w:ascii="Arial" w:eastAsia="Times New Roman" w:hAnsi="Arial" w:cs="Arial"/>
          <w:sz w:val="24"/>
          <w:szCs w:val="24"/>
          <w:lang w:eastAsia="en-GB"/>
        </w:rPr>
        <w:t xml:space="preserve"> et al, 2017) which shows that families in poverty are estimated to spend over £1650 per year which is stated as a poverty penalty. This excess is a result of households having to rely on aspects and procedures to support themselves. This </w:t>
      </w:r>
      <w:r w:rsidR="005945B8" w:rsidRPr="005C15B0">
        <w:rPr>
          <w:rFonts w:ascii="Arial" w:eastAsia="Times New Roman" w:hAnsi="Arial" w:cs="Arial"/>
          <w:sz w:val="24"/>
          <w:szCs w:val="24"/>
          <w:lang w:eastAsia="en-GB"/>
        </w:rPr>
        <w:t>penalty</w:t>
      </w:r>
      <w:r w:rsidRPr="00B43CBA">
        <w:rPr>
          <w:rFonts w:ascii="Arial" w:eastAsia="Times New Roman" w:hAnsi="Arial" w:cs="Arial"/>
          <w:sz w:val="24"/>
          <w:szCs w:val="24"/>
          <w:lang w:eastAsia="en-GB"/>
        </w:rPr>
        <w:t xml:space="preserve"> is targeted at families in poverty due to their lack of financial stability which allows services to add </w:t>
      </w:r>
      <w:r w:rsidR="0091607A" w:rsidRPr="005C15B0">
        <w:rPr>
          <w:rFonts w:ascii="Arial" w:eastAsia="Times New Roman" w:hAnsi="Arial" w:cs="Arial"/>
          <w:sz w:val="24"/>
          <w:szCs w:val="24"/>
          <w:lang w:eastAsia="en-GB"/>
        </w:rPr>
        <w:t>excessive</w:t>
      </w:r>
      <w:r w:rsidRPr="00B43CBA">
        <w:rPr>
          <w:rFonts w:ascii="Arial" w:eastAsia="Times New Roman" w:hAnsi="Arial" w:cs="Arial"/>
          <w:sz w:val="24"/>
          <w:szCs w:val="24"/>
          <w:lang w:eastAsia="en-GB"/>
        </w:rPr>
        <w:t xml:space="preserve"> </w:t>
      </w:r>
      <w:r w:rsidR="0091607A" w:rsidRPr="005C15B0">
        <w:rPr>
          <w:rFonts w:ascii="Arial" w:eastAsia="Times New Roman" w:hAnsi="Arial" w:cs="Arial"/>
          <w:sz w:val="24"/>
          <w:szCs w:val="24"/>
          <w:lang w:eastAsia="en-GB"/>
        </w:rPr>
        <w:t>charges</w:t>
      </w:r>
      <w:r w:rsidRPr="00B43CBA">
        <w:rPr>
          <w:rFonts w:ascii="Arial" w:eastAsia="Times New Roman" w:hAnsi="Arial" w:cs="Arial"/>
          <w:sz w:val="24"/>
          <w:szCs w:val="24"/>
          <w:lang w:eastAsia="en-GB"/>
        </w:rPr>
        <w:t xml:space="preserve"> and int</w:t>
      </w:r>
      <w:r w:rsidR="0091607A" w:rsidRPr="005C15B0">
        <w:rPr>
          <w:rFonts w:ascii="Arial" w:eastAsia="Times New Roman" w:hAnsi="Arial" w:cs="Arial"/>
          <w:sz w:val="24"/>
          <w:szCs w:val="24"/>
          <w:lang w:eastAsia="en-GB"/>
        </w:rPr>
        <w:t>erests. This is seen in the statistical</w:t>
      </w:r>
      <w:r w:rsidRPr="00B43CBA">
        <w:rPr>
          <w:rFonts w:ascii="Arial" w:eastAsia="Times New Roman" w:hAnsi="Arial" w:cs="Arial"/>
          <w:sz w:val="24"/>
          <w:szCs w:val="24"/>
          <w:lang w:eastAsia="en-GB"/>
        </w:rPr>
        <w:t xml:space="preserve"> evidences which </w:t>
      </w:r>
      <w:r w:rsidRPr="00B43CBA">
        <w:rPr>
          <w:rFonts w:ascii="Arial" w:eastAsia="Times New Roman" w:hAnsi="Arial" w:cs="Arial"/>
          <w:sz w:val="24"/>
          <w:szCs w:val="24"/>
          <w:lang w:eastAsia="en-GB"/>
        </w:rPr>
        <w:lastRenderedPageBreak/>
        <w:t xml:space="preserve">shows the rates of </w:t>
      </w:r>
      <w:r w:rsidR="0091607A" w:rsidRPr="005C15B0">
        <w:rPr>
          <w:rFonts w:ascii="Arial" w:eastAsia="Times New Roman" w:hAnsi="Arial" w:cs="Arial"/>
          <w:sz w:val="24"/>
          <w:szCs w:val="24"/>
          <w:lang w:eastAsia="en-GB"/>
        </w:rPr>
        <w:t>which</w:t>
      </w:r>
      <w:r w:rsidRPr="00B43CBA">
        <w:rPr>
          <w:rFonts w:ascii="Arial" w:eastAsia="Times New Roman" w:hAnsi="Arial" w:cs="Arial"/>
          <w:sz w:val="24"/>
          <w:szCs w:val="24"/>
          <w:lang w:eastAsia="en-GB"/>
        </w:rPr>
        <w:t xml:space="preserve"> shows the numbers of individuals who use this </w:t>
      </w:r>
      <w:r w:rsidR="0091607A" w:rsidRPr="005C15B0">
        <w:rPr>
          <w:rFonts w:ascii="Arial" w:eastAsia="Times New Roman" w:hAnsi="Arial" w:cs="Arial"/>
          <w:sz w:val="24"/>
          <w:szCs w:val="24"/>
          <w:lang w:eastAsia="en-GB"/>
        </w:rPr>
        <w:t>method</w:t>
      </w:r>
      <w:r w:rsidRPr="00B43CBA">
        <w:rPr>
          <w:rFonts w:ascii="Arial" w:eastAsia="Times New Roman" w:hAnsi="Arial" w:cs="Arial"/>
          <w:sz w:val="24"/>
          <w:szCs w:val="24"/>
          <w:lang w:eastAsia="en-GB"/>
        </w:rPr>
        <w:t xml:space="preserve"> to buy goods and services. They are penalised through the use of gas and electricity prepayment cards due to them being at higher rates.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 xml:space="preserve">These examples show that once </w:t>
      </w:r>
      <w:r w:rsidR="0091607A" w:rsidRPr="005C15B0">
        <w:rPr>
          <w:rFonts w:ascii="Arial" w:eastAsia="Times New Roman" w:hAnsi="Arial" w:cs="Arial"/>
          <w:i/>
          <w:iCs/>
          <w:sz w:val="24"/>
          <w:szCs w:val="24"/>
          <w:lang w:eastAsia="en-GB"/>
        </w:rPr>
        <w:t>an</w:t>
      </w:r>
      <w:r w:rsidRPr="00B43CBA">
        <w:rPr>
          <w:rFonts w:ascii="Arial" w:eastAsia="Times New Roman" w:hAnsi="Arial" w:cs="Arial"/>
          <w:i/>
          <w:iCs/>
          <w:sz w:val="24"/>
          <w:szCs w:val="24"/>
          <w:lang w:eastAsia="en-GB"/>
        </w:rPr>
        <w:t xml:space="preserve"> individual or family fall into the poverty category the rungs of the economic ladder are further apart which makes it much harder to climb up</w:t>
      </w:r>
      <w:r w:rsidR="0091607A" w:rsidRPr="005C15B0">
        <w:rPr>
          <w:rFonts w:ascii="Arial" w:eastAsia="Times New Roman" w:hAnsi="Arial" w:cs="Arial"/>
          <w:i/>
          <w:iCs/>
          <w:sz w:val="24"/>
          <w:szCs w:val="24"/>
          <w:lang w:eastAsia="en-GB"/>
        </w:rPr>
        <w:t> (</w:t>
      </w:r>
      <w:r w:rsidRPr="00B43CBA">
        <w:rPr>
          <w:rFonts w:ascii="Arial" w:eastAsia="Times New Roman" w:hAnsi="Arial" w:cs="Arial"/>
          <w:i/>
          <w:iCs/>
          <w:sz w:val="24"/>
          <w:szCs w:val="24"/>
          <w:lang w:eastAsia="en-GB"/>
        </w:rPr>
        <w:t>Hills et al, 2019). This knowledge haunts throughout the economic and class structure which results in the top gaining every incentive to remain there. This incentive causes</w:t>
      </w:r>
      <w:r w:rsidR="0091607A" w:rsidRPr="005C15B0">
        <w:rPr>
          <w:rFonts w:ascii="Arial" w:eastAsia="Times New Roman" w:hAnsi="Arial" w:cs="Arial"/>
          <w:i/>
          <w:iCs/>
          <w:sz w:val="24"/>
          <w:szCs w:val="24"/>
          <w:lang w:eastAsia="en-GB"/>
        </w:rPr>
        <w:t> resources</w:t>
      </w:r>
      <w:r w:rsidRPr="00B43CBA">
        <w:rPr>
          <w:rFonts w:ascii="Arial" w:eastAsia="Times New Roman" w:hAnsi="Arial" w:cs="Arial"/>
          <w:i/>
          <w:iCs/>
          <w:sz w:val="24"/>
          <w:szCs w:val="24"/>
          <w:lang w:eastAsia="en-GB"/>
        </w:rPr>
        <w:t xml:space="preserve"> to be used in order to prevent it. This action sees these individuals </w:t>
      </w:r>
      <w:r w:rsidR="0091607A" w:rsidRPr="005C15B0">
        <w:rPr>
          <w:rFonts w:ascii="Arial" w:eastAsia="Times New Roman" w:hAnsi="Arial" w:cs="Arial"/>
          <w:i/>
          <w:iCs/>
          <w:sz w:val="24"/>
          <w:szCs w:val="24"/>
          <w:lang w:eastAsia="en-GB"/>
        </w:rPr>
        <w:t>ensuring</w:t>
      </w:r>
      <w:r w:rsidRPr="00B43CBA">
        <w:rPr>
          <w:rFonts w:ascii="Arial" w:eastAsia="Times New Roman" w:hAnsi="Arial" w:cs="Arial"/>
          <w:i/>
          <w:iCs/>
          <w:sz w:val="24"/>
          <w:szCs w:val="24"/>
          <w:lang w:eastAsia="en-GB"/>
        </w:rPr>
        <w:t xml:space="preserve"> that their children remain at the highest status which has created  what has been described by Abigail McKnight in the UK and Richard Reeves in the USA as the ‘glass floor’.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Multi-partnership working</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Through development, planning and partnership there is provision to ensure that risks are informed across sectors to prepare for current and emerging risks (Diwakar et al, 2019). This allows for</w:t>
      </w:r>
      <w:r w:rsidR="0091607A" w:rsidRPr="005C15B0">
        <w:rPr>
          <w:rFonts w:ascii="Arial" w:eastAsia="Times New Roman" w:hAnsi="Arial" w:cs="Arial"/>
          <w:sz w:val="24"/>
          <w:szCs w:val="24"/>
          <w:lang w:eastAsia="en-GB"/>
        </w:rPr>
        <w:t> contingency</w:t>
      </w:r>
      <w:r w:rsidRPr="00B43CBA">
        <w:rPr>
          <w:rFonts w:ascii="Arial" w:eastAsia="Times New Roman" w:hAnsi="Arial" w:cs="Arial"/>
          <w:sz w:val="24"/>
          <w:szCs w:val="24"/>
          <w:lang w:eastAsia="en-GB"/>
        </w:rPr>
        <w:t xml:space="preserve"> planning to avoid disruption to basic services and infrastructure. This is vital for this issue due to the individuals involved at the services supporting the issue.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hd w:val="clear" w:color="auto" w:fill="FFFFFF"/>
        <w:spacing w:after="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 Trussell Trust (2018) has reached to policy-makers to ensure better support for families is in place. By creating this partnership skills and knowledge is conversed to ensure that the best procedures and schemes are in place. The Trust states that a </w:t>
      </w:r>
      <w:r w:rsidRPr="00B43CBA">
        <w:rPr>
          <w:rFonts w:ascii="Arial" w:eastAsia="Times New Roman" w:hAnsi="Arial" w:cs="Arial"/>
          <w:sz w:val="24"/>
          <w:szCs w:val="24"/>
          <w:lang w:eastAsia="en-GB"/>
        </w:rPr>
        <w:lastRenderedPageBreak/>
        <w:t xml:space="preserve">movement to support these individual. There is an emphasis on the </w:t>
      </w:r>
      <w:r w:rsidR="0091607A" w:rsidRPr="005C15B0">
        <w:rPr>
          <w:rFonts w:ascii="Arial" w:eastAsia="Times New Roman" w:hAnsi="Arial" w:cs="Arial"/>
          <w:sz w:val="24"/>
          <w:szCs w:val="24"/>
          <w:lang w:eastAsia="en-GB"/>
        </w:rPr>
        <w:t>benefit</w:t>
      </w:r>
      <w:r w:rsidRPr="00B43CBA">
        <w:rPr>
          <w:rFonts w:ascii="Arial" w:eastAsia="Times New Roman" w:hAnsi="Arial" w:cs="Arial"/>
          <w:sz w:val="24"/>
          <w:szCs w:val="24"/>
          <w:lang w:eastAsia="en-GB"/>
        </w:rPr>
        <w:t xml:space="preserve"> system and how they support these families fin</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cially. A match of child benefit to reach the inflation rates.  The changes to this service and the Child Element in Universal Credit and for Child Tax Credits will allow these families with children to support these individuals and allow them to have equal opportunities. They also aim to change </w:t>
      </w:r>
      <w:r w:rsidR="0091607A" w:rsidRPr="005C15B0">
        <w:rPr>
          <w:rFonts w:ascii="Arial" w:eastAsia="Times New Roman" w:hAnsi="Arial" w:cs="Arial"/>
          <w:sz w:val="24"/>
          <w:szCs w:val="24"/>
          <w:lang w:eastAsia="en-GB"/>
        </w:rPr>
        <w:t>the</w:t>
      </w:r>
      <w:r w:rsidRPr="00B43CBA">
        <w:rPr>
          <w:rFonts w:ascii="Arial" w:eastAsia="Times New Roman" w:hAnsi="Arial" w:cs="Arial"/>
          <w:sz w:val="24"/>
          <w:szCs w:val="24"/>
          <w:lang w:eastAsia="en-GB"/>
        </w:rPr>
        <w:t xml:space="preserve"> procedure of Universal Credit. The Trust believes that the family should be able to achieve a work allowance </w:t>
      </w:r>
      <w:r w:rsidR="0091607A" w:rsidRPr="005C15B0">
        <w:rPr>
          <w:rFonts w:ascii="Arial" w:eastAsia="Times New Roman" w:hAnsi="Arial" w:cs="Arial"/>
          <w:sz w:val="24"/>
          <w:szCs w:val="24"/>
          <w:lang w:eastAsia="en-GB"/>
        </w:rPr>
        <w:t>which</w:t>
      </w:r>
      <w:r w:rsidRPr="00B43CBA">
        <w:rPr>
          <w:rFonts w:ascii="Arial" w:eastAsia="Times New Roman" w:hAnsi="Arial" w:cs="Arial"/>
          <w:sz w:val="24"/>
          <w:szCs w:val="24"/>
          <w:lang w:eastAsia="en-GB"/>
        </w:rPr>
        <w:t xml:space="preserve"> will allow the</w:t>
      </w:r>
      <w:r w:rsidR="0091607A" w:rsidRPr="005C15B0">
        <w:rPr>
          <w:rFonts w:ascii="Arial" w:eastAsia="Times New Roman" w:hAnsi="Arial" w:cs="Arial"/>
          <w:sz w:val="24"/>
          <w:szCs w:val="24"/>
          <w:lang w:eastAsia="en-GB"/>
        </w:rPr>
        <w:t> families</w:t>
      </w:r>
      <w:r w:rsidRPr="00B43CBA">
        <w:rPr>
          <w:rFonts w:ascii="Arial" w:eastAsia="Times New Roman" w:hAnsi="Arial" w:cs="Arial"/>
          <w:sz w:val="24"/>
          <w:szCs w:val="24"/>
          <w:lang w:eastAsia="en-GB"/>
        </w:rPr>
        <w:t xml:space="preserve"> to keep more of their earnings before Universal Credit payments are reduced. These aims are supported by the </w:t>
      </w:r>
      <w:r w:rsidR="0091607A" w:rsidRPr="005C15B0">
        <w:rPr>
          <w:rFonts w:ascii="Arial" w:eastAsia="Times New Roman" w:hAnsi="Arial" w:cs="Arial"/>
          <w:sz w:val="24"/>
          <w:szCs w:val="24"/>
          <w:lang w:eastAsia="en-GB"/>
        </w:rPr>
        <w:t>implementation</w:t>
      </w:r>
      <w:r w:rsidRPr="00B43CBA">
        <w:rPr>
          <w:rFonts w:ascii="Arial" w:eastAsia="Times New Roman" w:hAnsi="Arial" w:cs="Arial"/>
          <w:sz w:val="24"/>
          <w:szCs w:val="24"/>
          <w:lang w:eastAsia="en-GB"/>
        </w:rPr>
        <w:t xml:space="preserve"> of ensuring that children who are need of free school meals are able to access them. The Department for Education has a threshold of £7,400 per household for the </w:t>
      </w:r>
      <w:r w:rsidR="0091607A" w:rsidRPr="005C15B0">
        <w:rPr>
          <w:rFonts w:ascii="Arial" w:eastAsia="Times New Roman" w:hAnsi="Arial" w:cs="Arial"/>
          <w:sz w:val="24"/>
          <w:szCs w:val="24"/>
          <w:lang w:eastAsia="en-GB"/>
        </w:rPr>
        <w:t>eligibility to</w:t>
      </w:r>
      <w:r w:rsidRPr="00B43CBA">
        <w:rPr>
          <w:rFonts w:ascii="Arial" w:eastAsia="Times New Roman" w:hAnsi="Arial" w:cs="Arial"/>
          <w:sz w:val="24"/>
          <w:szCs w:val="24"/>
          <w:lang w:eastAsia="en-GB"/>
        </w:rPr>
        <w:t xml:space="preserve"> access the free school meals. They state that if this </w:t>
      </w:r>
      <w:r w:rsidR="0091607A" w:rsidRPr="005C15B0">
        <w:rPr>
          <w:rFonts w:ascii="Arial" w:eastAsia="Times New Roman" w:hAnsi="Arial" w:cs="Arial"/>
          <w:sz w:val="24"/>
          <w:szCs w:val="24"/>
          <w:lang w:eastAsia="en-GB"/>
        </w:rPr>
        <w:t>threshold</w:t>
      </w:r>
      <w:r w:rsidRPr="00B43CBA">
        <w:rPr>
          <w:rFonts w:ascii="Arial" w:eastAsia="Times New Roman" w:hAnsi="Arial" w:cs="Arial"/>
          <w:sz w:val="24"/>
          <w:szCs w:val="24"/>
          <w:lang w:eastAsia="en-GB"/>
        </w:rPr>
        <w:t xml:space="preserve"> was increased, there would be a prevention for further pressure on low income families.</w:t>
      </w:r>
    </w:p>
    <w:p w:rsidR="00B43CBA" w:rsidRPr="00B43CBA" w:rsidRDefault="00B43CBA" w:rsidP="005C15B0">
      <w:pPr>
        <w:shd w:val="clear" w:color="auto" w:fill="FFFFFF"/>
        <w:spacing w:after="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w:t>
      </w:r>
    </w:p>
    <w:p w:rsidR="00B43CBA" w:rsidRPr="00B43CBA" w:rsidRDefault="00B43CBA" w:rsidP="005C15B0">
      <w:pPr>
        <w:shd w:val="clear" w:color="auto" w:fill="FFFFFF"/>
        <w:spacing w:after="82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At a local level partnership between services is vital in order to prevent </w:t>
      </w:r>
      <w:r w:rsidR="0091607A" w:rsidRPr="005C15B0">
        <w:rPr>
          <w:rFonts w:ascii="Arial" w:eastAsia="Times New Roman" w:hAnsi="Arial" w:cs="Arial"/>
          <w:sz w:val="24"/>
          <w:szCs w:val="24"/>
          <w:lang w:eastAsia="en-GB"/>
        </w:rPr>
        <w:t>poverty. The</w:t>
      </w:r>
      <w:r w:rsidRPr="00B43CBA">
        <w:rPr>
          <w:rFonts w:ascii="Arial" w:eastAsia="Times New Roman" w:hAnsi="Arial" w:cs="Arial"/>
          <w:sz w:val="24"/>
          <w:szCs w:val="24"/>
          <w:lang w:eastAsia="en-GB"/>
        </w:rPr>
        <w:t xml:space="preserve"> knowledge and teaching of poverty and inequalities faced within the community will allow for understanding which would prevent stigma (Featherstone et al, 2019). The concept of health inequalities in regards to those in poverty is understood through inverse care law in the health profession. Due to this there is </w:t>
      </w:r>
      <w:r w:rsidR="0091607A" w:rsidRPr="005C15B0">
        <w:rPr>
          <w:rFonts w:ascii="Arial" w:eastAsia="Times New Roman" w:hAnsi="Arial" w:cs="Arial"/>
          <w:sz w:val="24"/>
          <w:szCs w:val="24"/>
          <w:lang w:eastAsia="en-GB"/>
        </w:rPr>
        <w:t>availability</w:t>
      </w:r>
      <w:r w:rsidRPr="00B43CBA">
        <w:rPr>
          <w:rFonts w:ascii="Arial" w:eastAsia="Times New Roman" w:hAnsi="Arial" w:cs="Arial"/>
          <w:sz w:val="24"/>
          <w:szCs w:val="24"/>
          <w:lang w:eastAsia="en-GB"/>
        </w:rPr>
        <w:t xml:space="preserve"> to increase integration between health and social care services. The protection of children through the partnership of these services will allow children to be safeguarded and protected. The cross-fertilisation of ideas will allow the services to create a multi-disciplinary endeavour. This multi-disciplinary allows the local children safeguarding boards (LSCBs) to produce strategic planning with the aim of using expertise from professionals to prevent inequalities.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lastRenderedPageBreak/>
        <w:t xml:space="preserve">Whilst public services are adopting these methods, many charities and organisations have partnered to achieve the aim of preventing the child poverty and the inequalities </w:t>
      </w:r>
      <w:r w:rsidR="0091607A" w:rsidRPr="005C15B0">
        <w:rPr>
          <w:rFonts w:ascii="Arial" w:eastAsia="Times New Roman" w:hAnsi="Arial" w:cs="Arial"/>
          <w:i/>
          <w:iCs/>
          <w:sz w:val="24"/>
          <w:szCs w:val="24"/>
          <w:lang w:eastAsia="en-GB"/>
        </w:rPr>
        <w:t>attached</w:t>
      </w:r>
      <w:r w:rsidRPr="00B43CBA">
        <w:rPr>
          <w:rFonts w:ascii="Arial" w:eastAsia="Times New Roman" w:hAnsi="Arial" w:cs="Arial"/>
          <w:i/>
          <w:iCs/>
          <w:sz w:val="24"/>
          <w:szCs w:val="24"/>
          <w:lang w:eastAsia="en-GB"/>
        </w:rPr>
        <w:t xml:space="preserve">. The United Nations has the aim of ensuring the protection and safety of children which is implemented and supported through their human rights (Arie, 2019). The partnering of bodies of the United Nations have a collected want to establish change within </w:t>
      </w:r>
      <w:r w:rsidR="0091607A" w:rsidRPr="005C15B0">
        <w:rPr>
          <w:rFonts w:ascii="Arial" w:eastAsia="Times New Roman" w:hAnsi="Arial" w:cs="Arial"/>
          <w:i/>
          <w:iCs/>
          <w:sz w:val="24"/>
          <w:szCs w:val="24"/>
          <w:lang w:eastAsia="en-GB"/>
        </w:rPr>
        <w:t>government</w:t>
      </w:r>
      <w:r w:rsidRPr="00B43CBA">
        <w:rPr>
          <w:rFonts w:ascii="Arial" w:eastAsia="Times New Roman" w:hAnsi="Arial" w:cs="Arial"/>
          <w:i/>
          <w:iCs/>
          <w:sz w:val="24"/>
          <w:szCs w:val="24"/>
          <w:lang w:eastAsia="en-GB"/>
        </w:rPr>
        <w:t>. By recognising the issue, legislation and support can be introduced which will support bodies such as the Human Rights Watch, the Child Poverty Action Grou</w:t>
      </w:r>
      <w:r w:rsidRPr="00B43CBA">
        <w:rPr>
          <w:rFonts w:ascii="Arial" w:eastAsia="Times New Roman" w:hAnsi="Arial" w:cs="Arial"/>
          <w:sz w:val="24"/>
          <w:szCs w:val="24"/>
          <w:lang w:eastAsia="en-GB"/>
        </w:rPr>
        <w:t xml:space="preserve">p, the Joseph Rowntree Foundation and other charities and experts in </w:t>
      </w:r>
      <w:r w:rsidR="0091607A" w:rsidRPr="005C15B0">
        <w:rPr>
          <w:rFonts w:ascii="Arial" w:eastAsia="Times New Roman" w:hAnsi="Arial" w:cs="Arial"/>
          <w:sz w:val="24"/>
          <w:szCs w:val="24"/>
          <w:lang w:eastAsia="en-GB"/>
        </w:rPr>
        <w:t>poverty. Once</w:t>
      </w:r>
      <w:r w:rsidRPr="00B43CBA">
        <w:rPr>
          <w:rFonts w:ascii="Arial" w:eastAsia="Times New Roman" w:hAnsi="Arial" w:cs="Arial"/>
          <w:sz w:val="24"/>
          <w:szCs w:val="24"/>
          <w:lang w:eastAsia="en-GB"/>
        </w:rPr>
        <w:t xml:space="preserve"> these provisions are in place the there is a vital need to uphold the target status. Whilst Scotland introduced statutory child poverty targets, the independent Poverty and Inequality Commission stated that after inspecting the progress, the country is warned that they will miss its own child poverty targets.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 three generation approach as explained in Lee et al (2019), allows for a </w:t>
      </w:r>
      <w:r w:rsidR="0091607A" w:rsidRPr="005C15B0">
        <w:rPr>
          <w:rFonts w:ascii="Arial" w:eastAsia="Times New Roman" w:hAnsi="Arial" w:cs="Arial"/>
          <w:sz w:val="24"/>
          <w:szCs w:val="24"/>
          <w:lang w:eastAsia="en-GB"/>
        </w:rPr>
        <w:t>focus</w:t>
      </w:r>
      <w:r w:rsidRPr="00B43CBA">
        <w:rPr>
          <w:rFonts w:ascii="Arial" w:eastAsia="Times New Roman" w:hAnsi="Arial" w:cs="Arial"/>
          <w:sz w:val="24"/>
          <w:szCs w:val="24"/>
          <w:lang w:eastAsia="en-GB"/>
        </w:rPr>
        <w:t xml:space="preserve"> to prevent generational </w:t>
      </w:r>
      <w:r w:rsidR="0091607A" w:rsidRPr="005C15B0">
        <w:rPr>
          <w:rFonts w:ascii="Arial" w:eastAsia="Times New Roman" w:hAnsi="Arial" w:cs="Arial"/>
          <w:sz w:val="24"/>
          <w:szCs w:val="24"/>
          <w:lang w:eastAsia="en-GB"/>
        </w:rPr>
        <w:t>similarities</w:t>
      </w:r>
      <w:r w:rsidRPr="00B43CBA">
        <w:rPr>
          <w:rFonts w:ascii="Arial" w:eastAsia="Times New Roman" w:hAnsi="Arial" w:cs="Arial"/>
          <w:sz w:val="24"/>
          <w:szCs w:val="24"/>
          <w:lang w:eastAsia="en-GB"/>
        </w:rPr>
        <w:t xml:space="preserve"> in regards to poverty and the issues which are associated with it. The processes within the scheme are a critical role in facilitating academic success and socio-emotional development. This scheme indicates that children from low socioeconomic families display lower abilities of executive </w:t>
      </w:r>
      <w:r w:rsidR="0091607A" w:rsidRPr="005C15B0">
        <w:rPr>
          <w:rFonts w:ascii="Arial" w:eastAsia="Times New Roman" w:hAnsi="Arial" w:cs="Arial"/>
          <w:sz w:val="24"/>
          <w:szCs w:val="24"/>
          <w:lang w:eastAsia="en-GB"/>
        </w:rPr>
        <w:t>functioning</w:t>
      </w:r>
      <w:r w:rsidRPr="00B43CBA">
        <w:rPr>
          <w:rFonts w:ascii="Arial" w:eastAsia="Times New Roman" w:hAnsi="Arial" w:cs="Arial"/>
          <w:sz w:val="24"/>
          <w:szCs w:val="24"/>
          <w:lang w:eastAsia="en-GB"/>
        </w:rPr>
        <w:t xml:space="preserve"> when compared to their higher socioeconomic peer. This indication is argued to </w:t>
      </w:r>
      <w:r w:rsidR="0091607A" w:rsidRPr="005C15B0">
        <w:rPr>
          <w:rFonts w:ascii="Arial" w:eastAsia="Times New Roman" w:hAnsi="Arial" w:cs="Arial"/>
          <w:sz w:val="24"/>
          <w:szCs w:val="24"/>
          <w:lang w:eastAsia="en-GB"/>
        </w:rPr>
        <w:t>negatively</w:t>
      </w:r>
      <w:r w:rsidRPr="00B43CBA">
        <w:rPr>
          <w:rFonts w:ascii="Arial" w:eastAsia="Times New Roman" w:hAnsi="Arial" w:cs="Arial"/>
          <w:sz w:val="24"/>
          <w:szCs w:val="24"/>
          <w:lang w:eastAsia="en-GB"/>
        </w:rPr>
        <w:t xml:space="preserve"> impact academic and social-emotional achievements. The findings in executive function have been attributed to their environment in regards to increased stress, parental influences and chaotic family environments.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lastRenderedPageBreak/>
        <w:t>Countries and communities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Bartlett et al (2016) understands that the strength to improving this issue is based on efficient documentation and analysis of the issues </w:t>
      </w:r>
      <w:r w:rsidR="0091607A" w:rsidRPr="005C15B0">
        <w:rPr>
          <w:rFonts w:ascii="Arial" w:eastAsia="Times New Roman" w:hAnsi="Arial" w:cs="Arial"/>
          <w:sz w:val="24"/>
          <w:szCs w:val="24"/>
          <w:lang w:eastAsia="en-GB"/>
        </w:rPr>
        <w:t>on children. Through the comparison</w:t>
      </w:r>
      <w:r w:rsidRPr="00B43CBA">
        <w:rPr>
          <w:rFonts w:ascii="Arial" w:eastAsia="Times New Roman" w:hAnsi="Arial" w:cs="Arial"/>
          <w:sz w:val="24"/>
          <w:szCs w:val="24"/>
          <w:lang w:eastAsia="en-GB"/>
        </w:rPr>
        <w:t xml:space="preserve"> and knowledge of previous schemes in areas, there is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offer of ideas for local governments. There will be schemes which have greater success in areas than other due to the communities and environment. The failure of </w:t>
      </w:r>
      <w:r w:rsidR="0091607A" w:rsidRPr="005C15B0">
        <w:rPr>
          <w:rFonts w:ascii="Arial" w:eastAsia="Times New Roman" w:hAnsi="Arial" w:cs="Arial"/>
          <w:sz w:val="24"/>
          <w:szCs w:val="24"/>
          <w:lang w:eastAsia="en-GB"/>
        </w:rPr>
        <w:t>tackling</w:t>
      </w:r>
      <w:r w:rsidRPr="00B43CBA">
        <w:rPr>
          <w:rFonts w:ascii="Arial" w:eastAsia="Times New Roman" w:hAnsi="Arial" w:cs="Arial"/>
          <w:sz w:val="24"/>
          <w:szCs w:val="24"/>
          <w:lang w:eastAsia="en-GB"/>
        </w:rPr>
        <w:t xml:space="preserve"> this issue previously is the </w:t>
      </w:r>
      <w:r w:rsidRPr="00B43CBA">
        <w:rPr>
          <w:rFonts w:ascii="Arial" w:eastAsia="Times New Roman" w:hAnsi="Arial" w:cs="Arial"/>
          <w:i/>
          <w:iCs/>
          <w:sz w:val="24"/>
          <w:szCs w:val="24"/>
          <w:lang w:eastAsia="en-GB"/>
        </w:rPr>
        <w:t xml:space="preserve">assistance does not go to the children of these areas. They are commonly presented in large-scale investment projects which rarely individually impact these individuals. Examples of this is visible when focusing on poverty in environments of squatter settlements and shantytowns. These areas see children </w:t>
      </w:r>
      <w:r w:rsidR="0091607A" w:rsidRPr="005C15B0">
        <w:rPr>
          <w:rFonts w:ascii="Arial" w:eastAsia="Times New Roman" w:hAnsi="Arial" w:cs="Arial"/>
          <w:i/>
          <w:iCs/>
          <w:sz w:val="24"/>
          <w:szCs w:val="24"/>
          <w:lang w:eastAsia="en-GB"/>
        </w:rPr>
        <w:t>continuing</w:t>
      </w:r>
      <w:r w:rsidRPr="00B43CBA">
        <w:rPr>
          <w:rFonts w:ascii="Arial" w:eastAsia="Times New Roman" w:hAnsi="Arial" w:cs="Arial"/>
          <w:i/>
          <w:iCs/>
          <w:sz w:val="24"/>
          <w:szCs w:val="24"/>
          <w:lang w:eastAsia="en-GB"/>
        </w:rPr>
        <w:t xml:space="preserve"> to face the issues attached to their </w:t>
      </w:r>
      <w:r w:rsidR="0091607A" w:rsidRPr="005C15B0">
        <w:rPr>
          <w:rFonts w:ascii="Arial" w:eastAsia="Times New Roman" w:hAnsi="Arial" w:cs="Arial"/>
          <w:i/>
          <w:iCs/>
          <w:sz w:val="24"/>
          <w:szCs w:val="24"/>
          <w:lang w:eastAsia="en-GB"/>
        </w:rPr>
        <w:t>poverty.</w:t>
      </w:r>
      <w:r w:rsidR="0091607A" w:rsidRPr="005C15B0">
        <w:rPr>
          <w:rFonts w:ascii="Arial" w:eastAsia="Times New Roman" w:hAnsi="Arial" w:cs="Arial"/>
          <w:sz w:val="24"/>
          <w:szCs w:val="24"/>
          <w:lang w:eastAsia="en-GB"/>
        </w:rPr>
        <w:t xml:space="preserve"> These</w:t>
      </w:r>
      <w:r w:rsidRPr="00B43CBA">
        <w:rPr>
          <w:rFonts w:ascii="Arial" w:eastAsia="Times New Roman" w:hAnsi="Arial" w:cs="Arial"/>
          <w:sz w:val="24"/>
          <w:szCs w:val="24"/>
          <w:lang w:eastAsia="en-GB"/>
        </w:rPr>
        <w:t xml:space="preserve"> require a lack of global efforts by organisations but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effort at local communities through </w:t>
      </w:r>
      <w:r w:rsidR="0091607A" w:rsidRPr="005C15B0">
        <w:rPr>
          <w:rFonts w:ascii="Arial" w:eastAsia="Times New Roman" w:hAnsi="Arial" w:cs="Arial"/>
          <w:sz w:val="24"/>
          <w:szCs w:val="24"/>
          <w:lang w:eastAsia="en-GB"/>
        </w:rPr>
        <w:t>grassroots</w:t>
      </w:r>
      <w:r w:rsidRPr="00B43CBA">
        <w:rPr>
          <w:rFonts w:ascii="Arial" w:eastAsia="Times New Roman" w:hAnsi="Arial" w:cs="Arial"/>
          <w:sz w:val="24"/>
          <w:szCs w:val="24"/>
          <w:lang w:eastAsia="en-GB"/>
        </w:rPr>
        <w:t xml:space="preserve"> </w:t>
      </w:r>
      <w:r w:rsidR="0091607A" w:rsidRPr="005C15B0">
        <w:rPr>
          <w:rFonts w:ascii="Arial" w:eastAsia="Times New Roman" w:hAnsi="Arial" w:cs="Arial"/>
          <w:sz w:val="24"/>
          <w:szCs w:val="24"/>
          <w:lang w:eastAsia="en-GB"/>
        </w:rPr>
        <w:t>partnership</w:t>
      </w:r>
      <w:r w:rsidRPr="00B43CBA">
        <w:rPr>
          <w:rFonts w:ascii="Arial" w:eastAsia="Times New Roman" w:hAnsi="Arial" w:cs="Arial"/>
          <w:sz w:val="24"/>
          <w:szCs w:val="24"/>
          <w:lang w:eastAsia="en-GB"/>
        </w:rPr>
        <w:t>. UNICEF is a model organisation when performing this form of improvement. They recognise that the causes of many of these problems are due to connecting issues such as poor education, a lack of cleanliness and lack of accessible services. These lessons can be implemented throughout tasks of improving this issue.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Statistics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The statistical evidence of this issue is extremely alarming due to the extent of negative impacts it creates throughout the lives of the individuals connected. 365,000 children, were destitute in the UK at some point during 2017, this number of individuals is extremely high compared to the amount of children residing in the country</w:t>
      </w:r>
      <w:r w:rsidR="0091607A" w:rsidRPr="005C15B0">
        <w:rPr>
          <w:rFonts w:ascii="Arial" w:eastAsia="Times New Roman" w:hAnsi="Arial" w:cs="Arial"/>
          <w:i/>
          <w:iCs/>
          <w:sz w:val="24"/>
          <w:szCs w:val="24"/>
          <w:lang w:eastAsia="en-GB"/>
        </w:rPr>
        <w:t> (</w:t>
      </w:r>
      <w:r w:rsidRPr="00B43CBA">
        <w:rPr>
          <w:rFonts w:ascii="Arial" w:eastAsia="Times New Roman" w:hAnsi="Arial" w:cs="Arial"/>
          <w:i/>
          <w:iCs/>
          <w:sz w:val="24"/>
          <w:szCs w:val="24"/>
          <w:shd w:val="clear" w:color="auto" w:fill="FFFFFF"/>
          <w:lang w:eastAsia="en-GB"/>
        </w:rPr>
        <w:t xml:space="preserve">Fitzpatrick </w:t>
      </w:r>
      <w:proofErr w:type="gramStart"/>
      <w:r w:rsidRPr="00B43CBA">
        <w:rPr>
          <w:rFonts w:ascii="Arial" w:eastAsia="Times New Roman" w:hAnsi="Arial" w:cs="Arial"/>
          <w:i/>
          <w:iCs/>
          <w:sz w:val="24"/>
          <w:szCs w:val="24"/>
          <w:shd w:val="clear" w:color="auto" w:fill="FFFFFF"/>
          <w:lang w:eastAsia="en-GB"/>
        </w:rPr>
        <w:t>et</w:t>
      </w:r>
      <w:proofErr w:type="gramEnd"/>
      <w:r w:rsidRPr="00B43CBA">
        <w:rPr>
          <w:rFonts w:ascii="Arial" w:eastAsia="Times New Roman" w:hAnsi="Arial" w:cs="Arial"/>
          <w:i/>
          <w:iCs/>
          <w:sz w:val="24"/>
          <w:szCs w:val="24"/>
          <w:shd w:val="clear" w:color="auto" w:fill="FFFFFF"/>
          <w:lang w:eastAsia="en-GB"/>
        </w:rPr>
        <w:t xml:space="preserve"> at, 2018)</w:t>
      </w:r>
      <w:r w:rsidRPr="00B43CBA">
        <w:rPr>
          <w:rFonts w:ascii="Arial" w:eastAsia="Times New Roman" w:hAnsi="Arial" w:cs="Arial"/>
          <w:i/>
          <w:iCs/>
          <w:sz w:val="24"/>
          <w:szCs w:val="24"/>
          <w:lang w:eastAsia="en-GB"/>
        </w:rPr>
        <w:t xml:space="preserve">. This statistic indicates that these individuals could </w:t>
      </w:r>
      <w:r w:rsidRPr="00B43CBA">
        <w:rPr>
          <w:rFonts w:ascii="Arial" w:eastAsia="Times New Roman" w:hAnsi="Arial" w:cs="Arial"/>
          <w:i/>
          <w:iCs/>
          <w:sz w:val="24"/>
          <w:szCs w:val="24"/>
          <w:lang w:eastAsia="en-GB"/>
        </w:rPr>
        <w:lastRenderedPageBreak/>
        <w:t>not afford to buy the bare essentials that is needed to eat, stay warm, stay dry, and to keep clean. To prevent these circumstances Theresa May announced an implem</w:t>
      </w:r>
      <w:r w:rsidR="0091607A" w:rsidRPr="005C15B0">
        <w:rPr>
          <w:rFonts w:ascii="Arial" w:eastAsia="Times New Roman" w:hAnsi="Arial" w:cs="Arial"/>
          <w:i/>
          <w:iCs/>
          <w:sz w:val="24"/>
          <w:szCs w:val="24"/>
          <w:lang w:eastAsia="en-GB"/>
        </w:rPr>
        <w:t>en</w:t>
      </w:r>
      <w:r w:rsidRPr="00B43CBA">
        <w:rPr>
          <w:rFonts w:ascii="Arial" w:eastAsia="Times New Roman" w:hAnsi="Arial" w:cs="Arial"/>
          <w:i/>
          <w:iCs/>
          <w:sz w:val="24"/>
          <w:szCs w:val="24"/>
          <w:lang w:eastAsia="en-GB"/>
        </w:rPr>
        <w:t xml:space="preserve">tation of measures to safeguard these </w:t>
      </w:r>
      <w:r w:rsidR="0091607A" w:rsidRPr="005C15B0">
        <w:rPr>
          <w:rFonts w:ascii="Arial" w:eastAsia="Times New Roman" w:hAnsi="Arial" w:cs="Arial"/>
          <w:i/>
          <w:iCs/>
          <w:sz w:val="24"/>
          <w:szCs w:val="24"/>
          <w:lang w:eastAsia="en-GB"/>
        </w:rPr>
        <w:t>individuals</w:t>
      </w:r>
      <w:r w:rsidRPr="00B43CBA">
        <w:rPr>
          <w:rFonts w:ascii="Arial" w:eastAsia="Times New Roman" w:hAnsi="Arial" w:cs="Arial"/>
          <w:i/>
          <w:iCs/>
          <w:sz w:val="24"/>
          <w:szCs w:val="24"/>
          <w:lang w:eastAsia="en-GB"/>
        </w:rPr>
        <w:t>. Among this was teacher training in identifying children with mental health problems and those in poverty. This training was connected to a £1 million pound scheme in preventing these situations and referring the correct support and service for these individuals (Arie, 2019).</w:t>
      </w:r>
    </w:p>
    <w:p w:rsidR="00B43CBA" w:rsidRPr="00B43CBA" w:rsidRDefault="00B43CBA" w:rsidP="005C15B0">
      <w:pPr>
        <w:spacing w:after="24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i/>
          <w:iCs/>
          <w:sz w:val="24"/>
          <w:szCs w:val="24"/>
          <w:lang w:eastAsia="en-GB"/>
        </w:rPr>
        <w:t>Legislation and indicators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As explained in</w:t>
      </w:r>
      <w:r w:rsidR="0091607A" w:rsidRPr="005C15B0">
        <w:rPr>
          <w:rFonts w:ascii="Arial" w:eastAsia="Times New Roman" w:hAnsi="Arial" w:cs="Arial"/>
          <w:i/>
          <w:iCs/>
          <w:sz w:val="24"/>
          <w:szCs w:val="24"/>
          <w:lang w:eastAsia="en-GB"/>
        </w:rPr>
        <w:t> Roelen</w:t>
      </w:r>
      <w:r w:rsidRPr="00B43CBA">
        <w:rPr>
          <w:rFonts w:ascii="Arial" w:eastAsia="Times New Roman" w:hAnsi="Arial" w:cs="Arial"/>
          <w:i/>
          <w:iCs/>
          <w:sz w:val="24"/>
          <w:szCs w:val="24"/>
          <w:lang w:eastAsia="en-GB"/>
        </w:rPr>
        <w:t xml:space="preserve"> (2017) the policies in regards to combating poverty cover many of the issues faced by those in the circumstance. The issue with areas within these are the nature of shame surround the topic. This barrier prevents the </w:t>
      </w:r>
      <w:r w:rsidR="0091607A" w:rsidRPr="005C15B0">
        <w:rPr>
          <w:rFonts w:ascii="Arial" w:eastAsia="Times New Roman" w:hAnsi="Arial" w:cs="Arial"/>
          <w:i/>
          <w:iCs/>
          <w:sz w:val="24"/>
          <w:szCs w:val="24"/>
          <w:lang w:eastAsia="en-GB"/>
        </w:rPr>
        <w:t>legislation</w:t>
      </w:r>
      <w:r w:rsidRPr="00B43CBA">
        <w:rPr>
          <w:rFonts w:ascii="Arial" w:eastAsia="Times New Roman" w:hAnsi="Arial" w:cs="Arial"/>
          <w:i/>
          <w:iCs/>
          <w:sz w:val="24"/>
          <w:szCs w:val="24"/>
          <w:lang w:eastAsia="en-GB"/>
        </w:rPr>
        <w:t xml:space="preserve"> from effectively impacting the issues </w:t>
      </w:r>
      <w:r w:rsidR="0091607A" w:rsidRPr="005C15B0">
        <w:rPr>
          <w:rFonts w:ascii="Arial" w:eastAsia="Times New Roman" w:hAnsi="Arial" w:cs="Arial"/>
          <w:i/>
          <w:iCs/>
          <w:sz w:val="24"/>
          <w:szCs w:val="24"/>
          <w:lang w:eastAsia="en-GB"/>
        </w:rPr>
        <w:t>positively</w:t>
      </w:r>
      <w:r w:rsidRPr="00B43CBA">
        <w:rPr>
          <w:rFonts w:ascii="Arial" w:eastAsia="Times New Roman" w:hAnsi="Arial" w:cs="Arial"/>
          <w:i/>
          <w:iCs/>
          <w:sz w:val="24"/>
          <w:szCs w:val="24"/>
          <w:lang w:eastAsia="en-GB"/>
        </w:rPr>
        <w:t xml:space="preserve">. By creating interventions there will be a greater opportunity to reduce shame, either directly through promoting a </w:t>
      </w:r>
      <w:r w:rsidR="0091607A" w:rsidRPr="005C15B0">
        <w:rPr>
          <w:rFonts w:ascii="Arial" w:eastAsia="Times New Roman" w:hAnsi="Arial" w:cs="Arial"/>
          <w:i/>
          <w:iCs/>
          <w:sz w:val="24"/>
          <w:szCs w:val="24"/>
          <w:lang w:eastAsia="en-GB"/>
        </w:rPr>
        <w:t>confirmation</w:t>
      </w:r>
      <w:r w:rsidRPr="00B43CBA">
        <w:rPr>
          <w:rFonts w:ascii="Arial" w:eastAsia="Times New Roman" w:hAnsi="Arial" w:cs="Arial"/>
          <w:i/>
          <w:iCs/>
          <w:sz w:val="24"/>
          <w:szCs w:val="24"/>
          <w:lang w:eastAsia="en-GB"/>
        </w:rPr>
        <w:t xml:space="preserve"> to </w:t>
      </w:r>
      <w:r w:rsidR="0091607A" w:rsidRPr="005C15B0">
        <w:rPr>
          <w:rFonts w:ascii="Arial" w:eastAsia="Times New Roman" w:hAnsi="Arial" w:cs="Arial"/>
          <w:i/>
          <w:iCs/>
          <w:sz w:val="24"/>
          <w:szCs w:val="24"/>
          <w:lang w:eastAsia="en-GB"/>
        </w:rPr>
        <w:t>receive</w:t>
      </w:r>
      <w:r w:rsidRPr="00B43CBA">
        <w:rPr>
          <w:rFonts w:ascii="Arial" w:eastAsia="Times New Roman" w:hAnsi="Arial" w:cs="Arial"/>
          <w:i/>
          <w:iCs/>
          <w:sz w:val="24"/>
          <w:szCs w:val="24"/>
          <w:lang w:eastAsia="en-GB"/>
        </w:rPr>
        <w:t xml:space="preserve"> the support or indirectly through poverty reduction or countering stigma. These targets allow for current legislation to be implemented and used for </w:t>
      </w:r>
      <w:r w:rsidR="0091607A" w:rsidRPr="005C15B0">
        <w:rPr>
          <w:rFonts w:ascii="Arial" w:eastAsia="Times New Roman" w:hAnsi="Arial" w:cs="Arial"/>
          <w:i/>
          <w:iCs/>
          <w:sz w:val="24"/>
          <w:szCs w:val="24"/>
          <w:lang w:eastAsia="en-GB"/>
        </w:rPr>
        <w:t>positive changes. The emphasis</w:t>
      </w:r>
      <w:r w:rsidRPr="00B43CBA">
        <w:rPr>
          <w:rFonts w:ascii="Arial" w:eastAsia="Times New Roman" w:hAnsi="Arial" w:cs="Arial"/>
          <w:i/>
          <w:iCs/>
          <w:sz w:val="24"/>
          <w:szCs w:val="24"/>
          <w:lang w:eastAsia="en-GB"/>
        </w:rPr>
        <w:t xml:space="preserve"> on the universal need for breaking negative cycles to create </w:t>
      </w:r>
      <w:r w:rsidRPr="00B43CBA">
        <w:rPr>
          <w:rFonts w:ascii="Arial" w:eastAsia="Times New Roman" w:hAnsi="Arial" w:cs="Arial"/>
          <w:sz w:val="24"/>
          <w:szCs w:val="24"/>
          <w:lang w:eastAsia="en-GB"/>
        </w:rPr>
        <w:t>positive pathways to reducing shame and poverty reduction. These inventions use numerous forms when researching child poverty. These are in forms of indications which are connected to individuals in poverty. Organisations have partnered to improve the</w:t>
      </w:r>
      <w:r w:rsidR="0091607A" w:rsidRPr="005C15B0">
        <w:rPr>
          <w:rFonts w:ascii="Arial" w:eastAsia="Times New Roman" w:hAnsi="Arial" w:cs="Arial"/>
          <w:sz w:val="24"/>
          <w:szCs w:val="24"/>
          <w:lang w:eastAsia="en-GB"/>
        </w:rPr>
        <w:t> legislation</w:t>
      </w:r>
      <w:r w:rsidRPr="00B43CBA">
        <w:rPr>
          <w:rFonts w:ascii="Arial" w:eastAsia="Times New Roman" w:hAnsi="Arial" w:cs="Arial"/>
          <w:sz w:val="24"/>
          <w:szCs w:val="24"/>
          <w:lang w:eastAsia="en-GB"/>
        </w:rPr>
        <w:t xml:space="preserve"> </w:t>
      </w:r>
      <w:r w:rsidR="0091607A" w:rsidRPr="005C15B0">
        <w:rPr>
          <w:rFonts w:ascii="Arial" w:eastAsia="Times New Roman" w:hAnsi="Arial" w:cs="Arial"/>
          <w:sz w:val="24"/>
          <w:szCs w:val="24"/>
          <w:lang w:eastAsia="en-GB"/>
        </w:rPr>
        <w:t>surround this issue (Jones and S</w:t>
      </w:r>
      <w:r w:rsidRPr="00B43CBA">
        <w:rPr>
          <w:rFonts w:ascii="Arial" w:eastAsia="Times New Roman" w:hAnsi="Arial" w:cs="Arial"/>
          <w:sz w:val="24"/>
          <w:szCs w:val="24"/>
          <w:lang w:eastAsia="en-GB"/>
        </w:rPr>
        <w:t xml:space="preserve">umner, 2012).  </w:t>
      </w:r>
      <w:r w:rsidRPr="00B43CBA">
        <w:rPr>
          <w:rFonts w:ascii="Arial" w:eastAsia="Times New Roman" w:hAnsi="Arial" w:cs="Arial"/>
          <w:i/>
          <w:iCs/>
          <w:sz w:val="24"/>
          <w:szCs w:val="24"/>
          <w:lang w:eastAsia="en-GB"/>
        </w:rPr>
        <w:t xml:space="preserve">The UNICEF’s Global Study on Child Poverty to the Child Friendliness of Policy Indices, the Child Wellbeing Index, Bristol child </w:t>
      </w:r>
      <w:r w:rsidRPr="00B43CBA">
        <w:rPr>
          <w:rFonts w:ascii="Arial" w:eastAsia="Times New Roman" w:hAnsi="Arial" w:cs="Arial"/>
          <w:i/>
          <w:iCs/>
          <w:sz w:val="24"/>
          <w:szCs w:val="24"/>
          <w:lang w:eastAsia="en-GB"/>
        </w:rPr>
        <w:lastRenderedPageBreak/>
        <w:t xml:space="preserve">deprivation, the Child and Youth Network Indicators, and the OECD’s Social Institutions and Gender </w:t>
      </w:r>
      <w:r w:rsidRPr="00B43CBA">
        <w:rPr>
          <w:rFonts w:ascii="Arial" w:eastAsia="Times New Roman" w:hAnsi="Arial" w:cs="Arial"/>
          <w:sz w:val="24"/>
          <w:szCs w:val="24"/>
          <w:lang w:eastAsia="en-GB"/>
        </w:rPr>
        <w:t>Index have created movements for change.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However, inequalities in regards to these individuals are continuing to arise. Evidence explained in Morninton and </w:t>
      </w:r>
      <w:r w:rsidRPr="00B43CBA">
        <w:rPr>
          <w:rFonts w:ascii="Arial" w:eastAsia="Times New Roman" w:hAnsi="Arial" w:cs="Arial"/>
          <w:sz w:val="24"/>
          <w:szCs w:val="24"/>
          <w:shd w:val="clear" w:color="auto" w:fill="FFFFFF"/>
          <w:lang w:eastAsia="en-GB"/>
        </w:rPr>
        <w:t xml:space="preserve">Guyard-Nedelec (2019) have shown that </w:t>
      </w:r>
      <w:r w:rsidRPr="00B43CBA">
        <w:rPr>
          <w:rFonts w:ascii="Arial" w:eastAsia="Times New Roman" w:hAnsi="Arial" w:cs="Arial"/>
          <w:sz w:val="24"/>
          <w:szCs w:val="24"/>
          <w:lang w:eastAsia="en-GB"/>
        </w:rPr>
        <w:t>there is a high number of children who are forcibly removed from their parental care come that are from a background of poverty.  Whilst the United Kingdom has described the procedure as</w:t>
      </w:r>
      <w:r w:rsidR="0091607A" w:rsidRPr="005C15B0">
        <w:rPr>
          <w:rFonts w:ascii="Arial" w:eastAsia="Times New Roman" w:hAnsi="Arial" w:cs="Arial"/>
          <w:sz w:val="24"/>
          <w:szCs w:val="24"/>
          <w:lang w:eastAsia="en-GB"/>
        </w:rPr>
        <w:t> implementing</w:t>
      </w:r>
      <w:r w:rsidRPr="00B43CBA">
        <w:rPr>
          <w:rFonts w:ascii="Arial" w:eastAsia="Times New Roman" w:hAnsi="Arial" w:cs="Arial"/>
          <w:sz w:val="24"/>
          <w:szCs w:val="24"/>
          <w:lang w:eastAsia="en-GB"/>
        </w:rPr>
        <w:t xml:space="preserve"> child protection policies. This is argued as discrimination against the poor. This is evidence would declare that the state is violating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right to a family life. Following the legislation, The Children Act 1989 focuses on the “best interests of the child”. This interest, creates a duty to the state which ensure they </w:t>
      </w:r>
      <w:r w:rsidR="0091607A" w:rsidRPr="005C15B0">
        <w:rPr>
          <w:rFonts w:ascii="Arial" w:eastAsia="Times New Roman" w:hAnsi="Arial" w:cs="Arial"/>
          <w:sz w:val="24"/>
          <w:szCs w:val="24"/>
          <w:lang w:eastAsia="en-GB"/>
        </w:rPr>
        <w:t>protect</w:t>
      </w:r>
      <w:r w:rsidRPr="00B43CBA">
        <w:rPr>
          <w:rFonts w:ascii="Arial" w:eastAsia="Times New Roman" w:hAnsi="Arial" w:cs="Arial"/>
          <w:sz w:val="24"/>
          <w:szCs w:val="24"/>
          <w:lang w:eastAsia="en-GB"/>
        </w:rPr>
        <w:t xml:space="preserve"> the child from the risk of physical or emotional abuse. This gives a lack of clarity due to the issues attached to poverty could be argued to cause these factors (Dickens et al, 2019). </w:t>
      </w:r>
    </w:p>
    <w:p w:rsidR="00B43CBA" w:rsidRPr="00B43CBA" w:rsidRDefault="00B43CBA" w:rsidP="005C15B0">
      <w:pPr>
        <w:spacing w:after="0" w:line="480" w:lineRule="auto"/>
        <w:rPr>
          <w:rFonts w:ascii="Arial" w:eastAsia="Times New Roman" w:hAnsi="Arial" w:cs="Arial"/>
          <w:sz w:val="24"/>
          <w:szCs w:val="24"/>
          <w:lang w:eastAsia="en-GB"/>
        </w:rPr>
      </w:pPr>
    </w:p>
    <w:p w:rsidR="005C15B0" w:rsidRDefault="009F7C5D" w:rsidP="005C15B0">
      <w:pPr>
        <w:spacing w:before="240" w:after="200" w:line="480" w:lineRule="auto"/>
        <w:ind w:left="140" w:right="140" w:hanging="360"/>
        <w:rPr>
          <w:rFonts w:ascii="Arial" w:eastAsia="Times New Roman" w:hAnsi="Arial" w:cs="Arial"/>
          <w:sz w:val="24"/>
          <w:szCs w:val="24"/>
          <w:lang w:eastAsia="en-GB"/>
        </w:rPr>
      </w:pPr>
      <w:r w:rsidRPr="005C15B0">
        <w:rPr>
          <w:rFonts w:ascii="Arial" w:eastAsia="Times New Roman" w:hAnsi="Arial" w:cs="Arial"/>
          <w:b/>
          <w:bCs/>
          <w:sz w:val="24"/>
          <w:szCs w:val="24"/>
          <w:u w:val="single"/>
          <w:lang w:eastAsia="en-GB"/>
        </w:rPr>
        <w:t>Hunger poverty-</w:t>
      </w:r>
      <w:r w:rsidR="00B43CBA" w:rsidRPr="00B43CBA">
        <w:rPr>
          <w:rFonts w:ascii="Arial" w:eastAsia="Times New Roman" w:hAnsi="Arial" w:cs="Arial"/>
          <w:b/>
          <w:bCs/>
          <w:sz w:val="24"/>
          <w:szCs w:val="24"/>
          <w:u w:val="single"/>
          <w:lang w:eastAsia="en-GB"/>
        </w:rPr>
        <w:t xml:space="preserve"> food banks</w:t>
      </w: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The rise in food poverty and the corresponding rise</w:t>
      </w:r>
      <w:r w:rsidR="005C15B0">
        <w:rPr>
          <w:rFonts w:ascii="Arial" w:eastAsia="Times New Roman" w:hAnsi="Arial" w:cs="Arial"/>
          <w:sz w:val="24"/>
          <w:szCs w:val="24"/>
          <w:lang w:eastAsia="en-GB"/>
        </w:rPr>
        <w:t xml:space="preserve"> in the number of food banks in </w:t>
      </w:r>
      <w:r w:rsidRPr="00B43CBA">
        <w:rPr>
          <w:rFonts w:ascii="Arial" w:eastAsia="Times New Roman" w:hAnsi="Arial" w:cs="Arial"/>
          <w:sz w:val="24"/>
          <w:szCs w:val="24"/>
          <w:lang w:eastAsia="en-GB"/>
        </w:rPr>
        <w:t xml:space="preserve">the UK has been attached to many societal neglects. </w:t>
      </w:r>
      <w:r w:rsidRPr="00B43CBA">
        <w:rPr>
          <w:rFonts w:ascii="Arial" w:eastAsia="Times New Roman" w:hAnsi="Arial" w:cs="Arial"/>
          <w:i/>
          <w:iCs/>
          <w:sz w:val="24"/>
          <w:szCs w:val="24"/>
          <w:lang w:eastAsia="en-GB"/>
        </w:rPr>
        <w:t xml:space="preserve">Furey (2019) has explained that the combination of high living costs, lack of increasing income to meeting living costs and issues surrounding the benefits system, means that levels of hunger in Britain are argued to be some of the highest across Europe. This is increased when concentrating on children due to statistics showing that nearly one in five children under 15 are living in a food-insecure home. This issue was commended on by MP Mary Creagh, (who is the Chair of the Environmental Audit Committee) who stated that this is a scandal which cannot be allowed to continue. </w:t>
      </w:r>
      <w:r w:rsidRPr="00B43CBA">
        <w:rPr>
          <w:rFonts w:ascii="Arial" w:eastAsia="Times New Roman" w:hAnsi="Arial" w:cs="Arial"/>
          <w:sz w:val="24"/>
          <w:szCs w:val="24"/>
          <w:lang w:eastAsia="en-GB"/>
        </w:rPr>
        <w:t xml:space="preserve">The food poverty and food </w:t>
      </w:r>
      <w:r w:rsidRPr="00B43CBA">
        <w:rPr>
          <w:rFonts w:ascii="Arial" w:eastAsia="Times New Roman" w:hAnsi="Arial" w:cs="Arial"/>
          <w:sz w:val="24"/>
          <w:szCs w:val="24"/>
          <w:lang w:eastAsia="en-GB"/>
        </w:rPr>
        <w:lastRenderedPageBreak/>
        <w:t xml:space="preserve">insecurity is an increasing factor and service when focusing on child poverty. The attachment within the increases in general poverty and to changes in the UK welfare system has extreme </w:t>
      </w:r>
      <w:r w:rsidR="0091607A" w:rsidRPr="005C15B0">
        <w:rPr>
          <w:rFonts w:ascii="Arial" w:eastAsia="Times New Roman" w:hAnsi="Arial" w:cs="Arial"/>
          <w:sz w:val="24"/>
          <w:szCs w:val="24"/>
          <w:lang w:eastAsia="en-GB"/>
        </w:rPr>
        <w:t>bearings</w:t>
      </w:r>
      <w:r w:rsidRPr="00B43CBA">
        <w:rPr>
          <w:rFonts w:ascii="Arial" w:eastAsia="Times New Roman" w:hAnsi="Arial" w:cs="Arial"/>
          <w:sz w:val="24"/>
          <w:szCs w:val="24"/>
          <w:lang w:eastAsia="en-GB"/>
        </w:rPr>
        <w:t xml:space="preserve"> on the volume of service users and the procedures used. This has been indicated by the change of ‘governmentality’ around food sources for those in need which has shifted from the state to the charity sector (Caraher and Furey, 2018).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Whilst the scale and impact of food poverty on the individual and society is life-changing the impacts extend beyond food.  As explained by Denning (2019)</w:t>
      </w:r>
      <w:r w:rsidR="0091607A" w:rsidRPr="005C15B0">
        <w:rPr>
          <w:rFonts w:ascii="Arial" w:eastAsia="Times New Roman" w:hAnsi="Arial" w:cs="Arial"/>
          <w:sz w:val="24"/>
          <w:szCs w:val="24"/>
          <w:lang w:eastAsia="en-GB"/>
        </w:rPr>
        <w:t> the</w:t>
      </w:r>
      <w:r w:rsidRPr="00B43CBA">
        <w:rPr>
          <w:rFonts w:ascii="Arial" w:eastAsia="Times New Roman" w:hAnsi="Arial" w:cs="Arial"/>
          <w:sz w:val="24"/>
          <w:szCs w:val="24"/>
          <w:lang w:eastAsia="en-GB"/>
        </w:rPr>
        <w:t xml:space="preserve"> poverty of food can also result in social </w:t>
      </w:r>
      <w:r w:rsidR="0091607A" w:rsidRPr="005C15B0">
        <w:rPr>
          <w:rFonts w:ascii="Arial" w:eastAsia="Times New Roman" w:hAnsi="Arial" w:cs="Arial"/>
          <w:sz w:val="24"/>
          <w:szCs w:val="24"/>
          <w:lang w:eastAsia="en-GB"/>
        </w:rPr>
        <w:t>exclusion. Many</w:t>
      </w:r>
      <w:r w:rsidRPr="00B43CBA">
        <w:rPr>
          <w:rFonts w:ascii="Arial" w:eastAsia="Times New Roman" w:hAnsi="Arial" w:cs="Arial"/>
          <w:sz w:val="24"/>
          <w:szCs w:val="24"/>
          <w:lang w:eastAsia="en-GB"/>
        </w:rPr>
        <w:t xml:space="preserve"> social experiences and celebrations are based around food and their institutions. This </w:t>
      </w:r>
      <w:r w:rsidR="0091607A" w:rsidRPr="005C15B0">
        <w:rPr>
          <w:rFonts w:ascii="Arial" w:eastAsia="Times New Roman" w:hAnsi="Arial" w:cs="Arial"/>
          <w:sz w:val="24"/>
          <w:szCs w:val="24"/>
          <w:lang w:eastAsia="en-GB"/>
        </w:rPr>
        <w:t>aspect</w:t>
      </w:r>
      <w:r w:rsidRPr="00B43CBA">
        <w:rPr>
          <w:rFonts w:ascii="Arial" w:eastAsia="Times New Roman" w:hAnsi="Arial" w:cs="Arial"/>
          <w:sz w:val="24"/>
          <w:szCs w:val="24"/>
          <w:lang w:eastAsia="en-GB"/>
        </w:rPr>
        <w:t xml:space="preserve"> of socialisation</w:t>
      </w:r>
      <w:r w:rsidR="0091607A" w:rsidRPr="005C15B0">
        <w:rPr>
          <w:rFonts w:ascii="Arial" w:eastAsia="Times New Roman" w:hAnsi="Arial" w:cs="Arial"/>
          <w:sz w:val="24"/>
          <w:szCs w:val="24"/>
          <w:lang w:eastAsia="en-GB"/>
        </w:rPr>
        <w:t> comes</w:t>
      </w:r>
      <w:r w:rsidRPr="00B43CBA">
        <w:rPr>
          <w:rFonts w:ascii="Arial" w:eastAsia="Times New Roman" w:hAnsi="Arial" w:cs="Arial"/>
          <w:sz w:val="24"/>
          <w:szCs w:val="24"/>
          <w:lang w:eastAsia="en-GB"/>
        </w:rPr>
        <w:t xml:space="preserve"> with an associated cost</w:t>
      </w:r>
      <w:r w:rsidR="0091607A" w:rsidRPr="005C15B0">
        <w:rPr>
          <w:rFonts w:ascii="Arial" w:eastAsia="Times New Roman" w:hAnsi="Arial" w:cs="Arial"/>
          <w:sz w:val="24"/>
          <w:szCs w:val="24"/>
          <w:lang w:eastAsia="en-GB"/>
        </w:rPr>
        <w:t> which</w:t>
      </w:r>
      <w:r w:rsidRPr="00B43CBA">
        <w:rPr>
          <w:rFonts w:ascii="Arial" w:eastAsia="Times New Roman" w:hAnsi="Arial" w:cs="Arial"/>
          <w:sz w:val="24"/>
          <w:szCs w:val="24"/>
          <w:lang w:eastAsia="en-GB"/>
        </w:rPr>
        <w:t xml:space="preserve"> can </w:t>
      </w:r>
      <w:r w:rsidR="0091607A" w:rsidRPr="005C15B0">
        <w:rPr>
          <w:rFonts w:ascii="Arial" w:eastAsia="Times New Roman" w:hAnsi="Arial" w:cs="Arial"/>
          <w:sz w:val="24"/>
          <w:szCs w:val="24"/>
          <w:lang w:eastAsia="en-GB"/>
        </w:rPr>
        <w:t>often</w:t>
      </w:r>
      <w:r w:rsidRPr="00B43CBA">
        <w:rPr>
          <w:rFonts w:ascii="Arial" w:eastAsia="Times New Roman" w:hAnsi="Arial" w:cs="Arial"/>
          <w:sz w:val="24"/>
          <w:szCs w:val="24"/>
          <w:lang w:eastAsia="en-GB"/>
        </w:rPr>
        <w:t xml:space="preserve"> result in a </w:t>
      </w:r>
      <w:r w:rsidR="0091607A" w:rsidRPr="005C15B0">
        <w:rPr>
          <w:rFonts w:ascii="Arial" w:eastAsia="Times New Roman" w:hAnsi="Arial" w:cs="Arial"/>
          <w:sz w:val="24"/>
          <w:szCs w:val="24"/>
          <w:lang w:eastAsia="en-GB"/>
        </w:rPr>
        <w:t>missed</w:t>
      </w:r>
      <w:r w:rsidRPr="00B43CBA">
        <w:rPr>
          <w:rFonts w:ascii="Arial" w:eastAsia="Times New Roman" w:hAnsi="Arial" w:cs="Arial"/>
          <w:sz w:val="24"/>
          <w:szCs w:val="24"/>
          <w:lang w:eastAsia="en-GB"/>
        </w:rPr>
        <w:t xml:space="preserve"> opportunities to socialise. </w:t>
      </w:r>
      <w:r w:rsidR="0091607A" w:rsidRPr="005C15B0">
        <w:rPr>
          <w:rFonts w:ascii="Arial" w:eastAsia="Times New Roman" w:hAnsi="Arial" w:cs="Arial"/>
          <w:sz w:val="24"/>
          <w:szCs w:val="24"/>
          <w:lang w:eastAsia="en-GB"/>
        </w:rPr>
        <w:t>Statistics</w:t>
      </w:r>
      <w:r w:rsidRPr="00B43CBA">
        <w:rPr>
          <w:rFonts w:ascii="Arial" w:eastAsia="Times New Roman" w:hAnsi="Arial" w:cs="Arial"/>
          <w:sz w:val="24"/>
          <w:szCs w:val="24"/>
          <w:lang w:eastAsia="en-GB"/>
        </w:rPr>
        <w:t xml:space="preserve"> show that one in ten individuals in </w:t>
      </w:r>
      <w:r w:rsidR="0091607A" w:rsidRPr="005C15B0">
        <w:rPr>
          <w:rFonts w:ascii="Arial" w:eastAsia="Times New Roman" w:hAnsi="Arial" w:cs="Arial"/>
          <w:sz w:val="24"/>
          <w:szCs w:val="24"/>
          <w:lang w:eastAsia="en-GB"/>
        </w:rPr>
        <w:t>Britain</w:t>
      </w:r>
      <w:r w:rsidRPr="00B43CBA">
        <w:rPr>
          <w:rFonts w:ascii="Arial" w:eastAsia="Times New Roman" w:hAnsi="Arial" w:cs="Arial"/>
          <w:sz w:val="24"/>
          <w:szCs w:val="24"/>
          <w:lang w:eastAsia="en-GB"/>
        </w:rPr>
        <w:t xml:space="preserve"> had missed celebrating a special occasion due to economic reasons. This statement advocates the argument that food poverty creates an inequality to an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sense of identity and dignity due to the lack of opportunities to socialise without difference and discrimination,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This inequality</w:t>
      </w:r>
      <w:r w:rsidRPr="00B43CBA">
        <w:rPr>
          <w:rFonts w:ascii="Arial" w:eastAsia="Times New Roman" w:hAnsi="Arial" w:cs="Arial"/>
          <w:sz w:val="24"/>
          <w:szCs w:val="24"/>
          <w:lang w:eastAsia="en-GB"/>
        </w:rPr>
        <w:t xml:space="preserve"> has increased </w:t>
      </w:r>
      <w:r w:rsidR="0091607A" w:rsidRPr="005C15B0">
        <w:rPr>
          <w:rFonts w:ascii="Arial" w:eastAsia="Times New Roman" w:hAnsi="Arial" w:cs="Arial"/>
          <w:sz w:val="24"/>
          <w:szCs w:val="24"/>
          <w:lang w:eastAsia="en-GB"/>
        </w:rPr>
        <w:t>drastically</w:t>
      </w:r>
      <w:r w:rsidRPr="00B43CBA">
        <w:rPr>
          <w:rFonts w:ascii="Arial" w:eastAsia="Times New Roman" w:hAnsi="Arial" w:cs="Arial"/>
          <w:sz w:val="24"/>
          <w:szCs w:val="24"/>
          <w:lang w:eastAsia="en-GB"/>
        </w:rPr>
        <w:t xml:space="preserve"> during the Covid-19 pandemic, it has been revealed that large segments of the UK population will experience increased unemployment, reduced hours, and enforced self-isolation for multiple vulnerable groups (Power et al, 2020). These </w:t>
      </w:r>
      <w:r w:rsidR="0091607A" w:rsidRPr="005C15B0">
        <w:rPr>
          <w:rFonts w:ascii="Arial" w:eastAsia="Times New Roman" w:hAnsi="Arial" w:cs="Arial"/>
          <w:sz w:val="24"/>
          <w:szCs w:val="24"/>
          <w:lang w:eastAsia="en-GB"/>
        </w:rPr>
        <w:t>changes</w:t>
      </w:r>
      <w:r w:rsidRPr="00B43CBA">
        <w:rPr>
          <w:rFonts w:ascii="Arial" w:eastAsia="Times New Roman" w:hAnsi="Arial" w:cs="Arial"/>
          <w:sz w:val="24"/>
          <w:szCs w:val="24"/>
          <w:lang w:eastAsia="en-GB"/>
        </w:rPr>
        <w:t xml:space="preserve"> will have a profound </w:t>
      </w:r>
      <w:r w:rsidR="0091607A" w:rsidRPr="005C15B0">
        <w:rPr>
          <w:rFonts w:ascii="Arial" w:eastAsia="Times New Roman" w:hAnsi="Arial" w:cs="Arial"/>
          <w:sz w:val="24"/>
          <w:szCs w:val="24"/>
          <w:lang w:eastAsia="en-GB"/>
        </w:rPr>
        <w:t>effect</w:t>
      </w:r>
      <w:r w:rsidRPr="00B43CBA">
        <w:rPr>
          <w:rFonts w:ascii="Arial" w:eastAsia="Times New Roman" w:hAnsi="Arial" w:cs="Arial"/>
          <w:sz w:val="24"/>
          <w:szCs w:val="24"/>
          <w:lang w:eastAsia="en-GB"/>
        </w:rPr>
        <w:t xml:space="preserve"> on the topic due to the likelihood that there will be an</w:t>
      </w:r>
      <w:r w:rsidR="0091607A" w:rsidRPr="005C15B0">
        <w:rPr>
          <w:rFonts w:ascii="Arial" w:eastAsia="Times New Roman" w:hAnsi="Arial" w:cs="Arial"/>
          <w:sz w:val="24"/>
          <w:szCs w:val="24"/>
          <w:lang w:eastAsia="en-GB"/>
        </w:rPr>
        <w:t> increase</w:t>
      </w:r>
      <w:r w:rsidRPr="00B43CBA">
        <w:rPr>
          <w:rFonts w:ascii="Arial" w:eastAsia="Times New Roman" w:hAnsi="Arial" w:cs="Arial"/>
          <w:sz w:val="24"/>
          <w:szCs w:val="24"/>
          <w:lang w:eastAsia="en-GB"/>
        </w:rPr>
        <w:t xml:space="preserve"> in UK food insecurity. This issue is known to be exacerbates due to the diet-related health conditions which will be </w:t>
      </w:r>
      <w:r w:rsidRPr="00B43CBA">
        <w:rPr>
          <w:rFonts w:ascii="Arial" w:eastAsia="Times New Roman" w:hAnsi="Arial" w:cs="Arial"/>
          <w:sz w:val="24"/>
          <w:szCs w:val="24"/>
          <w:lang w:eastAsia="en-GB"/>
        </w:rPr>
        <w:lastRenderedPageBreak/>
        <w:t>confirmed and increasing since the change. The social and economic crisis which will be associated with the pandemic has exposed the importance of</w:t>
      </w:r>
      <w:r w:rsidR="0091607A" w:rsidRPr="005C15B0">
        <w:rPr>
          <w:rFonts w:ascii="Arial" w:eastAsia="Times New Roman" w:hAnsi="Arial" w:cs="Arial"/>
          <w:sz w:val="24"/>
          <w:szCs w:val="24"/>
          <w:lang w:eastAsia="en-GB"/>
        </w:rPr>
        <w:t> the</w:t>
      </w:r>
      <w:r w:rsidRPr="00B43CBA">
        <w:rPr>
          <w:rFonts w:ascii="Arial" w:eastAsia="Times New Roman" w:hAnsi="Arial" w:cs="Arial"/>
          <w:sz w:val="24"/>
          <w:szCs w:val="24"/>
          <w:lang w:eastAsia="en-GB"/>
        </w:rPr>
        <w:t xml:space="preserve"> system of food charity. This </w:t>
      </w:r>
      <w:r w:rsidR="0091607A" w:rsidRPr="005C15B0">
        <w:rPr>
          <w:rFonts w:ascii="Arial" w:eastAsia="Times New Roman" w:hAnsi="Arial" w:cs="Arial"/>
          <w:sz w:val="24"/>
          <w:szCs w:val="24"/>
          <w:lang w:eastAsia="en-GB"/>
        </w:rPr>
        <w:t>charity</w:t>
      </w:r>
      <w:r w:rsidRPr="00B43CBA">
        <w:rPr>
          <w:rFonts w:ascii="Arial" w:eastAsia="Times New Roman" w:hAnsi="Arial" w:cs="Arial"/>
          <w:sz w:val="24"/>
          <w:szCs w:val="24"/>
          <w:lang w:eastAsia="en-GB"/>
        </w:rPr>
        <w:t xml:space="preserve"> was a vital </w:t>
      </w:r>
      <w:r w:rsidR="0091607A" w:rsidRPr="005C15B0">
        <w:rPr>
          <w:rFonts w:ascii="Arial" w:eastAsia="Times New Roman" w:hAnsi="Arial" w:cs="Arial"/>
          <w:sz w:val="24"/>
          <w:szCs w:val="24"/>
          <w:lang w:eastAsia="en-GB"/>
        </w:rPr>
        <w:t>service</w:t>
      </w:r>
      <w:r w:rsidRPr="00B43CBA">
        <w:rPr>
          <w:rFonts w:ascii="Arial" w:eastAsia="Times New Roman" w:hAnsi="Arial" w:cs="Arial"/>
          <w:sz w:val="24"/>
          <w:szCs w:val="24"/>
          <w:lang w:eastAsia="en-GB"/>
        </w:rPr>
        <w:t xml:space="preserve"> before but the need for the growing poverty is evident. The vulnerable food system has </w:t>
      </w:r>
      <w:r w:rsidR="0091607A" w:rsidRPr="005C15B0">
        <w:rPr>
          <w:rFonts w:ascii="Arial" w:eastAsia="Times New Roman" w:hAnsi="Arial" w:cs="Arial"/>
          <w:sz w:val="24"/>
          <w:szCs w:val="24"/>
          <w:lang w:eastAsia="en-GB"/>
        </w:rPr>
        <w:t>been</w:t>
      </w:r>
      <w:r w:rsidRPr="00B43CBA">
        <w:rPr>
          <w:rFonts w:ascii="Arial" w:eastAsia="Times New Roman" w:hAnsi="Arial" w:cs="Arial"/>
          <w:sz w:val="24"/>
          <w:szCs w:val="24"/>
          <w:lang w:eastAsia="en-GB"/>
        </w:rPr>
        <w:t xml:space="preserve"> under </w:t>
      </w:r>
      <w:r w:rsidR="0091607A" w:rsidRPr="005C15B0">
        <w:rPr>
          <w:rFonts w:ascii="Arial" w:eastAsia="Times New Roman" w:hAnsi="Arial" w:cs="Arial"/>
          <w:sz w:val="24"/>
          <w:szCs w:val="24"/>
          <w:lang w:eastAsia="en-GB"/>
        </w:rPr>
        <w:t>extreme</w:t>
      </w:r>
      <w:r w:rsidRPr="00B43CBA">
        <w:rPr>
          <w:rFonts w:ascii="Arial" w:eastAsia="Times New Roman" w:hAnsi="Arial" w:cs="Arial"/>
          <w:sz w:val="24"/>
          <w:szCs w:val="24"/>
          <w:lang w:eastAsia="en-GB"/>
        </w:rPr>
        <w:t xml:space="preserve"> pressure to withhold the extra volume of demand. This has </w:t>
      </w:r>
      <w:r w:rsidR="0091607A" w:rsidRPr="005C15B0">
        <w:rPr>
          <w:rFonts w:ascii="Arial" w:eastAsia="Times New Roman" w:hAnsi="Arial" w:cs="Arial"/>
          <w:sz w:val="24"/>
          <w:szCs w:val="24"/>
          <w:lang w:eastAsia="en-GB"/>
        </w:rPr>
        <w:t>been</w:t>
      </w:r>
      <w:r w:rsidRPr="00B43CBA">
        <w:rPr>
          <w:rFonts w:ascii="Arial" w:eastAsia="Times New Roman" w:hAnsi="Arial" w:cs="Arial"/>
          <w:sz w:val="24"/>
          <w:szCs w:val="24"/>
          <w:lang w:eastAsia="en-GB"/>
        </w:rPr>
        <w:t xml:space="preserve"> exacerbated through the issue of ‘</w:t>
      </w:r>
      <w:r w:rsidR="0091607A" w:rsidRPr="005C15B0">
        <w:rPr>
          <w:rFonts w:ascii="Arial" w:eastAsia="Times New Roman" w:hAnsi="Arial" w:cs="Arial"/>
          <w:sz w:val="24"/>
          <w:szCs w:val="24"/>
          <w:lang w:eastAsia="en-GB"/>
        </w:rPr>
        <w:t>stockpiling</w:t>
      </w:r>
      <w:r w:rsidRPr="00B43CBA">
        <w:rPr>
          <w:rFonts w:ascii="Arial" w:eastAsia="Times New Roman" w:hAnsi="Arial" w:cs="Arial"/>
          <w:sz w:val="24"/>
          <w:szCs w:val="24"/>
          <w:lang w:eastAsia="en-GB"/>
        </w:rPr>
        <w:t xml:space="preserve">’ which has been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issue since the pandemic. Children have been </w:t>
      </w:r>
      <w:r w:rsidR="0091607A" w:rsidRPr="005C15B0">
        <w:rPr>
          <w:rFonts w:ascii="Arial" w:eastAsia="Times New Roman" w:hAnsi="Arial" w:cs="Arial"/>
          <w:sz w:val="24"/>
          <w:szCs w:val="24"/>
          <w:lang w:eastAsia="en-GB"/>
        </w:rPr>
        <w:t>particularly</w:t>
      </w:r>
      <w:r w:rsidRPr="00B43CBA">
        <w:rPr>
          <w:rFonts w:ascii="Arial" w:eastAsia="Times New Roman" w:hAnsi="Arial" w:cs="Arial"/>
          <w:sz w:val="24"/>
          <w:szCs w:val="24"/>
          <w:lang w:eastAsia="en-GB"/>
        </w:rPr>
        <w:t xml:space="preserve"> affected due to the lack of school meals they are receiving. There has been many in</w:t>
      </w:r>
      <w:r w:rsidR="0091607A" w:rsidRPr="005C15B0">
        <w:rPr>
          <w:rFonts w:ascii="Arial" w:eastAsia="Times New Roman" w:hAnsi="Arial" w:cs="Arial"/>
          <w:sz w:val="24"/>
          <w:szCs w:val="24"/>
          <w:lang w:eastAsia="en-GB"/>
        </w:rPr>
        <w:t>stances</w:t>
      </w:r>
      <w:r w:rsidRPr="00B43CBA">
        <w:rPr>
          <w:rFonts w:ascii="Arial" w:eastAsia="Times New Roman" w:hAnsi="Arial" w:cs="Arial"/>
          <w:sz w:val="24"/>
          <w:szCs w:val="24"/>
          <w:lang w:eastAsia="en-GB"/>
        </w:rPr>
        <w:t xml:space="preserve"> that children have gone without due to the increased difficulty in </w:t>
      </w:r>
      <w:r w:rsidR="0091607A" w:rsidRPr="005C15B0">
        <w:rPr>
          <w:rFonts w:ascii="Arial" w:eastAsia="Times New Roman" w:hAnsi="Arial" w:cs="Arial"/>
          <w:sz w:val="24"/>
          <w:szCs w:val="24"/>
          <w:lang w:eastAsia="en-GB"/>
        </w:rPr>
        <w:t>receiving</w:t>
      </w:r>
      <w:r w:rsidRPr="00B43CBA">
        <w:rPr>
          <w:rFonts w:ascii="Arial" w:eastAsia="Times New Roman" w:hAnsi="Arial" w:cs="Arial"/>
          <w:sz w:val="24"/>
          <w:szCs w:val="24"/>
          <w:lang w:eastAsia="en-GB"/>
        </w:rPr>
        <w:t xml:space="preserve"> the meals they would have been in </w:t>
      </w:r>
      <w:r w:rsidR="0091607A" w:rsidRPr="005C15B0">
        <w:rPr>
          <w:rFonts w:ascii="Arial" w:eastAsia="Times New Roman" w:hAnsi="Arial" w:cs="Arial"/>
          <w:sz w:val="24"/>
          <w:szCs w:val="24"/>
          <w:lang w:eastAsia="en-GB"/>
        </w:rPr>
        <w:t>receiving</w:t>
      </w:r>
      <w:r w:rsidR="005C15B0">
        <w:rPr>
          <w:rFonts w:ascii="Arial" w:eastAsia="Times New Roman" w:hAnsi="Arial" w:cs="Arial"/>
          <w:sz w:val="24"/>
          <w:szCs w:val="24"/>
          <w:lang w:eastAsia="en-GB"/>
        </w:rPr>
        <w:t xml:space="preserve"> in the school setting. </w:t>
      </w:r>
    </w:p>
    <w:p w:rsidR="005C15B0" w:rsidRDefault="005C15B0" w:rsidP="005C15B0">
      <w:pPr>
        <w:spacing w:before="240" w:after="200" w:line="480" w:lineRule="auto"/>
        <w:ind w:left="-220" w:right="140"/>
        <w:rPr>
          <w:rFonts w:ascii="Arial" w:eastAsia="Times New Roman" w:hAnsi="Arial" w:cs="Arial"/>
          <w:b/>
          <w:bCs/>
          <w:sz w:val="24"/>
          <w:szCs w:val="24"/>
          <w:u w:val="single"/>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Education and the effects on health </w:t>
      </w: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Poverty in regards to the development of education can be visible from the moment the child is born (</w:t>
      </w:r>
      <w:r w:rsidRPr="00B43CBA">
        <w:rPr>
          <w:rFonts w:ascii="Arial" w:eastAsia="Times New Roman" w:hAnsi="Arial" w:cs="Arial"/>
          <w:sz w:val="24"/>
          <w:szCs w:val="24"/>
          <w:shd w:val="clear" w:color="auto" w:fill="FFFFFF"/>
          <w:lang w:eastAsia="en-GB"/>
        </w:rPr>
        <w:t>Olszewski-Kubilius &amp; Corwith, 2018).</w:t>
      </w:r>
      <w:r w:rsidRPr="00B43CBA">
        <w:rPr>
          <w:rFonts w:ascii="Arial" w:eastAsia="Times New Roman" w:hAnsi="Arial" w:cs="Arial"/>
          <w:sz w:val="24"/>
          <w:szCs w:val="24"/>
          <w:lang w:eastAsia="en-GB"/>
        </w:rPr>
        <w:t xml:space="preserve"> Evidence shows that it is estimated that children from higher income families are exposed to 30 million more words by age 4 years than children </w:t>
      </w:r>
      <w:r w:rsidR="0091607A" w:rsidRPr="005C15B0">
        <w:rPr>
          <w:rFonts w:ascii="Arial" w:eastAsia="Times New Roman" w:hAnsi="Arial" w:cs="Arial"/>
          <w:sz w:val="24"/>
          <w:szCs w:val="24"/>
          <w:lang w:eastAsia="en-GB"/>
        </w:rPr>
        <w:t>who’s</w:t>
      </w:r>
      <w:r w:rsidRPr="00B43CBA">
        <w:rPr>
          <w:rFonts w:ascii="Arial" w:eastAsia="Times New Roman" w:hAnsi="Arial" w:cs="Arial"/>
          <w:sz w:val="24"/>
          <w:szCs w:val="24"/>
          <w:lang w:eastAsia="en-GB"/>
        </w:rPr>
        <w:t xml:space="preserve"> from families who are from lower income households. The differences in vocabulary can begin to indicate the cognitive development and which prepares the child for school. This lack of development is exacerbated when entering the educational system due. </w:t>
      </w:r>
      <w:r w:rsidRPr="00B43CBA">
        <w:rPr>
          <w:rFonts w:ascii="Arial" w:eastAsia="Times New Roman" w:hAnsi="Arial" w:cs="Arial"/>
          <w:i/>
          <w:iCs/>
          <w:sz w:val="24"/>
          <w:szCs w:val="24"/>
          <w:lang w:eastAsia="en-GB"/>
        </w:rPr>
        <w:t xml:space="preserve"> Bernstein’s claim states that poorer schools focus more on the ‘basics’ than abstract or creative subjects/experiences ( </w:t>
      </w:r>
      <w:r w:rsidRPr="00B43CBA">
        <w:rPr>
          <w:rFonts w:ascii="Arial" w:eastAsia="Times New Roman" w:hAnsi="Arial" w:cs="Arial"/>
          <w:i/>
          <w:iCs/>
          <w:sz w:val="24"/>
          <w:szCs w:val="24"/>
          <w:shd w:val="clear" w:color="auto" w:fill="FFFFFF"/>
          <w:lang w:eastAsia="en-GB"/>
        </w:rPr>
        <w:t>Power et al, 2019)</w:t>
      </w:r>
      <w:r w:rsidRPr="00B43CBA">
        <w:rPr>
          <w:rFonts w:ascii="Arial" w:eastAsia="Times New Roman" w:hAnsi="Arial" w:cs="Arial"/>
          <w:i/>
          <w:iCs/>
          <w:sz w:val="24"/>
          <w:szCs w:val="24"/>
          <w:lang w:eastAsia="en-GB"/>
        </w:rPr>
        <w:t xml:space="preserve">. This is support by the evidence that states that children in schools with high levels of disadvantage children experience a narrower curriculum. This evidence is support by the </w:t>
      </w:r>
      <w:r w:rsidR="0091607A" w:rsidRPr="005C15B0">
        <w:rPr>
          <w:rFonts w:ascii="Arial" w:hAnsi="Arial" w:cs="Arial"/>
          <w:sz w:val="24"/>
          <w:szCs w:val="24"/>
          <w:shd w:val="clear" w:color="auto" w:fill="FFFFFF"/>
        </w:rPr>
        <w:t>quantitative</w:t>
      </w:r>
      <w:r w:rsidR="0091607A" w:rsidRPr="005C15B0">
        <w:rPr>
          <w:rFonts w:ascii="Arial" w:hAnsi="Arial" w:cs="Arial"/>
          <w:sz w:val="24"/>
          <w:szCs w:val="24"/>
          <w:shd w:val="clear" w:color="auto" w:fill="FFFFFF"/>
        </w:rPr>
        <w:t xml:space="preserve"> </w:t>
      </w:r>
      <w:r w:rsidRPr="00B43CBA">
        <w:rPr>
          <w:rFonts w:ascii="Arial" w:eastAsia="Times New Roman" w:hAnsi="Arial" w:cs="Arial"/>
          <w:i/>
          <w:iCs/>
          <w:sz w:val="24"/>
          <w:szCs w:val="24"/>
          <w:lang w:eastAsia="en-GB"/>
        </w:rPr>
        <w:t xml:space="preserve">data which displays that 14.9% of children in the poorest schools were observed learning in more than </w:t>
      </w:r>
      <w:r w:rsidRPr="00B43CBA">
        <w:rPr>
          <w:rFonts w:ascii="Arial" w:eastAsia="Times New Roman" w:hAnsi="Arial" w:cs="Arial"/>
          <w:i/>
          <w:iCs/>
          <w:sz w:val="24"/>
          <w:szCs w:val="24"/>
          <w:lang w:eastAsia="en-GB"/>
        </w:rPr>
        <w:lastRenderedPageBreak/>
        <w:t>one curriculum area during the observations. This contrasts with 26.2% of children in more advantaged schools.</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Whilst battling against the educational disadvantages faced, there are socio</w:t>
      </w:r>
      <w:r w:rsidR="0091607A" w:rsidRPr="005C15B0">
        <w:rPr>
          <w:rFonts w:ascii="Arial" w:eastAsia="Times New Roman" w:hAnsi="Arial" w:cs="Arial"/>
          <w:sz w:val="24"/>
          <w:szCs w:val="24"/>
          <w:lang w:eastAsia="en-GB"/>
        </w:rPr>
        <w:t>-</w:t>
      </w:r>
      <w:r w:rsidRPr="00B43CBA">
        <w:rPr>
          <w:rFonts w:ascii="Arial" w:eastAsia="Times New Roman" w:hAnsi="Arial" w:cs="Arial"/>
          <w:sz w:val="24"/>
          <w:szCs w:val="24"/>
          <w:lang w:eastAsia="en-GB"/>
        </w:rPr>
        <w:t xml:space="preserve">emotional behavioural problems and health illnesses such as obesity being seen by these </w:t>
      </w:r>
      <w:r w:rsidR="0091607A" w:rsidRPr="005C15B0">
        <w:rPr>
          <w:rFonts w:ascii="Arial" w:eastAsia="Times New Roman" w:hAnsi="Arial" w:cs="Arial"/>
          <w:sz w:val="24"/>
          <w:szCs w:val="24"/>
          <w:lang w:eastAsia="en-GB"/>
        </w:rPr>
        <w:t>children</w:t>
      </w:r>
      <w:r w:rsidRPr="00B43CBA">
        <w:rPr>
          <w:rFonts w:ascii="Arial" w:eastAsia="Times New Roman" w:hAnsi="Arial" w:cs="Arial"/>
          <w:sz w:val="24"/>
          <w:szCs w:val="24"/>
          <w:lang w:eastAsia="en-GB"/>
        </w:rPr>
        <w:t xml:space="preserve"> (Lai et al, 2019). These factors impact their </w:t>
      </w:r>
      <w:r w:rsidR="0091607A" w:rsidRPr="005C15B0">
        <w:rPr>
          <w:rFonts w:ascii="Arial" w:eastAsia="Times New Roman" w:hAnsi="Arial" w:cs="Arial"/>
          <w:sz w:val="24"/>
          <w:szCs w:val="24"/>
          <w:lang w:eastAsia="en-GB"/>
        </w:rPr>
        <w:t>educational</w:t>
      </w:r>
      <w:r w:rsidRPr="00B43CBA">
        <w:rPr>
          <w:rFonts w:ascii="Arial" w:eastAsia="Times New Roman" w:hAnsi="Arial" w:cs="Arial"/>
          <w:sz w:val="24"/>
          <w:szCs w:val="24"/>
          <w:lang w:eastAsia="en-GB"/>
        </w:rPr>
        <w:t xml:space="preserve"> </w:t>
      </w:r>
      <w:r w:rsidR="0091607A" w:rsidRPr="005C15B0">
        <w:rPr>
          <w:rFonts w:ascii="Arial" w:eastAsia="Times New Roman" w:hAnsi="Arial" w:cs="Arial"/>
          <w:sz w:val="24"/>
          <w:szCs w:val="24"/>
          <w:lang w:eastAsia="en-GB"/>
        </w:rPr>
        <w:t>development</w:t>
      </w:r>
      <w:r w:rsidRPr="00B43CBA">
        <w:rPr>
          <w:rFonts w:ascii="Arial" w:eastAsia="Times New Roman" w:hAnsi="Arial" w:cs="Arial"/>
          <w:sz w:val="24"/>
          <w:szCs w:val="24"/>
          <w:lang w:eastAsia="en-GB"/>
        </w:rPr>
        <w:t>. Children in poverty have been found have behavioural difficulties in areas of peer problems, conduct disorders, hyperactivity, emotional problems and pro</w:t>
      </w:r>
      <w:r w:rsidR="0091607A" w:rsidRPr="005C15B0">
        <w:rPr>
          <w:rFonts w:ascii="Arial" w:eastAsia="Times New Roman" w:hAnsi="Arial" w:cs="Arial"/>
          <w:sz w:val="24"/>
          <w:szCs w:val="24"/>
          <w:lang w:eastAsia="en-GB"/>
        </w:rPr>
        <w:t>-</w:t>
      </w:r>
      <w:r w:rsidRPr="00B43CBA">
        <w:rPr>
          <w:rFonts w:ascii="Arial" w:eastAsia="Times New Roman" w:hAnsi="Arial" w:cs="Arial"/>
          <w:sz w:val="24"/>
          <w:szCs w:val="24"/>
          <w:lang w:eastAsia="en-GB"/>
        </w:rPr>
        <w:t>social behaviour. These behaviours disrupt their concentration which prevents learning which ultimately creates a larger gap between them and their peers.  These issues are extended to the accumulation of</w:t>
      </w:r>
      <w:r w:rsidR="0091607A" w:rsidRPr="005C15B0">
        <w:rPr>
          <w:rFonts w:ascii="Arial" w:eastAsia="Times New Roman" w:hAnsi="Arial" w:cs="Arial"/>
          <w:sz w:val="24"/>
          <w:szCs w:val="24"/>
          <w:lang w:eastAsia="en-GB"/>
        </w:rPr>
        <w:t> adverse</w:t>
      </w:r>
      <w:r w:rsidRPr="00B43CBA">
        <w:rPr>
          <w:rFonts w:ascii="Arial" w:eastAsia="Times New Roman" w:hAnsi="Arial" w:cs="Arial"/>
          <w:sz w:val="24"/>
          <w:szCs w:val="24"/>
          <w:lang w:eastAsia="en-GB"/>
        </w:rPr>
        <w:t xml:space="preserve"> impacts on both their physical and mental health.  Children living in persistent poverty were more than three times the risk of mental health problems in adolescence than those never experiencing poverty (Mayor, 2019). This statistic is not only a health concern but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academic concern due to the timing in which this is seen. This is often at the most vital stage of the educational system which may result in the individual only having this opportunity to achieve these </w:t>
      </w:r>
      <w:r w:rsidR="0091607A" w:rsidRPr="005C15B0">
        <w:rPr>
          <w:rFonts w:ascii="Arial" w:eastAsia="Times New Roman" w:hAnsi="Arial" w:cs="Arial"/>
          <w:sz w:val="24"/>
          <w:szCs w:val="24"/>
          <w:lang w:eastAsia="en-GB"/>
        </w:rPr>
        <w:t>qualifications</w:t>
      </w:r>
      <w:r w:rsidRPr="00B43CBA">
        <w:rPr>
          <w:rFonts w:ascii="Arial" w:eastAsia="Times New Roman" w:hAnsi="Arial" w:cs="Arial"/>
          <w:sz w:val="24"/>
          <w:szCs w:val="24"/>
          <w:lang w:eastAsia="en-GB"/>
        </w:rPr>
        <w:t xml:space="preserve"> and can cause rippling affects. Through the action of </w:t>
      </w:r>
      <w:r w:rsidR="0091607A" w:rsidRPr="005C15B0">
        <w:rPr>
          <w:rFonts w:ascii="Arial" w:eastAsia="Times New Roman" w:hAnsi="Arial" w:cs="Arial"/>
          <w:sz w:val="24"/>
          <w:szCs w:val="24"/>
          <w:lang w:eastAsia="en-GB"/>
        </w:rPr>
        <w:t>integrating</w:t>
      </w:r>
      <w:r w:rsidRPr="00B43CBA">
        <w:rPr>
          <w:rFonts w:ascii="Arial" w:eastAsia="Times New Roman" w:hAnsi="Arial" w:cs="Arial"/>
          <w:sz w:val="24"/>
          <w:szCs w:val="24"/>
          <w:lang w:eastAsia="en-GB"/>
        </w:rPr>
        <w:t xml:space="preserve"> a systematic screening for social determinants of health can create a positive impact on families and children in poverty and improve health outcomes for those </w:t>
      </w:r>
      <w:r w:rsidR="0091607A" w:rsidRPr="005C15B0">
        <w:rPr>
          <w:rFonts w:ascii="Arial" w:eastAsia="Times New Roman" w:hAnsi="Arial" w:cs="Arial"/>
          <w:sz w:val="24"/>
          <w:szCs w:val="24"/>
          <w:lang w:eastAsia="en-GB"/>
        </w:rPr>
        <w:t>children. This</w:t>
      </w:r>
      <w:r w:rsidRPr="00B43CBA">
        <w:rPr>
          <w:rFonts w:ascii="Arial" w:eastAsia="Times New Roman" w:hAnsi="Arial" w:cs="Arial"/>
          <w:sz w:val="24"/>
          <w:szCs w:val="24"/>
          <w:lang w:eastAsia="en-GB"/>
        </w:rPr>
        <w:t xml:space="preserve"> has been clear through the use of a threshold of social rights. This allows for the standard which should be applied to reach the best interests of the child (</w:t>
      </w:r>
      <w:proofErr w:type="spellStart"/>
      <w:r w:rsidRPr="00B43CBA">
        <w:rPr>
          <w:rFonts w:ascii="Arial" w:eastAsia="Times New Roman" w:hAnsi="Arial" w:cs="Arial"/>
          <w:sz w:val="24"/>
          <w:szCs w:val="24"/>
          <w:lang w:eastAsia="en-GB"/>
        </w:rPr>
        <w:t>Mclaughlin</w:t>
      </w:r>
      <w:proofErr w:type="spellEnd"/>
      <w:r w:rsidRPr="00B43CBA">
        <w:rPr>
          <w:rFonts w:ascii="Arial" w:eastAsia="Times New Roman" w:hAnsi="Arial" w:cs="Arial"/>
          <w:sz w:val="24"/>
          <w:szCs w:val="24"/>
          <w:lang w:eastAsia="en-GB"/>
        </w:rPr>
        <w:t xml:space="preserve"> and </w:t>
      </w:r>
      <w:proofErr w:type="spellStart"/>
      <w:r w:rsidRPr="00B43CBA">
        <w:rPr>
          <w:rFonts w:ascii="Arial" w:eastAsia="Times New Roman" w:hAnsi="Arial" w:cs="Arial"/>
          <w:sz w:val="24"/>
          <w:szCs w:val="24"/>
          <w:lang w:eastAsia="en-GB"/>
        </w:rPr>
        <w:t>Monteith</w:t>
      </w:r>
      <w:proofErr w:type="spellEnd"/>
      <w:r w:rsidRPr="00B43CBA">
        <w:rPr>
          <w:rFonts w:ascii="Arial" w:eastAsia="Times New Roman" w:hAnsi="Arial" w:cs="Arial"/>
          <w:sz w:val="24"/>
          <w:szCs w:val="24"/>
          <w:lang w:eastAsia="en-GB"/>
        </w:rPr>
        <w:t>, 2006</w:t>
      </w:r>
      <w:r w:rsidR="0091607A" w:rsidRPr="005C15B0">
        <w:rPr>
          <w:rFonts w:ascii="Arial" w:eastAsia="Times New Roman" w:hAnsi="Arial" w:cs="Arial"/>
          <w:sz w:val="24"/>
          <w:szCs w:val="24"/>
          <w:lang w:eastAsia="en-GB"/>
        </w:rPr>
        <w:t>).</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The failings of the educational system in regards to those in poverty has been addressed by Michael Gove, the former Conservative Secretary of State for Education. He argued that the system required improved learning system in areas of spelling, grammar and punctuation to redress the failing that he called The Progressive Betrayal’ of children.  Which has been caused through the failings of people in power actively trying to prevent millions of the poorest children from getting the education they require (Walker, 2013).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These failing are seen throughout the child educational service, however it can be argued that it is even more so unequal when focusing on proceeding to University. Universities were almost completely privatised following the introduction of the £9,000 a year private tuition fees in 2012 (Dorling, 2018). This decision happened after the Liberal Democrats formed the infamous coalition government with conservatives in 2010, they decided this after they had pledge to abolish tuition </w:t>
      </w:r>
      <w:r w:rsidR="0091607A" w:rsidRPr="005C15B0">
        <w:rPr>
          <w:rFonts w:ascii="Arial" w:eastAsia="Times New Roman" w:hAnsi="Arial" w:cs="Arial"/>
          <w:sz w:val="24"/>
          <w:szCs w:val="24"/>
          <w:lang w:eastAsia="en-GB"/>
        </w:rPr>
        <w:t>fees. This</w:t>
      </w:r>
      <w:r w:rsidRPr="00B43CBA">
        <w:rPr>
          <w:rFonts w:ascii="Arial" w:eastAsia="Times New Roman" w:hAnsi="Arial" w:cs="Arial"/>
          <w:sz w:val="24"/>
          <w:szCs w:val="24"/>
          <w:lang w:eastAsia="en-GB"/>
        </w:rPr>
        <w:t xml:space="preserve"> change saw a movement from the previously criticised £3,000 a year cost which then tripled to 9,000. This created another barrier which often excluded individuals from poverty to accessing this education. The lack of this qualification could prevent further career opportunities, increased economic staus and knowledge. By adopting this method it is argued that these individuals are being prevented from exiting from poverty.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Transitioning from child poverty into adulthood</w:t>
      </w:r>
    </w:p>
    <w:p w:rsidR="005C15B0" w:rsidRDefault="0091607A" w:rsidP="005C15B0">
      <w:pPr>
        <w:spacing w:before="240" w:after="200" w:line="480" w:lineRule="auto"/>
        <w:ind w:left="-220" w:right="140"/>
        <w:rPr>
          <w:rFonts w:ascii="Arial" w:eastAsia="Times New Roman" w:hAnsi="Arial" w:cs="Arial"/>
          <w:sz w:val="24"/>
          <w:szCs w:val="24"/>
          <w:lang w:eastAsia="en-GB"/>
        </w:rPr>
      </w:pPr>
      <w:r w:rsidRPr="005C15B0">
        <w:rPr>
          <w:rFonts w:ascii="Arial" w:eastAsia="Times New Roman" w:hAnsi="Arial" w:cs="Arial"/>
          <w:sz w:val="24"/>
          <w:szCs w:val="24"/>
          <w:lang w:eastAsia="en-GB"/>
        </w:rPr>
        <w:t>As explained in T</w:t>
      </w:r>
      <w:r w:rsidR="00B43CBA" w:rsidRPr="00B43CBA">
        <w:rPr>
          <w:rFonts w:ascii="Arial" w:eastAsia="Times New Roman" w:hAnsi="Arial" w:cs="Arial"/>
          <w:sz w:val="24"/>
          <w:szCs w:val="24"/>
          <w:lang w:eastAsia="en-GB"/>
        </w:rPr>
        <w:t xml:space="preserve">he </w:t>
      </w:r>
      <w:r w:rsidR="00B43CBA" w:rsidRPr="00B43CBA">
        <w:rPr>
          <w:rFonts w:ascii="Arial" w:eastAsia="Times New Roman" w:hAnsi="Arial" w:cs="Arial"/>
          <w:sz w:val="24"/>
          <w:szCs w:val="24"/>
          <w:shd w:val="clear" w:color="auto" w:fill="FFFFFF"/>
          <w:lang w:eastAsia="en-GB"/>
        </w:rPr>
        <w:t>National Academies of Sciences, Engineering, and Medicine (2019)</w:t>
      </w:r>
      <w:r w:rsidRPr="005C15B0">
        <w:rPr>
          <w:rFonts w:ascii="Arial" w:eastAsia="Times New Roman" w:hAnsi="Arial" w:cs="Arial"/>
          <w:sz w:val="24"/>
          <w:szCs w:val="24"/>
          <w:shd w:val="clear" w:color="auto" w:fill="FFFFFF"/>
          <w:lang w:eastAsia="en-GB"/>
        </w:rPr>
        <w:t> there</w:t>
      </w:r>
      <w:r w:rsidR="00B43CBA" w:rsidRPr="00B43CBA">
        <w:rPr>
          <w:rFonts w:ascii="Arial" w:eastAsia="Times New Roman" w:hAnsi="Arial" w:cs="Arial"/>
          <w:sz w:val="24"/>
          <w:szCs w:val="24"/>
          <w:shd w:val="clear" w:color="auto" w:fill="FFFFFF"/>
          <w:lang w:eastAsia="en-GB"/>
        </w:rPr>
        <w:t xml:space="preserve"> is </w:t>
      </w:r>
      <w:r w:rsidRPr="005C15B0">
        <w:rPr>
          <w:rFonts w:ascii="Arial" w:eastAsia="Times New Roman" w:hAnsi="Arial" w:cs="Arial"/>
          <w:sz w:val="24"/>
          <w:szCs w:val="24"/>
          <w:shd w:val="clear" w:color="auto" w:fill="FFFFFF"/>
          <w:lang w:eastAsia="en-GB"/>
        </w:rPr>
        <w:t>an</w:t>
      </w:r>
      <w:r w:rsidR="00B43CBA" w:rsidRPr="00B43CBA">
        <w:rPr>
          <w:rFonts w:ascii="Arial" w:eastAsia="Times New Roman" w:hAnsi="Arial" w:cs="Arial"/>
          <w:sz w:val="24"/>
          <w:szCs w:val="24"/>
          <w:shd w:val="clear" w:color="auto" w:fill="FFFFFF"/>
          <w:lang w:eastAsia="en-GB"/>
        </w:rPr>
        <w:t xml:space="preserve"> association of issues which are evident in </w:t>
      </w:r>
      <w:r w:rsidRPr="005C15B0">
        <w:rPr>
          <w:rFonts w:ascii="Arial" w:eastAsia="Times New Roman" w:hAnsi="Arial" w:cs="Arial"/>
          <w:sz w:val="24"/>
          <w:szCs w:val="24"/>
          <w:shd w:val="clear" w:color="auto" w:fill="FFFFFF"/>
          <w:lang w:eastAsia="en-GB"/>
        </w:rPr>
        <w:t>an</w:t>
      </w:r>
      <w:r w:rsidR="00B43CBA" w:rsidRPr="00B43CBA">
        <w:rPr>
          <w:rFonts w:ascii="Arial" w:eastAsia="Times New Roman" w:hAnsi="Arial" w:cs="Arial"/>
          <w:sz w:val="24"/>
          <w:szCs w:val="24"/>
          <w:shd w:val="clear" w:color="auto" w:fill="FFFFFF"/>
          <w:lang w:eastAsia="en-GB"/>
        </w:rPr>
        <w:t xml:space="preserve"> adult who has </w:t>
      </w:r>
      <w:r w:rsidR="00B43CBA" w:rsidRPr="00B43CBA">
        <w:rPr>
          <w:rFonts w:ascii="Arial" w:eastAsia="Times New Roman" w:hAnsi="Arial" w:cs="Arial"/>
          <w:sz w:val="24"/>
          <w:szCs w:val="24"/>
          <w:shd w:val="clear" w:color="auto" w:fill="FFFFFF"/>
          <w:lang w:eastAsia="en-GB"/>
        </w:rPr>
        <w:lastRenderedPageBreak/>
        <w:t xml:space="preserve">experience child poverty. These issues are delinquency, likelihood of unwholesome behaviour, criminal actions lower educational attainment and employment issues. These factor see a rippling effect through the </w:t>
      </w:r>
      <w:r w:rsidRPr="005C15B0">
        <w:rPr>
          <w:rFonts w:ascii="Arial" w:eastAsia="Times New Roman" w:hAnsi="Arial" w:cs="Arial"/>
          <w:sz w:val="24"/>
          <w:szCs w:val="24"/>
          <w:shd w:val="clear" w:color="auto" w:fill="FFFFFF"/>
          <w:lang w:eastAsia="en-GB"/>
        </w:rPr>
        <w:t>individual’s</w:t>
      </w:r>
      <w:r w:rsidR="00B43CBA" w:rsidRPr="00B43CBA">
        <w:rPr>
          <w:rFonts w:ascii="Arial" w:eastAsia="Times New Roman" w:hAnsi="Arial" w:cs="Arial"/>
          <w:sz w:val="24"/>
          <w:szCs w:val="24"/>
          <w:shd w:val="clear" w:color="auto" w:fill="FFFFFF"/>
          <w:lang w:eastAsia="en-GB"/>
        </w:rPr>
        <w:t xml:space="preserve"> life which result in difficulties to act ac</w:t>
      </w:r>
      <w:r w:rsidR="00B43CBA" w:rsidRPr="00B43CBA">
        <w:rPr>
          <w:rFonts w:ascii="Arial" w:eastAsia="Times New Roman" w:hAnsi="Arial" w:cs="Arial"/>
          <w:sz w:val="24"/>
          <w:szCs w:val="24"/>
          <w:lang w:eastAsia="en-GB"/>
        </w:rPr>
        <w:t>cording to the requirements of society.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This belief is supported by the findings made by Fitzsimons et al (2017). They state that the ‘BAD’ childhood mental health are likely to have large effects on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adulthood. The findings from the childhood health found that the individual’s poor mental health creates an outcome of a reduced family income by around 10% for each of the childhood mental health components. This finding argues that the individual would have a higher probability of being not married or </w:t>
      </w:r>
      <w:r w:rsidR="0091607A" w:rsidRPr="005C15B0">
        <w:rPr>
          <w:rFonts w:ascii="Arial" w:eastAsia="Times New Roman" w:hAnsi="Arial" w:cs="Arial"/>
          <w:sz w:val="24"/>
          <w:szCs w:val="24"/>
          <w:lang w:eastAsia="en-GB"/>
        </w:rPr>
        <w:t>employed. These</w:t>
      </w:r>
      <w:r w:rsidRPr="00B43CBA">
        <w:rPr>
          <w:rFonts w:ascii="Arial" w:eastAsia="Times New Roman" w:hAnsi="Arial" w:cs="Arial"/>
          <w:sz w:val="24"/>
          <w:szCs w:val="24"/>
          <w:lang w:eastAsia="en-GB"/>
        </w:rPr>
        <w:t xml:space="preserve"> circumstances are exacerbated when the individual has experienced toxic stresses through their childhood due to poverty (Li and Anderson, 2018). These stresses cause factors within the wellbeing of the individual. </w:t>
      </w:r>
      <w:r w:rsidR="0091607A" w:rsidRPr="005C15B0">
        <w:rPr>
          <w:rFonts w:ascii="Arial" w:eastAsia="Times New Roman" w:hAnsi="Arial" w:cs="Arial"/>
          <w:sz w:val="24"/>
          <w:szCs w:val="24"/>
          <w:lang w:eastAsia="en-GB"/>
        </w:rPr>
        <w:t>It</w:t>
      </w:r>
      <w:r w:rsidRPr="00B43CBA">
        <w:rPr>
          <w:rFonts w:ascii="Arial" w:eastAsia="Times New Roman" w:hAnsi="Arial" w:cs="Arial"/>
          <w:sz w:val="24"/>
          <w:szCs w:val="24"/>
          <w:lang w:eastAsia="en-GB"/>
        </w:rPr>
        <w:t xml:space="preserve"> his is seen through forms of </w:t>
      </w:r>
      <w:r w:rsidR="0091607A" w:rsidRPr="005C15B0">
        <w:rPr>
          <w:rFonts w:ascii="Arial" w:eastAsia="Times New Roman" w:hAnsi="Arial" w:cs="Arial"/>
          <w:sz w:val="24"/>
          <w:szCs w:val="24"/>
          <w:lang w:eastAsia="en-GB"/>
        </w:rPr>
        <w:t>under nutrition</w:t>
      </w:r>
      <w:r w:rsidRPr="00B43CBA">
        <w:rPr>
          <w:rFonts w:ascii="Arial" w:eastAsia="Times New Roman" w:hAnsi="Arial" w:cs="Arial"/>
          <w:sz w:val="24"/>
          <w:szCs w:val="24"/>
          <w:lang w:eastAsia="en-GB"/>
        </w:rPr>
        <w:t xml:space="preserve"> this can be caused through lifestyle (substance misuse) or through deficiencies in areas of material attachment or unhealthy </w:t>
      </w:r>
      <w:r w:rsidR="0091607A" w:rsidRPr="005C15B0">
        <w:rPr>
          <w:rFonts w:ascii="Arial" w:eastAsia="Times New Roman" w:hAnsi="Arial" w:cs="Arial"/>
          <w:sz w:val="24"/>
          <w:szCs w:val="24"/>
          <w:lang w:eastAsia="en-GB"/>
        </w:rPr>
        <w:t>behaviours</w:t>
      </w:r>
      <w:r w:rsidRPr="00B43CBA">
        <w:rPr>
          <w:rFonts w:ascii="Arial" w:eastAsia="Times New Roman" w:hAnsi="Arial" w:cs="Arial"/>
          <w:sz w:val="24"/>
          <w:szCs w:val="24"/>
          <w:lang w:eastAsia="en-GB"/>
        </w:rPr>
        <w:t xml:space="preserve"> within this area. The adverse socioeconomic environments which are exposed to the child result in the child aiming to achieve a risked change of excessively catch-up growth or early adiposity rebound. However, the Sustainable Development goals created by the United Nations suggest that the experiences face by those who have experience child poverty are gain the skills of survival which allows the individuals to be resilient (Blomstedt et al, 2018).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5C15B0" w:rsidP="005C15B0">
      <w:pPr>
        <w:spacing w:before="240" w:after="200" w:line="480" w:lineRule="auto"/>
        <w:ind w:left="-220" w:right="140"/>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Conclusion</w:t>
      </w: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 xml:space="preserve">Whilst the effects of poverty on a child is clear from before they are even born the scars of this societal issue can often be evident throughout the individual’s life. As stated above the gaps created throughout </w:t>
      </w:r>
      <w:r w:rsidR="0091607A" w:rsidRPr="005C15B0">
        <w:rPr>
          <w:rFonts w:ascii="Arial" w:eastAsia="Times New Roman" w:hAnsi="Arial" w:cs="Arial"/>
          <w:sz w:val="24"/>
          <w:szCs w:val="24"/>
          <w:lang w:eastAsia="en-GB"/>
        </w:rPr>
        <w:t>the stages of development increased</w:t>
      </w:r>
      <w:r w:rsidRPr="00B43CBA">
        <w:rPr>
          <w:rFonts w:ascii="Arial" w:eastAsia="Times New Roman" w:hAnsi="Arial" w:cs="Arial"/>
          <w:sz w:val="24"/>
          <w:szCs w:val="24"/>
          <w:lang w:eastAsia="en-GB"/>
        </w:rPr>
        <w:t xml:space="preserve">, as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progress. The evidence that the economy of the household depends on the progress of the child and the attachments to this. The children from lower economic households are more likely to gain difficulties, health conditions and a characteristics which will see them and their families more likely to fall under the same category. Schemes such as ‘The Three Generation’ are in place to conquer the generational factors of this issue.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Zoe Williams has studied the issue</w:t>
      </w:r>
      <w:r w:rsidR="0091607A" w:rsidRPr="005C15B0">
        <w:rPr>
          <w:rFonts w:ascii="Arial" w:eastAsia="Times New Roman" w:hAnsi="Arial" w:cs="Arial"/>
          <w:sz w:val="24"/>
          <w:szCs w:val="24"/>
          <w:lang w:eastAsia="en-GB"/>
        </w:rPr>
        <w:t> and</w:t>
      </w:r>
      <w:r w:rsidRPr="00B43CBA">
        <w:rPr>
          <w:rFonts w:ascii="Arial" w:eastAsia="Times New Roman" w:hAnsi="Arial" w:cs="Arial"/>
          <w:sz w:val="24"/>
          <w:szCs w:val="24"/>
          <w:lang w:eastAsia="en-GB"/>
        </w:rPr>
        <w:t xml:space="preserve"> the effects cause to the child from being exposed to this issue. Her</w:t>
      </w:r>
      <w:r w:rsidR="0091607A" w:rsidRPr="005C15B0">
        <w:rPr>
          <w:rFonts w:ascii="Arial" w:eastAsia="Times New Roman" w:hAnsi="Arial" w:cs="Arial"/>
          <w:sz w:val="24"/>
          <w:szCs w:val="24"/>
          <w:lang w:eastAsia="en-GB"/>
        </w:rPr>
        <w:t> critical</w:t>
      </w:r>
      <w:r w:rsidRPr="00B43CBA">
        <w:rPr>
          <w:rFonts w:ascii="Arial" w:eastAsia="Times New Roman" w:hAnsi="Arial" w:cs="Arial"/>
          <w:sz w:val="24"/>
          <w:szCs w:val="24"/>
          <w:lang w:eastAsia="en-GB"/>
        </w:rPr>
        <w:t xml:space="preserve"> views of what she perceives as the exploitation of the children in these environments (Knight et al, 2018). She states that the media and government benefit from this exploitation. Her argument is supported by the United Nations Convention on the Rights of the Child 1989. Statements from the articles included, state that the child has the ‘right to benefit from social security’ and have the ‘right to a standard of living adequate to their physical, social and mental development’. These articles support her belief that the </w:t>
      </w:r>
      <w:r w:rsidR="0091607A" w:rsidRPr="005C15B0">
        <w:rPr>
          <w:rFonts w:ascii="Arial" w:eastAsia="Times New Roman" w:hAnsi="Arial" w:cs="Arial"/>
          <w:sz w:val="24"/>
          <w:szCs w:val="24"/>
          <w:lang w:eastAsia="en-GB"/>
        </w:rPr>
        <w:t>child’s</w:t>
      </w:r>
      <w:r w:rsidRPr="00B43CBA">
        <w:rPr>
          <w:rFonts w:ascii="Arial" w:eastAsia="Times New Roman" w:hAnsi="Arial" w:cs="Arial"/>
          <w:sz w:val="24"/>
          <w:szCs w:val="24"/>
          <w:lang w:eastAsia="en-GB"/>
        </w:rPr>
        <w:t xml:space="preserve"> rights should include the ‘right not to be hungry’. This statement follows from the experience that was undertaken for this study. The experience that was gained saw the environments as a horror movie’ where </w:t>
      </w:r>
      <w:r w:rsidR="0091607A" w:rsidRPr="005C15B0">
        <w:rPr>
          <w:rFonts w:ascii="Arial" w:eastAsia="Times New Roman" w:hAnsi="Arial" w:cs="Arial"/>
          <w:sz w:val="24"/>
          <w:szCs w:val="24"/>
          <w:lang w:eastAsia="en-GB"/>
        </w:rPr>
        <w:t>having ‘empathy</w:t>
      </w:r>
      <w:r w:rsidRPr="00B43CBA">
        <w:rPr>
          <w:rFonts w:ascii="Arial" w:eastAsia="Times New Roman" w:hAnsi="Arial" w:cs="Arial"/>
          <w:sz w:val="24"/>
          <w:szCs w:val="24"/>
          <w:lang w:eastAsia="en-GB"/>
        </w:rPr>
        <w:t xml:space="preserve"> is like fear’ which often results in the children developing behavioural and character issues as a form to survive. ’This belief supports the previous statement that the welfare of the child takes precedent and if </w:t>
      </w:r>
      <w:r w:rsidRPr="00B43CBA">
        <w:rPr>
          <w:rFonts w:ascii="Arial" w:eastAsia="Times New Roman" w:hAnsi="Arial" w:cs="Arial"/>
          <w:sz w:val="24"/>
          <w:szCs w:val="24"/>
          <w:lang w:eastAsia="en-GB"/>
        </w:rPr>
        <w:lastRenderedPageBreak/>
        <w:t xml:space="preserve">the result of this provision is away from their poverty stricken home then it would allow the child to access equal </w:t>
      </w:r>
      <w:r w:rsidR="0091607A" w:rsidRPr="005C15B0">
        <w:rPr>
          <w:rFonts w:ascii="Arial" w:eastAsia="Times New Roman" w:hAnsi="Arial" w:cs="Arial"/>
          <w:sz w:val="24"/>
          <w:szCs w:val="24"/>
          <w:lang w:eastAsia="en-GB"/>
        </w:rPr>
        <w:t>opportunities</w:t>
      </w:r>
      <w:r w:rsidRPr="00B43CBA">
        <w:rPr>
          <w:rFonts w:ascii="Arial" w:eastAsia="Times New Roman" w:hAnsi="Arial" w:cs="Arial"/>
          <w:sz w:val="24"/>
          <w:szCs w:val="24"/>
          <w:lang w:eastAsia="en-GB"/>
        </w:rPr>
        <w:t xml:space="preserve"> to their peers.</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B43CBA" w:rsidRPr="00B43CBA"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shd w:val="clear" w:color="auto" w:fill="FCFCFC"/>
          <w:lang w:eastAsia="en-GB"/>
        </w:rPr>
        <w:t xml:space="preserve">This is backed by a study performed by Stewar and Roberts (2019) questioning local authorities, frontline services and experts to measure child poverty. This study found that there was a lack to create </w:t>
      </w:r>
      <w:r w:rsidR="0091607A" w:rsidRPr="005C15B0">
        <w:rPr>
          <w:rFonts w:ascii="Arial" w:eastAsia="Times New Roman" w:hAnsi="Arial" w:cs="Arial"/>
          <w:sz w:val="24"/>
          <w:szCs w:val="24"/>
          <w:shd w:val="clear" w:color="auto" w:fill="FCFCFC"/>
          <w:lang w:eastAsia="en-GB"/>
        </w:rPr>
        <w:t>an</w:t>
      </w:r>
      <w:r w:rsidRPr="00B43CBA">
        <w:rPr>
          <w:rFonts w:ascii="Arial" w:eastAsia="Times New Roman" w:hAnsi="Arial" w:cs="Arial"/>
          <w:sz w:val="24"/>
          <w:szCs w:val="24"/>
          <w:shd w:val="clear" w:color="auto" w:fill="FCFCFC"/>
          <w:lang w:eastAsia="en-GB"/>
        </w:rPr>
        <w:t xml:space="preserve"> absolute indicator for child poverty. This can be </w:t>
      </w:r>
      <w:r w:rsidR="0091607A" w:rsidRPr="005C15B0">
        <w:rPr>
          <w:rFonts w:ascii="Arial" w:eastAsia="Times New Roman" w:hAnsi="Arial" w:cs="Arial"/>
          <w:sz w:val="24"/>
          <w:szCs w:val="24"/>
          <w:shd w:val="clear" w:color="auto" w:fill="FCFCFC"/>
          <w:lang w:eastAsia="en-GB"/>
        </w:rPr>
        <w:t>perceived</w:t>
      </w:r>
      <w:r w:rsidRPr="00B43CBA">
        <w:rPr>
          <w:rFonts w:ascii="Arial" w:eastAsia="Times New Roman" w:hAnsi="Arial" w:cs="Arial"/>
          <w:sz w:val="24"/>
          <w:szCs w:val="24"/>
          <w:shd w:val="clear" w:color="auto" w:fill="FCFCFC"/>
          <w:lang w:eastAsia="en-GB"/>
        </w:rPr>
        <w:t xml:space="preserve"> that the individuals believe that </w:t>
      </w:r>
      <w:r w:rsidR="0091607A" w:rsidRPr="005C15B0">
        <w:rPr>
          <w:rFonts w:ascii="Arial" w:eastAsia="Times New Roman" w:hAnsi="Arial" w:cs="Arial"/>
          <w:sz w:val="24"/>
          <w:szCs w:val="24"/>
          <w:shd w:val="clear" w:color="auto" w:fill="FCFCFC"/>
          <w:lang w:eastAsia="en-GB"/>
        </w:rPr>
        <w:t>there</w:t>
      </w:r>
      <w:r w:rsidRPr="00B43CBA">
        <w:rPr>
          <w:rFonts w:ascii="Arial" w:eastAsia="Times New Roman" w:hAnsi="Arial" w:cs="Arial"/>
          <w:sz w:val="24"/>
          <w:szCs w:val="24"/>
          <w:shd w:val="clear" w:color="auto" w:fill="FCFCFC"/>
          <w:lang w:eastAsia="en-GB"/>
        </w:rPr>
        <w:t xml:space="preserve"> is </w:t>
      </w:r>
      <w:r w:rsidR="005C15B0">
        <w:rPr>
          <w:rFonts w:ascii="Arial" w:eastAsia="Times New Roman" w:hAnsi="Arial" w:cs="Arial"/>
          <w:sz w:val="24"/>
          <w:szCs w:val="24"/>
          <w:shd w:val="clear" w:color="auto" w:fill="FCFCFC"/>
          <w:lang w:eastAsia="en-GB"/>
        </w:rPr>
        <w:t xml:space="preserve">many contributors to the issue. </w:t>
      </w:r>
      <w:r w:rsidRPr="00B43CBA">
        <w:rPr>
          <w:rFonts w:ascii="Arial" w:eastAsia="Times New Roman" w:hAnsi="Arial" w:cs="Arial"/>
          <w:sz w:val="24"/>
          <w:szCs w:val="24"/>
          <w:shd w:val="clear" w:color="auto" w:fill="FCFCFC"/>
          <w:lang w:eastAsia="en-GB"/>
        </w:rPr>
        <w:t xml:space="preserve">This is followed by a comment gathered from the study, this comment states that income is only important in so far as basic needs can be met but poverty affects much more </w:t>
      </w:r>
      <w:r w:rsidR="005C15B0" w:rsidRPr="005C15B0">
        <w:rPr>
          <w:rFonts w:ascii="Arial" w:eastAsia="Times New Roman" w:hAnsi="Arial" w:cs="Arial"/>
          <w:sz w:val="24"/>
          <w:szCs w:val="24"/>
          <w:shd w:val="clear" w:color="auto" w:fill="FCFCFC"/>
          <w:lang w:eastAsia="en-GB"/>
        </w:rPr>
        <w:t>than</w:t>
      </w:r>
      <w:r w:rsidRPr="00B43CBA">
        <w:rPr>
          <w:rFonts w:ascii="Arial" w:eastAsia="Times New Roman" w:hAnsi="Arial" w:cs="Arial"/>
          <w:sz w:val="24"/>
          <w:szCs w:val="24"/>
          <w:shd w:val="clear" w:color="auto" w:fill="FCFCFC"/>
          <w:lang w:eastAsia="en-GB"/>
        </w:rPr>
        <w:t xml:space="preserve"> the basic needs of the individual. This can be argued to change depending on the community the individual is in. evidence from the poverty faced in Birkenhead has shown that the families from this community have a greater coping method due to the majority of the families within the community also being in poverty.  </w:t>
      </w:r>
    </w:p>
    <w:p w:rsidR="00D31554" w:rsidRPr="005C15B0" w:rsidRDefault="00B43CBA" w:rsidP="005C15B0">
      <w:pPr>
        <w:pStyle w:val="ListParagraph"/>
        <w:spacing w:line="480" w:lineRule="auto"/>
        <w:rPr>
          <w:rFonts w:ascii="Arial" w:hAnsi="Arial" w:cs="Arial"/>
          <w:spacing w:val="3"/>
          <w:sz w:val="24"/>
          <w:szCs w:val="24"/>
          <w:shd w:val="clear" w:color="auto" w:fill="FFFFFF"/>
        </w:rPr>
      </w:pP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p>
    <w:p w:rsidR="00B43CBA" w:rsidRPr="005C15B0" w:rsidRDefault="00B43CBA" w:rsidP="005C15B0">
      <w:pPr>
        <w:spacing w:line="480" w:lineRule="auto"/>
        <w:jc w:val="both"/>
        <w:rPr>
          <w:rFonts w:ascii="Arial" w:hAnsi="Arial" w:cs="Arial"/>
          <w:spacing w:val="3"/>
          <w:sz w:val="24"/>
          <w:szCs w:val="24"/>
          <w:shd w:val="clear" w:color="auto" w:fill="FFFFFF"/>
        </w:rPr>
      </w:pPr>
    </w:p>
    <w:p w:rsidR="00B43CBA" w:rsidRPr="005C15B0" w:rsidRDefault="00B43CBA"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B43CBA" w:rsidRPr="005C15B0" w:rsidRDefault="00B43CBA" w:rsidP="005C15B0">
      <w:p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Reference list </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Arie, S. (2019). Mental health: tackle poverty, inequality, and isolation, says UN. BMJ (Clinical research ed.), 366, l4521.</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Arie, S. (2019). UK’s “austerity experiment” has forced millions into poverty and homelessness, say UN rapporteur. BMJ: British Medical Journal (Online), </w:t>
      </w:r>
      <w:r w:rsidRPr="005C15B0">
        <w:rPr>
          <w:rFonts w:ascii="Arial" w:hAnsi="Arial" w:cs="Arial"/>
          <w:spacing w:val="3"/>
          <w:sz w:val="24"/>
          <w:szCs w:val="24"/>
          <w:shd w:val="clear" w:color="auto" w:fill="FFFFFF"/>
        </w:rPr>
        <w:t xml:space="preserve">Vol </w:t>
      </w:r>
      <w:r w:rsidRPr="005C15B0">
        <w:rPr>
          <w:rFonts w:ascii="Arial" w:hAnsi="Arial" w:cs="Arial"/>
          <w:spacing w:val="3"/>
          <w:sz w:val="24"/>
          <w:szCs w:val="24"/>
          <w:shd w:val="clear" w:color="auto" w:fill="FFFFFF"/>
        </w:rPr>
        <w:t>365.</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Atkinson, A. B., Leventi, C., Nolan, B., Sutherland, H., &amp; Tasseva, I. (2017). Reducing poverty and inequality through tax-benefit reform and the minimum wage: the UK as a case-study. The Journal of Economic Inequality, 15(4), 303-323.</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Bartlett, S., Hart, R., Satterthwaite, D., de la Barra, X., &amp; Missair, A. (2016). Cities for children: children's rights, poverty and urban management. Routledge. London. pp 305</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lastRenderedPageBreak/>
        <w:t>Blomstedt, Y., Bhutta, Z. A., Dahlstrand, J., Friberg, P., Gostin, L. O., Nilsson, M</w:t>
      </w:r>
      <w:proofErr w:type="gramStart"/>
      <w:r w:rsidRPr="005C15B0">
        <w:rPr>
          <w:rFonts w:ascii="Arial" w:hAnsi="Arial" w:cs="Arial"/>
          <w:spacing w:val="3"/>
          <w:sz w:val="24"/>
          <w:szCs w:val="24"/>
          <w:shd w:val="clear" w:color="auto" w:fill="FFFFFF"/>
        </w:rPr>
        <w:t>., ...</w:t>
      </w:r>
      <w:proofErr w:type="gramEnd"/>
      <w:r w:rsidRPr="005C15B0">
        <w:rPr>
          <w:rFonts w:ascii="Arial" w:hAnsi="Arial" w:cs="Arial"/>
          <w:spacing w:val="3"/>
          <w:sz w:val="24"/>
          <w:szCs w:val="24"/>
          <w:shd w:val="clear" w:color="auto" w:fill="FFFFFF"/>
        </w:rPr>
        <w:t xml:space="preserve"> &amp; Alfvén, T. (2018). Partnerships for child health: capitalising on links between the sustainable development goals. Bmj, issues 360.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Bochel, H., &amp; Powell, M. (2018). Whatever happened to compassionate Conservatism under the Coalition government</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British Politics, 13(2), 146-170.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Brando, N., &amp; Schweiger, G. (2019). Philosophy and Child Poverty.Springer International Publishing; Switzerland</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Caraher, M., &amp; Furey, S. (2018). The growing problems of food poverty and insecurity. In The Economics of Emergency Food Aid Provision</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Palgrave Pivot;</w:t>
      </w:r>
      <w:r w:rsidRPr="005C15B0">
        <w:rPr>
          <w:rFonts w:ascii="Arial" w:hAnsi="Arial" w:cs="Arial"/>
          <w:spacing w:val="3"/>
          <w:sz w:val="24"/>
          <w:szCs w:val="24"/>
          <w:shd w:val="clear" w:color="auto" w:fill="FFFFFF"/>
        </w:rPr>
        <w:t xml:space="preserve"> Cham.</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Denning, S. (2019). Voluntary sector responses to food poverty: responding in the short term and working for longer-term change. Voluntary Sector Review, 10(3), 361-369.</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Dickens, J., Masson, J., Garside, L., Young, J., &amp; Bader, K. (2019). Courts, care proceedings and outcomes uncertainty: The challenges of achieving and assessing “good outcomes” for children after child protection proceedings. Child &amp; Family Social Work, 24(4), 574-581.</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Diwakar, V., Lovell, E., Opitz-Stapleton, S., Shepherd, A. W., &amp; Twigg, J. (2019). Child poverty, disasters and climate change: Investigating relationships and implications over the life course of children.ODI Reports, Overseas Development Institute (ODI)</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Dorling, D. (2018). Peak Inequality: Britain's ticking time bomb. Policy Press;</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UK</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lastRenderedPageBreak/>
        <w:t>Featherstone, B., Morris, K., Daniel, B., Bywaters, P., Brady, G., Bunting, L</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&amp; Mirza, N. (2019). Poverty, inequality, child abuse and neglect: Changing the conversation acr</w:t>
      </w:r>
      <w:r w:rsidRPr="005C15B0">
        <w:rPr>
          <w:rFonts w:ascii="Arial" w:hAnsi="Arial" w:cs="Arial"/>
          <w:spacing w:val="3"/>
          <w:sz w:val="24"/>
          <w:szCs w:val="24"/>
          <w:shd w:val="clear" w:color="auto" w:fill="FFFFFF"/>
        </w:rPr>
        <w:t>oss the UK in child protection</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Children and Youth Services Review, 97, 127-133.</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Fitzpatrick, S., Bramley, G., Sosenko, F., Blenkinsopp</w:t>
      </w:r>
      <w:r w:rsidRPr="005C15B0">
        <w:rPr>
          <w:rFonts w:ascii="Arial" w:hAnsi="Arial" w:cs="Arial"/>
          <w:spacing w:val="3"/>
          <w:sz w:val="24"/>
          <w:szCs w:val="24"/>
          <w:shd w:val="clear" w:color="auto" w:fill="FFFFFF"/>
        </w:rPr>
        <w:t>, J., Wood, J., Johnsen, S.,</w:t>
      </w:r>
      <w:r w:rsidRPr="005C15B0">
        <w:rPr>
          <w:rFonts w:ascii="Arial" w:hAnsi="Arial" w:cs="Arial"/>
          <w:spacing w:val="3"/>
          <w:sz w:val="24"/>
          <w:szCs w:val="24"/>
          <w:shd w:val="clear" w:color="auto" w:fill="FFFFFF"/>
        </w:rPr>
        <w:t xml:space="preserve"> &amp; Watts, B. (2018). Destitution in the UK 2018.</w:t>
      </w:r>
      <w:r w:rsidRPr="005C15B0">
        <w:rPr>
          <w:rFonts w:ascii="Arial" w:hAnsi="Arial" w:cs="Arial"/>
          <w:spacing w:val="3"/>
          <w:sz w:val="24"/>
          <w:szCs w:val="24"/>
          <w:shd w:val="clear" w:color="auto" w:fill="FFFFFF"/>
        </w:rPr>
        <w:t xml:space="preserve"> (</w:t>
      </w:r>
      <w:proofErr w:type="gramStart"/>
      <w:r w:rsidRPr="005C15B0">
        <w:rPr>
          <w:rFonts w:ascii="Arial" w:hAnsi="Arial" w:cs="Arial"/>
          <w:spacing w:val="3"/>
          <w:sz w:val="24"/>
          <w:szCs w:val="24"/>
          <w:shd w:val="clear" w:color="auto" w:fill="FFFFFF"/>
        </w:rPr>
        <w:t>online</w:t>
      </w:r>
      <w:proofErr w:type="gramEnd"/>
      <w:r w:rsidRPr="005C15B0">
        <w:rPr>
          <w:rFonts w:ascii="Arial" w:hAnsi="Arial" w:cs="Arial"/>
          <w:spacing w:val="3"/>
          <w:sz w:val="24"/>
          <w:szCs w:val="24"/>
          <w:shd w:val="clear" w:color="auto" w:fill="FFFFFF"/>
        </w:rPr>
        <w:t xml:space="preserve">). Available at </w:t>
      </w:r>
      <w:r w:rsidRPr="005C15B0">
        <w:rPr>
          <w:rFonts w:ascii="Arial" w:hAnsi="Arial" w:cs="Arial"/>
          <w:sz w:val="24"/>
          <w:szCs w:val="24"/>
        </w:rPr>
        <w:t xml:space="preserve"> </w:t>
      </w:r>
      <w:hyperlink r:id="rId7" w:history="1">
        <w:r w:rsidRPr="005C15B0">
          <w:rPr>
            <w:rStyle w:val="Hyperlink"/>
            <w:rFonts w:ascii="Arial" w:hAnsi="Arial" w:cs="Arial"/>
            <w:color w:val="auto"/>
            <w:sz w:val="24"/>
            <w:szCs w:val="24"/>
          </w:rPr>
          <w:t>http://allcatsrgrey.org.uk/wp/download/public_health/destitution2018.pdf</w:t>
        </w:r>
      </w:hyperlink>
      <w:r w:rsidRPr="005C15B0">
        <w:rPr>
          <w:rFonts w:ascii="Arial" w:hAnsi="Arial" w:cs="Arial"/>
          <w:sz w:val="24"/>
          <w:szCs w:val="24"/>
        </w:rPr>
        <w:t xml:space="preserve"> Accessed on the 28/04/2020</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Fitzsimons, E., Goodman, A., Kelly, E., &amp; Smith, J. P. (2017). Poverty dynamics and parental mental health: Determinants of childhood mental health in the UK. Social Science &amp; Medicine, 175, 43-51.</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Furey, S. (2019). UK food poverty now a public health emergency. </w:t>
      </w:r>
      <w:r w:rsidRPr="005C15B0">
        <w:rPr>
          <w:rFonts w:ascii="Arial" w:hAnsi="Arial" w:cs="Arial"/>
          <w:spacing w:val="3"/>
          <w:sz w:val="24"/>
          <w:szCs w:val="24"/>
          <w:shd w:val="clear" w:color="auto" w:fill="FFFFFF"/>
        </w:rPr>
        <w:t xml:space="preserve">(Online). Available at </w:t>
      </w:r>
      <w:r w:rsidRPr="005C15B0">
        <w:rPr>
          <w:rFonts w:ascii="Arial" w:hAnsi="Arial" w:cs="Arial"/>
          <w:spacing w:val="3"/>
          <w:sz w:val="24"/>
          <w:szCs w:val="24"/>
        </w:rPr>
        <w:br/>
      </w:r>
      <w:hyperlink r:id="rId8" w:tgtFrame="_blank" w:history="1">
        <w:r w:rsidRPr="005C15B0">
          <w:rPr>
            <w:rStyle w:val="Hyperlink"/>
            <w:rFonts w:ascii="Arial" w:hAnsi="Arial" w:cs="Arial"/>
            <w:color w:val="auto"/>
            <w:spacing w:val="3"/>
            <w:sz w:val="24"/>
            <w:szCs w:val="24"/>
            <w:shd w:val="clear" w:color="auto" w:fill="FFFFFF"/>
          </w:rPr>
          <w:t>https://pure.ulster.ac.uk/en/publications/uk-food-poverty-now-a-public-health-emergency</w:t>
        </w:r>
      </w:hyperlink>
      <w:r w:rsidRPr="005C15B0">
        <w:rPr>
          <w:rFonts w:ascii="Arial" w:hAnsi="Arial" w:cs="Arial"/>
          <w:sz w:val="24"/>
          <w:szCs w:val="24"/>
        </w:rPr>
        <w:t>. Accessed on the 29/04/2020</w:t>
      </w:r>
      <w:r w:rsidRPr="005C15B0">
        <w:rPr>
          <w:rFonts w:ascii="Arial" w:hAnsi="Arial" w:cs="Arial"/>
          <w:sz w:val="24"/>
          <w:szCs w:val="24"/>
          <w:vertAlign w:val="superscript"/>
        </w:rPr>
        <w:t xml:space="preserve"> </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Hills, J.</w:t>
      </w:r>
      <w:r w:rsidRPr="005C15B0">
        <w:rPr>
          <w:rFonts w:ascii="Arial" w:hAnsi="Arial" w:cs="Arial"/>
          <w:spacing w:val="3"/>
          <w:sz w:val="24"/>
          <w:szCs w:val="24"/>
          <w:shd w:val="clear" w:color="auto" w:fill="FFFFFF"/>
        </w:rPr>
        <w:t>, Mcknight, A</w:t>
      </w:r>
      <w:r w:rsidRPr="005C15B0">
        <w:rPr>
          <w:rFonts w:ascii="Arial" w:hAnsi="Arial" w:cs="Arial"/>
          <w:spacing w:val="3"/>
          <w:sz w:val="24"/>
          <w:szCs w:val="24"/>
          <w:shd w:val="clear" w:color="auto" w:fill="FFFFFF"/>
        </w:rPr>
        <w:t>., Bucelli, I.</w:t>
      </w:r>
      <w:r w:rsidRPr="005C15B0">
        <w:rPr>
          <w:rFonts w:ascii="Arial" w:hAnsi="Arial" w:cs="Arial"/>
          <w:spacing w:val="3"/>
          <w:sz w:val="24"/>
          <w:szCs w:val="24"/>
          <w:shd w:val="clear" w:color="auto" w:fill="FFFFFF"/>
        </w:rPr>
        <w:t>, Karagiannaki, E</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Vizard, P</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Yang, L</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Duque, M</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Rucci, M</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xml:space="preserve"> (2019) Understanding the relationship between poverty </w:t>
      </w:r>
      <w:r w:rsidRPr="005C15B0">
        <w:rPr>
          <w:rFonts w:ascii="Arial" w:hAnsi="Arial" w:cs="Arial"/>
          <w:spacing w:val="3"/>
          <w:sz w:val="24"/>
          <w:szCs w:val="24"/>
          <w:shd w:val="clear" w:color="auto" w:fill="FFFFFF"/>
        </w:rPr>
        <w:t>and inequality: overview report,</w:t>
      </w:r>
      <w:r w:rsidRPr="005C15B0">
        <w:rPr>
          <w:rFonts w:ascii="Arial" w:hAnsi="Arial" w:cs="Arial"/>
          <w:spacing w:val="3"/>
          <w:sz w:val="24"/>
          <w:szCs w:val="24"/>
          <w:shd w:val="clear" w:color="auto" w:fill="FFFFFF"/>
        </w:rPr>
        <w:t xml:space="preserve"> CASE report </w:t>
      </w:r>
      <w:r w:rsidRPr="005C15B0">
        <w:rPr>
          <w:rFonts w:ascii="Arial" w:hAnsi="Arial" w:cs="Arial"/>
          <w:spacing w:val="3"/>
          <w:sz w:val="24"/>
          <w:szCs w:val="24"/>
          <w:shd w:val="clear" w:color="auto" w:fill="FFFFFF"/>
        </w:rPr>
        <w:t>119, LSE: London</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Jones, N., Sumner, A. (2012) </w:t>
      </w:r>
      <w:r w:rsidRPr="005C15B0">
        <w:rPr>
          <w:rFonts w:ascii="Arial" w:hAnsi="Arial" w:cs="Arial"/>
          <w:spacing w:val="3"/>
          <w:sz w:val="24"/>
          <w:szCs w:val="24"/>
          <w:u w:val="single"/>
          <w:shd w:val="clear" w:color="auto" w:fill="FFFFFF"/>
        </w:rPr>
        <w:t xml:space="preserve">Child Poverty and Inequality, </w:t>
      </w:r>
      <w:r w:rsidRPr="005C15B0">
        <w:rPr>
          <w:rFonts w:ascii="Arial" w:hAnsi="Arial" w:cs="Arial"/>
          <w:spacing w:val="3"/>
          <w:sz w:val="24"/>
          <w:szCs w:val="24"/>
          <w:shd w:val="clear" w:color="auto" w:fill="FFFFFF"/>
        </w:rPr>
        <w:t>Child Poverty, Policy and Evidence: Mainstreaming</w:t>
      </w:r>
      <w:r w:rsidRPr="005C15B0">
        <w:rPr>
          <w:rFonts w:ascii="Arial" w:hAnsi="Arial" w:cs="Arial"/>
          <w:spacing w:val="3"/>
          <w:sz w:val="24"/>
          <w:szCs w:val="24"/>
          <w:shd w:val="clear" w:color="auto" w:fill="FFFFFF"/>
        </w:rPr>
        <w:t>, pp 89-96</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Knight, A., Brannen, J., O’Connell, R., &amp; Hamilton, L. (2018). How do children and their families experience food poverty according to UK newspaper media 2006</w:t>
      </w:r>
      <w:r w:rsidRPr="005C15B0">
        <w:rPr>
          <w:rFonts w:ascii="Cambria Math" w:hAnsi="Cambria Math" w:cs="Cambria Math"/>
          <w:spacing w:val="3"/>
          <w:sz w:val="24"/>
          <w:szCs w:val="24"/>
          <w:shd w:val="clear" w:color="auto" w:fill="FFFFFF"/>
        </w:rPr>
        <w:t>‐</w:t>
      </w:r>
      <w:r w:rsidRPr="005C15B0">
        <w:rPr>
          <w:rFonts w:ascii="Arial" w:hAnsi="Arial" w:cs="Arial"/>
          <w:spacing w:val="3"/>
          <w:sz w:val="24"/>
          <w:szCs w:val="24"/>
          <w:shd w:val="clear" w:color="auto" w:fill="FFFFFF"/>
        </w:rPr>
        <w:t>15</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Journal of Poverty and Social Justice, 26(2), 207-223</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Lai, E. T., Wickham, S., Law, C., Whitehead, M., Barr, B., &amp; Taylor-Robinson, D. (2019). Poverty dynamics and health in late childhood in the UK: evidence </w:t>
      </w:r>
      <w:r w:rsidRPr="005C15B0">
        <w:rPr>
          <w:rFonts w:ascii="Arial" w:hAnsi="Arial" w:cs="Arial"/>
          <w:spacing w:val="3"/>
          <w:sz w:val="24"/>
          <w:szCs w:val="24"/>
          <w:shd w:val="clear" w:color="auto" w:fill="FFFFFF"/>
        </w:rPr>
        <w:lastRenderedPageBreak/>
        <w:t>from the Millennium Cohort Study. Archives of disease in childhood, 104(11), 1049-1055.</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Lee, D. B., Assari, S., Miller, A. L., Hsieh, H. F., Heinze, J. E., &amp; Zimmerman, M. A. (2019). Positive Parenting Moderates the Effect of Socioeconomic Status on Executive Functioning: A Three-Generation Approach. Journal of child and family studies, 28(7), 1878-1885.</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Li, M., Mustillo, S., &amp; Anderson, J. (2018). Childhood poverty dynamics and adulthood overweight/obesity: unpacking the black box of childhood. Social science research, 76, 92-104.</w:t>
      </w:r>
      <w:r w:rsidRPr="005C15B0">
        <w:rPr>
          <w:rFonts w:ascii="Arial" w:hAnsi="Arial" w:cs="Arial"/>
          <w:spacing w:val="3"/>
          <w:sz w:val="24"/>
          <w:szCs w:val="24"/>
          <w:shd w:val="clear" w:color="auto" w:fill="FFFFFF"/>
        </w:rPr>
        <w:t xml:space="preserve"> </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Mayor, S (2019)</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One in five children in the UK affected by "persistent poverty," figures show</w:t>
      </w:r>
      <w:proofErr w:type="gramStart"/>
      <w:r w:rsidRPr="005C15B0">
        <w:rPr>
          <w:rFonts w:ascii="Arial" w:hAnsi="Arial" w:cs="Arial"/>
          <w:spacing w:val="3"/>
          <w:sz w:val="24"/>
          <w:szCs w:val="24"/>
          <w:shd w:val="clear" w:color="auto" w:fill="FFFFFF"/>
        </w:rPr>
        <w:t>, ,</w:t>
      </w:r>
      <w:proofErr w:type="gramEnd"/>
      <w:r w:rsidRPr="005C15B0">
        <w:rPr>
          <w:rFonts w:ascii="Arial" w:hAnsi="Arial" w:cs="Arial"/>
          <w:spacing w:val="3"/>
          <w:sz w:val="24"/>
          <w:szCs w:val="24"/>
          <w:shd w:val="clear" w:color="auto" w:fill="FFFFFF"/>
        </w:rPr>
        <w:t xml:space="preserve"> vol. 365</w:t>
      </w:r>
      <w:r w:rsidRPr="005C15B0">
        <w:rPr>
          <w:rFonts w:ascii="Arial" w:hAnsi="Arial" w:cs="Arial"/>
          <w:spacing w:val="3"/>
          <w:sz w:val="24"/>
          <w:szCs w:val="24"/>
          <w:shd w:val="clear" w:color="auto" w:fill="FFFFFF"/>
        </w:rPr>
        <w:t>, pp 1-17.</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McLaughlin, E. (2005) ‘The skeleton in the human rights cupboard? </w:t>
      </w:r>
      <w:r w:rsidRPr="005C15B0">
        <w:rPr>
          <w:rFonts w:ascii="Arial" w:hAnsi="Arial" w:cs="Arial"/>
          <w:spacing w:val="3"/>
          <w:sz w:val="24"/>
          <w:szCs w:val="24"/>
          <w:u w:val="single"/>
          <w:shd w:val="clear" w:color="auto" w:fill="FFFFFF"/>
        </w:rPr>
        <w:t>The critical social and</w:t>
      </w:r>
      <w:r w:rsidRPr="005C15B0">
        <w:rPr>
          <w:rFonts w:ascii="Arial" w:hAnsi="Arial" w:cs="Arial"/>
          <w:spacing w:val="3"/>
          <w:sz w:val="24"/>
          <w:szCs w:val="24"/>
          <w:u w:val="single"/>
        </w:rPr>
        <w:t xml:space="preserve"> </w:t>
      </w:r>
      <w:r w:rsidRPr="005C15B0">
        <w:rPr>
          <w:rFonts w:ascii="Arial" w:hAnsi="Arial" w:cs="Arial"/>
          <w:spacing w:val="3"/>
          <w:sz w:val="24"/>
          <w:szCs w:val="24"/>
          <w:u w:val="single"/>
          <w:shd w:val="clear" w:color="auto" w:fill="FFFFFF"/>
        </w:rPr>
        <w:t>egalitarian critiques of human rights and equality of opportunity’</w:t>
      </w:r>
      <w:r w:rsidRPr="005C15B0">
        <w:rPr>
          <w:rFonts w:ascii="Arial" w:hAnsi="Arial" w:cs="Arial"/>
          <w:spacing w:val="3"/>
          <w:sz w:val="24"/>
          <w:szCs w:val="24"/>
          <w:shd w:val="clear" w:color="auto" w:fill="FFFFFF"/>
        </w:rPr>
        <w:t>, Equality and Social</w:t>
      </w:r>
      <w:r w:rsidRPr="005C15B0">
        <w:rPr>
          <w:rFonts w:ascii="Arial" w:hAnsi="Arial" w:cs="Arial"/>
          <w:spacing w:val="3"/>
          <w:sz w:val="24"/>
          <w:szCs w:val="24"/>
        </w:rPr>
        <w:t xml:space="preserve">, </w:t>
      </w:r>
      <w:r w:rsidRPr="005C15B0">
        <w:rPr>
          <w:rFonts w:ascii="Arial" w:hAnsi="Arial" w:cs="Arial"/>
          <w:spacing w:val="3"/>
          <w:sz w:val="24"/>
          <w:szCs w:val="24"/>
          <w:shd w:val="clear" w:color="auto" w:fill="FFFFFF"/>
        </w:rPr>
        <w:t xml:space="preserve">Inclusion in Ireland Project, </w:t>
      </w:r>
      <w:r w:rsidRPr="005C15B0">
        <w:rPr>
          <w:rFonts w:ascii="Arial" w:hAnsi="Arial" w:cs="Arial"/>
          <w:spacing w:val="3"/>
          <w:sz w:val="24"/>
          <w:szCs w:val="24"/>
          <w:shd w:val="clear" w:color="auto" w:fill="FFFFFF"/>
        </w:rPr>
        <w:t xml:space="preserve">Vol; </w:t>
      </w:r>
      <w:r w:rsidRPr="005C15B0">
        <w:rPr>
          <w:rFonts w:ascii="Arial" w:hAnsi="Arial" w:cs="Arial"/>
          <w:spacing w:val="3"/>
          <w:sz w:val="24"/>
          <w:szCs w:val="24"/>
          <w:shd w:val="clear" w:color="auto" w:fill="FFFFFF"/>
        </w:rPr>
        <w:t>Working Paper 6</w:t>
      </w:r>
      <w:r w:rsidRPr="005C15B0">
        <w:rPr>
          <w:rFonts w:ascii="Arial" w:hAnsi="Arial" w:cs="Arial"/>
          <w:spacing w:val="3"/>
          <w:sz w:val="24"/>
          <w:szCs w:val="24"/>
          <w:shd w:val="clear" w:color="auto" w:fill="FFFFFF"/>
        </w:rPr>
        <w:t>, 1-18</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z w:val="24"/>
          <w:szCs w:val="24"/>
          <w:shd w:val="clear" w:color="auto" w:fill="FFFFFF"/>
        </w:rPr>
        <w:t>MCLAUGHLIN, E. and MONTEITH, M., (2006) Ten best practices, eight social rights: creating social justice for children and families standards and benchmarks for Social Justice Community Action Plans (SJCAPs). The Journal of Poverty and Social Justice, 14(2), pp. 115-137.</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Mornington, A. D., &amp; Guyard-Nedelec, A. (2019). Is poverty eroding parental rights in Britain? The case of child protection in the early twenty-first century. In Philosoph</w:t>
      </w:r>
      <w:r w:rsidRPr="005C15B0">
        <w:rPr>
          <w:rFonts w:ascii="Arial" w:hAnsi="Arial" w:cs="Arial"/>
          <w:spacing w:val="3"/>
          <w:sz w:val="24"/>
          <w:szCs w:val="24"/>
          <w:shd w:val="clear" w:color="auto" w:fill="FFFFFF"/>
        </w:rPr>
        <w:t xml:space="preserve">y and Child Poverty, Vol 1, </w:t>
      </w:r>
      <w:r w:rsidRPr="005C15B0">
        <w:rPr>
          <w:rFonts w:ascii="Arial" w:hAnsi="Arial" w:cs="Arial"/>
          <w:spacing w:val="3"/>
          <w:sz w:val="24"/>
          <w:szCs w:val="24"/>
          <w:shd w:val="clear" w:color="auto" w:fill="FFFFFF"/>
        </w:rPr>
        <w:t xml:space="preserve">pp. 341-361. </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National Academies of Sciences, Engineering, and Medicine. (2019). A roadmap to reducing child poverty. National Academies Press: Washington, DC</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lastRenderedPageBreak/>
        <w:t>Olszewski-Kubilius, P., &amp; Corwith, S. (2018). Poverty, Academic Achievement, and Giftedness: A Literature Review. Gifted Child Quarterly, 62(1), 37–55.</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Power, M., Doherty, B., Pybus, K., &amp; Pickett, K. (2020). How Covid-19 has exposed inequalities in the UK food system: The case of UK food and poverty. Emerald Open Research, 2(11), 11.</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Power, S., Rhys, M., Taylor, C., &amp; Waldron, S. (2019). How child</w:t>
      </w:r>
      <w:r w:rsidRPr="005C15B0">
        <w:rPr>
          <w:rFonts w:ascii="Cambria Math" w:hAnsi="Cambria Math" w:cs="Cambria Math"/>
          <w:spacing w:val="3"/>
          <w:sz w:val="24"/>
          <w:szCs w:val="24"/>
          <w:shd w:val="clear" w:color="auto" w:fill="FFFFFF"/>
        </w:rPr>
        <w:t>‐</w:t>
      </w:r>
      <w:r w:rsidRPr="005C15B0">
        <w:rPr>
          <w:rFonts w:ascii="Arial" w:hAnsi="Arial" w:cs="Arial"/>
          <w:spacing w:val="3"/>
          <w:sz w:val="24"/>
          <w:szCs w:val="24"/>
          <w:shd w:val="clear" w:color="auto" w:fill="FFFFFF"/>
        </w:rPr>
        <w:t>centred education favours some learners more than others. Review of Education, 7(3), 570-592.</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Purdam, K., Royston, S., &amp; Whitham, G. (2017). Measuring the “poverty penalty” in the UK. Significance, 14(4), 34-37</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Roelen, K. (2017) Shame, Poverty and Social Protection, IDS Working Paper 489, Brighton: IDS</w:t>
      </w:r>
    </w:p>
    <w:p w:rsidR="00B43CBA" w:rsidRPr="005C15B0" w:rsidRDefault="00B43CBA" w:rsidP="005C15B0">
      <w:pPr>
        <w:pStyle w:val="ListParagraph"/>
        <w:numPr>
          <w:ilvl w:val="0"/>
          <w:numId w:val="6"/>
        </w:numPr>
        <w:shd w:val="clear" w:color="auto" w:fill="FFFFFF"/>
        <w:spacing w:before="90" w:after="0" w:line="480" w:lineRule="auto"/>
        <w:jc w:val="both"/>
        <w:rPr>
          <w:rFonts w:ascii="Arial" w:eastAsia="Times New Roman" w:hAnsi="Arial" w:cs="Arial"/>
          <w:spacing w:val="3"/>
          <w:sz w:val="24"/>
          <w:szCs w:val="24"/>
          <w:lang w:eastAsia="en-GB"/>
        </w:rPr>
      </w:pPr>
      <w:r w:rsidRPr="005C15B0">
        <w:rPr>
          <w:rFonts w:ascii="Arial" w:eastAsia="Times New Roman" w:hAnsi="Arial" w:cs="Arial"/>
          <w:spacing w:val="3"/>
          <w:sz w:val="24"/>
          <w:szCs w:val="24"/>
          <w:lang w:eastAsia="en-GB"/>
        </w:rPr>
        <w:t>Stewart, K., &amp; Roberts, N. (2019). Child poverty measurement in the UK: assessing support for the downgrading of income-based poverty measures. Social Indicators Research, 142(2), 523-542.</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Trussell Trust. (2018) Call for child benefits freeze to be lifted as new report shows families with children are most likely to need food</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banks. (</w:t>
      </w:r>
      <w:r w:rsidRPr="005C15B0">
        <w:rPr>
          <w:rFonts w:ascii="Arial" w:hAnsi="Arial" w:cs="Arial"/>
          <w:spacing w:val="3"/>
          <w:sz w:val="24"/>
          <w:szCs w:val="24"/>
          <w:shd w:val="clear" w:color="auto" w:fill="FFFFFF"/>
        </w:rPr>
        <w:t>Online</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Available</w:t>
      </w:r>
      <w:r w:rsidRPr="005C15B0">
        <w:rPr>
          <w:rFonts w:ascii="Arial" w:hAnsi="Arial" w:cs="Arial"/>
          <w:spacing w:val="3"/>
          <w:sz w:val="24"/>
          <w:szCs w:val="24"/>
          <w:shd w:val="clear" w:color="auto" w:fill="FFFFFF"/>
        </w:rPr>
        <w:t xml:space="preserve"> at</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rPr>
        <w:br/>
      </w:r>
      <w:hyperlink r:id="rId9" w:tgtFrame="_blank" w:history="1">
        <w:r w:rsidRPr="005C15B0">
          <w:rPr>
            <w:rStyle w:val="Hyperlink"/>
            <w:rFonts w:ascii="Arial" w:hAnsi="Arial" w:cs="Arial"/>
            <w:color w:val="auto"/>
            <w:spacing w:val="3"/>
            <w:sz w:val="24"/>
            <w:szCs w:val="24"/>
            <w:shd w:val="clear" w:color="auto" w:fill="FFFFFF"/>
          </w:rPr>
          <w:t>https://www.trusselltrust.org/2018/03/23/call-child-benefit-freeze-lifted-new-report-shows-families-children-likely-need-foodbanks/</w:t>
        </w:r>
      </w:hyperlink>
      <w:r w:rsidRPr="005C15B0">
        <w:rPr>
          <w:rFonts w:ascii="Arial" w:hAnsi="Arial" w:cs="Arial"/>
          <w:spacing w:val="3"/>
          <w:sz w:val="24"/>
          <w:szCs w:val="24"/>
          <w:shd w:val="clear" w:color="auto" w:fill="FFFFFF"/>
        </w:rPr>
        <w:t>. Accessed on 1/05/2020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Wagle, U. (2018). Rethinking poverty: definition and measurement. International Social Science Journal, Vol 68, issue 227-228, 183-193</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z w:val="24"/>
          <w:szCs w:val="24"/>
        </w:rPr>
        <w:lastRenderedPageBreak/>
        <w:t>Walker, P (2013) Michael Gove reveals the surprising inspirations behind his reforms</w:t>
      </w:r>
      <w:r w:rsidRPr="005C15B0">
        <w:rPr>
          <w:rFonts w:ascii="Arial" w:hAnsi="Arial" w:cs="Arial"/>
          <w:bCs/>
          <w:sz w:val="24"/>
          <w:szCs w:val="24"/>
        </w:rPr>
        <w:t>, The Guardian, 5</w:t>
      </w:r>
      <w:r w:rsidRPr="005C15B0">
        <w:rPr>
          <w:rFonts w:ascii="Arial" w:hAnsi="Arial" w:cs="Arial"/>
          <w:bCs/>
          <w:sz w:val="24"/>
          <w:szCs w:val="24"/>
          <w:vertAlign w:val="superscript"/>
        </w:rPr>
        <w:t>th</w:t>
      </w:r>
      <w:r w:rsidRPr="005C15B0">
        <w:rPr>
          <w:rFonts w:ascii="Arial" w:hAnsi="Arial" w:cs="Arial"/>
          <w:bCs/>
          <w:sz w:val="24"/>
          <w:szCs w:val="24"/>
        </w:rPr>
        <w:t xml:space="preserve"> February</w:t>
      </w:r>
      <w:r w:rsidR="006D6FB4" w:rsidRPr="005C15B0">
        <w:rPr>
          <w:rFonts w:ascii="Arial" w:hAnsi="Arial" w:cs="Arial"/>
          <w:bCs/>
          <w:sz w:val="24"/>
          <w:szCs w:val="24"/>
        </w:rPr>
        <w:t>.</w:t>
      </w:r>
    </w:p>
    <w:p w:rsidR="00D31554" w:rsidRPr="005C15B0" w:rsidRDefault="00D31554" w:rsidP="005C15B0">
      <w:pPr>
        <w:spacing w:line="480" w:lineRule="auto"/>
        <w:rPr>
          <w:rFonts w:ascii="Arial" w:hAnsi="Arial" w:cs="Arial"/>
          <w:sz w:val="24"/>
          <w:szCs w:val="24"/>
        </w:rPr>
      </w:pPr>
    </w:p>
    <w:sectPr w:rsidR="00D31554" w:rsidRPr="005C1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1D2BA8"/>
    <w:multiLevelType w:val="multilevel"/>
    <w:tmpl w:val="28D2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4F1A95"/>
    <w:multiLevelType w:val="hybridMultilevel"/>
    <w:tmpl w:val="D676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30507C"/>
    <w:multiLevelType w:val="hybridMultilevel"/>
    <w:tmpl w:val="4FB2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9B1828"/>
    <w:multiLevelType w:val="hybridMultilevel"/>
    <w:tmpl w:val="CF3A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BD6740"/>
    <w:multiLevelType w:val="multilevel"/>
    <w:tmpl w:val="7BAC1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8537EF"/>
    <w:multiLevelType w:val="hybridMultilevel"/>
    <w:tmpl w:val="2776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1416DF"/>
    <w:multiLevelType w:val="hybridMultilevel"/>
    <w:tmpl w:val="8E78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A60181"/>
    <w:multiLevelType w:val="hybridMultilevel"/>
    <w:tmpl w:val="DC54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D8107C8"/>
    <w:multiLevelType w:val="multilevel"/>
    <w:tmpl w:val="7272E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3"/>
  </w:num>
  <w:num w:numId="4">
    <w:abstractNumId w:val="6"/>
  </w:num>
  <w:num w:numId="5">
    <w:abstractNumId w:val="5"/>
  </w:num>
  <w:num w:numId="6">
    <w:abstractNumId w:val="1"/>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85C"/>
    <w:rsid w:val="000803BD"/>
    <w:rsid w:val="002F20F3"/>
    <w:rsid w:val="003422FC"/>
    <w:rsid w:val="0034485C"/>
    <w:rsid w:val="004775E5"/>
    <w:rsid w:val="005945B8"/>
    <w:rsid w:val="005C15B0"/>
    <w:rsid w:val="005E1EAB"/>
    <w:rsid w:val="006D6FB4"/>
    <w:rsid w:val="0091607A"/>
    <w:rsid w:val="009F7C5D"/>
    <w:rsid w:val="00A75812"/>
    <w:rsid w:val="00B43CBA"/>
    <w:rsid w:val="00B6774D"/>
    <w:rsid w:val="00BB344A"/>
    <w:rsid w:val="00D31554"/>
    <w:rsid w:val="00D47484"/>
    <w:rsid w:val="00D66803"/>
    <w:rsid w:val="00DF0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02F95C-2999-4B05-A187-596221443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668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F7C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F7C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7C5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F7C5D"/>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F7C5D"/>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F7C5D"/>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F7C5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F7C5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85C"/>
    <w:pPr>
      <w:ind w:left="720"/>
      <w:contextualSpacing/>
    </w:pPr>
  </w:style>
  <w:style w:type="character" w:styleId="Hyperlink">
    <w:name w:val="Hyperlink"/>
    <w:basedOn w:val="DefaultParagraphFont"/>
    <w:uiPriority w:val="99"/>
    <w:unhideWhenUsed/>
    <w:rsid w:val="0034485C"/>
    <w:rPr>
      <w:color w:val="0000FF"/>
      <w:u w:val="single"/>
    </w:rPr>
  </w:style>
  <w:style w:type="character" w:customStyle="1" w:styleId="Heading1Char">
    <w:name w:val="Heading 1 Char"/>
    <w:basedOn w:val="DefaultParagraphFont"/>
    <w:link w:val="Heading1"/>
    <w:uiPriority w:val="9"/>
    <w:rsid w:val="00D6680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43CBA"/>
    <w:rPr>
      <w:rFonts w:ascii="Times New Roman" w:hAnsi="Times New Roman" w:cs="Times New Roman"/>
      <w:sz w:val="24"/>
      <w:szCs w:val="24"/>
    </w:rPr>
  </w:style>
  <w:style w:type="paragraph" w:styleId="TOCHeading">
    <w:name w:val="TOC Heading"/>
    <w:basedOn w:val="Heading1"/>
    <w:next w:val="Normal"/>
    <w:uiPriority w:val="39"/>
    <w:unhideWhenUsed/>
    <w:qFormat/>
    <w:rsid w:val="002F20F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2F20F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20F3"/>
    <w:pPr>
      <w:spacing w:after="100"/>
    </w:pPr>
    <w:rPr>
      <w:rFonts w:eastAsiaTheme="minorEastAsia" w:cs="Times New Roman"/>
      <w:lang w:val="en-US"/>
    </w:rPr>
  </w:style>
  <w:style w:type="paragraph" w:styleId="TOC3">
    <w:name w:val="toc 3"/>
    <w:basedOn w:val="Normal"/>
    <w:next w:val="Normal"/>
    <w:autoRedefine/>
    <w:uiPriority w:val="39"/>
    <w:unhideWhenUsed/>
    <w:rsid w:val="002F20F3"/>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9F7C5D"/>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9F7C5D"/>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semiHidden/>
    <w:rsid w:val="009F7C5D"/>
    <w:rPr>
      <w:rFonts w:asciiTheme="majorHAnsi" w:eastAsiaTheme="majorEastAsia" w:hAnsiTheme="majorHAnsi" w:cstheme="majorBidi"/>
      <w:color w:val="2E74B5" w:themeColor="accent1" w:themeShade="BF"/>
      <w:sz w:val="26"/>
      <w:szCs w:val="26"/>
    </w:rPr>
  </w:style>
  <w:style w:type="character" w:customStyle="1" w:styleId="Heading5Char">
    <w:name w:val="Heading 5 Char"/>
    <w:basedOn w:val="DefaultParagraphFont"/>
    <w:link w:val="Heading5"/>
    <w:uiPriority w:val="9"/>
    <w:semiHidden/>
    <w:rsid w:val="009F7C5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F7C5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F7C5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F7C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F7C5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129298">
      <w:bodyDiv w:val="1"/>
      <w:marLeft w:val="0"/>
      <w:marRight w:val="0"/>
      <w:marTop w:val="0"/>
      <w:marBottom w:val="0"/>
      <w:divBdr>
        <w:top w:val="none" w:sz="0" w:space="0" w:color="auto"/>
        <w:left w:val="none" w:sz="0" w:space="0" w:color="auto"/>
        <w:bottom w:val="none" w:sz="0" w:space="0" w:color="auto"/>
        <w:right w:val="none" w:sz="0" w:space="0" w:color="auto"/>
      </w:divBdr>
    </w:div>
    <w:div w:id="801578348">
      <w:bodyDiv w:val="1"/>
      <w:marLeft w:val="0"/>
      <w:marRight w:val="0"/>
      <w:marTop w:val="0"/>
      <w:marBottom w:val="0"/>
      <w:divBdr>
        <w:top w:val="none" w:sz="0" w:space="0" w:color="auto"/>
        <w:left w:val="none" w:sz="0" w:space="0" w:color="auto"/>
        <w:bottom w:val="none" w:sz="0" w:space="0" w:color="auto"/>
        <w:right w:val="none" w:sz="0" w:space="0" w:color="auto"/>
      </w:divBdr>
    </w:div>
    <w:div w:id="1164317381">
      <w:bodyDiv w:val="1"/>
      <w:marLeft w:val="0"/>
      <w:marRight w:val="0"/>
      <w:marTop w:val="0"/>
      <w:marBottom w:val="0"/>
      <w:divBdr>
        <w:top w:val="none" w:sz="0" w:space="0" w:color="auto"/>
        <w:left w:val="none" w:sz="0" w:space="0" w:color="auto"/>
        <w:bottom w:val="none" w:sz="0" w:space="0" w:color="auto"/>
        <w:right w:val="none" w:sz="0" w:space="0" w:color="auto"/>
      </w:divBdr>
      <w:divsChild>
        <w:div w:id="487983844">
          <w:marLeft w:val="0"/>
          <w:marRight w:val="0"/>
          <w:marTop w:val="0"/>
          <w:marBottom w:val="0"/>
          <w:divBdr>
            <w:top w:val="none" w:sz="0" w:space="0" w:color="auto"/>
            <w:left w:val="none" w:sz="0" w:space="0" w:color="auto"/>
            <w:bottom w:val="none" w:sz="0" w:space="0" w:color="auto"/>
            <w:right w:val="none" w:sz="0" w:space="0" w:color="auto"/>
          </w:divBdr>
          <w:divsChild>
            <w:div w:id="1081294690">
              <w:marLeft w:val="0"/>
              <w:marRight w:val="0"/>
              <w:marTop w:val="0"/>
              <w:marBottom w:val="0"/>
              <w:divBdr>
                <w:top w:val="none" w:sz="0" w:space="0" w:color="auto"/>
                <w:left w:val="none" w:sz="0" w:space="0" w:color="auto"/>
                <w:bottom w:val="none" w:sz="0" w:space="0" w:color="auto"/>
                <w:right w:val="none" w:sz="0" w:space="0" w:color="auto"/>
              </w:divBdr>
              <w:divsChild>
                <w:div w:id="528757855">
                  <w:marLeft w:val="0"/>
                  <w:marRight w:val="0"/>
                  <w:marTop w:val="90"/>
                  <w:marBottom w:val="0"/>
                  <w:divBdr>
                    <w:top w:val="none" w:sz="0" w:space="0" w:color="auto"/>
                    <w:left w:val="none" w:sz="0" w:space="0" w:color="auto"/>
                    <w:bottom w:val="none" w:sz="0" w:space="0" w:color="auto"/>
                    <w:right w:val="none" w:sz="0" w:space="0" w:color="auto"/>
                  </w:divBdr>
                  <w:divsChild>
                    <w:div w:id="181437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q=https://pure.ulster.ac.uk/en/publications/uk-food-poverty-now-a-public-health-emergency&amp;sa=D&amp;ust=1588870160244000&amp;usg=AFQjCNFg4fexnSulgVlzxaPGR0zlq8Mrbw" TargetMode="External"/><Relationship Id="rId3" Type="http://schemas.openxmlformats.org/officeDocument/2006/relationships/styles" Target="styles.xml"/><Relationship Id="rId7" Type="http://schemas.openxmlformats.org/officeDocument/2006/relationships/hyperlink" Target="http://allcatsrgrey.org.uk/wp/download/public_health/destitution2018.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q=https://www.trusselltrust.org/2018/03/23/call-child-benefit-freeze-lifted-new-report-shows-families-children-likely-need-foodbanks/&amp;sa=D&amp;ust=1588870160232000&amp;usg=AFQjCNFaJqO72lrwQRWTKKdBeVaIGLGOX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EE9"/>
    <w:rsid w:val="00281EE9"/>
    <w:rsid w:val="00AA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D91DC0615F4742BB5D6FA1DF0227E8">
    <w:name w:val="83D91DC0615F4742BB5D6FA1DF0227E8"/>
    <w:rsid w:val="00281EE9"/>
  </w:style>
  <w:style w:type="paragraph" w:customStyle="1" w:styleId="38459FE475804781BF39DE6642144F91">
    <w:name w:val="38459FE475804781BF39DE6642144F91"/>
    <w:rsid w:val="00281EE9"/>
  </w:style>
  <w:style w:type="paragraph" w:customStyle="1" w:styleId="9A0023CC2F2A4F7FBED626C01BB588D3">
    <w:name w:val="9A0023CC2F2A4F7FBED626C01BB588D3"/>
    <w:rsid w:val="00281E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E91D63-9AB6-4591-8212-42C11376D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26</Pages>
  <Words>5294</Words>
  <Characters>30180</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7</cp:revision>
  <dcterms:created xsi:type="dcterms:W3CDTF">2020-05-08T10:45:00Z</dcterms:created>
  <dcterms:modified xsi:type="dcterms:W3CDTF">2020-05-08T21:59:00Z</dcterms:modified>
</cp:coreProperties>
</file>