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13F8B" w14:textId="77777777" w:rsidR="004D0A84" w:rsidRDefault="00BA0127" w:rsidP="0074660F">
      <w:pPr>
        <w:spacing w:line="259" w:lineRule="auto"/>
      </w:pPr>
      <w:r>
        <w:rPr>
          <w:noProof/>
        </w:rPr>
        <w:drawing>
          <wp:inline distT="0" distB="0" distL="0" distR="0" wp14:anchorId="538FBCE9" wp14:editId="4C4F1248">
            <wp:extent cx="1958340" cy="7851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967350" cy="788712"/>
                    </a:xfrm>
                    <a:prstGeom prst="rect">
                      <a:avLst/>
                    </a:prstGeom>
                    <a:noFill/>
                    <a:ln>
                      <a:noFill/>
                    </a:ln>
                  </pic:spPr>
                </pic:pic>
              </a:graphicData>
            </a:graphic>
          </wp:inline>
        </w:drawing>
      </w:r>
    </w:p>
    <w:p w14:paraId="5EAF8C2A" w14:textId="77777777" w:rsidR="004D0A84" w:rsidRDefault="004D0A84" w:rsidP="000C74B9">
      <w:pPr>
        <w:spacing w:line="259" w:lineRule="auto"/>
        <w:jc w:val="center"/>
      </w:pPr>
    </w:p>
    <w:p w14:paraId="2D898373" w14:textId="77777777" w:rsidR="004D0A84" w:rsidRDefault="004D0A84" w:rsidP="004D0A84">
      <w:pPr>
        <w:spacing w:after="0"/>
        <w:jc w:val="center"/>
        <w:rPr>
          <w:b/>
          <w:bCs/>
          <w:sz w:val="28"/>
          <w:szCs w:val="24"/>
        </w:rPr>
      </w:pPr>
    </w:p>
    <w:p w14:paraId="0F84A115" w14:textId="17BBA656" w:rsidR="004D0A84" w:rsidRDefault="00BA0127" w:rsidP="004D0A84">
      <w:pPr>
        <w:spacing w:after="0"/>
        <w:jc w:val="center"/>
        <w:rPr>
          <w:b/>
          <w:bCs/>
          <w:sz w:val="28"/>
          <w:szCs w:val="24"/>
        </w:rPr>
      </w:pPr>
      <w:r w:rsidRPr="004D0A84">
        <w:rPr>
          <w:b/>
          <w:bCs/>
          <w:sz w:val="28"/>
          <w:szCs w:val="24"/>
        </w:rPr>
        <w:t>Report Title: Financial Performance Evaluation and Strategic Investment Appraisal: A Two-Part Business Analysis of British Petroleum and Capital Allocation under Constraints</w:t>
      </w:r>
    </w:p>
    <w:p w14:paraId="14E8F4C1" w14:textId="77777777" w:rsidR="0074660F" w:rsidRDefault="0074660F" w:rsidP="004D0A84">
      <w:pPr>
        <w:spacing w:after="0"/>
        <w:jc w:val="center"/>
        <w:rPr>
          <w:b/>
          <w:bCs/>
          <w:sz w:val="28"/>
          <w:szCs w:val="24"/>
        </w:rPr>
      </w:pPr>
    </w:p>
    <w:p w14:paraId="1C3148CF" w14:textId="29C2EA7E" w:rsidR="0074660F" w:rsidRDefault="0074660F" w:rsidP="004D0A84">
      <w:pPr>
        <w:spacing w:after="0"/>
        <w:jc w:val="center"/>
        <w:rPr>
          <w:b/>
          <w:bCs/>
          <w:sz w:val="28"/>
          <w:szCs w:val="24"/>
        </w:rPr>
      </w:pPr>
    </w:p>
    <w:p w14:paraId="6FD1DD61" w14:textId="77777777" w:rsidR="0074660F" w:rsidRPr="004D0A84" w:rsidRDefault="0074660F" w:rsidP="0074660F">
      <w:pPr>
        <w:spacing w:after="0" w:line="240" w:lineRule="auto"/>
        <w:jc w:val="center"/>
        <w:rPr>
          <w:b/>
          <w:bCs/>
          <w:sz w:val="28"/>
          <w:szCs w:val="24"/>
        </w:rPr>
      </w:pPr>
      <w:r w:rsidRPr="004D0A84">
        <w:rPr>
          <w:b/>
          <w:bCs/>
          <w:sz w:val="28"/>
          <w:szCs w:val="24"/>
        </w:rPr>
        <w:t xml:space="preserve">Module Name: Finance for Business Manager </w:t>
      </w:r>
    </w:p>
    <w:p w14:paraId="6126D18A" w14:textId="77777777" w:rsidR="0074660F" w:rsidRDefault="0074660F" w:rsidP="0074660F">
      <w:pPr>
        <w:spacing w:after="0" w:line="240" w:lineRule="auto"/>
        <w:jc w:val="center"/>
        <w:rPr>
          <w:b/>
          <w:bCs/>
          <w:sz w:val="28"/>
          <w:szCs w:val="24"/>
        </w:rPr>
      </w:pPr>
    </w:p>
    <w:p w14:paraId="29418C5A" w14:textId="1DB07DF2" w:rsidR="0074660F" w:rsidRDefault="0074660F" w:rsidP="0074660F">
      <w:pPr>
        <w:spacing w:after="0" w:line="480" w:lineRule="auto"/>
        <w:jc w:val="center"/>
        <w:rPr>
          <w:b/>
          <w:bCs/>
          <w:sz w:val="28"/>
          <w:szCs w:val="24"/>
        </w:rPr>
      </w:pPr>
      <w:r w:rsidRPr="004D0A84">
        <w:rPr>
          <w:b/>
          <w:bCs/>
          <w:sz w:val="28"/>
          <w:szCs w:val="24"/>
        </w:rPr>
        <w:t>Module Code: BMMB7005D</w:t>
      </w:r>
    </w:p>
    <w:p w14:paraId="23F119E2" w14:textId="64797BD6" w:rsidR="0074660F" w:rsidRPr="004D0A84" w:rsidRDefault="0074660F" w:rsidP="0074660F">
      <w:pPr>
        <w:spacing w:after="0" w:line="480" w:lineRule="auto"/>
        <w:jc w:val="center"/>
        <w:rPr>
          <w:b/>
          <w:bCs/>
          <w:sz w:val="28"/>
          <w:szCs w:val="24"/>
        </w:rPr>
      </w:pPr>
      <w:r w:rsidRPr="004D0A84">
        <w:rPr>
          <w:b/>
          <w:bCs/>
          <w:sz w:val="28"/>
          <w:szCs w:val="24"/>
        </w:rPr>
        <w:t>Module Leader:</w:t>
      </w:r>
      <w:r>
        <w:rPr>
          <w:b/>
          <w:bCs/>
          <w:sz w:val="28"/>
          <w:szCs w:val="24"/>
        </w:rPr>
        <w:t xml:space="preserve"> Marie </w:t>
      </w:r>
      <w:proofErr w:type="spellStart"/>
      <w:r>
        <w:rPr>
          <w:b/>
          <w:bCs/>
          <w:sz w:val="28"/>
          <w:szCs w:val="24"/>
        </w:rPr>
        <w:t>Pitson</w:t>
      </w:r>
      <w:proofErr w:type="spellEnd"/>
    </w:p>
    <w:p w14:paraId="16DC7E97" w14:textId="77777777" w:rsidR="0074660F" w:rsidRPr="004D0A84" w:rsidRDefault="0074660F" w:rsidP="0074660F">
      <w:pPr>
        <w:spacing w:after="0" w:line="240" w:lineRule="auto"/>
        <w:jc w:val="center"/>
        <w:rPr>
          <w:b/>
          <w:bCs/>
          <w:sz w:val="28"/>
          <w:szCs w:val="24"/>
        </w:rPr>
      </w:pPr>
    </w:p>
    <w:p w14:paraId="35AAAD94" w14:textId="77777777" w:rsidR="0074660F" w:rsidRPr="004D0A84" w:rsidRDefault="0074660F" w:rsidP="004D0A84">
      <w:pPr>
        <w:spacing w:after="0"/>
        <w:jc w:val="center"/>
        <w:rPr>
          <w:b/>
          <w:bCs/>
          <w:sz w:val="28"/>
          <w:szCs w:val="24"/>
        </w:rPr>
      </w:pPr>
    </w:p>
    <w:p w14:paraId="6E244EFC" w14:textId="77777777" w:rsidR="004D0A84" w:rsidRDefault="004D0A84" w:rsidP="004D0A84">
      <w:pPr>
        <w:spacing w:after="0"/>
        <w:jc w:val="center"/>
        <w:rPr>
          <w:b/>
          <w:bCs/>
          <w:sz w:val="28"/>
          <w:szCs w:val="24"/>
        </w:rPr>
      </w:pPr>
    </w:p>
    <w:p w14:paraId="01F707C5" w14:textId="1988DFCD" w:rsidR="004D0A84" w:rsidRPr="004D0A84" w:rsidRDefault="00BA0127" w:rsidP="004D0A84">
      <w:pPr>
        <w:spacing w:after="0"/>
        <w:jc w:val="center"/>
        <w:rPr>
          <w:b/>
          <w:bCs/>
          <w:sz w:val="28"/>
          <w:szCs w:val="24"/>
        </w:rPr>
      </w:pPr>
      <w:r w:rsidRPr="004D0A84">
        <w:rPr>
          <w:b/>
          <w:bCs/>
          <w:sz w:val="28"/>
          <w:szCs w:val="24"/>
        </w:rPr>
        <w:t>Student Name:</w:t>
      </w:r>
      <w:r w:rsidR="0074660F">
        <w:rPr>
          <w:b/>
          <w:bCs/>
          <w:sz w:val="28"/>
          <w:szCs w:val="24"/>
        </w:rPr>
        <w:t xml:space="preserve"> Md. </w:t>
      </w:r>
      <w:proofErr w:type="spellStart"/>
      <w:r w:rsidR="0074660F">
        <w:rPr>
          <w:b/>
          <w:bCs/>
          <w:sz w:val="28"/>
          <w:szCs w:val="24"/>
        </w:rPr>
        <w:t>Sohanur</w:t>
      </w:r>
      <w:proofErr w:type="spellEnd"/>
      <w:r w:rsidR="0074660F">
        <w:rPr>
          <w:b/>
          <w:bCs/>
          <w:sz w:val="28"/>
          <w:szCs w:val="24"/>
        </w:rPr>
        <w:t xml:space="preserve"> Rahman</w:t>
      </w:r>
    </w:p>
    <w:p w14:paraId="7CF1CB88" w14:textId="5206F602" w:rsidR="004D0A84" w:rsidRDefault="00BA0127" w:rsidP="004D0A84">
      <w:pPr>
        <w:spacing w:after="0"/>
        <w:jc w:val="center"/>
        <w:rPr>
          <w:b/>
          <w:bCs/>
          <w:sz w:val="28"/>
          <w:szCs w:val="24"/>
        </w:rPr>
      </w:pPr>
      <w:r w:rsidRPr="004D0A84">
        <w:rPr>
          <w:b/>
          <w:bCs/>
          <w:sz w:val="28"/>
          <w:szCs w:val="24"/>
        </w:rPr>
        <w:t>Student ID:</w:t>
      </w:r>
      <w:r w:rsidR="0074660F">
        <w:rPr>
          <w:b/>
          <w:bCs/>
          <w:sz w:val="28"/>
          <w:szCs w:val="24"/>
        </w:rPr>
        <w:t xml:space="preserve"> 2427060</w:t>
      </w:r>
    </w:p>
    <w:p w14:paraId="70188709" w14:textId="77777777" w:rsidR="0074660F" w:rsidRDefault="0074660F" w:rsidP="004D0A84">
      <w:pPr>
        <w:spacing w:after="0"/>
        <w:jc w:val="center"/>
        <w:rPr>
          <w:b/>
          <w:bCs/>
          <w:sz w:val="28"/>
          <w:szCs w:val="24"/>
        </w:rPr>
      </w:pPr>
    </w:p>
    <w:p w14:paraId="5E81EC49" w14:textId="3952A6BA" w:rsidR="0074660F" w:rsidRDefault="0074660F" w:rsidP="004D0A84">
      <w:pPr>
        <w:spacing w:after="0"/>
        <w:jc w:val="center"/>
        <w:rPr>
          <w:b/>
          <w:bCs/>
          <w:sz w:val="28"/>
          <w:szCs w:val="24"/>
        </w:rPr>
      </w:pPr>
    </w:p>
    <w:p w14:paraId="32D3113A" w14:textId="6648A7DF" w:rsidR="0074660F" w:rsidRDefault="0074660F" w:rsidP="004D0A84">
      <w:pPr>
        <w:spacing w:after="0"/>
        <w:jc w:val="center"/>
        <w:rPr>
          <w:b/>
          <w:bCs/>
          <w:sz w:val="28"/>
          <w:szCs w:val="24"/>
        </w:rPr>
      </w:pPr>
    </w:p>
    <w:p w14:paraId="0C5D12FF" w14:textId="32E2972A" w:rsidR="0074660F" w:rsidRPr="0074660F" w:rsidRDefault="0074660F" w:rsidP="004D0A84">
      <w:pPr>
        <w:spacing w:after="0"/>
        <w:jc w:val="center"/>
        <w:rPr>
          <w:bCs/>
          <w:sz w:val="28"/>
          <w:szCs w:val="24"/>
        </w:rPr>
      </w:pPr>
      <w:r w:rsidRPr="0074660F">
        <w:rPr>
          <w:bCs/>
          <w:sz w:val="28"/>
          <w:szCs w:val="24"/>
        </w:rPr>
        <w:t>Submission Deadline: 17</w:t>
      </w:r>
      <w:r w:rsidRPr="0074660F">
        <w:rPr>
          <w:bCs/>
          <w:sz w:val="28"/>
          <w:szCs w:val="24"/>
          <w:vertAlign w:val="superscript"/>
        </w:rPr>
        <w:t>th</w:t>
      </w:r>
      <w:r w:rsidRPr="0074660F">
        <w:rPr>
          <w:bCs/>
          <w:sz w:val="28"/>
          <w:szCs w:val="24"/>
        </w:rPr>
        <w:t xml:space="preserve"> July 2025</w:t>
      </w:r>
    </w:p>
    <w:p w14:paraId="39CDFA1A" w14:textId="3BBCB8B6" w:rsidR="0074660F" w:rsidRPr="0074660F" w:rsidRDefault="0074660F" w:rsidP="0074660F">
      <w:pPr>
        <w:spacing w:after="0"/>
        <w:rPr>
          <w:bCs/>
          <w:sz w:val="28"/>
          <w:szCs w:val="24"/>
        </w:rPr>
      </w:pPr>
      <w:r w:rsidRPr="0074660F">
        <w:rPr>
          <w:bCs/>
          <w:sz w:val="28"/>
          <w:szCs w:val="24"/>
        </w:rPr>
        <w:t xml:space="preserve">                                           Submission Date: </w:t>
      </w:r>
    </w:p>
    <w:p w14:paraId="631A1EBC" w14:textId="77777777" w:rsidR="004D0A84" w:rsidRDefault="004D0A84" w:rsidP="004D0A84">
      <w:pPr>
        <w:spacing w:after="0"/>
        <w:jc w:val="center"/>
        <w:rPr>
          <w:b/>
          <w:bCs/>
          <w:sz w:val="28"/>
          <w:szCs w:val="24"/>
        </w:rPr>
      </w:pPr>
    </w:p>
    <w:p w14:paraId="0E645443" w14:textId="77777777" w:rsidR="000C74B9" w:rsidRDefault="000C74B9" w:rsidP="000C74B9">
      <w:pPr>
        <w:spacing w:line="259" w:lineRule="auto"/>
        <w:jc w:val="center"/>
      </w:pPr>
    </w:p>
    <w:p w14:paraId="750281FA" w14:textId="092D5806" w:rsidR="00415851" w:rsidRDefault="00415851">
      <w:pPr>
        <w:spacing w:line="259" w:lineRule="auto"/>
        <w:jc w:val="left"/>
      </w:pPr>
    </w:p>
    <w:p w14:paraId="7C414290" w14:textId="3D53ED04" w:rsidR="00415851" w:rsidRDefault="00BA0127" w:rsidP="004D0A84">
      <w:pPr>
        <w:pStyle w:val="Heading1"/>
      </w:pPr>
      <w:bookmarkStart w:id="0" w:name="_Toc201711979"/>
      <w:r>
        <w:lastRenderedPageBreak/>
        <w:t>Executive Summary</w:t>
      </w:r>
      <w:bookmarkEnd w:id="0"/>
    </w:p>
    <w:p w14:paraId="6EA37A22" w14:textId="77777777" w:rsidR="00BD2FEA" w:rsidRDefault="00BA0127" w:rsidP="004D0A84">
      <w:pPr>
        <w:spacing w:after="0"/>
      </w:pPr>
      <w:r>
        <w:t>The analysis, as presented in this report, provides a comprehensive financial analysis and an investment appraisal to support informed decision-making in strategy. Part 1 evaluates the financial position of British Petroleum (BP) based on ratio analysis for the years 2023 and 2024. The most significant indicator is deteriorating profitability, as evidenced by a decline in the net profit margin to 0.65% in 2024. Liquidity ratios were consistent but somewhat limited, whereas increased gearing and a decrease in interest rates indicate an increase in debt pressure. The operational efficiency and the investor returns were poorer compared to the previous year. These findings were used to provide strategic advice on how to allocate capital more efficiently, lower financial risk and increase shareholder value.</w:t>
      </w:r>
    </w:p>
    <w:p w14:paraId="109152E1" w14:textId="77777777" w:rsidR="00BD2FEA" w:rsidRDefault="00BA0127" w:rsidP="004D0A84">
      <w:pPr>
        <w:spacing w:after="0"/>
      </w:pPr>
      <w:r>
        <w:t>Part 2 would utilise methods in discounted cash flows, including Net Present Value (NPV) and Internal Rate of Return (IRR), to assess three investment proposals. Option C had the highest NPV (985,400), which means that option C was the most valuable even though option A had the highest IRR (28 per cent). Respectively, under capital rationing, investing entirely in Option A and partially in Option C yields the highest returns, with a total NPV of $1,256,875. It also takes qualitative considerations, such as market fit and brand fit, into consideration and then examines potential funding sources comprising debt, equity, and ESG-aligned funding.</w:t>
      </w:r>
    </w:p>
    <w:p w14:paraId="32254433" w14:textId="77777777" w:rsidR="00C56D3A" w:rsidRDefault="00BA0127" w:rsidP="004D0A84">
      <w:pPr>
        <w:spacing w:after="0"/>
      </w:pPr>
      <w:r>
        <w:t>Finally, the report provides the decision-makers with fair and evidence-based principles on performance evaluation and future investments.</w:t>
      </w:r>
    </w:p>
    <w:p w14:paraId="5AB636C9" w14:textId="77777777" w:rsidR="004D0A84" w:rsidRDefault="00BA0127">
      <w:pPr>
        <w:spacing w:line="259" w:lineRule="auto"/>
        <w:jc w:val="left"/>
      </w:pPr>
      <w:r>
        <w:br w:type="page"/>
      </w:r>
    </w:p>
    <w:sdt>
      <w:sdtPr>
        <w:rPr>
          <w:rFonts w:asciiTheme="majorBidi" w:eastAsiaTheme="minorHAnsi" w:hAnsiTheme="majorBidi" w:cstheme="minorBidi"/>
          <w:color w:val="auto"/>
          <w:sz w:val="24"/>
          <w:szCs w:val="22"/>
          <w:lang w:val="en-GB"/>
        </w:rPr>
        <w:id w:val="-1404601859"/>
        <w:docPartObj>
          <w:docPartGallery w:val="Table of Contents"/>
          <w:docPartUnique/>
        </w:docPartObj>
      </w:sdtPr>
      <w:sdtEndPr>
        <w:rPr>
          <w:b/>
          <w:bCs/>
          <w:noProof/>
        </w:rPr>
      </w:sdtEndPr>
      <w:sdtContent>
        <w:p w14:paraId="1B60AA31" w14:textId="77777777" w:rsidR="00BD2FEA" w:rsidRPr="002F7AF0" w:rsidRDefault="00BA0127" w:rsidP="002F7AF0">
          <w:pPr>
            <w:pStyle w:val="TOCHeading"/>
            <w:spacing w:line="360" w:lineRule="auto"/>
            <w:rPr>
              <w:rFonts w:ascii="Times New Roman" w:hAnsi="Times New Roman" w:cs="Times New Roman"/>
              <w:b/>
              <w:bCs/>
              <w:color w:val="auto"/>
            </w:rPr>
          </w:pPr>
          <w:r w:rsidRPr="002F7AF0">
            <w:rPr>
              <w:rFonts w:ascii="Times New Roman" w:hAnsi="Times New Roman" w:cs="Times New Roman"/>
              <w:b/>
              <w:bCs/>
              <w:color w:val="auto"/>
            </w:rPr>
            <w:t>Table of Contents</w:t>
          </w:r>
        </w:p>
        <w:p w14:paraId="103C9DAE" w14:textId="7D117EBA" w:rsidR="003920C8" w:rsidRDefault="00BA0127">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01711979" w:history="1">
            <w:r w:rsidR="003920C8" w:rsidRPr="009D1610">
              <w:rPr>
                <w:rStyle w:val="Hyperlink"/>
                <w:noProof/>
              </w:rPr>
              <w:t>Executive Summary</w:t>
            </w:r>
            <w:r w:rsidR="003920C8">
              <w:rPr>
                <w:noProof/>
                <w:webHidden/>
              </w:rPr>
              <w:tab/>
            </w:r>
            <w:r w:rsidR="003920C8">
              <w:rPr>
                <w:noProof/>
                <w:webHidden/>
              </w:rPr>
              <w:fldChar w:fldCharType="begin"/>
            </w:r>
            <w:r w:rsidR="003920C8">
              <w:rPr>
                <w:noProof/>
                <w:webHidden/>
              </w:rPr>
              <w:instrText xml:space="preserve"> PAGEREF _Toc201711979 \h </w:instrText>
            </w:r>
            <w:r w:rsidR="003920C8">
              <w:rPr>
                <w:noProof/>
                <w:webHidden/>
              </w:rPr>
            </w:r>
            <w:r w:rsidR="003920C8">
              <w:rPr>
                <w:noProof/>
                <w:webHidden/>
              </w:rPr>
              <w:fldChar w:fldCharType="separate"/>
            </w:r>
            <w:r w:rsidR="003920C8">
              <w:rPr>
                <w:noProof/>
                <w:webHidden/>
              </w:rPr>
              <w:t>2</w:t>
            </w:r>
            <w:r w:rsidR="003920C8">
              <w:rPr>
                <w:noProof/>
                <w:webHidden/>
              </w:rPr>
              <w:fldChar w:fldCharType="end"/>
            </w:r>
          </w:hyperlink>
        </w:p>
        <w:p w14:paraId="0079D23D" w14:textId="264A4C6C" w:rsidR="003920C8" w:rsidRDefault="0074660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1711980" w:history="1">
            <w:r w:rsidR="003920C8" w:rsidRPr="009D1610">
              <w:rPr>
                <w:rStyle w:val="Hyperlink"/>
                <w:noProof/>
              </w:rPr>
              <w:t>Introduction</w:t>
            </w:r>
            <w:r w:rsidR="003920C8">
              <w:rPr>
                <w:noProof/>
                <w:webHidden/>
              </w:rPr>
              <w:tab/>
            </w:r>
            <w:r w:rsidR="003920C8">
              <w:rPr>
                <w:noProof/>
                <w:webHidden/>
              </w:rPr>
              <w:fldChar w:fldCharType="begin"/>
            </w:r>
            <w:r w:rsidR="003920C8">
              <w:rPr>
                <w:noProof/>
                <w:webHidden/>
              </w:rPr>
              <w:instrText xml:space="preserve"> PAGEREF _Toc201711980 \h </w:instrText>
            </w:r>
            <w:r w:rsidR="003920C8">
              <w:rPr>
                <w:noProof/>
                <w:webHidden/>
              </w:rPr>
            </w:r>
            <w:r w:rsidR="003920C8">
              <w:rPr>
                <w:noProof/>
                <w:webHidden/>
              </w:rPr>
              <w:fldChar w:fldCharType="separate"/>
            </w:r>
            <w:r w:rsidR="003920C8">
              <w:rPr>
                <w:noProof/>
                <w:webHidden/>
              </w:rPr>
              <w:t>5</w:t>
            </w:r>
            <w:r w:rsidR="003920C8">
              <w:rPr>
                <w:noProof/>
                <w:webHidden/>
              </w:rPr>
              <w:fldChar w:fldCharType="end"/>
            </w:r>
          </w:hyperlink>
        </w:p>
        <w:p w14:paraId="5C832036" w14:textId="61AE83B8" w:rsidR="003920C8" w:rsidRDefault="0074660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1711981" w:history="1">
            <w:r w:rsidR="003920C8" w:rsidRPr="009D1610">
              <w:rPr>
                <w:rStyle w:val="Hyperlink"/>
                <w:noProof/>
              </w:rPr>
              <w:t>Part 1</w:t>
            </w:r>
            <w:r w:rsidR="003920C8">
              <w:rPr>
                <w:noProof/>
                <w:webHidden/>
              </w:rPr>
              <w:tab/>
            </w:r>
            <w:r w:rsidR="003920C8">
              <w:rPr>
                <w:noProof/>
                <w:webHidden/>
              </w:rPr>
              <w:fldChar w:fldCharType="begin"/>
            </w:r>
            <w:r w:rsidR="003920C8">
              <w:rPr>
                <w:noProof/>
                <w:webHidden/>
              </w:rPr>
              <w:instrText xml:space="preserve"> PAGEREF _Toc201711981 \h </w:instrText>
            </w:r>
            <w:r w:rsidR="003920C8">
              <w:rPr>
                <w:noProof/>
                <w:webHidden/>
              </w:rPr>
            </w:r>
            <w:r w:rsidR="003920C8">
              <w:rPr>
                <w:noProof/>
                <w:webHidden/>
              </w:rPr>
              <w:fldChar w:fldCharType="separate"/>
            </w:r>
            <w:r w:rsidR="003920C8">
              <w:rPr>
                <w:noProof/>
                <w:webHidden/>
              </w:rPr>
              <w:t>6</w:t>
            </w:r>
            <w:r w:rsidR="003920C8">
              <w:rPr>
                <w:noProof/>
                <w:webHidden/>
              </w:rPr>
              <w:fldChar w:fldCharType="end"/>
            </w:r>
          </w:hyperlink>
        </w:p>
        <w:p w14:paraId="2D779E59" w14:textId="42F29032"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82" w:history="1">
            <w:r w:rsidR="003920C8" w:rsidRPr="009D1610">
              <w:rPr>
                <w:rStyle w:val="Hyperlink"/>
                <w:noProof/>
              </w:rPr>
              <w:t>Ratio Analysis</w:t>
            </w:r>
            <w:r w:rsidR="003920C8">
              <w:rPr>
                <w:noProof/>
                <w:webHidden/>
              </w:rPr>
              <w:tab/>
            </w:r>
            <w:r w:rsidR="003920C8">
              <w:rPr>
                <w:noProof/>
                <w:webHidden/>
              </w:rPr>
              <w:fldChar w:fldCharType="begin"/>
            </w:r>
            <w:r w:rsidR="003920C8">
              <w:rPr>
                <w:noProof/>
                <w:webHidden/>
              </w:rPr>
              <w:instrText xml:space="preserve"> PAGEREF _Toc201711982 \h </w:instrText>
            </w:r>
            <w:r w:rsidR="003920C8">
              <w:rPr>
                <w:noProof/>
                <w:webHidden/>
              </w:rPr>
            </w:r>
            <w:r w:rsidR="003920C8">
              <w:rPr>
                <w:noProof/>
                <w:webHidden/>
              </w:rPr>
              <w:fldChar w:fldCharType="separate"/>
            </w:r>
            <w:r w:rsidR="003920C8">
              <w:rPr>
                <w:noProof/>
                <w:webHidden/>
              </w:rPr>
              <w:t>6</w:t>
            </w:r>
            <w:r w:rsidR="003920C8">
              <w:rPr>
                <w:noProof/>
                <w:webHidden/>
              </w:rPr>
              <w:fldChar w:fldCharType="end"/>
            </w:r>
          </w:hyperlink>
        </w:p>
        <w:p w14:paraId="61027C65" w14:textId="0DAB245D" w:rsidR="003920C8" w:rsidRDefault="0074660F">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01711983" w:history="1">
            <w:r w:rsidR="003920C8" w:rsidRPr="009D1610">
              <w:rPr>
                <w:rStyle w:val="Hyperlink"/>
                <w:noProof/>
              </w:rPr>
              <w:t>Profitability Analysis</w:t>
            </w:r>
            <w:r w:rsidR="003920C8">
              <w:rPr>
                <w:noProof/>
                <w:webHidden/>
              </w:rPr>
              <w:tab/>
            </w:r>
            <w:r w:rsidR="003920C8">
              <w:rPr>
                <w:noProof/>
                <w:webHidden/>
              </w:rPr>
              <w:fldChar w:fldCharType="begin"/>
            </w:r>
            <w:r w:rsidR="003920C8">
              <w:rPr>
                <w:noProof/>
                <w:webHidden/>
              </w:rPr>
              <w:instrText xml:space="preserve"> PAGEREF _Toc201711983 \h </w:instrText>
            </w:r>
            <w:r w:rsidR="003920C8">
              <w:rPr>
                <w:noProof/>
                <w:webHidden/>
              </w:rPr>
            </w:r>
            <w:r w:rsidR="003920C8">
              <w:rPr>
                <w:noProof/>
                <w:webHidden/>
              </w:rPr>
              <w:fldChar w:fldCharType="separate"/>
            </w:r>
            <w:r w:rsidR="003920C8">
              <w:rPr>
                <w:noProof/>
                <w:webHidden/>
              </w:rPr>
              <w:t>6</w:t>
            </w:r>
            <w:r w:rsidR="003920C8">
              <w:rPr>
                <w:noProof/>
                <w:webHidden/>
              </w:rPr>
              <w:fldChar w:fldCharType="end"/>
            </w:r>
          </w:hyperlink>
        </w:p>
        <w:p w14:paraId="376B1425" w14:textId="58E95703" w:rsidR="003920C8" w:rsidRDefault="0074660F">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01711984" w:history="1">
            <w:r w:rsidR="003920C8" w:rsidRPr="009D1610">
              <w:rPr>
                <w:rStyle w:val="Hyperlink"/>
                <w:noProof/>
              </w:rPr>
              <w:t>Liquidity Ratio</w:t>
            </w:r>
            <w:r w:rsidR="003920C8">
              <w:rPr>
                <w:noProof/>
                <w:webHidden/>
              </w:rPr>
              <w:tab/>
            </w:r>
            <w:r w:rsidR="003920C8">
              <w:rPr>
                <w:noProof/>
                <w:webHidden/>
              </w:rPr>
              <w:fldChar w:fldCharType="begin"/>
            </w:r>
            <w:r w:rsidR="003920C8">
              <w:rPr>
                <w:noProof/>
                <w:webHidden/>
              </w:rPr>
              <w:instrText xml:space="preserve"> PAGEREF _Toc201711984 \h </w:instrText>
            </w:r>
            <w:r w:rsidR="003920C8">
              <w:rPr>
                <w:noProof/>
                <w:webHidden/>
              </w:rPr>
            </w:r>
            <w:r w:rsidR="003920C8">
              <w:rPr>
                <w:noProof/>
                <w:webHidden/>
              </w:rPr>
              <w:fldChar w:fldCharType="separate"/>
            </w:r>
            <w:r w:rsidR="003920C8">
              <w:rPr>
                <w:noProof/>
                <w:webHidden/>
              </w:rPr>
              <w:t>7</w:t>
            </w:r>
            <w:r w:rsidR="003920C8">
              <w:rPr>
                <w:noProof/>
                <w:webHidden/>
              </w:rPr>
              <w:fldChar w:fldCharType="end"/>
            </w:r>
          </w:hyperlink>
        </w:p>
        <w:p w14:paraId="21F0A709" w14:textId="65B1E7A6" w:rsidR="003920C8" w:rsidRDefault="0074660F">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01711985" w:history="1">
            <w:r w:rsidR="003920C8" w:rsidRPr="009D1610">
              <w:rPr>
                <w:rStyle w:val="Hyperlink"/>
                <w:noProof/>
              </w:rPr>
              <w:t>Gearing Ratios</w:t>
            </w:r>
            <w:r w:rsidR="003920C8">
              <w:rPr>
                <w:noProof/>
                <w:webHidden/>
              </w:rPr>
              <w:tab/>
            </w:r>
            <w:r w:rsidR="003920C8">
              <w:rPr>
                <w:noProof/>
                <w:webHidden/>
              </w:rPr>
              <w:fldChar w:fldCharType="begin"/>
            </w:r>
            <w:r w:rsidR="003920C8">
              <w:rPr>
                <w:noProof/>
                <w:webHidden/>
              </w:rPr>
              <w:instrText xml:space="preserve"> PAGEREF _Toc201711985 \h </w:instrText>
            </w:r>
            <w:r w:rsidR="003920C8">
              <w:rPr>
                <w:noProof/>
                <w:webHidden/>
              </w:rPr>
            </w:r>
            <w:r w:rsidR="003920C8">
              <w:rPr>
                <w:noProof/>
                <w:webHidden/>
              </w:rPr>
              <w:fldChar w:fldCharType="separate"/>
            </w:r>
            <w:r w:rsidR="003920C8">
              <w:rPr>
                <w:noProof/>
                <w:webHidden/>
              </w:rPr>
              <w:t>8</w:t>
            </w:r>
            <w:r w:rsidR="003920C8">
              <w:rPr>
                <w:noProof/>
                <w:webHidden/>
              </w:rPr>
              <w:fldChar w:fldCharType="end"/>
            </w:r>
          </w:hyperlink>
        </w:p>
        <w:p w14:paraId="2844C4B6" w14:textId="1D037271" w:rsidR="003920C8" w:rsidRDefault="0074660F">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01711986" w:history="1">
            <w:r w:rsidR="003920C8" w:rsidRPr="009D1610">
              <w:rPr>
                <w:rStyle w:val="Hyperlink"/>
                <w:noProof/>
              </w:rPr>
              <w:t>Efficiency Ratios</w:t>
            </w:r>
            <w:r w:rsidR="003920C8">
              <w:rPr>
                <w:noProof/>
                <w:webHidden/>
              </w:rPr>
              <w:tab/>
            </w:r>
            <w:r w:rsidR="003920C8">
              <w:rPr>
                <w:noProof/>
                <w:webHidden/>
              </w:rPr>
              <w:fldChar w:fldCharType="begin"/>
            </w:r>
            <w:r w:rsidR="003920C8">
              <w:rPr>
                <w:noProof/>
                <w:webHidden/>
              </w:rPr>
              <w:instrText xml:space="preserve"> PAGEREF _Toc201711986 \h </w:instrText>
            </w:r>
            <w:r w:rsidR="003920C8">
              <w:rPr>
                <w:noProof/>
                <w:webHidden/>
              </w:rPr>
            </w:r>
            <w:r w:rsidR="003920C8">
              <w:rPr>
                <w:noProof/>
                <w:webHidden/>
              </w:rPr>
              <w:fldChar w:fldCharType="separate"/>
            </w:r>
            <w:r w:rsidR="003920C8">
              <w:rPr>
                <w:noProof/>
                <w:webHidden/>
              </w:rPr>
              <w:t>8</w:t>
            </w:r>
            <w:r w:rsidR="003920C8">
              <w:rPr>
                <w:noProof/>
                <w:webHidden/>
              </w:rPr>
              <w:fldChar w:fldCharType="end"/>
            </w:r>
          </w:hyperlink>
        </w:p>
        <w:p w14:paraId="713B35AF" w14:textId="3BCF68B7" w:rsidR="003920C8" w:rsidRDefault="0074660F">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01711987" w:history="1">
            <w:r w:rsidR="003920C8" w:rsidRPr="009D1610">
              <w:rPr>
                <w:rStyle w:val="Hyperlink"/>
                <w:noProof/>
              </w:rPr>
              <w:t>Investor Ratios</w:t>
            </w:r>
            <w:r w:rsidR="003920C8">
              <w:rPr>
                <w:noProof/>
                <w:webHidden/>
              </w:rPr>
              <w:tab/>
            </w:r>
            <w:r w:rsidR="003920C8">
              <w:rPr>
                <w:noProof/>
                <w:webHidden/>
              </w:rPr>
              <w:fldChar w:fldCharType="begin"/>
            </w:r>
            <w:r w:rsidR="003920C8">
              <w:rPr>
                <w:noProof/>
                <w:webHidden/>
              </w:rPr>
              <w:instrText xml:space="preserve"> PAGEREF _Toc201711987 \h </w:instrText>
            </w:r>
            <w:r w:rsidR="003920C8">
              <w:rPr>
                <w:noProof/>
                <w:webHidden/>
              </w:rPr>
            </w:r>
            <w:r w:rsidR="003920C8">
              <w:rPr>
                <w:noProof/>
                <w:webHidden/>
              </w:rPr>
              <w:fldChar w:fldCharType="separate"/>
            </w:r>
            <w:r w:rsidR="003920C8">
              <w:rPr>
                <w:noProof/>
                <w:webHidden/>
              </w:rPr>
              <w:t>9</w:t>
            </w:r>
            <w:r w:rsidR="003920C8">
              <w:rPr>
                <w:noProof/>
                <w:webHidden/>
              </w:rPr>
              <w:fldChar w:fldCharType="end"/>
            </w:r>
          </w:hyperlink>
        </w:p>
        <w:p w14:paraId="078763ED" w14:textId="20ADF23D"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88" w:history="1">
            <w:r w:rsidR="003920C8" w:rsidRPr="009D1610">
              <w:rPr>
                <w:rStyle w:val="Hyperlink"/>
                <w:noProof/>
              </w:rPr>
              <w:t>Critical Evaluation</w:t>
            </w:r>
            <w:r w:rsidR="003920C8">
              <w:rPr>
                <w:noProof/>
                <w:webHidden/>
              </w:rPr>
              <w:tab/>
            </w:r>
            <w:r w:rsidR="003920C8">
              <w:rPr>
                <w:noProof/>
                <w:webHidden/>
              </w:rPr>
              <w:fldChar w:fldCharType="begin"/>
            </w:r>
            <w:r w:rsidR="003920C8">
              <w:rPr>
                <w:noProof/>
                <w:webHidden/>
              </w:rPr>
              <w:instrText xml:space="preserve"> PAGEREF _Toc201711988 \h </w:instrText>
            </w:r>
            <w:r w:rsidR="003920C8">
              <w:rPr>
                <w:noProof/>
                <w:webHidden/>
              </w:rPr>
            </w:r>
            <w:r w:rsidR="003920C8">
              <w:rPr>
                <w:noProof/>
                <w:webHidden/>
              </w:rPr>
              <w:fldChar w:fldCharType="separate"/>
            </w:r>
            <w:r w:rsidR="003920C8">
              <w:rPr>
                <w:noProof/>
                <w:webHidden/>
              </w:rPr>
              <w:t>10</w:t>
            </w:r>
            <w:r w:rsidR="003920C8">
              <w:rPr>
                <w:noProof/>
                <w:webHidden/>
              </w:rPr>
              <w:fldChar w:fldCharType="end"/>
            </w:r>
          </w:hyperlink>
        </w:p>
        <w:p w14:paraId="70113D8E" w14:textId="55DEB1FC"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89" w:history="1">
            <w:r w:rsidR="003920C8" w:rsidRPr="009D1610">
              <w:rPr>
                <w:rStyle w:val="Hyperlink"/>
                <w:noProof/>
              </w:rPr>
              <w:t>Limitations of Ratio Analysis</w:t>
            </w:r>
            <w:r w:rsidR="003920C8">
              <w:rPr>
                <w:noProof/>
                <w:webHidden/>
              </w:rPr>
              <w:tab/>
            </w:r>
            <w:r w:rsidR="003920C8">
              <w:rPr>
                <w:noProof/>
                <w:webHidden/>
              </w:rPr>
              <w:fldChar w:fldCharType="begin"/>
            </w:r>
            <w:r w:rsidR="003920C8">
              <w:rPr>
                <w:noProof/>
                <w:webHidden/>
              </w:rPr>
              <w:instrText xml:space="preserve"> PAGEREF _Toc201711989 \h </w:instrText>
            </w:r>
            <w:r w:rsidR="003920C8">
              <w:rPr>
                <w:noProof/>
                <w:webHidden/>
              </w:rPr>
            </w:r>
            <w:r w:rsidR="003920C8">
              <w:rPr>
                <w:noProof/>
                <w:webHidden/>
              </w:rPr>
              <w:fldChar w:fldCharType="separate"/>
            </w:r>
            <w:r w:rsidR="003920C8">
              <w:rPr>
                <w:noProof/>
                <w:webHidden/>
              </w:rPr>
              <w:t>11</w:t>
            </w:r>
            <w:r w:rsidR="003920C8">
              <w:rPr>
                <w:noProof/>
                <w:webHidden/>
              </w:rPr>
              <w:fldChar w:fldCharType="end"/>
            </w:r>
          </w:hyperlink>
        </w:p>
        <w:p w14:paraId="60737535" w14:textId="6460DD7A"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90" w:history="1">
            <w:r w:rsidR="003920C8" w:rsidRPr="009D1610">
              <w:rPr>
                <w:rStyle w:val="Hyperlink"/>
                <w:noProof/>
              </w:rPr>
              <w:t>Recommendations for Financial Management</w:t>
            </w:r>
            <w:r w:rsidR="003920C8">
              <w:rPr>
                <w:noProof/>
                <w:webHidden/>
              </w:rPr>
              <w:tab/>
            </w:r>
            <w:r w:rsidR="003920C8">
              <w:rPr>
                <w:noProof/>
                <w:webHidden/>
              </w:rPr>
              <w:fldChar w:fldCharType="begin"/>
            </w:r>
            <w:r w:rsidR="003920C8">
              <w:rPr>
                <w:noProof/>
                <w:webHidden/>
              </w:rPr>
              <w:instrText xml:space="preserve"> PAGEREF _Toc201711990 \h </w:instrText>
            </w:r>
            <w:r w:rsidR="003920C8">
              <w:rPr>
                <w:noProof/>
                <w:webHidden/>
              </w:rPr>
            </w:r>
            <w:r w:rsidR="003920C8">
              <w:rPr>
                <w:noProof/>
                <w:webHidden/>
              </w:rPr>
              <w:fldChar w:fldCharType="separate"/>
            </w:r>
            <w:r w:rsidR="003920C8">
              <w:rPr>
                <w:noProof/>
                <w:webHidden/>
              </w:rPr>
              <w:t>11</w:t>
            </w:r>
            <w:r w:rsidR="003920C8">
              <w:rPr>
                <w:noProof/>
                <w:webHidden/>
              </w:rPr>
              <w:fldChar w:fldCharType="end"/>
            </w:r>
          </w:hyperlink>
        </w:p>
        <w:p w14:paraId="48645F93" w14:textId="4FC39A98" w:rsidR="003920C8" w:rsidRDefault="0074660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1711991" w:history="1">
            <w:r w:rsidR="003920C8" w:rsidRPr="009D1610">
              <w:rPr>
                <w:rStyle w:val="Hyperlink"/>
                <w:noProof/>
              </w:rPr>
              <w:t>Part 2</w:t>
            </w:r>
            <w:r w:rsidR="003920C8">
              <w:rPr>
                <w:noProof/>
                <w:webHidden/>
              </w:rPr>
              <w:tab/>
            </w:r>
            <w:r w:rsidR="003920C8">
              <w:rPr>
                <w:noProof/>
                <w:webHidden/>
              </w:rPr>
              <w:fldChar w:fldCharType="begin"/>
            </w:r>
            <w:r w:rsidR="003920C8">
              <w:rPr>
                <w:noProof/>
                <w:webHidden/>
              </w:rPr>
              <w:instrText xml:space="preserve"> PAGEREF _Toc201711991 \h </w:instrText>
            </w:r>
            <w:r w:rsidR="003920C8">
              <w:rPr>
                <w:noProof/>
                <w:webHidden/>
              </w:rPr>
            </w:r>
            <w:r w:rsidR="003920C8">
              <w:rPr>
                <w:noProof/>
                <w:webHidden/>
              </w:rPr>
              <w:fldChar w:fldCharType="separate"/>
            </w:r>
            <w:r w:rsidR="003920C8">
              <w:rPr>
                <w:noProof/>
                <w:webHidden/>
              </w:rPr>
              <w:t>12</w:t>
            </w:r>
            <w:r w:rsidR="003920C8">
              <w:rPr>
                <w:noProof/>
                <w:webHidden/>
              </w:rPr>
              <w:fldChar w:fldCharType="end"/>
            </w:r>
          </w:hyperlink>
        </w:p>
        <w:p w14:paraId="4DB364C4" w14:textId="3037F79B"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92" w:history="1">
            <w:r w:rsidR="003920C8" w:rsidRPr="009D1610">
              <w:rPr>
                <w:rStyle w:val="Hyperlink"/>
                <w:noProof/>
              </w:rPr>
              <w:t>Investment Appraisal (NPV and IRR Evaluation)</w:t>
            </w:r>
            <w:r w:rsidR="003920C8">
              <w:rPr>
                <w:noProof/>
                <w:webHidden/>
              </w:rPr>
              <w:tab/>
            </w:r>
            <w:r w:rsidR="003920C8">
              <w:rPr>
                <w:noProof/>
                <w:webHidden/>
              </w:rPr>
              <w:fldChar w:fldCharType="begin"/>
            </w:r>
            <w:r w:rsidR="003920C8">
              <w:rPr>
                <w:noProof/>
                <w:webHidden/>
              </w:rPr>
              <w:instrText xml:space="preserve"> PAGEREF _Toc201711992 \h </w:instrText>
            </w:r>
            <w:r w:rsidR="003920C8">
              <w:rPr>
                <w:noProof/>
                <w:webHidden/>
              </w:rPr>
            </w:r>
            <w:r w:rsidR="003920C8">
              <w:rPr>
                <w:noProof/>
                <w:webHidden/>
              </w:rPr>
              <w:fldChar w:fldCharType="separate"/>
            </w:r>
            <w:r w:rsidR="003920C8">
              <w:rPr>
                <w:noProof/>
                <w:webHidden/>
              </w:rPr>
              <w:t>12</w:t>
            </w:r>
            <w:r w:rsidR="003920C8">
              <w:rPr>
                <w:noProof/>
                <w:webHidden/>
              </w:rPr>
              <w:fldChar w:fldCharType="end"/>
            </w:r>
          </w:hyperlink>
        </w:p>
        <w:p w14:paraId="762D8F49" w14:textId="45E813B4"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93" w:history="1">
            <w:r w:rsidR="003920C8" w:rsidRPr="009D1610">
              <w:rPr>
                <w:rStyle w:val="Hyperlink"/>
                <w:noProof/>
              </w:rPr>
              <w:t>Approximate IRR Confirmation and Interpretation</w:t>
            </w:r>
            <w:r w:rsidR="003920C8">
              <w:rPr>
                <w:noProof/>
                <w:webHidden/>
              </w:rPr>
              <w:tab/>
            </w:r>
            <w:r w:rsidR="003920C8">
              <w:rPr>
                <w:noProof/>
                <w:webHidden/>
              </w:rPr>
              <w:fldChar w:fldCharType="begin"/>
            </w:r>
            <w:r w:rsidR="003920C8">
              <w:rPr>
                <w:noProof/>
                <w:webHidden/>
              </w:rPr>
              <w:instrText xml:space="preserve"> PAGEREF _Toc201711993 \h </w:instrText>
            </w:r>
            <w:r w:rsidR="003920C8">
              <w:rPr>
                <w:noProof/>
                <w:webHidden/>
              </w:rPr>
            </w:r>
            <w:r w:rsidR="003920C8">
              <w:rPr>
                <w:noProof/>
                <w:webHidden/>
              </w:rPr>
              <w:fldChar w:fldCharType="separate"/>
            </w:r>
            <w:r w:rsidR="003920C8">
              <w:rPr>
                <w:noProof/>
                <w:webHidden/>
              </w:rPr>
              <w:t>13</w:t>
            </w:r>
            <w:r w:rsidR="003920C8">
              <w:rPr>
                <w:noProof/>
                <w:webHidden/>
              </w:rPr>
              <w:fldChar w:fldCharType="end"/>
            </w:r>
          </w:hyperlink>
        </w:p>
        <w:p w14:paraId="4CDEECCA" w14:textId="49A42984"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94" w:history="1">
            <w:r w:rsidR="003920C8" w:rsidRPr="009D1610">
              <w:rPr>
                <w:rStyle w:val="Hyperlink"/>
                <w:noProof/>
              </w:rPr>
              <w:t>Critical Comparison of NPV vs. Other Investment Appraisal Methods</w:t>
            </w:r>
            <w:r w:rsidR="003920C8">
              <w:rPr>
                <w:noProof/>
                <w:webHidden/>
              </w:rPr>
              <w:tab/>
            </w:r>
            <w:r w:rsidR="003920C8">
              <w:rPr>
                <w:noProof/>
                <w:webHidden/>
              </w:rPr>
              <w:fldChar w:fldCharType="begin"/>
            </w:r>
            <w:r w:rsidR="003920C8">
              <w:rPr>
                <w:noProof/>
                <w:webHidden/>
              </w:rPr>
              <w:instrText xml:space="preserve"> PAGEREF _Toc201711994 \h </w:instrText>
            </w:r>
            <w:r w:rsidR="003920C8">
              <w:rPr>
                <w:noProof/>
                <w:webHidden/>
              </w:rPr>
            </w:r>
            <w:r w:rsidR="003920C8">
              <w:rPr>
                <w:noProof/>
                <w:webHidden/>
              </w:rPr>
              <w:fldChar w:fldCharType="separate"/>
            </w:r>
            <w:r w:rsidR="003920C8">
              <w:rPr>
                <w:noProof/>
                <w:webHidden/>
              </w:rPr>
              <w:t>14</w:t>
            </w:r>
            <w:r w:rsidR="003920C8">
              <w:rPr>
                <w:noProof/>
                <w:webHidden/>
              </w:rPr>
              <w:fldChar w:fldCharType="end"/>
            </w:r>
          </w:hyperlink>
        </w:p>
        <w:p w14:paraId="1F2ED23C" w14:textId="6B485211"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95" w:history="1">
            <w:r w:rsidR="003920C8" w:rsidRPr="009D1610">
              <w:rPr>
                <w:rStyle w:val="Hyperlink"/>
                <w:noProof/>
              </w:rPr>
              <w:t>Consideration of Qualitative Factors in Investment Decisions</w:t>
            </w:r>
            <w:r w:rsidR="003920C8">
              <w:rPr>
                <w:noProof/>
                <w:webHidden/>
              </w:rPr>
              <w:tab/>
            </w:r>
            <w:r w:rsidR="003920C8">
              <w:rPr>
                <w:noProof/>
                <w:webHidden/>
              </w:rPr>
              <w:fldChar w:fldCharType="begin"/>
            </w:r>
            <w:r w:rsidR="003920C8">
              <w:rPr>
                <w:noProof/>
                <w:webHidden/>
              </w:rPr>
              <w:instrText xml:space="preserve"> PAGEREF _Toc201711995 \h </w:instrText>
            </w:r>
            <w:r w:rsidR="003920C8">
              <w:rPr>
                <w:noProof/>
                <w:webHidden/>
              </w:rPr>
            </w:r>
            <w:r w:rsidR="003920C8">
              <w:rPr>
                <w:noProof/>
                <w:webHidden/>
              </w:rPr>
              <w:fldChar w:fldCharType="separate"/>
            </w:r>
            <w:r w:rsidR="003920C8">
              <w:rPr>
                <w:noProof/>
                <w:webHidden/>
              </w:rPr>
              <w:t>15</w:t>
            </w:r>
            <w:r w:rsidR="003920C8">
              <w:rPr>
                <w:noProof/>
                <w:webHidden/>
              </w:rPr>
              <w:fldChar w:fldCharType="end"/>
            </w:r>
          </w:hyperlink>
        </w:p>
        <w:p w14:paraId="6243FAE5" w14:textId="0C79DD63"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96" w:history="1">
            <w:r w:rsidR="003920C8" w:rsidRPr="009D1610">
              <w:rPr>
                <w:rStyle w:val="Hyperlink"/>
                <w:noProof/>
              </w:rPr>
              <w:t>Capital Rationing and Optimal Investment Portfolio</w:t>
            </w:r>
            <w:r w:rsidR="003920C8">
              <w:rPr>
                <w:noProof/>
                <w:webHidden/>
              </w:rPr>
              <w:tab/>
            </w:r>
            <w:r w:rsidR="003920C8">
              <w:rPr>
                <w:noProof/>
                <w:webHidden/>
              </w:rPr>
              <w:fldChar w:fldCharType="begin"/>
            </w:r>
            <w:r w:rsidR="003920C8">
              <w:rPr>
                <w:noProof/>
                <w:webHidden/>
              </w:rPr>
              <w:instrText xml:space="preserve"> PAGEREF _Toc201711996 \h </w:instrText>
            </w:r>
            <w:r w:rsidR="003920C8">
              <w:rPr>
                <w:noProof/>
                <w:webHidden/>
              </w:rPr>
            </w:r>
            <w:r w:rsidR="003920C8">
              <w:rPr>
                <w:noProof/>
                <w:webHidden/>
              </w:rPr>
              <w:fldChar w:fldCharType="separate"/>
            </w:r>
            <w:r w:rsidR="003920C8">
              <w:rPr>
                <w:noProof/>
                <w:webHidden/>
              </w:rPr>
              <w:t>16</w:t>
            </w:r>
            <w:r w:rsidR="003920C8">
              <w:rPr>
                <w:noProof/>
                <w:webHidden/>
              </w:rPr>
              <w:fldChar w:fldCharType="end"/>
            </w:r>
          </w:hyperlink>
        </w:p>
        <w:p w14:paraId="64FD1EBF" w14:textId="3046767E"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1997" w:history="1">
            <w:r w:rsidR="003920C8" w:rsidRPr="009D1610">
              <w:rPr>
                <w:rStyle w:val="Hyperlink"/>
                <w:noProof/>
              </w:rPr>
              <w:t>Financing the Investment Programme</w:t>
            </w:r>
            <w:r w:rsidR="003920C8">
              <w:rPr>
                <w:noProof/>
                <w:webHidden/>
              </w:rPr>
              <w:tab/>
            </w:r>
            <w:r w:rsidR="003920C8">
              <w:rPr>
                <w:noProof/>
                <w:webHidden/>
              </w:rPr>
              <w:fldChar w:fldCharType="begin"/>
            </w:r>
            <w:r w:rsidR="003920C8">
              <w:rPr>
                <w:noProof/>
                <w:webHidden/>
              </w:rPr>
              <w:instrText xml:space="preserve"> PAGEREF _Toc201711997 \h </w:instrText>
            </w:r>
            <w:r w:rsidR="003920C8">
              <w:rPr>
                <w:noProof/>
                <w:webHidden/>
              </w:rPr>
            </w:r>
            <w:r w:rsidR="003920C8">
              <w:rPr>
                <w:noProof/>
                <w:webHidden/>
              </w:rPr>
              <w:fldChar w:fldCharType="separate"/>
            </w:r>
            <w:r w:rsidR="003920C8">
              <w:rPr>
                <w:noProof/>
                <w:webHidden/>
              </w:rPr>
              <w:t>16</w:t>
            </w:r>
            <w:r w:rsidR="003920C8">
              <w:rPr>
                <w:noProof/>
                <w:webHidden/>
              </w:rPr>
              <w:fldChar w:fldCharType="end"/>
            </w:r>
          </w:hyperlink>
        </w:p>
        <w:p w14:paraId="5D917361" w14:textId="20821D5C" w:rsidR="003920C8" w:rsidRDefault="0074660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1711998" w:history="1">
            <w:r w:rsidR="003920C8" w:rsidRPr="009D1610">
              <w:rPr>
                <w:rStyle w:val="Hyperlink"/>
                <w:noProof/>
              </w:rPr>
              <w:t>Conclusion</w:t>
            </w:r>
            <w:r w:rsidR="003920C8">
              <w:rPr>
                <w:noProof/>
                <w:webHidden/>
              </w:rPr>
              <w:tab/>
            </w:r>
            <w:r w:rsidR="003920C8">
              <w:rPr>
                <w:noProof/>
                <w:webHidden/>
              </w:rPr>
              <w:fldChar w:fldCharType="begin"/>
            </w:r>
            <w:r w:rsidR="003920C8">
              <w:rPr>
                <w:noProof/>
                <w:webHidden/>
              </w:rPr>
              <w:instrText xml:space="preserve"> PAGEREF _Toc201711998 \h </w:instrText>
            </w:r>
            <w:r w:rsidR="003920C8">
              <w:rPr>
                <w:noProof/>
                <w:webHidden/>
              </w:rPr>
            </w:r>
            <w:r w:rsidR="003920C8">
              <w:rPr>
                <w:noProof/>
                <w:webHidden/>
              </w:rPr>
              <w:fldChar w:fldCharType="separate"/>
            </w:r>
            <w:r w:rsidR="003920C8">
              <w:rPr>
                <w:noProof/>
                <w:webHidden/>
              </w:rPr>
              <w:t>17</w:t>
            </w:r>
            <w:r w:rsidR="003920C8">
              <w:rPr>
                <w:noProof/>
                <w:webHidden/>
              </w:rPr>
              <w:fldChar w:fldCharType="end"/>
            </w:r>
          </w:hyperlink>
        </w:p>
        <w:p w14:paraId="300442F4" w14:textId="151D8980" w:rsidR="003920C8" w:rsidRDefault="0074660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1711999" w:history="1">
            <w:r w:rsidR="00431AEE">
              <w:rPr>
                <w:rStyle w:val="Hyperlink"/>
                <w:noProof/>
              </w:rPr>
              <w:t>Bibliography</w:t>
            </w:r>
            <w:r w:rsidR="003920C8">
              <w:rPr>
                <w:noProof/>
                <w:webHidden/>
              </w:rPr>
              <w:tab/>
            </w:r>
            <w:r w:rsidR="003920C8">
              <w:rPr>
                <w:noProof/>
                <w:webHidden/>
              </w:rPr>
              <w:fldChar w:fldCharType="begin"/>
            </w:r>
            <w:r w:rsidR="003920C8">
              <w:rPr>
                <w:noProof/>
                <w:webHidden/>
              </w:rPr>
              <w:instrText xml:space="preserve"> PAGEREF _Toc201711999 \h </w:instrText>
            </w:r>
            <w:r w:rsidR="003920C8">
              <w:rPr>
                <w:noProof/>
                <w:webHidden/>
              </w:rPr>
            </w:r>
            <w:r w:rsidR="003920C8">
              <w:rPr>
                <w:noProof/>
                <w:webHidden/>
              </w:rPr>
              <w:fldChar w:fldCharType="separate"/>
            </w:r>
            <w:r w:rsidR="003920C8">
              <w:rPr>
                <w:noProof/>
                <w:webHidden/>
              </w:rPr>
              <w:t>19</w:t>
            </w:r>
            <w:r w:rsidR="003920C8">
              <w:rPr>
                <w:noProof/>
                <w:webHidden/>
              </w:rPr>
              <w:fldChar w:fldCharType="end"/>
            </w:r>
          </w:hyperlink>
        </w:p>
        <w:p w14:paraId="2E896801" w14:textId="35A5D7AD" w:rsidR="003920C8" w:rsidRDefault="0074660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1712000" w:history="1">
            <w:r w:rsidR="003920C8" w:rsidRPr="009D1610">
              <w:rPr>
                <w:rStyle w:val="Hyperlink"/>
                <w:noProof/>
              </w:rPr>
              <w:t>Appendices</w:t>
            </w:r>
            <w:r w:rsidR="003920C8">
              <w:rPr>
                <w:noProof/>
                <w:webHidden/>
              </w:rPr>
              <w:tab/>
            </w:r>
            <w:r w:rsidR="003920C8">
              <w:rPr>
                <w:noProof/>
                <w:webHidden/>
              </w:rPr>
              <w:fldChar w:fldCharType="begin"/>
            </w:r>
            <w:r w:rsidR="003920C8">
              <w:rPr>
                <w:noProof/>
                <w:webHidden/>
              </w:rPr>
              <w:instrText xml:space="preserve"> PAGEREF _Toc201712000 \h </w:instrText>
            </w:r>
            <w:r w:rsidR="003920C8">
              <w:rPr>
                <w:noProof/>
                <w:webHidden/>
              </w:rPr>
            </w:r>
            <w:r w:rsidR="003920C8">
              <w:rPr>
                <w:noProof/>
                <w:webHidden/>
              </w:rPr>
              <w:fldChar w:fldCharType="separate"/>
            </w:r>
            <w:r w:rsidR="003920C8">
              <w:rPr>
                <w:noProof/>
                <w:webHidden/>
              </w:rPr>
              <w:t>23</w:t>
            </w:r>
            <w:r w:rsidR="003920C8">
              <w:rPr>
                <w:noProof/>
                <w:webHidden/>
              </w:rPr>
              <w:fldChar w:fldCharType="end"/>
            </w:r>
          </w:hyperlink>
        </w:p>
        <w:p w14:paraId="6867AE46" w14:textId="2D677E97"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1" w:history="1">
            <w:r w:rsidR="003920C8" w:rsidRPr="009D1610">
              <w:rPr>
                <w:rStyle w:val="Hyperlink"/>
                <w:noProof/>
              </w:rPr>
              <w:t>Appendix 1 Group Income Statement</w:t>
            </w:r>
            <w:r w:rsidR="003920C8">
              <w:rPr>
                <w:noProof/>
                <w:webHidden/>
              </w:rPr>
              <w:tab/>
            </w:r>
            <w:r w:rsidR="003920C8">
              <w:rPr>
                <w:noProof/>
                <w:webHidden/>
              </w:rPr>
              <w:fldChar w:fldCharType="begin"/>
            </w:r>
            <w:r w:rsidR="003920C8">
              <w:rPr>
                <w:noProof/>
                <w:webHidden/>
              </w:rPr>
              <w:instrText xml:space="preserve"> PAGEREF _Toc201712001 \h </w:instrText>
            </w:r>
            <w:r w:rsidR="003920C8">
              <w:rPr>
                <w:noProof/>
                <w:webHidden/>
              </w:rPr>
            </w:r>
            <w:r w:rsidR="003920C8">
              <w:rPr>
                <w:noProof/>
                <w:webHidden/>
              </w:rPr>
              <w:fldChar w:fldCharType="separate"/>
            </w:r>
            <w:r w:rsidR="003920C8">
              <w:rPr>
                <w:noProof/>
                <w:webHidden/>
              </w:rPr>
              <w:t>23</w:t>
            </w:r>
            <w:r w:rsidR="003920C8">
              <w:rPr>
                <w:noProof/>
                <w:webHidden/>
              </w:rPr>
              <w:fldChar w:fldCharType="end"/>
            </w:r>
          </w:hyperlink>
        </w:p>
        <w:p w14:paraId="6C95B14F" w14:textId="4A85E8D0"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2" w:history="1">
            <w:r w:rsidR="003920C8" w:rsidRPr="009D1610">
              <w:rPr>
                <w:rStyle w:val="Hyperlink"/>
                <w:noProof/>
              </w:rPr>
              <w:t>Appendix 2 Group Balance Sheet</w:t>
            </w:r>
            <w:r w:rsidR="003920C8">
              <w:rPr>
                <w:noProof/>
                <w:webHidden/>
              </w:rPr>
              <w:tab/>
            </w:r>
            <w:r w:rsidR="003920C8">
              <w:rPr>
                <w:noProof/>
                <w:webHidden/>
              </w:rPr>
              <w:fldChar w:fldCharType="begin"/>
            </w:r>
            <w:r w:rsidR="003920C8">
              <w:rPr>
                <w:noProof/>
                <w:webHidden/>
              </w:rPr>
              <w:instrText xml:space="preserve"> PAGEREF _Toc201712002 \h </w:instrText>
            </w:r>
            <w:r w:rsidR="003920C8">
              <w:rPr>
                <w:noProof/>
                <w:webHidden/>
              </w:rPr>
            </w:r>
            <w:r w:rsidR="003920C8">
              <w:rPr>
                <w:noProof/>
                <w:webHidden/>
              </w:rPr>
              <w:fldChar w:fldCharType="separate"/>
            </w:r>
            <w:r w:rsidR="003920C8">
              <w:rPr>
                <w:noProof/>
                <w:webHidden/>
              </w:rPr>
              <w:t>24</w:t>
            </w:r>
            <w:r w:rsidR="003920C8">
              <w:rPr>
                <w:noProof/>
                <w:webHidden/>
              </w:rPr>
              <w:fldChar w:fldCharType="end"/>
            </w:r>
          </w:hyperlink>
        </w:p>
        <w:p w14:paraId="45C00388" w14:textId="787D0E85"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3" w:history="1">
            <w:r w:rsidR="003920C8" w:rsidRPr="009D1610">
              <w:rPr>
                <w:rStyle w:val="Hyperlink"/>
                <w:noProof/>
              </w:rPr>
              <w:t>Appendix 3 Ratio Calculation</w:t>
            </w:r>
            <w:r w:rsidR="003920C8">
              <w:rPr>
                <w:noProof/>
                <w:webHidden/>
              </w:rPr>
              <w:tab/>
            </w:r>
            <w:r w:rsidR="003920C8">
              <w:rPr>
                <w:noProof/>
                <w:webHidden/>
              </w:rPr>
              <w:fldChar w:fldCharType="begin"/>
            </w:r>
            <w:r w:rsidR="003920C8">
              <w:rPr>
                <w:noProof/>
                <w:webHidden/>
              </w:rPr>
              <w:instrText xml:space="preserve"> PAGEREF _Toc201712003 \h </w:instrText>
            </w:r>
            <w:r w:rsidR="003920C8">
              <w:rPr>
                <w:noProof/>
                <w:webHidden/>
              </w:rPr>
            </w:r>
            <w:r w:rsidR="003920C8">
              <w:rPr>
                <w:noProof/>
                <w:webHidden/>
              </w:rPr>
              <w:fldChar w:fldCharType="separate"/>
            </w:r>
            <w:r w:rsidR="003920C8">
              <w:rPr>
                <w:noProof/>
                <w:webHidden/>
              </w:rPr>
              <w:t>25</w:t>
            </w:r>
            <w:r w:rsidR="003920C8">
              <w:rPr>
                <w:noProof/>
                <w:webHidden/>
              </w:rPr>
              <w:fldChar w:fldCharType="end"/>
            </w:r>
          </w:hyperlink>
        </w:p>
        <w:p w14:paraId="72545E88" w14:textId="38B7B6A7"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4" w:history="1">
            <w:r w:rsidR="003920C8" w:rsidRPr="009D1610">
              <w:rPr>
                <w:rStyle w:val="Hyperlink"/>
                <w:noProof/>
              </w:rPr>
              <w:t>Appendix 4 Investment Analysis of Option A</w:t>
            </w:r>
            <w:r w:rsidR="003920C8">
              <w:rPr>
                <w:noProof/>
                <w:webHidden/>
              </w:rPr>
              <w:tab/>
            </w:r>
            <w:r w:rsidR="003920C8">
              <w:rPr>
                <w:noProof/>
                <w:webHidden/>
              </w:rPr>
              <w:fldChar w:fldCharType="begin"/>
            </w:r>
            <w:r w:rsidR="003920C8">
              <w:rPr>
                <w:noProof/>
                <w:webHidden/>
              </w:rPr>
              <w:instrText xml:space="preserve"> PAGEREF _Toc201712004 \h </w:instrText>
            </w:r>
            <w:r w:rsidR="003920C8">
              <w:rPr>
                <w:noProof/>
                <w:webHidden/>
              </w:rPr>
            </w:r>
            <w:r w:rsidR="003920C8">
              <w:rPr>
                <w:noProof/>
                <w:webHidden/>
              </w:rPr>
              <w:fldChar w:fldCharType="separate"/>
            </w:r>
            <w:r w:rsidR="003920C8">
              <w:rPr>
                <w:noProof/>
                <w:webHidden/>
              </w:rPr>
              <w:t>26</w:t>
            </w:r>
            <w:r w:rsidR="003920C8">
              <w:rPr>
                <w:noProof/>
                <w:webHidden/>
              </w:rPr>
              <w:fldChar w:fldCharType="end"/>
            </w:r>
          </w:hyperlink>
        </w:p>
        <w:p w14:paraId="29BB775A" w14:textId="06D63FE8"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5" w:history="1">
            <w:r w:rsidR="003920C8" w:rsidRPr="009D1610">
              <w:rPr>
                <w:rStyle w:val="Hyperlink"/>
                <w:noProof/>
              </w:rPr>
              <w:t>Appendix 5 Investment Analysis of Option B</w:t>
            </w:r>
            <w:r w:rsidR="003920C8">
              <w:rPr>
                <w:noProof/>
                <w:webHidden/>
              </w:rPr>
              <w:tab/>
            </w:r>
            <w:r w:rsidR="003920C8">
              <w:rPr>
                <w:noProof/>
                <w:webHidden/>
              </w:rPr>
              <w:fldChar w:fldCharType="begin"/>
            </w:r>
            <w:r w:rsidR="003920C8">
              <w:rPr>
                <w:noProof/>
                <w:webHidden/>
              </w:rPr>
              <w:instrText xml:space="preserve"> PAGEREF _Toc201712005 \h </w:instrText>
            </w:r>
            <w:r w:rsidR="003920C8">
              <w:rPr>
                <w:noProof/>
                <w:webHidden/>
              </w:rPr>
            </w:r>
            <w:r w:rsidR="003920C8">
              <w:rPr>
                <w:noProof/>
                <w:webHidden/>
              </w:rPr>
              <w:fldChar w:fldCharType="separate"/>
            </w:r>
            <w:r w:rsidR="003920C8">
              <w:rPr>
                <w:noProof/>
                <w:webHidden/>
              </w:rPr>
              <w:t>26</w:t>
            </w:r>
            <w:r w:rsidR="003920C8">
              <w:rPr>
                <w:noProof/>
                <w:webHidden/>
              </w:rPr>
              <w:fldChar w:fldCharType="end"/>
            </w:r>
          </w:hyperlink>
        </w:p>
        <w:p w14:paraId="17DE798F" w14:textId="14F47D52"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6" w:history="1">
            <w:r w:rsidR="003920C8" w:rsidRPr="009D1610">
              <w:rPr>
                <w:rStyle w:val="Hyperlink"/>
                <w:noProof/>
              </w:rPr>
              <w:t>Appendix 6 Investment Analysis of Option C</w:t>
            </w:r>
            <w:r w:rsidR="003920C8">
              <w:rPr>
                <w:noProof/>
                <w:webHidden/>
              </w:rPr>
              <w:tab/>
            </w:r>
            <w:r w:rsidR="003920C8">
              <w:rPr>
                <w:noProof/>
                <w:webHidden/>
              </w:rPr>
              <w:fldChar w:fldCharType="begin"/>
            </w:r>
            <w:r w:rsidR="003920C8">
              <w:rPr>
                <w:noProof/>
                <w:webHidden/>
              </w:rPr>
              <w:instrText xml:space="preserve"> PAGEREF _Toc201712006 \h </w:instrText>
            </w:r>
            <w:r w:rsidR="003920C8">
              <w:rPr>
                <w:noProof/>
                <w:webHidden/>
              </w:rPr>
            </w:r>
            <w:r w:rsidR="003920C8">
              <w:rPr>
                <w:noProof/>
                <w:webHidden/>
              </w:rPr>
              <w:fldChar w:fldCharType="separate"/>
            </w:r>
            <w:r w:rsidR="003920C8">
              <w:rPr>
                <w:noProof/>
                <w:webHidden/>
              </w:rPr>
              <w:t>26</w:t>
            </w:r>
            <w:r w:rsidR="003920C8">
              <w:rPr>
                <w:noProof/>
                <w:webHidden/>
              </w:rPr>
              <w:fldChar w:fldCharType="end"/>
            </w:r>
          </w:hyperlink>
        </w:p>
        <w:p w14:paraId="4CEA2FD3" w14:textId="620EB852"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7" w:history="1">
            <w:r w:rsidR="003920C8" w:rsidRPr="009D1610">
              <w:rPr>
                <w:rStyle w:val="Hyperlink"/>
                <w:noProof/>
              </w:rPr>
              <w:t>Appendix 7 Capital Rationing (Optimum Capital Allocation)</w:t>
            </w:r>
            <w:r w:rsidR="003920C8">
              <w:rPr>
                <w:noProof/>
                <w:webHidden/>
              </w:rPr>
              <w:tab/>
            </w:r>
            <w:r w:rsidR="003920C8">
              <w:rPr>
                <w:noProof/>
                <w:webHidden/>
              </w:rPr>
              <w:fldChar w:fldCharType="begin"/>
            </w:r>
            <w:r w:rsidR="003920C8">
              <w:rPr>
                <w:noProof/>
                <w:webHidden/>
              </w:rPr>
              <w:instrText xml:space="preserve"> PAGEREF _Toc201712007 \h </w:instrText>
            </w:r>
            <w:r w:rsidR="003920C8">
              <w:rPr>
                <w:noProof/>
                <w:webHidden/>
              </w:rPr>
            </w:r>
            <w:r w:rsidR="003920C8">
              <w:rPr>
                <w:noProof/>
                <w:webHidden/>
              </w:rPr>
              <w:fldChar w:fldCharType="separate"/>
            </w:r>
            <w:r w:rsidR="003920C8">
              <w:rPr>
                <w:noProof/>
                <w:webHidden/>
              </w:rPr>
              <w:t>27</w:t>
            </w:r>
            <w:r w:rsidR="003920C8">
              <w:rPr>
                <w:noProof/>
                <w:webHidden/>
              </w:rPr>
              <w:fldChar w:fldCharType="end"/>
            </w:r>
          </w:hyperlink>
        </w:p>
        <w:p w14:paraId="4F39996D" w14:textId="51EAB7A5" w:rsidR="003920C8" w:rsidRDefault="0074660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01712008" w:history="1">
            <w:r w:rsidR="003920C8" w:rsidRPr="009D1610">
              <w:rPr>
                <w:rStyle w:val="Hyperlink"/>
                <w:noProof/>
              </w:rPr>
              <w:t>Appendix 8: AI Declaration:</w:t>
            </w:r>
            <w:r w:rsidR="003920C8">
              <w:rPr>
                <w:noProof/>
                <w:webHidden/>
              </w:rPr>
              <w:tab/>
            </w:r>
            <w:r w:rsidR="003920C8">
              <w:rPr>
                <w:noProof/>
                <w:webHidden/>
              </w:rPr>
              <w:fldChar w:fldCharType="begin"/>
            </w:r>
            <w:r w:rsidR="003920C8">
              <w:rPr>
                <w:noProof/>
                <w:webHidden/>
              </w:rPr>
              <w:instrText xml:space="preserve"> PAGEREF _Toc201712008 \h </w:instrText>
            </w:r>
            <w:r w:rsidR="003920C8">
              <w:rPr>
                <w:noProof/>
                <w:webHidden/>
              </w:rPr>
            </w:r>
            <w:r w:rsidR="003920C8">
              <w:rPr>
                <w:noProof/>
                <w:webHidden/>
              </w:rPr>
              <w:fldChar w:fldCharType="separate"/>
            </w:r>
            <w:r w:rsidR="003920C8">
              <w:rPr>
                <w:noProof/>
                <w:webHidden/>
              </w:rPr>
              <w:t>28</w:t>
            </w:r>
            <w:r w:rsidR="003920C8">
              <w:rPr>
                <w:noProof/>
                <w:webHidden/>
              </w:rPr>
              <w:fldChar w:fldCharType="end"/>
            </w:r>
          </w:hyperlink>
        </w:p>
        <w:p w14:paraId="7F208C32" w14:textId="6FBFDA63" w:rsidR="003920C8" w:rsidRDefault="00BA0127" w:rsidP="003920C8">
          <w:pPr>
            <w:rPr>
              <w:b/>
              <w:bCs/>
              <w:noProof/>
            </w:rPr>
          </w:pPr>
          <w:r>
            <w:rPr>
              <w:b/>
              <w:bCs/>
              <w:noProof/>
            </w:rPr>
            <w:fldChar w:fldCharType="end"/>
          </w:r>
        </w:p>
      </w:sdtContent>
    </w:sdt>
    <w:p w14:paraId="23053A4E" w14:textId="5379B4F9" w:rsidR="00747A71" w:rsidRPr="003920C8" w:rsidRDefault="00747A71" w:rsidP="003920C8">
      <w:r>
        <w:br w:type="page"/>
      </w:r>
    </w:p>
    <w:p w14:paraId="41D5C407" w14:textId="7639D09E" w:rsidR="0079579F" w:rsidRDefault="00BA0127" w:rsidP="004D0A84">
      <w:pPr>
        <w:pStyle w:val="Heading1"/>
      </w:pPr>
      <w:bookmarkStart w:id="1" w:name="_Toc201711980"/>
      <w:r>
        <w:lastRenderedPageBreak/>
        <w:t>Introduction</w:t>
      </w:r>
      <w:bookmarkEnd w:id="1"/>
      <w:r>
        <w:t xml:space="preserve"> </w:t>
      </w:r>
    </w:p>
    <w:p w14:paraId="40CE0F25" w14:textId="77777777" w:rsidR="00621FDE" w:rsidRDefault="00BA0127" w:rsidP="004D0A84">
      <w:pPr>
        <w:spacing w:after="0"/>
      </w:pPr>
      <w:r>
        <w:t>Economic cycles and dynamics of a highly competitive global economy place informed financial decision-making at the centr</w:t>
      </w:r>
      <w:r w:rsidR="00BD2FEA">
        <w:t>e</w:t>
      </w:r>
      <w:r>
        <w:t xml:space="preserve"> of profitable and sustainable business decision activity. Financial instruments and metrics are essential for directing strategic direction, whether evaluating past company performance or determining future investment opportunities. The following report intends to exercise critical thinking about the financial information on two but interrelated activities, wherein the former (Part 1) will consist of verifying the past performance of the company based on ratio analysis, and the latter (Part 2) will involve techniques that will be applied to capital budgeting in the future.</w:t>
      </w:r>
    </w:p>
    <w:p w14:paraId="3C27C6AC" w14:textId="77777777" w:rsidR="00621FDE" w:rsidRDefault="00BA0127" w:rsidP="004D0A84">
      <w:pPr>
        <w:spacing w:after="0"/>
      </w:pPr>
      <w:r>
        <w:t>In Part 1, a financial analysis will be conducted on a publicly listed FTSE 100 company in the oil and gas industry, namely British Petroleum (BP). Key financial ratios, calculated and critically discussed using the company's consolidated income statement and balance sheet for 2023 and 2024, include profitability, liquidity, gearing, efficiency, and investor returns. In its most basic definition, ratio analysis can be understood as a data interpretation and comparison method that provides information about the health of operations, solvency, and value creation, measured over a specific period, of a company. Nevertheless, although ratios are powerful, they are not without flaws. Part 1 addresses these limitations and provides tactical advice on restoring BP's financial management, especially in the context of capital, control over liquids, and wealth distribution among stockholders.</w:t>
      </w:r>
    </w:p>
    <w:p w14:paraId="5CFD9238" w14:textId="77777777" w:rsidR="00C37979" w:rsidRDefault="00BA0127" w:rsidP="004D0A84">
      <w:pPr>
        <w:spacing w:after="0"/>
      </w:pPr>
      <w:r>
        <w:t>Part 2 presents a forward-looking view, incorporating capital investment appraisal methods into the analysis of three proposed expansion options. All alternatives can differ according to the amount of capital required, estimated cash flows received, and strategic implications. Financial analysis of each project, conducted through Net Present Value (NPV) and Internal Rate of Return (IRR) approaches, revealed that Option C would be more value-prosperous than the other projects. In addition to the quantitative analysis, Part 2 also considers qualitative aspects, including market fit, operational viability, and sustainability. The part concludes with an assessment of the best investment policy in the presence of capital rationing and an evaluation of effective financing strategies to fund the programme.</w:t>
      </w:r>
    </w:p>
    <w:p w14:paraId="06DF511A" w14:textId="77777777" w:rsidR="002F6A21" w:rsidRDefault="00BA0127" w:rsidP="004D0A84">
      <w:pPr>
        <w:spacing w:after="0"/>
      </w:pPr>
      <w:r>
        <w:t xml:space="preserve">The two halves of this assignment form a complete picture of financial decision-making, one that connects the past, present, and future. They note that quantitative rigour should be combined with </w:t>
      </w:r>
      <w:r>
        <w:lastRenderedPageBreak/>
        <w:t>a strategic perspective so that business managers can make decisions that not only pass the financial test but also align with what business organisations identify with in the long term.</w:t>
      </w:r>
    </w:p>
    <w:p w14:paraId="4037155B" w14:textId="77777777" w:rsidR="00525F72" w:rsidRDefault="00BA0127" w:rsidP="004D0A84">
      <w:pPr>
        <w:pStyle w:val="Heading1"/>
      </w:pPr>
      <w:bookmarkStart w:id="2" w:name="_Toc201711981"/>
      <w:r>
        <w:t>Part 1</w:t>
      </w:r>
      <w:bookmarkEnd w:id="2"/>
      <w:r>
        <w:t xml:space="preserve"> </w:t>
      </w:r>
    </w:p>
    <w:p w14:paraId="1C3B25C5" w14:textId="77777777" w:rsidR="00C56D3A" w:rsidRDefault="00BA0127" w:rsidP="002F6A21">
      <w:pPr>
        <w:spacing w:after="0"/>
      </w:pPr>
      <w:r>
        <w:t xml:space="preserve">British Petroleum (BP) is a multinational Energy Company, a member of the London Stock Exchange and the FTSE 100 index. Through exploration, production, refining, and distribution, BP plays a key role in the global energy market. Nevertheless, due to volatile markets and market forces to embrace sustainability, financial analysis is increasingly becoming crucial to the decisional process of the industry (Group, 2024) </w:t>
      </w:r>
    </w:p>
    <w:p w14:paraId="2424A4A6" w14:textId="77777777" w:rsidR="00C56D3A" w:rsidRDefault="00BA0127" w:rsidP="002F6A21">
      <w:pPr>
        <w:spacing w:after="0"/>
      </w:pPr>
      <w:r>
        <w:t>This report provides a critical analysis of BP's financial performance for the years 2023 and 2024, examining the ratios under the following major headings: profitability, liquidity, gearing, efficiency, and investor performance. It addresses the root causes, exposes financial issues, and provides data-driven advice to enhance BP's financial guidance.</w:t>
      </w:r>
    </w:p>
    <w:p w14:paraId="2CCD42FB" w14:textId="77777777" w:rsidR="00C56D3A" w:rsidRDefault="00BA0127" w:rsidP="003920C8">
      <w:pPr>
        <w:pStyle w:val="Heading2"/>
      </w:pPr>
      <w:bookmarkStart w:id="3" w:name="_Toc201711982"/>
      <w:r>
        <w:t>Ratio Analysis</w:t>
      </w:r>
      <w:bookmarkEnd w:id="3"/>
      <w:r>
        <w:t xml:space="preserve"> </w:t>
      </w:r>
    </w:p>
    <w:p w14:paraId="598F6662" w14:textId="77777777" w:rsidR="00C56D3A" w:rsidRPr="0079579F" w:rsidRDefault="00BA0127" w:rsidP="002F6A21">
      <w:pPr>
        <w:pStyle w:val="Heading3"/>
      </w:pPr>
      <w:bookmarkStart w:id="4" w:name="_Toc201711983"/>
      <w:r w:rsidRPr="0079579F">
        <w:t>Profitability Analysis</w:t>
      </w:r>
      <w:bookmarkEnd w:id="4"/>
      <w:r w:rsidRPr="0079579F">
        <w:t xml:space="preserve"> </w:t>
      </w:r>
    </w:p>
    <w:p w14:paraId="6D579737" w14:textId="77777777" w:rsidR="00C56D3A" w:rsidRDefault="00BA0127" w:rsidP="002F6A21">
      <w:pPr>
        <w:spacing w:after="0"/>
      </w:pPr>
      <w:r>
        <w:t>Profitability ratios are used to measure BP's capacity to generate profit from revenues, assets, and capital employed. Shareholders and management require these indicators, as they are vital to both short-term performance and long-term viability.</w:t>
      </w:r>
    </w:p>
    <w:p w14:paraId="5450FC1C" w14:textId="77777777" w:rsidR="00284656" w:rsidRDefault="00BA0127" w:rsidP="002F6A21">
      <w:pPr>
        <w:spacing w:after="0"/>
        <w:jc w:val="center"/>
      </w:pPr>
      <w:r>
        <w:rPr>
          <w:noProof/>
        </w:rPr>
        <w:drawing>
          <wp:inline distT="0" distB="0" distL="0" distR="0" wp14:anchorId="107D339E" wp14:editId="2E31F79C">
            <wp:extent cx="4572000" cy="2743200"/>
            <wp:effectExtent l="0" t="0" r="0" b="0"/>
            <wp:docPr id="1" name="Chart 1">
              <a:extLst xmlns:a="http://schemas.openxmlformats.org/drawingml/2006/main">
                <a:ext uri="{FF2B5EF4-FFF2-40B4-BE49-F238E27FC236}">
                  <a16:creationId xmlns:a16="http://schemas.microsoft.com/office/drawing/2014/main" id="{F56CF3DC-23F3-425F-B4E1-CE66476EE7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E4A400" w14:textId="77777777" w:rsidR="00284656" w:rsidRPr="002F6A21" w:rsidRDefault="00BA0127" w:rsidP="002F6A21">
      <w:pPr>
        <w:pStyle w:val="Caption"/>
        <w:spacing w:after="0" w:line="360" w:lineRule="auto"/>
        <w:jc w:val="center"/>
        <w:rPr>
          <w:b/>
          <w:bCs/>
          <w:i w:val="0"/>
          <w:iCs w:val="0"/>
          <w:color w:val="auto"/>
          <w:sz w:val="20"/>
          <w:szCs w:val="20"/>
        </w:rPr>
      </w:pPr>
      <w:bookmarkStart w:id="5" w:name="_Toc201622670"/>
      <w:r w:rsidRPr="002F6A21">
        <w:rPr>
          <w:b/>
          <w:bCs/>
          <w:i w:val="0"/>
          <w:iCs w:val="0"/>
          <w:color w:val="auto"/>
          <w:sz w:val="20"/>
          <w:szCs w:val="20"/>
        </w:rPr>
        <w:t xml:space="preserve">Figure </w:t>
      </w:r>
      <w:r w:rsidRPr="002F6A21">
        <w:rPr>
          <w:b/>
          <w:bCs/>
          <w:i w:val="0"/>
          <w:iCs w:val="0"/>
          <w:color w:val="auto"/>
          <w:sz w:val="20"/>
          <w:szCs w:val="20"/>
        </w:rPr>
        <w:fldChar w:fldCharType="begin"/>
      </w:r>
      <w:r w:rsidRPr="002F6A21">
        <w:rPr>
          <w:b/>
          <w:bCs/>
          <w:i w:val="0"/>
          <w:iCs w:val="0"/>
          <w:color w:val="auto"/>
          <w:sz w:val="20"/>
          <w:szCs w:val="20"/>
        </w:rPr>
        <w:instrText xml:space="preserve"> SEQ Figure \* ARABIC </w:instrText>
      </w:r>
      <w:r w:rsidRPr="002F6A21">
        <w:rPr>
          <w:b/>
          <w:bCs/>
          <w:i w:val="0"/>
          <w:iCs w:val="0"/>
          <w:color w:val="auto"/>
          <w:sz w:val="20"/>
          <w:szCs w:val="20"/>
        </w:rPr>
        <w:fldChar w:fldCharType="separate"/>
      </w:r>
      <w:r w:rsidR="001A4F48" w:rsidRPr="002F6A21">
        <w:rPr>
          <w:b/>
          <w:bCs/>
          <w:i w:val="0"/>
          <w:iCs w:val="0"/>
          <w:noProof/>
          <w:color w:val="auto"/>
          <w:sz w:val="20"/>
          <w:szCs w:val="20"/>
        </w:rPr>
        <w:t>1</w:t>
      </w:r>
      <w:r w:rsidRPr="002F6A21">
        <w:rPr>
          <w:b/>
          <w:bCs/>
          <w:i w:val="0"/>
          <w:iCs w:val="0"/>
          <w:color w:val="auto"/>
          <w:sz w:val="20"/>
          <w:szCs w:val="20"/>
        </w:rPr>
        <w:fldChar w:fldCharType="end"/>
      </w:r>
      <w:r w:rsidRPr="002F6A21">
        <w:rPr>
          <w:b/>
          <w:bCs/>
          <w:i w:val="0"/>
          <w:iCs w:val="0"/>
          <w:color w:val="auto"/>
          <w:sz w:val="20"/>
          <w:szCs w:val="20"/>
        </w:rPr>
        <w:t>: Operating Profit for British Petroleum for Years 2023 and 2024</w:t>
      </w:r>
      <w:bookmarkEnd w:id="5"/>
    </w:p>
    <w:p w14:paraId="7B746811" w14:textId="77777777" w:rsidR="00C56D3A" w:rsidRDefault="00BA0127" w:rsidP="002F6A21">
      <w:pPr>
        <w:spacing w:after="0"/>
      </w:pPr>
      <w:r>
        <w:t xml:space="preserve">The operating profit margin decreased drastically to 5.97% in 2024, compared to 13.01% in 2023, indicating a deterioration in cost control and less efficient operations. This decrease is associated </w:t>
      </w:r>
      <w:r>
        <w:lastRenderedPageBreak/>
        <w:t>with the rise in production and manufacturing costs (BP, 2024) (A (36.58</w:t>
      </w:r>
      <w:r w:rsidR="002F6A21">
        <w:t>bn)</w:t>
      </w:r>
      <w:r>
        <w:t>/2024 - A (25.04</w:t>
      </w:r>
      <w:r w:rsidR="002F6A21">
        <w:t>bn)</w:t>
      </w:r>
      <w:r>
        <w:t>/2023) and the expansion of impairment losses, which reached almost 7 billion within 2024 (BP, 2024). This might have been caused by global inflationary pressure on energy inputs and supply disturbances following the pandemic, as well as regulatory changes in the refining process (Thomas, 2019; Group, 2024).</w:t>
      </w:r>
    </w:p>
    <w:p w14:paraId="3BC94CBC" w14:textId="77777777" w:rsidR="00C56D3A" w:rsidRDefault="00BA0127" w:rsidP="002F6A21">
      <w:pPr>
        <w:spacing w:after="0"/>
      </w:pPr>
      <w:r>
        <w:t>The bottom-line profitability measure, Net Profit Margin, also declined steeply, from 7.56 to 0.65. This fall can mainly be attributed to a collapse in pre-tax profits (23.75 billion to 6.78 billion), accompanied by an increase in finance costs (4.68 billion in 2024 compared to 3.84 billion in 2023). The concurring narrow margins and increasing borrowing costs indicate that BP has been unable to convert sales into profits, a situation exacerbated by fluctuations in oil prices and geopolitical events (Gorimbo, 2025).</w:t>
      </w:r>
    </w:p>
    <w:p w14:paraId="3491AC2D" w14:textId="77777777" w:rsidR="00C56D3A" w:rsidRDefault="00BA0127" w:rsidP="002F6A21">
      <w:pPr>
        <w:spacing w:after="0"/>
      </w:pPr>
      <w:r>
        <w:t>The Return on Capital Employed (ROCE) decreased by 14.08 to 5.62- implying ineffectiveness in utilising capital to get operating profit. A low ROCE indicates that a company is not using its invested capital as efficiently as possible, which can be particularly important in capital-intensive industries such as oil and gas (Atrill and McLaney, 2022). The amount of capital locked in did not match the proportional returns, which raises doubts about the selection of projects and their productivity throughout their lifecycle (Brealey et al., 2020a).</w:t>
      </w:r>
    </w:p>
    <w:p w14:paraId="5387190E" w14:textId="77777777" w:rsidR="00C56D3A" w:rsidRDefault="00BA0127" w:rsidP="002F6A21">
      <w:pPr>
        <w:pStyle w:val="Heading3"/>
      </w:pPr>
      <w:bookmarkStart w:id="6" w:name="_Toc201711984"/>
      <w:r w:rsidRPr="0079579F">
        <w:t>Liquidity Ratio</w:t>
      </w:r>
      <w:bookmarkEnd w:id="6"/>
      <w:r w:rsidRPr="0079579F">
        <w:t xml:space="preserve"> </w:t>
      </w:r>
    </w:p>
    <w:p w14:paraId="00D91EB5" w14:textId="77777777" w:rsidR="0079579F" w:rsidRDefault="00BA0127" w:rsidP="002F6A21">
      <w:pPr>
        <w:spacing w:after="0"/>
        <w:jc w:val="center"/>
        <w:rPr>
          <w:b/>
          <w:bCs/>
          <w:i/>
          <w:iCs/>
        </w:rPr>
      </w:pPr>
      <w:r>
        <w:rPr>
          <w:noProof/>
        </w:rPr>
        <w:drawing>
          <wp:inline distT="0" distB="0" distL="0" distR="0" wp14:anchorId="4DF4F2E3" wp14:editId="4916D8CA">
            <wp:extent cx="4434840" cy="2743200"/>
            <wp:effectExtent l="0" t="0" r="3810" b="0"/>
            <wp:docPr id="6" name="Chart 6">
              <a:extLst xmlns:a="http://schemas.openxmlformats.org/drawingml/2006/main">
                <a:ext uri="{FF2B5EF4-FFF2-40B4-BE49-F238E27FC236}">
                  <a16:creationId xmlns:a16="http://schemas.microsoft.com/office/drawing/2014/main" id="{714CE807-C3F4-481F-9324-22B67298B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47BB975" w14:textId="77777777" w:rsidR="0079579F" w:rsidRPr="002F6A21" w:rsidRDefault="00BA0127" w:rsidP="002F6A21">
      <w:pPr>
        <w:pStyle w:val="Caption"/>
        <w:spacing w:after="0" w:line="360" w:lineRule="auto"/>
        <w:jc w:val="center"/>
        <w:rPr>
          <w:b/>
          <w:bCs/>
          <w:i w:val="0"/>
          <w:iCs w:val="0"/>
          <w:color w:val="auto"/>
          <w:sz w:val="20"/>
          <w:szCs w:val="20"/>
        </w:rPr>
      </w:pPr>
      <w:bookmarkStart w:id="7" w:name="_Toc201622671"/>
      <w:r w:rsidRPr="002F6A21">
        <w:rPr>
          <w:b/>
          <w:bCs/>
          <w:i w:val="0"/>
          <w:iCs w:val="0"/>
          <w:color w:val="auto"/>
          <w:sz w:val="20"/>
          <w:szCs w:val="20"/>
        </w:rPr>
        <w:t xml:space="preserve">Figure </w:t>
      </w:r>
      <w:r w:rsidRPr="002F6A21">
        <w:rPr>
          <w:b/>
          <w:bCs/>
          <w:i w:val="0"/>
          <w:iCs w:val="0"/>
          <w:color w:val="auto"/>
          <w:sz w:val="20"/>
          <w:szCs w:val="20"/>
        </w:rPr>
        <w:fldChar w:fldCharType="begin"/>
      </w:r>
      <w:r w:rsidRPr="002F6A21">
        <w:rPr>
          <w:b/>
          <w:bCs/>
          <w:i w:val="0"/>
          <w:iCs w:val="0"/>
          <w:color w:val="auto"/>
          <w:sz w:val="20"/>
          <w:szCs w:val="20"/>
        </w:rPr>
        <w:instrText xml:space="preserve"> SEQ Figure \* ARABIC </w:instrText>
      </w:r>
      <w:r w:rsidRPr="002F6A21">
        <w:rPr>
          <w:b/>
          <w:bCs/>
          <w:i w:val="0"/>
          <w:iCs w:val="0"/>
          <w:color w:val="auto"/>
          <w:sz w:val="20"/>
          <w:szCs w:val="20"/>
        </w:rPr>
        <w:fldChar w:fldCharType="separate"/>
      </w:r>
      <w:r w:rsidR="001A4F48" w:rsidRPr="002F6A21">
        <w:rPr>
          <w:b/>
          <w:bCs/>
          <w:i w:val="0"/>
          <w:iCs w:val="0"/>
          <w:noProof/>
          <w:color w:val="auto"/>
          <w:sz w:val="20"/>
          <w:szCs w:val="20"/>
        </w:rPr>
        <w:t>2</w:t>
      </w:r>
      <w:r w:rsidRPr="002F6A21">
        <w:rPr>
          <w:b/>
          <w:bCs/>
          <w:i w:val="0"/>
          <w:iCs w:val="0"/>
          <w:color w:val="auto"/>
          <w:sz w:val="20"/>
          <w:szCs w:val="20"/>
        </w:rPr>
        <w:fldChar w:fldCharType="end"/>
      </w:r>
      <w:r w:rsidRPr="002F6A21">
        <w:rPr>
          <w:b/>
          <w:bCs/>
          <w:i w:val="0"/>
          <w:iCs w:val="0"/>
          <w:color w:val="auto"/>
          <w:sz w:val="20"/>
          <w:szCs w:val="20"/>
        </w:rPr>
        <w:t>: Current Ratio for British Petroleum for the years 2023 and 2024</w:t>
      </w:r>
      <w:bookmarkEnd w:id="7"/>
    </w:p>
    <w:p w14:paraId="39867DB8" w14:textId="77777777" w:rsidR="00C56D3A" w:rsidRDefault="00BA0127" w:rsidP="002F6A21">
      <w:pPr>
        <w:spacing w:after="0"/>
      </w:pPr>
      <w:r>
        <w:t xml:space="preserve">The current ratio remained relatively steady (2023: 1.21, 2024: 1.22), indicating that current assets could adequately cover current liabilities. Although not quite reaching the standard level of 1.0, </w:t>
      </w:r>
      <w:r>
        <w:lastRenderedPageBreak/>
        <w:t>this stability can be called illusory due to the high percentage of non-liquid assets, such as inventories and trade receivables, among the current assets pool (Coombs et al., 2015). This is also reflected in the Acid Test Ratio, which remained below unity in the mentioned years (2024: 0.93, 2023: 0.94). It is an indicator of possible liquidity pressure in the event of a non-liquid supply chain disruption.</w:t>
      </w:r>
    </w:p>
    <w:p w14:paraId="7791D45E" w14:textId="77777777" w:rsidR="00C56D3A" w:rsidRDefault="00BA0127" w:rsidP="002F6A21">
      <w:pPr>
        <w:spacing w:after="0"/>
      </w:pPr>
      <w:r>
        <w:t>The comparatively low liquidity margins of BP also indicate some weakness, particularly in the face of unexpected market shocks, especially when revenues have been disrupted. Streamlining inventory turnover, as well as effective cash management and reducing ageing receivables, would be a strategic priority as we advance (Fridson and Alvarez, 2022).</w:t>
      </w:r>
    </w:p>
    <w:p w14:paraId="308D1E79" w14:textId="77777777" w:rsidR="00C56D3A" w:rsidRPr="0079579F" w:rsidRDefault="00BA0127" w:rsidP="002F6A21">
      <w:pPr>
        <w:pStyle w:val="Heading3"/>
      </w:pPr>
      <w:bookmarkStart w:id="8" w:name="_Toc201711985"/>
      <w:r w:rsidRPr="0079579F">
        <w:t>Gearing Ratios</w:t>
      </w:r>
      <w:bookmarkEnd w:id="8"/>
    </w:p>
    <w:p w14:paraId="30D6D968" w14:textId="77777777" w:rsidR="00C56D3A" w:rsidRDefault="00BA0127" w:rsidP="002F6A21">
      <w:pPr>
        <w:spacing w:after="0"/>
      </w:pPr>
      <w:r>
        <w:t>Gearing indicates how much BP uses debt to fund its operations, which is a significant indicator of creditworthiness and a gauge of its long-term solvency.</w:t>
      </w:r>
    </w:p>
    <w:p w14:paraId="3D5F2F44" w14:textId="77777777" w:rsidR="00C56D3A" w:rsidRDefault="00BA0127" w:rsidP="002F6A21">
      <w:pPr>
        <w:spacing w:after="0"/>
      </w:pPr>
      <w:r>
        <w:t>Debt-to-Equity Ratio went slightly up by 0.70 in 2023 to 0.72 in 2024, indicating a modest leverage rise. Although this is alarming when it is being done in an isolated manner, it may be the cause of worry in case there is the issue of increased debt servicing burdens- an instance where the Interest Cover Ratio has shown a steep decline in the duration of this increase of two times (7.12 down to 2.41). This significant drop corresponds to a decrease in operating profits and an increase in interest expenses, emitting alarming signals that BP is unable to fulfil its financial duties routinely (Ehrhardt and Brigham, 2019; Graham and Harvey, 2021).</w:t>
      </w:r>
    </w:p>
    <w:p w14:paraId="07A51E4C" w14:textId="77777777" w:rsidR="00C56D3A" w:rsidRDefault="00BA0127" w:rsidP="002F6A21">
      <w:pPr>
        <w:spacing w:after="0"/>
      </w:pPr>
      <w:r>
        <w:t>In the event of expanding interest rates worldwide or further instability in energy markets, BP's ability to manage its debt will be potentially called into question, which is why proactive refinancing mechanisms and reorganisation of debt maturity schedules are relevant (EPICORP, 2024).</w:t>
      </w:r>
    </w:p>
    <w:p w14:paraId="6487EDDF" w14:textId="77777777" w:rsidR="00C56D3A" w:rsidRPr="0079579F" w:rsidRDefault="00BA0127" w:rsidP="002F6A21">
      <w:pPr>
        <w:pStyle w:val="Heading3"/>
      </w:pPr>
      <w:bookmarkStart w:id="9" w:name="_Toc201711986"/>
      <w:r w:rsidRPr="0079579F">
        <w:t>Efficiency Ratios</w:t>
      </w:r>
      <w:bookmarkEnd w:id="9"/>
    </w:p>
    <w:p w14:paraId="4DBD80EB" w14:textId="77777777" w:rsidR="00C56D3A" w:rsidRDefault="00BA0127" w:rsidP="002F6A21">
      <w:pPr>
        <w:spacing w:after="0"/>
      </w:pPr>
      <w:r>
        <w:t>Efficiency ratios indicate the extent to which an entity is effectively performing and utilising its resources and material inputs.</w:t>
      </w:r>
    </w:p>
    <w:p w14:paraId="7A078957" w14:textId="77777777" w:rsidR="001A4F48" w:rsidRDefault="00BA0127" w:rsidP="002F6A21">
      <w:pPr>
        <w:spacing w:after="0"/>
        <w:jc w:val="center"/>
      </w:pPr>
      <w:r>
        <w:rPr>
          <w:noProof/>
        </w:rPr>
        <w:lastRenderedPageBreak/>
        <w:drawing>
          <wp:inline distT="0" distB="0" distL="0" distR="0" wp14:anchorId="0C878D8F" wp14:editId="474E6810">
            <wp:extent cx="4572000" cy="2743200"/>
            <wp:effectExtent l="0" t="0" r="0" b="0"/>
            <wp:docPr id="3" name="Chart 3">
              <a:extLst xmlns:a="http://schemas.openxmlformats.org/drawingml/2006/main">
                <a:ext uri="{FF2B5EF4-FFF2-40B4-BE49-F238E27FC236}">
                  <a16:creationId xmlns:a16="http://schemas.microsoft.com/office/drawing/2014/main" id="{714CE807-C3F4-481F-9324-22B67298B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2CC3DF" w14:textId="77777777" w:rsidR="001A4F48" w:rsidRPr="002F6A21" w:rsidRDefault="00BA0127" w:rsidP="002F6A21">
      <w:pPr>
        <w:pStyle w:val="Caption"/>
        <w:spacing w:after="0" w:line="360" w:lineRule="auto"/>
        <w:jc w:val="center"/>
        <w:rPr>
          <w:b/>
          <w:bCs/>
          <w:i w:val="0"/>
          <w:iCs w:val="0"/>
          <w:color w:val="auto"/>
          <w:sz w:val="20"/>
          <w:szCs w:val="20"/>
        </w:rPr>
      </w:pPr>
      <w:bookmarkStart w:id="10" w:name="_Toc201622672"/>
      <w:r w:rsidRPr="002F6A21">
        <w:rPr>
          <w:b/>
          <w:bCs/>
          <w:i w:val="0"/>
          <w:iCs w:val="0"/>
          <w:color w:val="auto"/>
          <w:sz w:val="20"/>
          <w:szCs w:val="20"/>
        </w:rPr>
        <w:t xml:space="preserve">Figure </w:t>
      </w:r>
      <w:r w:rsidRPr="002F6A21">
        <w:rPr>
          <w:b/>
          <w:bCs/>
          <w:i w:val="0"/>
          <w:iCs w:val="0"/>
          <w:color w:val="auto"/>
          <w:sz w:val="20"/>
          <w:szCs w:val="20"/>
        </w:rPr>
        <w:fldChar w:fldCharType="begin"/>
      </w:r>
      <w:r w:rsidRPr="002F6A21">
        <w:rPr>
          <w:b/>
          <w:bCs/>
          <w:i w:val="0"/>
          <w:iCs w:val="0"/>
          <w:color w:val="auto"/>
          <w:sz w:val="20"/>
          <w:szCs w:val="20"/>
        </w:rPr>
        <w:instrText xml:space="preserve"> SEQ Figure \* ARABIC </w:instrText>
      </w:r>
      <w:r w:rsidRPr="002F6A21">
        <w:rPr>
          <w:b/>
          <w:bCs/>
          <w:i w:val="0"/>
          <w:iCs w:val="0"/>
          <w:color w:val="auto"/>
          <w:sz w:val="20"/>
          <w:szCs w:val="20"/>
        </w:rPr>
        <w:fldChar w:fldCharType="separate"/>
      </w:r>
      <w:r w:rsidRPr="002F6A21">
        <w:rPr>
          <w:b/>
          <w:bCs/>
          <w:i w:val="0"/>
          <w:iCs w:val="0"/>
          <w:noProof/>
          <w:color w:val="auto"/>
          <w:sz w:val="20"/>
          <w:szCs w:val="20"/>
        </w:rPr>
        <w:t>3</w:t>
      </w:r>
      <w:r w:rsidRPr="002F6A21">
        <w:rPr>
          <w:b/>
          <w:bCs/>
          <w:i w:val="0"/>
          <w:iCs w:val="0"/>
          <w:noProof/>
          <w:color w:val="auto"/>
          <w:sz w:val="20"/>
          <w:szCs w:val="20"/>
        </w:rPr>
        <w:fldChar w:fldCharType="end"/>
      </w:r>
      <w:r w:rsidRPr="002F6A21">
        <w:rPr>
          <w:b/>
          <w:bCs/>
          <w:i w:val="0"/>
          <w:iCs w:val="0"/>
          <w:color w:val="auto"/>
          <w:sz w:val="20"/>
          <w:szCs w:val="20"/>
        </w:rPr>
        <w:t>: Asset Turnover Ratio for British Petroleum for 2023 and 2024</w:t>
      </w:r>
      <w:bookmarkEnd w:id="10"/>
    </w:p>
    <w:p w14:paraId="6662FFD3" w14:textId="77777777" w:rsidR="00C56D3A" w:rsidRDefault="00BA0127" w:rsidP="002F6A21">
      <w:pPr>
        <w:spacing w:after="0"/>
      </w:pPr>
      <w:r>
        <w:t>The assets Turnover, which indicates a company's efficiency in using its assets to generate revenue, decreased to 0.67 in 2024 compared to 0.75 in 2023. This decrease implies that it is underutilising its assets, which is worrying for such a capital-intensive company as BP. Delays in infrastructure returns, pauses in regulations, and inadequate asset scheduling and maintenance can contribute to low turnover (Palepu et al., 2018).</w:t>
      </w:r>
    </w:p>
    <w:p w14:paraId="7EFD3C3B" w14:textId="77777777" w:rsidR="00C56D3A" w:rsidRDefault="00BA0127" w:rsidP="002F6A21">
      <w:pPr>
        <w:spacing w:after="0"/>
      </w:pPr>
      <w:r>
        <w:t>On the same note, the inventory turnover declined dramatically, from 133.5 to 81.8, indicating that inventory is not being sold quickly and there is a potential for overstocking. The decline may be a hint of the cooling of downstream product demand or logistical and forecasting slackness (Drury, 2018). Effective inventory management is crucial for implementing cost-saving measures and enabling operational flexibility in industries with volatile input costs, such as the petroleum industry.</w:t>
      </w:r>
    </w:p>
    <w:p w14:paraId="53FCA9EE" w14:textId="77777777" w:rsidR="00C56D3A" w:rsidRPr="002F6A21" w:rsidRDefault="00BA0127" w:rsidP="002F6A21">
      <w:pPr>
        <w:pStyle w:val="Heading3"/>
      </w:pPr>
      <w:bookmarkStart w:id="11" w:name="_Toc201711987"/>
      <w:r w:rsidRPr="002F6A21">
        <w:t>Investor Ratios</w:t>
      </w:r>
      <w:bookmarkEnd w:id="11"/>
    </w:p>
    <w:p w14:paraId="1F0FEB1A" w14:textId="77777777" w:rsidR="00C56D3A" w:rsidRDefault="00BA0127" w:rsidP="002F6A21">
      <w:pPr>
        <w:spacing w:after="0"/>
      </w:pPr>
      <w:r>
        <w:t>Here, the investor ratios indicate BP's ability to produce returns to shareholders, which is a central issue for equity investors and corporate governance.</w:t>
      </w:r>
    </w:p>
    <w:p w14:paraId="40BAFD8A" w14:textId="77777777" w:rsidR="00C56D3A" w:rsidRDefault="00BA0127" w:rsidP="002F6A21">
      <w:pPr>
        <w:spacing w:after="0"/>
      </w:pPr>
      <w:r>
        <w:t xml:space="preserve">The Return on Equity (ROE) decreased significantly, from 359.44 in 2023 to 34.14 in 2024. The 2023 figure may have been inflated by one-time earnings, asset disposals, or one-time safe harbour tax resolutions, as it still compares well to previous years. The 2024 normalisation is less unrealistic in that it represents a more general decline in profits and is also closer to long-term profit projections (Berk and Demarzo, 2024). However, the decline highlights the strategic </w:t>
      </w:r>
      <w:r>
        <w:lastRenderedPageBreak/>
        <w:t>reorientation requirements that must be implemented to restore investor confidence and shareholder value.</w:t>
      </w:r>
    </w:p>
    <w:p w14:paraId="609D80B5" w14:textId="77777777" w:rsidR="00C56D3A" w:rsidRDefault="00BA0127" w:rsidP="002F6A21">
      <w:pPr>
        <w:spacing w:after="0"/>
      </w:pPr>
      <w:r>
        <w:t>In a broader sense, these changes in investor measures underscore how BP is navigating cyclical market dynamics, regulatory pressures, and the shift in the fuel mix towards renewables. The success in increasing long-term returns will be determined by the extent to which BP can reposition its portfolio to cover low-carbon investments (Abedin et al., 2024).</w:t>
      </w:r>
    </w:p>
    <w:p w14:paraId="155F76F9" w14:textId="77777777" w:rsidR="00C56D3A" w:rsidRDefault="00BA0127" w:rsidP="003920C8">
      <w:pPr>
        <w:pStyle w:val="Heading2"/>
      </w:pPr>
      <w:bookmarkStart w:id="12" w:name="_Toc201711988"/>
      <w:r>
        <w:t>Critical Evaluation</w:t>
      </w:r>
      <w:bookmarkEnd w:id="12"/>
    </w:p>
    <w:p w14:paraId="0A63F26C" w14:textId="77777777" w:rsidR="00C56D3A" w:rsidRDefault="00BA0127" w:rsidP="002F6A21">
      <w:pPr>
        <w:spacing w:after="0"/>
      </w:pPr>
      <w:r>
        <w:t xml:space="preserve">The financial trend of British Petroleum for the period 2023-2024 presents a complex set of dynamics involving both domestic activities and externalities. The biggest perennial issue is the steep decline in profitability, as the operating profit margin has dropped from 13.01% to 5.97%, and the net profit margin has decreased to 0.65%. These numbers highlight a significant push on operational efficiency and an increase in cost. Possible contributing factors include increased exploration write-offs, rising production taxes, and the impact of geopolitical instability on oil prices </w:t>
      </w:r>
      <w:r w:rsidR="002F6A21">
        <w:t>(BMI</w:t>
      </w:r>
      <w:r>
        <w:t>, 2025).</w:t>
      </w:r>
    </w:p>
    <w:p w14:paraId="3757C30C" w14:textId="77777777" w:rsidR="00C56D3A" w:rsidRDefault="00BA0127" w:rsidP="002F6A21">
      <w:pPr>
        <w:spacing w:after="0"/>
      </w:pPr>
      <w:r>
        <w:t>There was also a decline in the return on capital employed, which indicated poor performance of the invested money. This can also indicate ineffective asset utilisation or the underutilisation of significant capital-intensive projects (Drury, 2018). Additionally, there is an increasing reliance on debt, as evident in the gearing ratios. Although the debt-to-equity ratio of the BP group is within industrial parameters, it has led to a decrease in the interest cover value from 7.12 to 2.41, posing a particular interest servicing limitation risk that raises concerns regarding the group's long-term solvency (Graham and Harvey, 2022).</w:t>
      </w:r>
    </w:p>
    <w:p w14:paraId="3CE26479" w14:textId="77777777" w:rsidR="00C56D3A" w:rsidRDefault="00BA0127" w:rsidP="002F6A21">
      <w:pPr>
        <w:spacing w:after="0"/>
      </w:pPr>
      <w:r>
        <w:t xml:space="preserve">Increasing backing off asset and inventory turnover shows decreased operative adaptability. The inventory may be moving more slowly due to unstable demand or inefficiencies in demand forecasting, supply chain management, and supply chain operations (Chopra and Meindl, 2016). </w:t>
      </w:r>
      <w:r w:rsidR="002F6A21">
        <w:t>Moreover,</w:t>
      </w:r>
      <w:r>
        <w:t xml:space="preserve"> the fact that the current ratio has remained at a reasonable level, but the acid test ratio has remained lower than 1 indicates that liquidity may be weak in the event of a tightening of cash flows.</w:t>
      </w:r>
    </w:p>
    <w:p w14:paraId="543549E0" w14:textId="77777777" w:rsidR="00C56D3A" w:rsidRDefault="00BA0127" w:rsidP="002F6A21">
      <w:pPr>
        <w:spacing w:after="0"/>
      </w:pPr>
      <w:r>
        <w:t xml:space="preserve">Investor, on the other hand, </w:t>
      </w:r>
      <w:r w:rsidR="002F6A21">
        <w:t>is</w:t>
      </w:r>
      <w:r>
        <w:t xml:space="preserve"> exposed to instability. Given that the drastic decline in ROE, in part, indicates inflated profits in 2023, the decline raises questions about BP's value creation. It highlights the need to reconsider the company's strategy regarding the global energy transition (Abedin et al., 2024). Overall, despite BP's structural financial strength, these indicators suggest </w:t>
      </w:r>
      <w:r>
        <w:lastRenderedPageBreak/>
        <w:t>that it is high time for the company to address cost containment, capital allocation, and financing and operational strategies more effectively.</w:t>
      </w:r>
    </w:p>
    <w:p w14:paraId="1B600100" w14:textId="77777777" w:rsidR="00E431D7" w:rsidRDefault="00BA0127" w:rsidP="003920C8">
      <w:pPr>
        <w:pStyle w:val="Heading2"/>
      </w:pPr>
      <w:bookmarkStart w:id="13" w:name="_Toc201711989"/>
      <w:r>
        <w:t>Limitations of Ratio Analysis</w:t>
      </w:r>
      <w:bookmarkEnd w:id="13"/>
    </w:p>
    <w:p w14:paraId="4D1322AF" w14:textId="77777777" w:rsidR="00E431D7" w:rsidRDefault="00BA0127" w:rsidP="002F6A21">
      <w:pPr>
        <w:spacing w:after="0"/>
      </w:pPr>
      <w:r>
        <w:t>Although financial ratios serve great use in corporate performance assessment, they also harbour limitations, which have a variable impact on their interpretative capabilities. This is made more difficult in a company as complex and multi-national as British Petroleum.</w:t>
      </w:r>
    </w:p>
    <w:p w14:paraId="72266A90" w14:textId="77777777" w:rsidR="00E431D7" w:rsidRDefault="00BA0127" w:rsidP="002F6A21">
      <w:pPr>
        <w:spacing w:after="0"/>
      </w:pPr>
      <w:r>
        <w:t>Firstly, the ratio analysis is historical based and only uses past financial statistics. It has a backwards-looking focus, which hinders the ability to forecast future performance, particularly in industries such as oil and gas, where prices, regulatory policies, and political tensions fluctuate erratically (McLaney and Atrill, 2020).</w:t>
      </w:r>
    </w:p>
    <w:p w14:paraId="46D31218" w14:textId="77777777" w:rsidR="00E431D7" w:rsidRDefault="00BA0127" w:rsidP="002F6A21">
      <w:pPr>
        <w:spacing w:after="0"/>
      </w:pPr>
      <w:r>
        <w:t>Second, ratios lack comparability across industries due to industry-specific differences. Another example is BP, which is practically the industry of capital-intensive resource-based companies; a high level of assets and debt is not an exception. The financial position of this firm may be misleading when comparing its liquidity or gearing to that of non-energy companies (Adegoke et al., 2015).</w:t>
      </w:r>
    </w:p>
    <w:p w14:paraId="2A69FF42" w14:textId="77777777" w:rsidR="00E431D7" w:rsidRDefault="00BA0127" w:rsidP="002F6A21">
      <w:pPr>
        <w:spacing w:after="0"/>
      </w:pPr>
      <w:r>
        <w:t>Third, the inconsistency of financial statements is influenced by inconsistencies in accounting policies across periods. The variation in asset valuation, the recognition and measurement of impairments, as well as the recognition of revenue distorts the results and hinders comparability, even among peers (Fridson and Alvarez, 2022).</w:t>
      </w:r>
    </w:p>
    <w:p w14:paraId="3F7246F7" w14:textId="77777777" w:rsidR="00E431D7" w:rsidRDefault="00BA0127" w:rsidP="002F6A21">
      <w:pPr>
        <w:spacing w:after="0"/>
      </w:pPr>
      <w:r>
        <w:t>Fourth, ratio analysis overlooks qualitative factors, such as strategic choices, brand names, or green initiatives. For instance, BP's investments in the green energy sector may lower short-term results but enhance their resilience in the long term—a detail that cannot be reflected in the ratios (Abedin et al., 2024).</w:t>
      </w:r>
    </w:p>
    <w:p w14:paraId="1E195038" w14:textId="77777777" w:rsidR="00E431D7" w:rsidRDefault="00BA0127" w:rsidP="002F6A21">
      <w:pPr>
        <w:spacing w:after="0"/>
      </w:pPr>
      <w:r>
        <w:t>Finally, ratio results may be misrepresented by external forces, such as inflation, foreign exchange rates, and market sentiment, particularly for international businesses like BP, which is a global company (Palepu et al., 2018).</w:t>
      </w:r>
    </w:p>
    <w:p w14:paraId="4C2729B1" w14:textId="77777777" w:rsidR="00E431D7" w:rsidRDefault="00BA0127" w:rsidP="003920C8">
      <w:pPr>
        <w:pStyle w:val="Heading2"/>
      </w:pPr>
      <w:bookmarkStart w:id="14" w:name="_Toc201711990"/>
      <w:r>
        <w:t>Recommendations for Financial Management</w:t>
      </w:r>
      <w:bookmarkEnd w:id="14"/>
    </w:p>
    <w:p w14:paraId="157751BB" w14:textId="77777777" w:rsidR="00E431D7" w:rsidRDefault="00BA0127" w:rsidP="002F6A21">
      <w:pPr>
        <w:spacing w:after="0"/>
      </w:pPr>
      <w:r>
        <w:t>A combination of the decrease in its profitability, an increase in debt burden, and the inefficiency of its operations prompted BP to employ a variety of financial practices:</w:t>
      </w:r>
    </w:p>
    <w:p w14:paraId="1D873207" w14:textId="77777777" w:rsidR="00E431D7" w:rsidRDefault="00BA0127" w:rsidP="002F6A21">
      <w:pPr>
        <w:pStyle w:val="ListParagraph"/>
        <w:numPr>
          <w:ilvl w:val="0"/>
          <w:numId w:val="6"/>
        </w:numPr>
        <w:spacing w:after="0"/>
      </w:pPr>
      <w:r w:rsidRPr="00E431D7">
        <w:rPr>
          <w:b/>
          <w:bCs/>
        </w:rPr>
        <w:lastRenderedPageBreak/>
        <w:t>Operational Efficiency:</w:t>
      </w:r>
      <w:r>
        <w:t xml:space="preserve"> BP needs to focus on cost savings by implementing automation and a digital supply chain, along with a leaner organisational structure. Predictive technologies have the potential to decrease downtimes and efficient production (Chopra and Meindl, 2016).</w:t>
      </w:r>
    </w:p>
    <w:p w14:paraId="6696E7C5" w14:textId="77777777" w:rsidR="00E431D7" w:rsidRDefault="00BA0127" w:rsidP="002F6A21">
      <w:pPr>
        <w:pStyle w:val="ListParagraph"/>
        <w:numPr>
          <w:ilvl w:val="0"/>
          <w:numId w:val="6"/>
        </w:numPr>
        <w:spacing w:after="0"/>
      </w:pPr>
      <w:r w:rsidRPr="00E431D7">
        <w:rPr>
          <w:b/>
          <w:bCs/>
        </w:rPr>
        <w:t>Capital Structure Optimisation:</w:t>
      </w:r>
      <w:r>
        <w:t xml:space="preserve"> Since the interest coverage ratio is decreasing, BP should gradually reduce its debts with high interest rates. The issuance of ESG-linked financial instruments may represent various financing opportunities and attract sustainable investors (EPICORP, 2024).</w:t>
      </w:r>
    </w:p>
    <w:p w14:paraId="4646575E" w14:textId="77777777" w:rsidR="00E431D7" w:rsidRDefault="00BA0127" w:rsidP="002F6A21">
      <w:pPr>
        <w:pStyle w:val="ListParagraph"/>
        <w:numPr>
          <w:ilvl w:val="0"/>
          <w:numId w:val="6"/>
        </w:numPr>
        <w:spacing w:after="0"/>
      </w:pPr>
      <w:r w:rsidRPr="00E431D7">
        <w:rPr>
          <w:b/>
          <w:bCs/>
        </w:rPr>
        <w:t>Liquidity Management:</w:t>
      </w:r>
      <w:r>
        <w:t xml:space="preserve"> Cash flow would be strengthened by enhancing the receivables collection and inventory turnover. To reduce dependence on short-term borrowing, improved working capital controls will be beneficial (Fridson and Alvarez, 2022).</w:t>
      </w:r>
    </w:p>
    <w:p w14:paraId="13929315" w14:textId="77777777" w:rsidR="00E431D7" w:rsidRDefault="00BA0127" w:rsidP="002F6A21">
      <w:pPr>
        <w:pStyle w:val="ListParagraph"/>
        <w:numPr>
          <w:ilvl w:val="0"/>
          <w:numId w:val="6"/>
        </w:numPr>
        <w:spacing w:after="0"/>
      </w:pPr>
      <w:r w:rsidRPr="00E431D7">
        <w:rPr>
          <w:b/>
          <w:bCs/>
        </w:rPr>
        <w:t>Investment Discipline and Asset Utilisation:</w:t>
      </w:r>
      <w:r>
        <w:t xml:space="preserve"> Asset utilisation should include selling unproductive assets, and BP must direct capital investment into renewable energy sources and other high-return-on-investment (ROI) segments to increase return on capital employed (ROCE) and long-term sustainability (Arnold and Lewis, 2019).</w:t>
      </w:r>
    </w:p>
    <w:p w14:paraId="79214F9D" w14:textId="77777777" w:rsidR="00E431D7" w:rsidRDefault="00BA0127" w:rsidP="002F6A21">
      <w:pPr>
        <w:pStyle w:val="ListParagraph"/>
        <w:numPr>
          <w:ilvl w:val="0"/>
          <w:numId w:val="6"/>
        </w:numPr>
        <w:spacing w:after="0"/>
      </w:pPr>
      <w:r w:rsidRPr="00E431D7">
        <w:rPr>
          <w:b/>
          <w:bCs/>
        </w:rPr>
        <w:t>Investor Relations:</w:t>
      </w:r>
      <w:r>
        <w:t xml:space="preserve"> Shareholders interested in the organisation should feel confident due to its stable dividend policy and open communication regarding long-term energy transition plans (Abedin et al., 2024).</w:t>
      </w:r>
    </w:p>
    <w:p w14:paraId="0DF822B7" w14:textId="77777777" w:rsidR="00E431D7" w:rsidRDefault="00BA0127" w:rsidP="002F6A21">
      <w:pPr>
        <w:spacing w:after="0"/>
      </w:pPr>
      <w:r>
        <w:t>Combined, these steps will lead to stronger financial resilience, improved operating returns, and a financial strategy in line with the journey to a low-carbon future.</w:t>
      </w:r>
    </w:p>
    <w:p w14:paraId="03587085" w14:textId="77777777" w:rsidR="00E431D7" w:rsidRDefault="00BA0127" w:rsidP="004D0A84">
      <w:pPr>
        <w:pStyle w:val="Heading1"/>
      </w:pPr>
      <w:bookmarkStart w:id="15" w:name="_Toc201711991"/>
      <w:r>
        <w:t>Part 2</w:t>
      </w:r>
      <w:bookmarkEnd w:id="15"/>
      <w:r>
        <w:t xml:space="preserve"> </w:t>
      </w:r>
    </w:p>
    <w:p w14:paraId="72E14DF8" w14:textId="77777777" w:rsidR="00284656" w:rsidRDefault="00BA0127" w:rsidP="00AB7CBB">
      <w:pPr>
        <w:spacing w:after="0"/>
      </w:pPr>
      <w:r w:rsidRPr="00284656">
        <w:t>Jordons Plc, a manufacturer of A-quality internal wooden blinds, has three strategic investment options under consideration for its expansion. These options are (A) expanding its physical store chains, (B) fostering online sales, or (C) becoming involved in the manufacture of curtains and Roman blinds. Both alternatives would require a significant capital outlay and multi-year cash inflows; therefore, a proper financial assessment needs to be conducted to determine the best way to utilise the scarce capital. The analyses in the report utilise the Net Present Value (NPV) and Internal Rate of Return (IRR) methods to evaluate each opportunity while also considering capital limitations and potential financing options.</w:t>
      </w:r>
    </w:p>
    <w:p w14:paraId="48791103" w14:textId="77777777" w:rsidR="00284656" w:rsidRDefault="00BA0127" w:rsidP="003920C8">
      <w:pPr>
        <w:pStyle w:val="Heading2"/>
      </w:pPr>
      <w:bookmarkStart w:id="16" w:name="_Toc201711992"/>
      <w:r>
        <w:t>Investment Appraisal (NPV and IRR Evaluation)</w:t>
      </w:r>
      <w:bookmarkEnd w:id="16"/>
    </w:p>
    <w:p w14:paraId="678E8BE9" w14:textId="77777777" w:rsidR="00284656" w:rsidRDefault="00BA0127" w:rsidP="00AB7CBB">
      <w:pPr>
        <w:spacing w:after="0"/>
      </w:pPr>
      <w:r>
        <w:t xml:space="preserve">The investment appraisal plays a crucial role in determining whether a capital project is financially viable, as well as allocating available funds in the most value-creating form. In this part, the three </w:t>
      </w:r>
      <w:r>
        <w:lastRenderedPageBreak/>
        <w:t>proposed investment projects, i.e. Option A (retail expansion), Option B (online sales), and Option C (product line diversification), are estimated based on Net Present Value (NPV) and Internal Rate of Return (IRR) which are the two fundamental approaches of discounted cash flow (DCF) that include the time value of money.</w:t>
      </w:r>
    </w:p>
    <w:p w14:paraId="629A5218" w14:textId="77777777" w:rsidR="00284656" w:rsidRDefault="00BA0127" w:rsidP="00AB7CBB">
      <w:pPr>
        <w:spacing w:after="0"/>
      </w:pPr>
      <w:r>
        <w:t>Net present value (NPV) is the difference between the value of the cash inflows at the time of the present situation and the investment made. When the NPV is positive, the project will likely add value to the business. On calculation, there are:</w:t>
      </w:r>
    </w:p>
    <w:p w14:paraId="554C4480" w14:textId="77777777" w:rsidR="00284656" w:rsidRDefault="00BA0127" w:rsidP="00AB7CBB">
      <w:pPr>
        <w:pStyle w:val="ListParagraph"/>
        <w:numPr>
          <w:ilvl w:val="0"/>
          <w:numId w:val="7"/>
        </w:numPr>
        <w:spacing w:after="0"/>
      </w:pPr>
      <w:r>
        <w:t>Option A requires an initial investment of £600,000, yielding an NPV of £394,650 and an IRR of 28%.</w:t>
      </w:r>
    </w:p>
    <w:p w14:paraId="69ECBDE9" w14:textId="77777777" w:rsidR="00284656" w:rsidRDefault="00BA0127" w:rsidP="00AB7CBB">
      <w:pPr>
        <w:pStyle w:val="ListParagraph"/>
        <w:numPr>
          <w:ilvl w:val="0"/>
          <w:numId w:val="7"/>
        </w:numPr>
        <w:spacing w:after="0"/>
      </w:pPr>
      <w:r>
        <w:t>Option B demands £1,000,000 with an NPV of £509,700 and an IRR of 18%.</w:t>
      </w:r>
    </w:p>
    <w:p w14:paraId="3A3E8490" w14:textId="77777777" w:rsidR="00284656" w:rsidRDefault="00BA0127" w:rsidP="00AB7CBB">
      <w:pPr>
        <w:pStyle w:val="ListParagraph"/>
        <w:numPr>
          <w:ilvl w:val="0"/>
          <w:numId w:val="7"/>
        </w:numPr>
        <w:spacing w:after="0"/>
      </w:pPr>
      <w:r>
        <w:t>Option C, the most capital-intensive at £1,600,000, delivers the highest NPV of £985,400 with an IRR of 20%.</w:t>
      </w:r>
    </w:p>
    <w:p w14:paraId="0B7057E4" w14:textId="77777777" w:rsidR="00242AC7" w:rsidRDefault="00BA0127" w:rsidP="00AB7CBB">
      <w:pPr>
        <w:spacing w:after="0"/>
      </w:pPr>
      <w:r>
        <w:t>Although option A has the highest IRR, it has a considerably low NPV compared to Option C; therefore, Option C is the most preferred in absolute terms. The use of the NPV technique is commonly cited as the best investment appraisal method, as it directly quantifies the amount by which a project contributes to the organisation (Liu, 2024; Magni, 2021).</w:t>
      </w:r>
    </w:p>
    <w:p w14:paraId="6FE8758E" w14:textId="77777777" w:rsidR="00242AC7" w:rsidRDefault="00BA0127" w:rsidP="00AB7CBB">
      <w:pPr>
        <w:spacing w:after="0"/>
      </w:pPr>
      <w:r>
        <w:t>Although IRR is helpful, it is not appropriate for comparing mutually exclusive projects or non-conventional cash flows. Nevertheless, in the given case, all alternatives have IRRs that are comfortably above the 6% cost of capital, which implies feasibility. Summarily, Option C is in a better financial position due to its favourable NPV and good IRR, which are the most desirable characteristics to add to the company's strategic growth portfolio.</w:t>
      </w:r>
    </w:p>
    <w:p w14:paraId="43F2BD79" w14:textId="77777777" w:rsidR="00242AC7" w:rsidRDefault="00BA0127" w:rsidP="003920C8">
      <w:pPr>
        <w:pStyle w:val="Heading2"/>
      </w:pPr>
      <w:bookmarkStart w:id="17" w:name="_Toc201711993"/>
      <w:r>
        <w:t>Approximate IRR Confirmation and Interpretation</w:t>
      </w:r>
      <w:bookmarkEnd w:id="17"/>
    </w:p>
    <w:p w14:paraId="525BB295" w14:textId="77777777" w:rsidR="00242AC7" w:rsidRDefault="00BA0127" w:rsidP="00AB7CBB">
      <w:pPr>
        <w:spacing w:after="0"/>
      </w:pPr>
      <w:r>
        <w:t>The Internal Rate of Return (IRR) is the discount rate at which the Net Present Value (NPV) equals zero, representing the break-even rate of return on investment. It helps managers determine whether the project returns exceed the cost of capital.</w:t>
      </w:r>
    </w:p>
    <w:p w14:paraId="22DEDFFD" w14:textId="77777777" w:rsidR="00242AC7" w:rsidRDefault="00BA0127" w:rsidP="00AB7CBB">
      <w:pPr>
        <w:spacing w:after="0"/>
      </w:pPr>
      <w:r>
        <w:t xml:space="preserve">After calculating the IRR in this appraisal, Option A yields the highest IRR at 28%; Option B produces an IRR of 18%, and Option C yields an IRR of 20%. They are all above the 6 per cent cost of capital, indicating that they are financially viable. To better estimate the IRR, discount rates are adjusted continually until the present value of future cash inflows equals the initial investment, thereby nullifying the NPV. To illustrate, the IRR of Option C 20 indicates that, at a 20 per cent </w:t>
      </w:r>
      <w:r>
        <w:lastRenderedPageBreak/>
        <w:t>discount rate, the project's value reaches break-even, signalling a strong profitability prognosis (Ehrhardt and Brigham, 2019).</w:t>
      </w:r>
    </w:p>
    <w:p w14:paraId="5B43A8ED" w14:textId="77777777" w:rsidR="00242AC7" w:rsidRDefault="00BA0127" w:rsidP="00AB7CBB">
      <w:pPr>
        <w:spacing w:after="0"/>
      </w:pPr>
      <w:r>
        <w:t>Although IRR can be useful in ranking the level of efficiency in projects, it does not come without shortcomings. It is subject to abuse where the cash flow is not typical or when making comparisons between mutually exclusive projects. The IRR of Option A is higher in this case and thus represents a better return based on the number of pounds invested; however, since the NPV of Option C is higher (£ 985,400), the latter would be more preferred. Therefore, IRR facilitates decision-making since it shows the strength of returns, but with the caveat that it should be used in conjunction with NPV to ensure value maximisation.</w:t>
      </w:r>
    </w:p>
    <w:p w14:paraId="4DB478E5" w14:textId="77777777" w:rsidR="00242AC7" w:rsidRDefault="00BA0127" w:rsidP="003920C8">
      <w:pPr>
        <w:pStyle w:val="Heading2"/>
      </w:pPr>
      <w:bookmarkStart w:id="18" w:name="_Toc201711994"/>
      <w:r>
        <w:t>Critical Comparison of NPV vs. Other Investment Appraisal Methods</w:t>
      </w:r>
      <w:bookmarkEnd w:id="18"/>
    </w:p>
    <w:p w14:paraId="1F8EB924" w14:textId="77777777" w:rsidR="00242AC7" w:rsidRDefault="00BA0127" w:rsidP="00AB7CBB">
      <w:pPr>
        <w:spacing w:after="0"/>
      </w:pPr>
      <w:r>
        <w:t>Managers are at liberty to select one of the numerous appraisal methods, such as Net Present Value (NPV), Internal Rate of Return (IRR), Payback Period, and Accounting Rate of Return (ARR) when making investment decisions. Although every approach offers information about various financial viability features, NPV is considered to be the strongest and theoretically most acceptable one.</w:t>
      </w:r>
    </w:p>
    <w:p w14:paraId="41616CA6" w14:textId="77777777" w:rsidR="00242AC7" w:rsidRDefault="00BA0127" w:rsidP="00AB7CBB">
      <w:pPr>
        <w:spacing w:after="0"/>
      </w:pPr>
      <w:r>
        <w:t>NPV is used to measure the absolute contribution that a project makes, taking into account the time value of money, risk-adjusted rates of discount, taxation, and capital allowances. The main advantage is that it offers a direct estimate of the creation of shareholder value. In contrast to other methods, NPV aligns with the wealth maximisation objective (Liu, 2024).</w:t>
      </w:r>
    </w:p>
    <w:p w14:paraId="5191FC96" w14:textId="77777777" w:rsidR="00242AC7" w:rsidRDefault="00BA0127" w:rsidP="00AB7CBB">
      <w:pPr>
        <w:spacing w:after="0"/>
      </w:pPr>
      <w:r>
        <w:t>Although the IRR is a valuable tool for comparing investment efficiency, it may not be entirely accurate in cases where cash flows are not conventional, as multiple IRRs are likely to be generated. It also presupposes reinvestment in the IRR itself, which does not align with market reality (Ehrhardt and Brigham, 2019).</w:t>
      </w:r>
    </w:p>
    <w:p w14:paraId="6893EFFD" w14:textId="77777777" w:rsidR="00242AC7" w:rsidRDefault="00BA0127" w:rsidP="00AB7CBB">
      <w:pPr>
        <w:spacing w:after="0"/>
      </w:pPr>
      <w:r>
        <w:t>The payback period is the rate at which the initial investment is recouped, providing insight into the simplicity and liquidity of the investment. Nevertheless, it does not take into consideration post-payback cash flows or the time value of money, which makes it less strategic (Drury, 2018).</w:t>
      </w:r>
    </w:p>
    <w:p w14:paraId="0E6AB386" w14:textId="77777777" w:rsidR="00242AC7" w:rsidRDefault="00BA0127" w:rsidP="00AB7CBB">
      <w:pPr>
        <w:spacing w:after="0"/>
      </w:pPr>
      <w:r>
        <w:t>ARR is simple to calculate, as it relates to accounting profits rather than cash flows, and is not accurate for estimating value or comparable to the time value (Isaac and Steley, 2021).</w:t>
      </w:r>
    </w:p>
    <w:p w14:paraId="2E75E3C3" w14:textId="77777777" w:rsidR="00242AC7" w:rsidRDefault="00BA0127" w:rsidP="00AB7CBB">
      <w:pPr>
        <w:spacing w:after="0"/>
      </w:pPr>
      <w:r>
        <w:t xml:space="preserve">Thus, even though non-discounting approaches, such as Payback and ARR, are widely used due to their ease of use, especially at small companies or during initial screening, NPV is the most </w:t>
      </w:r>
      <w:r>
        <w:lastRenderedPageBreak/>
        <w:t>comprehensive and theoretically the best tool for evaluating investment decision-making, especially when creating value in the long term and capital limits are primary considerations.</w:t>
      </w:r>
    </w:p>
    <w:p w14:paraId="7BAF7FA3" w14:textId="77777777" w:rsidR="00242AC7" w:rsidRDefault="00BA0127" w:rsidP="003920C8">
      <w:pPr>
        <w:pStyle w:val="Heading2"/>
      </w:pPr>
      <w:bookmarkStart w:id="19" w:name="_Toc201711995"/>
      <w:r>
        <w:t>Consideration of Qualitative Factors in Investment Decisions</w:t>
      </w:r>
      <w:bookmarkEnd w:id="19"/>
    </w:p>
    <w:p w14:paraId="16C07B37" w14:textId="77777777" w:rsidR="00242AC7" w:rsidRDefault="00BA0127" w:rsidP="00AB7CBB">
      <w:pPr>
        <w:spacing w:after="0"/>
      </w:pPr>
      <w:r>
        <w:t>Although quantitative methods, such as NPV and IRR, offer essential financial information, the decision concerning investments should also consider non-quantifiable factors that play a role in determining strategic results but are not reflected in numerical models. Business managers need these dimensions to ensure long-term success and alignment with organisational goals.</w:t>
      </w:r>
    </w:p>
    <w:p w14:paraId="7143AF24" w14:textId="77777777" w:rsidR="00242AC7" w:rsidRDefault="00BA0127" w:rsidP="00AB7CBB">
      <w:pPr>
        <w:spacing w:after="0"/>
      </w:pPr>
      <w:r>
        <w:t>Consumer behaviour is essential, as are market trends. For example, entering the field of Internet sales (Option B) can be considered a reflection of rising electronic purchasing behaviours, particularly among younger populations. Similarly, to ensure greater competitiveness in the market, diversifying Option C in curtains and Roman blinds may be aligned with a more general interior design trend.</w:t>
      </w:r>
    </w:p>
    <w:p w14:paraId="4CA2E0D4" w14:textId="77777777" w:rsidR="00242AC7" w:rsidRDefault="00BA0127" w:rsidP="00AB7CBB">
      <w:pPr>
        <w:spacing w:after="0"/>
      </w:pPr>
      <w:r>
        <w:t>Strategic fit and brand positioning should also be taken into consideration. Short-term returns from projects that dilute the company's brand identity or stretch its limited operational capabilities may lead to value destruction in the long term. Managers should also evaluate whether the new offerings align with the current reputation of the firm and its supply chain knowledge.</w:t>
      </w:r>
    </w:p>
    <w:p w14:paraId="1F97FC76" w14:textId="77777777" w:rsidR="00242AC7" w:rsidRDefault="00BA0127" w:rsidP="00AB7CBB">
      <w:pPr>
        <w:spacing w:after="0"/>
      </w:pPr>
      <w:r>
        <w:t>Regulations, operative factors and feasibility of implementation are also significant. The decision to enter new markets or launch products or product lines can mean working within new and unfamiliar standards of quality, posing logistical problems and overstretching the managerial base. These unrestricted expenses might decrease the actual returns relative to the forecasted returns (Drury, 2018).</w:t>
      </w:r>
    </w:p>
    <w:p w14:paraId="24BCED5F" w14:textId="77777777" w:rsidR="00242AC7" w:rsidRDefault="00BA0127" w:rsidP="00AB7CBB">
      <w:pPr>
        <w:spacing w:after="0"/>
      </w:pPr>
      <w:r>
        <w:t>They also require human resource capabilities and cultural willingness to be open to changes. The success of a project not only depends on its funding but also on its implementation, which is based on skilled personnel, effective management, and dynamic infrastructure.</w:t>
      </w:r>
    </w:p>
    <w:p w14:paraId="7EEB1951" w14:textId="77777777" w:rsidR="00242AC7" w:rsidRDefault="00BA0127" w:rsidP="00AB7CBB">
      <w:pPr>
        <w:spacing w:after="0"/>
      </w:pPr>
      <w:r>
        <w:t>Finally, the importance of sustainability is also climbing. Ultimately, investments with environmental objectives or those that consider ESG values can reap the benefits of investor goodwill and future-proofing, regardless of the short-term financial benefits (Abedin et al., 2024). Thus, a combination of these qualitative evaluations with the financial measurements is a way to make the investment decision both financially feasible and strategically viable.</w:t>
      </w:r>
    </w:p>
    <w:p w14:paraId="1C374764" w14:textId="77777777" w:rsidR="00242AC7" w:rsidRDefault="00BA0127" w:rsidP="003920C8">
      <w:pPr>
        <w:pStyle w:val="Heading2"/>
      </w:pPr>
      <w:bookmarkStart w:id="20" w:name="_Toc201711996"/>
      <w:r>
        <w:lastRenderedPageBreak/>
        <w:t>Capital Rationing and Optimal Investment Portfolio</w:t>
      </w:r>
      <w:bookmarkEnd w:id="20"/>
    </w:p>
    <w:p w14:paraId="0FBA90B0" w14:textId="77777777" w:rsidR="00242AC7" w:rsidRDefault="00BA0127" w:rsidP="00AB7CBB">
      <w:pPr>
        <w:spacing w:after="0"/>
      </w:pPr>
      <w:r>
        <w:t>When funds available for investment are scarce, as in this situation where the capital budget to be invested is £ 2 million, managers must focus on projects with the highest returns per pound invested. In this case, a capital rationing dilemma arises, allowing for partial investment in divisible projects, given NPV efficiency.</w:t>
      </w:r>
    </w:p>
    <w:p w14:paraId="034D5CC0" w14:textId="77777777" w:rsidR="00242AC7" w:rsidRDefault="00BA0127" w:rsidP="00AB7CBB">
      <w:pPr>
        <w:spacing w:after="0"/>
      </w:pPr>
      <w:r>
        <w:t>To come up with the best portfolio, the profitability index (profit in terms of investment of each pound) of every alternative was worked out:</w:t>
      </w:r>
    </w:p>
    <w:p w14:paraId="49EBD6B0" w14:textId="77777777" w:rsidR="00242AC7" w:rsidRDefault="00BA0127" w:rsidP="00AB7CBB">
      <w:pPr>
        <w:pStyle w:val="ListParagraph"/>
        <w:numPr>
          <w:ilvl w:val="0"/>
          <w:numId w:val="9"/>
        </w:numPr>
        <w:spacing w:after="0"/>
      </w:pPr>
      <w:r>
        <w:t>Option A: NPV £394,650 / £600,000 = 0.65775</w:t>
      </w:r>
    </w:p>
    <w:p w14:paraId="77980CD5" w14:textId="77777777" w:rsidR="00242AC7" w:rsidRDefault="00BA0127" w:rsidP="00AB7CBB">
      <w:pPr>
        <w:pStyle w:val="ListParagraph"/>
        <w:numPr>
          <w:ilvl w:val="0"/>
          <w:numId w:val="9"/>
        </w:numPr>
        <w:spacing w:after="0"/>
      </w:pPr>
      <w:r>
        <w:t>Option C: NPV £985,400 / £1,600,000 = 0.6159</w:t>
      </w:r>
    </w:p>
    <w:p w14:paraId="1F3131A1" w14:textId="77777777" w:rsidR="00242AC7" w:rsidRDefault="00BA0127" w:rsidP="00AB7CBB">
      <w:pPr>
        <w:pStyle w:val="ListParagraph"/>
        <w:numPr>
          <w:ilvl w:val="0"/>
          <w:numId w:val="9"/>
        </w:numPr>
        <w:spacing w:after="0"/>
      </w:pPr>
      <w:r>
        <w:t>Option B: NPV £509,700 / £1,000,000 = 0.5097</w:t>
      </w:r>
    </w:p>
    <w:p w14:paraId="3D49B6D8" w14:textId="77777777" w:rsidR="00242AC7" w:rsidRDefault="00BA0127" w:rsidP="00AB7CBB">
      <w:pPr>
        <w:spacing w:after="0"/>
      </w:pPr>
      <w:r>
        <w:t>Ranking by NPV efficiency: A (1st) → C (2nd) → B (3rd).</w:t>
      </w:r>
    </w:p>
    <w:p w14:paraId="4FF84FA3" w14:textId="77777777" w:rsidR="00242AC7" w:rsidRDefault="00BA0127" w:rsidP="00AB7CBB">
      <w:pPr>
        <w:spacing w:after="0"/>
      </w:pPr>
      <w:r>
        <w:t>With £2 million available, the optimal allocation strategy is:</w:t>
      </w:r>
    </w:p>
    <w:p w14:paraId="041411E3" w14:textId="77777777" w:rsidR="00242AC7" w:rsidRDefault="00BA0127" w:rsidP="00AB7CBB">
      <w:pPr>
        <w:pStyle w:val="ListParagraph"/>
        <w:numPr>
          <w:ilvl w:val="0"/>
          <w:numId w:val="8"/>
        </w:numPr>
        <w:spacing w:after="0"/>
      </w:pPr>
      <w:r>
        <w:t>Invest fully in Option A (£600,000) → contributes £394,650 NPV</w:t>
      </w:r>
    </w:p>
    <w:p w14:paraId="10FED3A3" w14:textId="77777777" w:rsidR="00242AC7" w:rsidRDefault="00BA0127" w:rsidP="00AB7CBB">
      <w:pPr>
        <w:pStyle w:val="ListParagraph"/>
        <w:numPr>
          <w:ilvl w:val="0"/>
          <w:numId w:val="8"/>
        </w:numPr>
        <w:spacing w:after="0"/>
      </w:pPr>
      <w:r>
        <w:t>Use remaining £1.4 million for 87.5% of Option C (£1.6 million × 0.875) → contributes approximately £862,225 NPV</w:t>
      </w:r>
    </w:p>
    <w:p w14:paraId="1B09C119" w14:textId="77777777" w:rsidR="00242AC7" w:rsidRDefault="00BA0127" w:rsidP="00AB7CBB">
      <w:pPr>
        <w:pStyle w:val="ListParagraph"/>
        <w:numPr>
          <w:ilvl w:val="0"/>
          <w:numId w:val="8"/>
        </w:numPr>
        <w:spacing w:after="0"/>
      </w:pPr>
      <w:r>
        <w:t>No allocation to Option B due to lower efficiency and exhausted capital</w:t>
      </w:r>
    </w:p>
    <w:p w14:paraId="6041AE5A" w14:textId="77777777" w:rsidR="00242AC7" w:rsidRDefault="00BA0127" w:rsidP="00AB7CBB">
      <w:pPr>
        <w:spacing w:after="0"/>
      </w:pPr>
      <w:r>
        <w:t>Total optimal NPV: £394,650 + £862,225 = £1,256,875</w:t>
      </w:r>
    </w:p>
    <w:p w14:paraId="52CA9D78" w14:textId="77777777" w:rsidR="00242AC7" w:rsidRDefault="00BA0127" w:rsidP="00AB7CBB">
      <w:pPr>
        <w:spacing w:after="0"/>
      </w:pPr>
      <w:r>
        <w:t>Using this methodology, it is shown how fractional investments affect the entire portfolio value constrained by capital (Pike and Neale, 2019). In addition, it points out that not all the projects with the highest absolute NPVs (such as Option C) will always be at the top in cases where budget efficiency is the objective.</w:t>
      </w:r>
    </w:p>
    <w:p w14:paraId="4207D837" w14:textId="77777777" w:rsidR="00242AC7" w:rsidRDefault="00BA0127" w:rsidP="00AB7CBB">
      <w:pPr>
        <w:spacing w:after="0"/>
      </w:pPr>
      <w:r>
        <w:t>The decision-making process must thus balance between absolute returns and the efficiency of the NPV. Business managers can construct a strategically optimal investment mix that maximises shareholder value by applying capital rationing principles, thereby avoiding the pitfalls of financial constraint.</w:t>
      </w:r>
    </w:p>
    <w:p w14:paraId="41FE84BB" w14:textId="77777777" w:rsidR="00242AC7" w:rsidRDefault="00BA0127" w:rsidP="003920C8">
      <w:pPr>
        <w:pStyle w:val="Heading2"/>
      </w:pPr>
      <w:bookmarkStart w:id="21" w:name="_Toc201711997"/>
      <w:r>
        <w:t>Financing the Investment Programme</w:t>
      </w:r>
      <w:bookmarkEnd w:id="21"/>
    </w:p>
    <w:p w14:paraId="5C36D01A" w14:textId="77777777" w:rsidR="0079579F" w:rsidRDefault="00BA0127" w:rsidP="00AB7CBB">
      <w:pPr>
        <w:spacing w:after="0"/>
      </w:pPr>
      <w:r>
        <w:t>It is also necessary to determine how the proposed projects can be financed after identifying the best investment strategy within budget constraints. There is a need to ensure that the source of funding aligns with the firm's cost-based structure and its strategic direction.</w:t>
      </w:r>
    </w:p>
    <w:p w14:paraId="3DDA4AF0" w14:textId="77777777" w:rsidR="0079579F" w:rsidRDefault="00BA0127" w:rsidP="00AB7CBB">
      <w:pPr>
        <w:pStyle w:val="ListParagraph"/>
        <w:numPr>
          <w:ilvl w:val="0"/>
          <w:numId w:val="10"/>
        </w:numPr>
        <w:spacing w:after="0"/>
      </w:pPr>
      <w:r w:rsidRPr="0079579F">
        <w:rPr>
          <w:b/>
          <w:bCs/>
          <w:i/>
          <w:iCs/>
        </w:rPr>
        <w:t>Internal Financing:</w:t>
      </w:r>
      <w:r>
        <w:t xml:space="preserve"> This type of financing can be the most cost-effective because the company does not have to pay any interest, as it utilises its own retained funds and retains </w:t>
      </w:r>
      <w:r>
        <w:lastRenderedPageBreak/>
        <w:t>control. Nevertheless, this can be a limiting factor of growth when there are no reserves to make significant investments</w:t>
      </w:r>
      <w:r w:rsidR="001A4F48">
        <w:t xml:space="preserve"> </w:t>
      </w:r>
      <w:r w:rsidR="001A4F48" w:rsidRPr="001A4F48">
        <w:t>(BBC, 2024)</w:t>
      </w:r>
      <w:r>
        <w:t>.</w:t>
      </w:r>
    </w:p>
    <w:p w14:paraId="7A79BCB0" w14:textId="77777777" w:rsidR="0079579F" w:rsidRDefault="00BA0127" w:rsidP="00AB7CBB">
      <w:pPr>
        <w:pStyle w:val="ListParagraph"/>
        <w:numPr>
          <w:ilvl w:val="0"/>
          <w:numId w:val="10"/>
        </w:numPr>
        <w:spacing w:after="0"/>
      </w:pPr>
      <w:r w:rsidRPr="0079579F">
        <w:rPr>
          <w:b/>
          <w:bCs/>
          <w:i/>
          <w:iCs/>
        </w:rPr>
        <w:t xml:space="preserve">Debt </w:t>
      </w:r>
      <w:r w:rsidR="00AB7CBB" w:rsidRPr="0079579F">
        <w:rPr>
          <w:b/>
          <w:bCs/>
          <w:i/>
          <w:iCs/>
        </w:rPr>
        <w:t>Financing:</w:t>
      </w:r>
      <w:r>
        <w:t xml:space="preserve"> The issuance of long-term debt or bank loans is quick capital accumulation. With fixed interest rates and fixed repayment plans, firms can exploit financial returns using the method. The disadvantage is that there is a higher financial risk, particularly in cases involving variable cash flows or an already heavily geared company</w:t>
      </w:r>
      <w:r w:rsidR="001A4F48" w:rsidRPr="001A4F48">
        <w:t xml:space="preserve"> (Gold, 2024)</w:t>
      </w:r>
      <w:r w:rsidR="001A4F48">
        <w:t>.</w:t>
      </w:r>
    </w:p>
    <w:p w14:paraId="2B48B489" w14:textId="77777777" w:rsidR="0079579F" w:rsidRDefault="00BA0127" w:rsidP="00AB7CBB">
      <w:pPr>
        <w:pStyle w:val="ListParagraph"/>
        <w:numPr>
          <w:ilvl w:val="0"/>
          <w:numId w:val="10"/>
        </w:numPr>
        <w:spacing w:after="0"/>
      </w:pPr>
      <w:r w:rsidRPr="0079579F">
        <w:rPr>
          <w:b/>
          <w:bCs/>
          <w:i/>
          <w:iCs/>
        </w:rPr>
        <w:t>Equity Financing:</w:t>
      </w:r>
      <w:r>
        <w:t xml:space="preserve"> It diversifies risk among shareholders and enhances bid-call flexibility. However, it can be dilutive to existing shareholders and can be sluggish to implement, requiring adherence to regulations and the maintenance of investor trust (Arnold and Lewis, 2019).</w:t>
      </w:r>
    </w:p>
    <w:p w14:paraId="1F42A458" w14:textId="77777777" w:rsidR="0079579F" w:rsidRDefault="00BA0127" w:rsidP="00AB7CBB">
      <w:pPr>
        <w:pStyle w:val="ListParagraph"/>
        <w:numPr>
          <w:ilvl w:val="0"/>
          <w:numId w:val="10"/>
        </w:numPr>
        <w:spacing w:after="0"/>
      </w:pPr>
      <w:r w:rsidRPr="0079579F">
        <w:rPr>
          <w:b/>
          <w:bCs/>
          <w:i/>
          <w:iCs/>
        </w:rPr>
        <w:t>Hybrid securities</w:t>
      </w:r>
      <w:r>
        <w:t xml:space="preserve"> (e.g., Convertible Bonds and green Bonds) are flexible, and ESG-sensitive investors are interested in issuing them, particularly when the investment aligns with the sustainability agenda </w:t>
      </w:r>
      <w:r w:rsidR="001A4F48" w:rsidRPr="001A4F48">
        <w:t>(Chen, 2019)</w:t>
      </w:r>
      <w:r w:rsidR="001A4F48">
        <w:t xml:space="preserve">. </w:t>
      </w:r>
      <w:r>
        <w:t>Although these loans are usually appealing, they may sometimes be associated with complex repayment terms.</w:t>
      </w:r>
    </w:p>
    <w:p w14:paraId="5AA77CC3" w14:textId="77777777" w:rsidR="0079579F" w:rsidRDefault="00BA0127" w:rsidP="00AB7CBB">
      <w:pPr>
        <w:spacing w:after="0"/>
      </w:pPr>
      <w:r>
        <w:t>To sum up, the company is advised to adopt a dual financing strategy, i.e., by relying on a combination of internal resources and low-cost debt, potentially complemented by specific ESG-friendly capital, to maintain financial sustainability and promote growth.</w:t>
      </w:r>
    </w:p>
    <w:p w14:paraId="666A38E7" w14:textId="77777777" w:rsidR="001A4F48" w:rsidRDefault="00BA0127" w:rsidP="004D0A84">
      <w:pPr>
        <w:pStyle w:val="Heading1"/>
      </w:pPr>
      <w:bookmarkStart w:id="22" w:name="_Toc201711998"/>
      <w:r>
        <w:t>Conclusion</w:t>
      </w:r>
      <w:bookmarkEnd w:id="22"/>
      <w:r>
        <w:t xml:space="preserve"> </w:t>
      </w:r>
    </w:p>
    <w:p w14:paraId="1415DD9F" w14:textId="77777777" w:rsidR="00B02088" w:rsidRDefault="00BA0127" w:rsidP="00AB7CBB">
      <w:pPr>
        <w:spacing w:after="0"/>
      </w:pPr>
      <w:r>
        <w:t>This report critically evaluates two fundamental aspects of financial decision-making: performance evaluation through ratio analysis and investment appraisal using discounted cash flow methods. These methods are essential in making short- and long-term strategic plans to inform business management.</w:t>
      </w:r>
    </w:p>
    <w:p w14:paraId="25E3DF3A" w14:textId="77777777" w:rsidR="004139C0" w:rsidRDefault="00BA0127" w:rsidP="00AB7CBB">
      <w:pPr>
        <w:spacing w:after="0"/>
      </w:pPr>
      <w:r>
        <w:t xml:space="preserve">Part 1 involved analysing British Petroleum (BP) in XCEL within the financial years 2023 and 2024 through crucial financial ratios. It was also found that critical issues exist in the business's profitability, where operating and net profit margins are predicted to be 5.97% and 0.65%, respectively, in 2024. This reflects that costs and pressure on operations are increasing. Ratios of liquidity did not vary significantly; the current ratio figure has been consistently 1.22, whereas </w:t>
      </w:r>
      <w:r w:rsidR="00AB7CBB">
        <w:t>the</w:t>
      </w:r>
      <w:r>
        <w:t xml:space="preserve"> acid test ratio is just under 1, indicating a possible concern regarding short-term solvency. The gearing analysis revealed a relatively small gearing increment; however, the interest cover ratio declined to 2.41, compared to 7.12, indicating an increased debt-financing risk. The efficiency also </w:t>
      </w:r>
      <w:r>
        <w:lastRenderedPageBreak/>
        <w:t>deteriorated, with the asset turnover dropping by more than half, as well as the inventory turnover. The investor return, also measured by Return on Equity, fell significantly, from 359.44% in 2023 to 34.14% in 2024. The report did not ignore the constraints of ratio analysis and concluded by providing concrete suggestions to enhance operational efficiency, reallocate debt, and allocate capital more effectively.</w:t>
      </w:r>
    </w:p>
    <w:p w14:paraId="31F76BF8" w14:textId="77777777" w:rsidR="00415851" w:rsidRDefault="00BA0127" w:rsidP="00AB7CBB">
      <w:pPr>
        <w:spacing w:after="0"/>
      </w:pPr>
      <w:r>
        <w:t>Part 2 evaluated potential investment opportunities and suggested three expansion projects based on the Net Present Value (NPV) and Internal Rate of Return (IRR). Although option A provided the highest IRR of 28%, the most economically feasible option was Option C, which has an NPV of £985,400 and a good IRR of 20%. The combination of investing entirely in Option A and partially in Option C is the optimal one, as it was determined to yield a combined NPV of $1,256,875 using the capital rationing analysis in Budget 2 million. The assessment also prioritised qualitative aspects, such as market fit, actual fit, and functionality, as well as financing aspects, including internal sources, debt, equity, and green financing.</w:t>
      </w:r>
    </w:p>
    <w:p w14:paraId="7BF5CFE6" w14:textId="77777777" w:rsidR="00DC53C9" w:rsidRDefault="00BA0127" w:rsidP="00AB7CBB">
      <w:pPr>
        <w:spacing w:after="0"/>
      </w:pPr>
      <w:r>
        <w:t>By itself, the combination of these analyses underscores the importance of integrating retrospective performance assessment and forward-looking investment planning. The most important lesson for business managers is that financial planning and decisions must be data-driven yet holistic, i.e., they should strike a balance between quantitative precision and qualitative judgement that leads to sustainable growth and value creation in an increasingly complex business environment.</w:t>
      </w:r>
    </w:p>
    <w:p w14:paraId="20359D59" w14:textId="77777777" w:rsidR="001A4F48" w:rsidRDefault="00BA0127">
      <w:pPr>
        <w:spacing w:line="259" w:lineRule="auto"/>
        <w:jc w:val="left"/>
      </w:pPr>
      <w:r>
        <w:br w:type="page"/>
      </w:r>
    </w:p>
    <w:p w14:paraId="43E21D4C" w14:textId="37A3B49E" w:rsidR="001A4F48" w:rsidRPr="001A4F48" w:rsidRDefault="00431AEE" w:rsidP="004D0A84">
      <w:pPr>
        <w:pStyle w:val="Heading1"/>
      </w:pPr>
      <w:r>
        <w:lastRenderedPageBreak/>
        <w:t>Bibliography</w:t>
      </w:r>
      <w:bookmarkStart w:id="23" w:name="_GoBack"/>
      <w:bookmarkEnd w:id="23"/>
    </w:p>
    <w:p w14:paraId="548ACEC4" w14:textId="77777777" w:rsidR="001A4F48" w:rsidRPr="00AB7CBB" w:rsidRDefault="00BA0127" w:rsidP="00AB7CBB">
      <w:pPr>
        <w:pStyle w:val="NormalWeb"/>
        <w:spacing w:before="0" w:beforeAutospacing="0" w:after="0" w:afterAutospacing="0" w:line="360" w:lineRule="auto"/>
        <w:jc w:val="both"/>
      </w:pPr>
      <w:r w:rsidRPr="00AB7CBB">
        <w:t xml:space="preserve">Abedin, B., Manuela Rozalia Gabor, Irina Olimpia Susanu and Yousif Fllayyih Jaber (2024). Exploring the Perspectives of Oil and Gas Industry Managers on the Adoption of Sustainable Practices: A Q Methodology Approach to Green Marketing Strategies. </w:t>
      </w:r>
      <w:r w:rsidRPr="00AB7CBB">
        <w:rPr>
          <w:i/>
          <w:iCs/>
        </w:rPr>
        <w:t>Sustainability</w:t>
      </w:r>
      <w:r w:rsidRPr="00AB7CBB">
        <w:t xml:space="preserve">, 16(14), pp.5948–5948. </w:t>
      </w:r>
    </w:p>
    <w:p w14:paraId="6C2B0D17" w14:textId="77777777" w:rsidR="001A4F48" w:rsidRPr="00AB7CBB" w:rsidRDefault="00BA0127" w:rsidP="00AB7CBB">
      <w:pPr>
        <w:pStyle w:val="NormalWeb"/>
        <w:spacing w:before="0" w:beforeAutospacing="0" w:after="0" w:afterAutospacing="0" w:line="360" w:lineRule="auto"/>
        <w:jc w:val="both"/>
      </w:pPr>
      <w:r w:rsidRPr="00AB7CBB">
        <w:t xml:space="preserve">Adegoke, A.K., Abdullah, W.H., Hakimi, M.H. and Babangida M. Sarki Yandoka (2015). Marine and Petroleum Geology. </w:t>
      </w:r>
      <w:r w:rsidRPr="00AB7CBB">
        <w:rPr>
          <w:i/>
          <w:iCs/>
        </w:rPr>
        <w:t>Journal of Petroleum Science and Engineering</w:t>
      </w:r>
      <w:r w:rsidRPr="00AB7CBB">
        <w:t>. [online] Available at: https://www.researchgate.net/publication/281085346_Marine_and_Petroleum_Geology.</w:t>
      </w:r>
    </w:p>
    <w:p w14:paraId="4AA22E08" w14:textId="77777777" w:rsidR="001A4F48" w:rsidRPr="00AB7CBB" w:rsidRDefault="00BA0127" w:rsidP="00AB7CBB">
      <w:pPr>
        <w:pStyle w:val="NormalWeb"/>
        <w:spacing w:before="0" w:beforeAutospacing="0" w:after="0" w:afterAutospacing="0" w:line="360" w:lineRule="auto"/>
        <w:jc w:val="both"/>
      </w:pPr>
      <w:r w:rsidRPr="00AB7CBB">
        <w:t xml:space="preserve">Arnold, G. and Lewis, D. (2019). </w:t>
      </w:r>
      <w:r w:rsidRPr="00AB7CBB">
        <w:rPr>
          <w:i/>
          <w:iCs/>
        </w:rPr>
        <w:t xml:space="preserve">Corporate Financial </w:t>
      </w:r>
      <w:r w:rsidR="00AB7CBB" w:rsidRPr="00AB7CBB">
        <w:rPr>
          <w:i/>
          <w:iCs/>
        </w:rPr>
        <w:t>Management.</w:t>
      </w:r>
      <w:r w:rsidRPr="00AB7CBB">
        <w:t xml:space="preserve"> 6th ed. Harlow, United Kingdom: Pearson Education.</w:t>
      </w:r>
    </w:p>
    <w:p w14:paraId="4ACCBA5A" w14:textId="77777777" w:rsidR="001A4F48" w:rsidRPr="00AB7CBB" w:rsidRDefault="00BA0127" w:rsidP="00AB7CBB">
      <w:pPr>
        <w:pStyle w:val="NormalWeb"/>
        <w:spacing w:before="0" w:beforeAutospacing="0" w:after="0" w:afterAutospacing="0" w:line="360" w:lineRule="auto"/>
        <w:jc w:val="both"/>
      </w:pPr>
      <w:r w:rsidRPr="00AB7CBB">
        <w:t xml:space="preserve">Atrill, P. and Mclaney, E. (2022). </w:t>
      </w:r>
      <w:r w:rsidRPr="00AB7CBB">
        <w:rPr>
          <w:i/>
          <w:iCs/>
        </w:rPr>
        <w:t>Accounting and Finance for Non-Specialists.</w:t>
      </w:r>
      <w:r w:rsidRPr="00AB7CBB">
        <w:t xml:space="preserve"> 12th ed. S.L.: Pearson Education Limited.</w:t>
      </w:r>
    </w:p>
    <w:p w14:paraId="2B15F98B" w14:textId="77777777" w:rsidR="001A4F48" w:rsidRPr="00AB7CBB" w:rsidRDefault="00BA0127" w:rsidP="00AB7CBB">
      <w:pPr>
        <w:pStyle w:val="NormalWeb"/>
        <w:spacing w:before="0" w:beforeAutospacing="0" w:after="0" w:afterAutospacing="0" w:line="360" w:lineRule="auto"/>
        <w:jc w:val="both"/>
      </w:pPr>
      <w:r w:rsidRPr="00AB7CBB">
        <w:t xml:space="preserve">BBC (2024). </w:t>
      </w:r>
      <w:r w:rsidRPr="00AB7CBB">
        <w:rPr>
          <w:i/>
          <w:iCs/>
        </w:rPr>
        <w:t>Internal and External Sources of Finance - Sources of Finance - Eduqas - GCSE Business Revision - Eduqas</w:t>
      </w:r>
      <w:r w:rsidRPr="00AB7CBB">
        <w:t>. [online] BBC Bitesize. Available at: https://www.bbc.co.uk/bitesize/guides/zj7yy9q/revision/1.</w:t>
      </w:r>
    </w:p>
    <w:p w14:paraId="05132417" w14:textId="77777777" w:rsidR="001A4F48" w:rsidRPr="00AB7CBB" w:rsidRDefault="00BA0127" w:rsidP="00AB7CBB">
      <w:pPr>
        <w:pStyle w:val="NormalWeb"/>
        <w:spacing w:before="0" w:beforeAutospacing="0" w:after="0" w:afterAutospacing="0" w:line="360" w:lineRule="auto"/>
        <w:jc w:val="both"/>
      </w:pPr>
      <w:r w:rsidRPr="00AB7CBB">
        <w:t xml:space="preserve">Berk, J.B. and Demarzo, P.M. (2024). </w:t>
      </w:r>
      <w:r w:rsidRPr="00AB7CBB">
        <w:rPr>
          <w:i/>
          <w:iCs/>
        </w:rPr>
        <w:t>Corporate Finance</w:t>
      </w:r>
      <w:r w:rsidRPr="00AB7CBB">
        <w:t>. 6th ed. New York, NY: Pearson.</w:t>
      </w:r>
    </w:p>
    <w:p w14:paraId="4A5C2A9F" w14:textId="77777777" w:rsidR="001A4F48" w:rsidRPr="00AB7CBB" w:rsidRDefault="00BA0127" w:rsidP="00AB7CBB">
      <w:pPr>
        <w:pStyle w:val="NormalWeb"/>
        <w:spacing w:before="0" w:beforeAutospacing="0" w:after="0" w:afterAutospacing="0" w:line="360" w:lineRule="auto"/>
        <w:jc w:val="both"/>
      </w:pPr>
      <w:r w:rsidRPr="00AB7CBB">
        <w:t xml:space="preserve">Berk, J.B., Harford, J.V.T., Demarzo, P.M., Stangeland, D. and Marosi, A. (2019). </w:t>
      </w:r>
      <w:r w:rsidRPr="00AB7CBB">
        <w:rPr>
          <w:i/>
          <w:iCs/>
        </w:rPr>
        <w:t>Fundamentals of corporate finance</w:t>
      </w:r>
      <w:r w:rsidRPr="00AB7CBB">
        <w:t>. Toronto: Pearson.</w:t>
      </w:r>
    </w:p>
    <w:p w14:paraId="4CDBEC4E" w14:textId="77777777" w:rsidR="001A4F48" w:rsidRPr="00AB7CBB" w:rsidRDefault="00BA0127" w:rsidP="00AB7CBB">
      <w:pPr>
        <w:pStyle w:val="NormalWeb"/>
        <w:spacing w:before="0" w:beforeAutospacing="0" w:after="0" w:afterAutospacing="0" w:line="360" w:lineRule="auto"/>
        <w:jc w:val="both"/>
      </w:pPr>
      <w:r w:rsidRPr="00AB7CBB">
        <w:t xml:space="preserve">BMI (2025). </w:t>
      </w:r>
      <w:r w:rsidRPr="00AB7CBB">
        <w:rPr>
          <w:i/>
          <w:iCs/>
        </w:rPr>
        <w:t xml:space="preserve">BMI Oil &amp; Gas Industry </w:t>
      </w:r>
      <w:r w:rsidR="00AB7CBB" w:rsidRPr="00AB7CBB">
        <w:rPr>
          <w:i/>
          <w:iCs/>
        </w:rPr>
        <w:t>Research:</w:t>
      </w:r>
      <w:r w:rsidRPr="00AB7CBB">
        <w:rPr>
          <w:i/>
          <w:iCs/>
        </w:rPr>
        <w:t xml:space="preserve"> Fitch Solutions</w:t>
      </w:r>
      <w:r w:rsidRPr="00AB7CBB">
        <w:t>. [online] Fitchsolutions.com. Available at: https://www.fitchsolutions.com/bmi/oil-gas [Accessed 23 Jun. 2025].</w:t>
      </w:r>
    </w:p>
    <w:p w14:paraId="2C053E4F" w14:textId="77777777" w:rsidR="001A4F48" w:rsidRPr="00AB7CBB" w:rsidRDefault="00BA0127" w:rsidP="00AB7CBB">
      <w:pPr>
        <w:pStyle w:val="NormalWeb"/>
        <w:spacing w:before="0" w:beforeAutospacing="0" w:after="0" w:afterAutospacing="0" w:line="360" w:lineRule="auto"/>
        <w:jc w:val="both"/>
      </w:pPr>
      <w:r w:rsidRPr="00AB7CBB">
        <w:t xml:space="preserve">Bp global (2024). </w:t>
      </w:r>
      <w:r w:rsidRPr="00AB7CBB">
        <w:rPr>
          <w:i/>
          <w:iCs/>
        </w:rPr>
        <w:t xml:space="preserve">Annual Report </w:t>
      </w:r>
      <w:r w:rsidR="00AB7CBB" w:rsidRPr="00AB7CBB">
        <w:rPr>
          <w:i/>
          <w:iCs/>
        </w:rPr>
        <w:t>2024.</w:t>
      </w:r>
      <w:r w:rsidRPr="00AB7CBB">
        <w:t xml:space="preserve"> [online] bp global. Available at: https://www.bp.com/en/global/corporate/investors/results-reporting-and-presentations/annual-report.html.</w:t>
      </w:r>
    </w:p>
    <w:p w14:paraId="60342B99" w14:textId="77777777" w:rsidR="001A4F48" w:rsidRPr="00AB7CBB" w:rsidRDefault="00BA0127" w:rsidP="00AB7CBB">
      <w:pPr>
        <w:pStyle w:val="NormalWeb"/>
        <w:spacing w:before="0" w:beforeAutospacing="0" w:after="0" w:afterAutospacing="0" w:line="360" w:lineRule="auto"/>
        <w:jc w:val="both"/>
      </w:pPr>
      <w:r w:rsidRPr="00AB7CBB">
        <w:t xml:space="preserve">Brealey, R.A., Myers, S.C. and Allen, F. (2020a). </w:t>
      </w:r>
      <w:r w:rsidRPr="00AB7CBB">
        <w:rPr>
          <w:i/>
          <w:iCs/>
        </w:rPr>
        <w:t>Principles of Corporate Finance</w:t>
      </w:r>
      <w:r w:rsidRPr="00AB7CBB">
        <w:t>. 13th ed. New York: McGraw-Hill Education.</w:t>
      </w:r>
    </w:p>
    <w:p w14:paraId="4C7970B0" w14:textId="77777777" w:rsidR="001A4F48" w:rsidRPr="00AB7CBB" w:rsidRDefault="00BA0127" w:rsidP="00AB7CBB">
      <w:pPr>
        <w:pStyle w:val="NormalWeb"/>
        <w:spacing w:before="0" w:beforeAutospacing="0" w:after="0" w:afterAutospacing="0" w:line="360" w:lineRule="auto"/>
        <w:jc w:val="both"/>
      </w:pPr>
      <w:r w:rsidRPr="00AB7CBB">
        <w:t xml:space="preserve">Brealey, R.A., Myers, S.C. and Allen, F. (2020b). </w:t>
      </w:r>
      <w:r w:rsidRPr="00AB7CBB">
        <w:rPr>
          <w:i/>
          <w:iCs/>
        </w:rPr>
        <w:t>Principles of Corporate Finance</w:t>
      </w:r>
      <w:r w:rsidRPr="00AB7CBB">
        <w:t>. 13th ed. New York: McGraw-Hill Education.</w:t>
      </w:r>
    </w:p>
    <w:p w14:paraId="69E4DD30" w14:textId="77777777" w:rsidR="001A4F48" w:rsidRPr="00AB7CBB" w:rsidRDefault="00BA0127" w:rsidP="00AB7CBB">
      <w:pPr>
        <w:pStyle w:val="NormalWeb"/>
        <w:spacing w:before="0" w:beforeAutospacing="0" w:after="0" w:afterAutospacing="0" w:line="360" w:lineRule="auto"/>
        <w:jc w:val="both"/>
      </w:pPr>
      <w:r w:rsidRPr="00AB7CBB">
        <w:t xml:space="preserve">CFI (2022). </w:t>
      </w:r>
      <w:r w:rsidRPr="00AB7CBB">
        <w:rPr>
          <w:i/>
          <w:iCs/>
        </w:rPr>
        <w:t>Limitations of Ratio Analysis</w:t>
      </w:r>
      <w:r w:rsidRPr="00AB7CBB">
        <w:t>. [online] Corporate Finance Institute. Available at: https://corporatefinanceinstitute.com/resources/accounting/limitations-ratio-analysis/.</w:t>
      </w:r>
    </w:p>
    <w:p w14:paraId="0C065EB2" w14:textId="77777777" w:rsidR="001A4F48" w:rsidRPr="00AB7CBB" w:rsidRDefault="00BA0127" w:rsidP="00AB7CBB">
      <w:pPr>
        <w:pStyle w:val="NormalWeb"/>
        <w:spacing w:before="0" w:beforeAutospacing="0" w:after="0" w:afterAutospacing="0" w:line="360" w:lineRule="auto"/>
        <w:jc w:val="both"/>
      </w:pPr>
      <w:r w:rsidRPr="00AB7CBB">
        <w:t xml:space="preserve">Chen, J. (2019). </w:t>
      </w:r>
      <w:r w:rsidRPr="00AB7CBB">
        <w:rPr>
          <w:i/>
          <w:iCs/>
        </w:rPr>
        <w:t>Understanding Hybrid Security</w:t>
      </w:r>
      <w:r w:rsidRPr="00AB7CBB">
        <w:t>. [online] Investopedia. Available at: https://www.investopedia.com/terms/h/hybridsecurity.asp.</w:t>
      </w:r>
    </w:p>
    <w:p w14:paraId="6B6B877C" w14:textId="77777777" w:rsidR="001A4F48" w:rsidRPr="00AB7CBB" w:rsidRDefault="00BA0127" w:rsidP="00AB7CBB">
      <w:pPr>
        <w:pStyle w:val="NormalWeb"/>
        <w:spacing w:before="0" w:beforeAutospacing="0" w:after="0" w:afterAutospacing="0" w:line="360" w:lineRule="auto"/>
        <w:jc w:val="both"/>
      </w:pPr>
      <w:r w:rsidRPr="00AB7CBB">
        <w:lastRenderedPageBreak/>
        <w:t xml:space="preserve">Chopra, S. and Meindl, P. (2016). </w:t>
      </w:r>
      <w:r w:rsidRPr="00AB7CBB">
        <w:rPr>
          <w:i/>
          <w:iCs/>
        </w:rPr>
        <w:t xml:space="preserve">Supply Chain </w:t>
      </w:r>
      <w:r w:rsidR="00AB7CBB" w:rsidRPr="00AB7CBB">
        <w:rPr>
          <w:i/>
          <w:iCs/>
        </w:rPr>
        <w:t>Management:</w:t>
      </w:r>
      <w:r w:rsidRPr="00AB7CBB">
        <w:rPr>
          <w:i/>
          <w:iCs/>
        </w:rPr>
        <w:t xml:space="preserve"> Strategy, Planning, and Operation</w:t>
      </w:r>
      <w:r w:rsidRPr="00AB7CBB">
        <w:t>. 6th ed. Boston: Pearson.</w:t>
      </w:r>
    </w:p>
    <w:p w14:paraId="1739A26D" w14:textId="77777777" w:rsidR="001A4F48" w:rsidRPr="00AB7CBB" w:rsidRDefault="00BA0127" w:rsidP="00AB7CBB">
      <w:pPr>
        <w:pStyle w:val="NormalWeb"/>
        <w:spacing w:before="0" w:beforeAutospacing="0" w:after="0" w:afterAutospacing="0" w:line="360" w:lineRule="auto"/>
        <w:jc w:val="both"/>
      </w:pPr>
      <w:r w:rsidRPr="00AB7CBB">
        <w:t xml:space="preserve">Coombs, H., Hobbs, D. and Jenkins, E. (2015). </w:t>
      </w:r>
      <w:r w:rsidRPr="00AB7CBB">
        <w:rPr>
          <w:i/>
          <w:iCs/>
        </w:rPr>
        <w:t>Management Accounting: Principles and Applications</w:t>
      </w:r>
      <w:r w:rsidRPr="00AB7CBB">
        <w:t>. 1 Oliver’s Yard, 55 City Road, London, Ec1y 1Sp, United Kingdom Sage Publications Ltd.</w:t>
      </w:r>
    </w:p>
    <w:p w14:paraId="1918E52D" w14:textId="77777777" w:rsidR="001A4F48" w:rsidRPr="00AB7CBB" w:rsidRDefault="00BA0127" w:rsidP="00AB7CBB">
      <w:pPr>
        <w:pStyle w:val="NormalWeb"/>
        <w:spacing w:before="0" w:beforeAutospacing="0" w:after="0" w:afterAutospacing="0" w:line="360" w:lineRule="auto"/>
        <w:jc w:val="both"/>
      </w:pPr>
      <w:r w:rsidRPr="00AB7CBB">
        <w:t xml:space="preserve">Damodaran, A. (2014). </w:t>
      </w:r>
      <w:r w:rsidRPr="00AB7CBB">
        <w:rPr>
          <w:i/>
          <w:iCs/>
        </w:rPr>
        <w:t>Applied Corporate Finance</w:t>
      </w:r>
      <w:r w:rsidRPr="00AB7CBB">
        <w:t>. 4th ed. Hoboken: Wiley.</w:t>
      </w:r>
    </w:p>
    <w:p w14:paraId="6B1C9DF3" w14:textId="77777777" w:rsidR="001A4F48" w:rsidRPr="00AB7CBB" w:rsidRDefault="00BA0127" w:rsidP="00AB7CBB">
      <w:pPr>
        <w:pStyle w:val="NormalWeb"/>
        <w:spacing w:before="0" w:beforeAutospacing="0" w:after="0" w:afterAutospacing="0" w:line="360" w:lineRule="auto"/>
        <w:jc w:val="both"/>
      </w:pPr>
      <w:r w:rsidRPr="00AB7CBB">
        <w:t xml:space="preserve">Drury, C. (2018). </w:t>
      </w:r>
      <w:r w:rsidRPr="00AB7CBB">
        <w:rPr>
          <w:i/>
          <w:iCs/>
        </w:rPr>
        <w:t>Management and Cost Accounting</w:t>
      </w:r>
      <w:r w:rsidRPr="00AB7CBB">
        <w:t>. 10th ed. Andover, Hampshire Cengage.</w:t>
      </w:r>
    </w:p>
    <w:p w14:paraId="43E472BB" w14:textId="77777777" w:rsidR="001A4F48" w:rsidRPr="00AB7CBB" w:rsidRDefault="00BA0127" w:rsidP="00AB7CBB">
      <w:pPr>
        <w:pStyle w:val="NormalWeb"/>
        <w:spacing w:before="0" w:beforeAutospacing="0" w:after="0" w:afterAutospacing="0" w:line="360" w:lineRule="auto"/>
        <w:jc w:val="both"/>
      </w:pPr>
      <w:r w:rsidRPr="00AB7CBB">
        <w:t xml:space="preserve">Ehrhardt, M.C. and Brigham, E.F. (2017). </w:t>
      </w:r>
      <w:r w:rsidRPr="00AB7CBB">
        <w:rPr>
          <w:i/>
          <w:iCs/>
        </w:rPr>
        <w:t>Financial Management: Theory &amp; Practice</w:t>
      </w:r>
      <w:r w:rsidRPr="00AB7CBB">
        <w:t>. 15th ed. Boston, MA: Cengage.</w:t>
      </w:r>
    </w:p>
    <w:p w14:paraId="2E1248BA" w14:textId="77777777" w:rsidR="001A4F48" w:rsidRPr="00AB7CBB" w:rsidRDefault="00BA0127" w:rsidP="00AB7CBB">
      <w:pPr>
        <w:pStyle w:val="NormalWeb"/>
        <w:spacing w:before="0" w:beforeAutospacing="0" w:after="0" w:afterAutospacing="0" w:line="360" w:lineRule="auto"/>
        <w:jc w:val="both"/>
      </w:pPr>
      <w:r w:rsidRPr="00AB7CBB">
        <w:t xml:space="preserve">Ehrhardt, M.C. and Brigham, E.F. (2019). </w:t>
      </w:r>
      <w:r w:rsidRPr="00AB7CBB">
        <w:rPr>
          <w:i/>
          <w:iCs/>
        </w:rPr>
        <w:t>Financial Management: Theory &amp; Practice</w:t>
      </w:r>
      <w:r w:rsidRPr="00AB7CBB">
        <w:t>. 16th ed. Boston, MA: Cengage.</w:t>
      </w:r>
    </w:p>
    <w:p w14:paraId="0E7CC46A" w14:textId="77777777" w:rsidR="001A4F48" w:rsidRPr="00AB7CBB" w:rsidRDefault="00BA0127" w:rsidP="00AB7CBB">
      <w:pPr>
        <w:pStyle w:val="NormalWeb"/>
        <w:spacing w:before="0" w:beforeAutospacing="0" w:after="0" w:afterAutospacing="0" w:line="360" w:lineRule="auto"/>
        <w:jc w:val="both"/>
      </w:pPr>
      <w:r w:rsidRPr="00AB7CBB">
        <w:t xml:space="preserve">EPICORP (2024). </w:t>
      </w:r>
      <w:r w:rsidRPr="00AB7CBB">
        <w:rPr>
          <w:i/>
          <w:iCs/>
        </w:rPr>
        <w:t>Financial methods for the oil and gas industry in 2024</w:t>
      </w:r>
      <w:r w:rsidRPr="00AB7CBB">
        <w:t>. [online] EPICORP. Available at: https://epicorp.com.eg/finance-for-oil-and-gas-industry/.</w:t>
      </w:r>
    </w:p>
    <w:p w14:paraId="6387DCDD" w14:textId="77777777" w:rsidR="001A4F48" w:rsidRPr="00AB7CBB" w:rsidRDefault="00BA0127" w:rsidP="00AB7CBB">
      <w:pPr>
        <w:pStyle w:val="NormalWeb"/>
        <w:spacing w:before="0" w:beforeAutospacing="0" w:after="0" w:afterAutospacing="0" w:line="360" w:lineRule="auto"/>
        <w:jc w:val="both"/>
      </w:pPr>
      <w:r w:rsidRPr="00AB7CBB">
        <w:t xml:space="preserve">Fradin, D.B. and Judith Bloom Fradin (2021). </w:t>
      </w:r>
      <w:r w:rsidRPr="00AB7CBB">
        <w:rPr>
          <w:i/>
          <w:iCs/>
        </w:rPr>
        <w:t>Investing</w:t>
      </w:r>
      <w:r w:rsidRPr="00AB7CBB">
        <w:t>. Tarrytown, NY: Marshall Cavendish Benchmark.</w:t>
      </w:r>
    </w:p>
    <w:p w14:paraId="6E30F9A0" w14:textId="77777777" w:rsidR="001A4F48" w:rsidRPr="00AB7CBB" w:rsidRDefault="00BA0127" w:rsidP="00AB7CBB">
      <w:pPr>
        <w:pStyle w:val="NormalWeb"/>
        <w:spacing w:before="0" w:beforeAutospacing="0" w:after="0" w:afterAutospacing="0" w:line="360" w:lineRule="auto"/>
        <w:jc w:val="both"/>
      </w:pPr>
      <w:r w:rsidRPr="00AB7CBB">
        <w:t xml:space="preserve">Fridson, M.S. and Alvarez, F. (2022). </w:t>
      </w:r>
      <w:r w:rsidRPr="00AB7CBB">
        <w:rPr>
          <w:i/>
          <w:iCs/>
        </w:rPr>
        <w:t xml:space="preserve">Financial Statement </w:t>
      </w:r>
      <w:r w:rsidR="00AB7CBB" w:rsidRPr="00AB7CBB">
        <w:rPr>
          <w:i/>
          <w:iCs/>
        </w:rPr>
        <w:t>Analysis:</w:t>
      </w:r>
      <w:r w:rsidRPr="00AB7CBB">
        <w:rPr>
          <w:i/>
          <w:iCs/>
        </w:rPr>
        <w:t xml:space="preserve"> A Practitioner's Guide</w:t>
      </w:r>
      <w:r w:rsidRPr="00AB7CBB">
        <w:t>. New York: John Wiley &amp; Sons.</w:t>
      </w:r>
    </w:p>
    <w:p w14:paraId="67E56C2E" w14:textId="77777777" w:rsidR="001A4F48" w:rsidRPr="00AB7CBB" w:rsidRDefault="00BA0127" w:rsidP="00AB7CBB">
      <w:pPr>
        <w:pStyle w:val="NormalWeb"/>
        <w:spacing w:before="0" w:beforeAutospacing="0" w:after="0" w:afterAutospacing="0" w:line="360" w:lineRule="auto"/>
        <w:jc w:val="both"/>
      </w:pPr>
      <w:r w:rsidRPr="00AB7CBB">
        <w:t xml:space="preserve">Gold, W. (2024). </w:t>
      </w:r>
      <w:r w:rsidRPr="00AB7CBB">
        <w:rPr>
          <w:i/>
          <w:iCs/>
        </w:rPr>
        <w:t>Advantages of Debt Financing</w:t>
      </w:r>
      <w:r w:rsidRPr="00AB7CBB">
        <w:t>. [online] Liquiditygroup.com. Available at: https://www.liquiditygroup.com/resource-funding/advantages-of-debt-financing2.</w:t>
      </w:r>
    </w:p>
    <w:p w14:paraId="677400B1" w14:textId="77777777" w:rsidR="001A4F48" w:rsidRPr="00AB7CBB" w:rsidRDefault="00BA0127" w:rsidP="00AB7CBB">
      <w:pPr>
        <w:pStyle w:val="NormalWeb"/>
        <w:spacing w:before="0" w:beforeAutospacing="0" w:after="0" w:afterAutospacing="0" w:line="360" w:lineRule="auto"/>
        <w:jc w:val="both"/>
      </w:pPr>
      <w:r w:rsidRPr="00AB7CBB">
        <w:t xml:space="preserve">Gorimbo, J. (2025). </w:t>
      </w:r>
      <w:r w:rsidRPr="00AB7CBB">
        <w:rPr>
          <w:i/>
          <w:iCs/>
        </w:rPr>
        <w:t>International Journal of Petroleum Technology</w:t>
      </w:r>
      <w:r w:rsidRPr="00AB7CBB">
        <w:t>. [online] Avantipublishers.com. Available at: https://www.avantipublishers.com/index.php/ijpt [Accessed 23 Jun. 2025].</w:t>
      </w:r>
    </w:p>
    <w:p w14:paraId="684B7A4A" w14:textId="77777777" w:rsidR="001A4F48" w:rsidRPr="00AB7CBB" w:rsidRDefault="00BA0127" w:rsidP="00AB7CBB">
      <w:pPr>
        <w:pStyle w:val="NormalWeb"/>
        <w:spacing w:before="0" w:beforeAutospacing="0" w:after="0" w:afterAutospacing="0" w:line="360" w:lineRule="auto"/>
        <w:jc w:val="both"/>
      </w:pPr>
      <w:r w:rsidRPr="00AB7CBB">
        <w:t xml:space="preserve">Graham, J.R. and Harvey, C.R. (2021). The Theory and Practice of Corporate Finance: Evidence from the Field. </w:t>
      </w:r>
      <w:r w:rsidRPr="00AB7CBB">
        <w:rPr>
          <w:i/>
          <w:iCs/>
        </w:rPr>
        <w:t>Journal of Financial Economics</w:t>
      </w:r>
      <w:r w:rsidRPr="00AB7CBB">
        <w:t xml:space="preserve">, [online] 60(2-3), pp.187–243. </w:t>
      </w:r>
    </w:p>
    <w:p w14:paraId="329F499E" w14:textId="77777777" w:rsidR="001A4F48" w:rsidRPr="00AB7CBB" w:rsidRDefault="00BA0127" w:rsidP="00AB7CBB">
      <w:pPr>
        <w:pStyle w:val="NormalWeb"/>
        <w:spacing w:before="0" w:beforeAutospacing="0" w:after="0" w:afterAutospacing="0" w:line="360" w:lineRule="auto"/>
        <w:jc w:val="both"/>
      </w:pPr>
      <w:r w:rsidRPr="00AB7CBB">
        <w:t xml:space="preserve">Graham, J.R. and Harvey, C.R. (2022). How Do CFOs Make Capital Budgeting and Capital Structure Decisions? </w:t>
      </w:r>
      <w:r w:rsidRPr="00AB7CBB">
        <w:rPr>
          <w:i/>
          <w:iCs/>
        </w:rPr>
        <w:t>SSRN Electronic Journal</w:t>
      </w:r>
      <w:r w:rsidRPr="00AB7CBB">
        <w:t xml:space="preserve">, 15(1). </w:t>
      </w:r>
    </w:p>
    <w:p w14:paraId="23D7F8FC" w14:textId="77777777" w:rsidR="001A4F48" w:rsidRPr="00AB7CBB" w:rsidRDefault="00BA0127" w:rsidP="00AB7CBB">
      <w:pPr>
        <w:pStyle w:val="NormalWeb"/>
        <w:spacing w:before="0" w:beforeAutospacing="0" w:after="0" w:afterAutospacing="0" w:line="360" w:lineRule="auto"/>
        <w:jc w:val="both"/>
      </w:pPr>
      <w:r w:rsidRPr="00AB7CBB">
        <w:t xml:space="preserve">Group, I. (2024). </w:t>
      </w:r>
      <w:r w:rsidRPr="00AB7CBB">
        <w:rPr>
          <w:i/>
          <w:iCs/>
        </w:rPr>
        <w:t>United Kingdom Oil and Gas Market Size, Share, Growth and Industry Report</w:t>
      </w:r>
      <w:r w:rsidRPr="00AB7CBB">
        <w:t>. [online] Imarcgroup.com. Available at: https://www.imarcgroup.com/united-kingdom-oil-gas-market [Accessed 23 Jun. 2025].</w:t>
      </w:r>
    </w:p>
    <w:p w14:paraId="2F779312" w14:textId="77777777" w:rsidR="001A4F48" w:rsidRPr="00AB7CBB" w:rsidRDefault="00BA0127" w:rsidP="00AB7CBB">
      <w:pPr>
        <w:pStyle w:val="NormalWeb"/>
        <w:spacing w:before="0" w:beforeAutospacing="0" w:after="0" w:afterAutospacing="0" w:line="360" w:lineRule="auto"/>
        <w:jc w:val="both"/>
      </w:pPr>
      <w:r w:rsidRPr="00AB7CBB">
        <w:t xml:space="preserve">Hayes, A. (2022). </w:t>
      </w:r>
      <w:r w:rsidRPr="00AB7CBB">
        <w:rPr>
          <w:i/>
          <w:iCs/>
        </w:rPr>
        <w:t>Introduction to Capital Rationing</w:t>
      </w:r>
      <w:r w:rsidRPr="00AB7CBB">
        <w:t>. [online] Investopedia. Available at: https://www.investopedia.com/terms/c/capitalrationing.asp.</w:t>
      </w:r>
    </w:p>
    <w:p w14:paraId="1951E3DF" w14:textId="77777777" w:rsidR="001A4F48" w:rsidRPr="00AB7CBB" w:rsidRDefault="00BA0127" w:rsidP="00AB7CBB">
      <w:pPr>
        <w:pStyle w:val="NormalWeb"/>
        <w:spacing w:before="0" w:beforeAutospacing="0" w:after="0" w:afterAutospacing="0" w:line="360" w:lineRule="auto"/>
        <w:jc w:val="both"/>
      </w:pPr>
      <w:r w:rsidRPr="00AB7CBB">
        <w:lastRenderedPageBreak/>
        <w:t xml:space="preserve">Hayes, A. (2024). </w:t>
      </w:r>
      <w:r w:rsidRPr="00AB7CBB">
        <w:rPr>
          <w:i/>
          <w:iCs/>
        </w:rPr>
        <w:t>Understanding optimal capital structure</w:t>
      </w:r>
      <w:r w:rsidRPr="00AB7CBB">
        <w:t>. [online] Investopedia. Available at: https://www.investopedia.com/terms/o/optimal-capital-structure.asp.</w:t>
      </w:r>
    </w:p>
    <w:p w14:paraId="759F9CAD" w14:textId="77777777" w:rsidR="001A4F48" w:rsidRPr="00AB7CBB" w:rsidRDefault="00BA0127" w:rsidP="00AB7CBB">
      <w:pPr>
        <w:pStyle w:val="NormalWeb"/>
        <w:spacing w:before="0" w:beforeAutospacing="0" w:after="0" w:afterAutospacing="0" w:line="360" w:lineRule="auto"/>
        <w:jc w:val="both"/>
      </w:pPr>
      <w:r w:rsidRPr="00AB7CBB">
        <w:t xml:space="preserve">Isaac, D. and Steley, T. (2021). Traditional Method of Investment Valuation. </w:t>
      </w:r>
      <w:r w:rsidRPr="00AB7CBB">
        <w:rPr>
          <w:i/>
          <w:iCs/>
        </w:rPr>
        <w:t>Property Valuation Techniques</w:t>
      </w:r>
      <w:r w:rsidRPr="00AB7CBB">
        <w:t xml:space="preserve">, pp.16–23. </w:t>
      </w:r>
    </w:p>
    <w:p w14:paraId="074AA1AC" w14:textId="77777777" w:rsidR="001A4F48" w:rsidRPr="00AB7CBB" w:rsidRDefault="00BA0127" w:rsidP="00AB7CBB">
      <w:pPr>
        <w:pStyle w:val="NormalWeb"/>
        <w:spacing w:before="0" w:beforeAutospacing="0" w:after="0" w:afterAutospacing="0" w:line="360" w:lineRule="auto"/>
        <w:jc w:val="both"/>
      </w:pPr>
      <w:r w:rsidRPr="00AB7CBB">
        <w:t xml:space="preserve">Jordan, J., Lowe, J. and Taylor, P. (2019). Strategy and Financial Policy in UK Small Firms. </w:t>
      </w:r>
      <w:r w:rsidRPr="00AB7CBB">
        <w:rPr>
          <w:i/>
          <w:iCs/>
        </w:rPr>
        <w:t>Journal of Business Finance Accounting</w:t>
      </w:r>
      <w:r w:rsidRPr="00AB7CBB">
        <w:t xml:space="preserve">, 25(1&amp;2), pp.1–27. </w:t>
      </w:r>
    </w:p>
    <w:p w14:paraId="5528EAAC" w14:textId="77777777" w:rsidR="001A4F48" w:rsidRPr="00AB7CBB" w:rsidRDefault="00BA0127" w:rsidP="00AB7CBB">
      <w:pPr>
        <w:pStyle w:val="NormalWeb"/>
        <w:spacing w:before="0" w:beforeAutospacing="0" w:after="0" w:afterAutospacing="0" w:line="360" w:lineRule="auto"/>
        <w:jc w:val="both"/>
      </w:pPr>
      <w:r w:rsidRPr="00AB7CBB">
        <w:t xml:space="preserve">Kaplan, R.S. and Atkinson, A.A. (1998). </w:t>
      </w:r>
      <w:r w:rsidRPr="00AB7CBB">
        <w:rPr>
          <w:i/>
          <w:iCs/>
        </w:rPr>
        <w:t>Advanced management accounting</w:t>
      </w:r>
      <w:r w:rsidRPr="00AB7CBB">
        <w:t>. Upper Saddle River, N.J.: Prentice Hall.</w:t>
      </w:r>
    </w:p>
    <w:p w14:paraId="1DBFA240" w14:textId="77777777" w:rsidR="001A4F48" w:rsidRPr="00AB7CBB" w:rsidRDefault="00BA0127" w:rsidP="00AB7CBB">
      <w:pPr>
        <w:pStyle w:val="NormalWeb"/>
        <w:spacing w:before="0" w:beforeAutospacing="0" w:after="0" w:afterAutospacing="0" w:line="360" w:lineRule="auto"/>
        <w:jc w:val="both"/>
      </w:pPr>
      <w:r w:rsidRPr="00AB7CBB">
        <w:t xml:space="preserve">Kengatharan, L. (2016). </w:t>
      </w:r>
      <w:r w:rsidRPr="00AB7CBB">
        <w:rPr>
          <w:i/>
          <w:iCs/>
        </w:rPr>
        <w:t>(PDF) Capital Budgeting Theory and Practice: A Review and Agenda for Future Research</w:t>
      </w:r>
      <w:r w:rsidRPr="00AB7CBB">
        <w:t>. [online] ResearchGate. Available at: https://www.researchgate.net/publication/293026616_Capital_Budgeting_Theory_and_Practice_A_Review_and_Agenda_for_Future_Research.</w:t>
      </w:r>
    </w:p>
    <w:p w14:paraId="5BC03BF4" w14:textId="77777777" w:rsidR="001A4F48" w:rsidRPr="00AB7CBB" w:rsidRDefault="00BA0127" w:rsidP="00AB7CBB">
      <w:pPr>
        <w:pStyle w:val="NormalWeb"/>
        <w:spacing w:before="0" w:beforeAutospacing="0" w:after="0" w:afterAutospacing="0" w:line="360" w:lineRule="auto"/>
        <w:jc w:val="both"/>
      </w:pPr>
      <w:r w:rsidRPr="00AB7CBB">
        <w:t xml:space="preserve">Kieso, D.E. and Weygandt, J.J. (2022). </w:t>
      </w:r>
      <w:r w:rsidRPr="00AB7CBB">
        <w:rPr>
          <w:i/>
          <w:iCs/>
        </w:rPr>
        <w:t>Intermediate accounting</w:t>
      </w:r>
      <w:r w:rsidRPr="00AB7CBB">
        <w:t>. Hoboken, NJ Wiley.</w:t>
      </w:r>
    </w:p>
    <w:p w14:paraId="78C8DD26" w14:textId="77777777" w:rsidR="001A4F48" w:rsidRPr="00AB7CBB" w:rsidRDefault="00BA0127" w:rsidP="00AB7CBB">
      <w:pPr>
        <w:pStyle w:val="NormalWeb"/>
        <w:spacing w:before="0" w:beforeAutospacing="0" w:after="0" w:afterAutospacing="0" w:line="360" w:lineRule="auto"/>
        <w:jc w:val="both"/>
      </w:pPr>
      <w:r w:rsidRPr="00AB7CBB">
        <w:t xml:space="preserve">Li, S., Zhu, J. and Lu, K. (2014). A case study in strategic sustainability: British Petroleum (BP) Company. </w:t>
      </w:r>
      <w:r w:rsidRPr="00AB7CBB">
        <w:rPr>
          <w:i/>
          <w:iCs/>
        </w:rPr>
        <w:t>Proceedings of the 2014 International Conference on Information, Business and Education Technology</w:t>
      </w:r>
      <w:r w:rsidRPr="00AB7CBB">
        <w:t xml:space="preserve">. </w:t>
      </w:r>
    </w:p>
    <w:p w14:paraId="4CD8EF05" w14:textId="77777777" w:rsidR="001A4F48" w:rsidRPr="00AB7CBB" w:rsidRDefault="00BA0127" w:rsidP="00AB7CBB">
      <w:pPr>
        <w:pStyle w:val="NormalWeb"/>
        <w:spacing w:before="0" w:beforeAutospacing="0" w:after="0" w:afterAutospacing="0" w:line="360" w:lineRule="auto"/>
        <w:jc w:val="both"/>
      </w:pPr>
      <w:r w:rsidRPr="00AB7CBB">
        <w:t xml:space="preserve">Liu, M. (2024). Research on Investment Project Evaluation: Comparative Analysis Based on NPV and IRR. </w:t>
      </w:r>
      <w:r w:rsidRPr="00AB7CBB">
        <w:rPr>
          <w:i/>
          <w:iCs/>
        </w:rPr>
        <w:t>Highlights in Business, Economics and Management</w:t>
      </w:r>
      <w:r w:rsidRPr="00AB7CBB">
        <w:t xml:space="preserve">, [online] 24, pp.1133–1138. </w:t>
      </w:r>
    </w:p>
    <w:p w14:paraId="3956622B" w14:textId="77777777" w:rsidR="001A4F48" w:rsidRPr="00AB7CBB" w:rsidRDefault="00BA0127" w:rsidP="00AB7CBB">
      <w:pPr>
        <w:pStyle w:val="NormalWeb"/>
        <w:spacing w:before="0" w:beforeAutospacing="0" w:after="0" w:afterAutospacing="0" w:line="360" w:lineRule="auto"/>
        <w:jc w:val="both"/>
      </w:pPr>
      <w:r w:rsidRPr="00AB7CBB">
        <w:t xml:space="preserve">Lunin, A. (2018). </w:t>
      </w:r>
      <w:r w:rsidRPr="00AB7CBB">
        <w:rPr>
          <w:i/>
          <w:iCs/>
        </w:rPr>
        <w:t>Realising ambitions in engineering education: Findings of the UK and Ireland Annual Conference - 2018. University of Portsmouth</w:t>
      </w:r>
      <w:r w:rsidRPr="00AB7CBB">
        <w:t>. [online] ResearchGate. Available at: https://www.researchgate.net/publication/353523829_Realising_ambitions_in_engineering_education_Findings_of_the_UK_and_Ireland_Annual_Conference_-_2018_University_of_Portsmouth [Accessed 23 Jun. 2025].</w:t>
      </w:r>
    </w:p>
    <w:p w14:paraId="4200CCCF" w14:textId="77777777" w:rsidR="001A4F48" w:rsidRPr="00AB7CBB" w:rsidRDefault="00BA0127" w:rsidP="00AB7CBB">
      <w:pPr>
        <w:pStyle w:val="NormalWeb"/>
        <w:spacing w:before="0" w:beforeAutospacing="0" w:after="0" w:afterAutospacing="0" w:line="360" w:lineRule="auto"/>
        <w:jc w:val="both"/>
      </w:pPr>
      <w:r w:rsidRPr="00AB7CBB">
        <w:t xml:space="preserve">Magni, C.A. (2021). Average Internal Rate of Return and Investment Decisions: A New Perspective. </w:t>
      </w:r>
      <w:r w:rsidRPr="00AB7CBB">
        <w:rPr>
          <w:i/>
          <w:iCs/>
        </w:rPr>
        <w:t>The Engineering Economist</w:t>
      </w:r>
      <w:r w:rsidRPr="00AB7CBB">
        <w:t xml:space="preserve">, 55(2), pp.150–180. </w:t>
      </w:r>
    </w:p>
    <w:p w14:paraId="33BDFC17" w14:textId="77777777" w:rsidR="001A4F48" w:rsidRPr="00AB7CBB" w:rsidRDefault="00BA0127" w:rsidP="00AB7CBB">
      <w:pPr>
        <w:pStyle w:val="NormalWeb"/>
        <w:spacing w:before="0" w:beforeAutospacing="0" w:after="0" w:afterAutospacing="0" w:line="360" w:lineRule="auto"/>
        <w:jc w:val="both"/>
      </w:pPr>
      <w:r w:rsidRPr="00AB7CBB">
        <w:t xml:space="preserve">Marx, J., Johan, Mpofu, R.T. and Ronald Henry Mynhardt (2017). </w:t>
      </w:r>
      <w:r w:rsidRPr="00AB7CBB">
        <w:rPr>
          <w:i/>
          <w:iCs/>
        </w:rPr>
        <w:t>Investment management</w:t>
      </w:r>
      <w:r w:rsidRPr="00AB7CBB">
        <w:t>. Pretoria: Van Schaik.</w:t>
      </w:r>
    </w:p>
    <w:p w14:paraId="1A7CBE7F" w14:textId="77777777" w:rsidR="001A4F48" w:rsidRPr="00AB7CBB" w:rsidRDefault="00BA0127" w:rsidP="00AB7CBB">
      <w:pPr>
        <w:pStyle w:val="NormalWeb"/>
        <w:spacing w:before="0" w:beforeAutospacing="0" w:after="0" w:afterAutospacing="0" w:line="360" w:lineRule="auto"/>
        <w:jc w:val="both"/>
      </w:pPr>
      <w:r w:rsidRPr="00AB7CBB">
        <w:t xml:space="preserve">Mclaney, E.J. and Atrill, P. (2020). </w:t>
      </w:r>
      <w:r w:rsidRPr="00AB7CBB">
        <w:rPr>
          <w:i/>
          <w:iCs/>
        </w:rPr>
        <w:t xml:space="preserve">Accounting and </w:t>
      </w:r>
      <w:r w:rsidR="00AB7CBB" w:rsidRPr="00AB7CBB">
        <w:rPr>
          <w:i/>
          <w:iCs/>
        </w:rPr>
        <w:t>Finance:</w:t>
      </w:r>
      <w:r w:rsidRPr="00AB7CBB">
        <w:rPr>
          <w:i/>
          <w:iCs/>
        </w:rPr>
        <w:t xml:space="preserve"> An Introduction</w:t>
      </w:r>
      <w:r w:rsidRPr="00AB7CBB">
        <w:t>. Upper Saddle River: Pearson.</w:t>
      </w:r>
    </w:p>
    <w:p w14:paraId="3EA4D432" w14:textId="77777777" w:rsidR="001A4F48" w:rsidRPr="00AB7CBB" w:rsidRDefault="00BA0127" w:rsidP="00AB7CBB">
      <w:pPr>
        <w:pStyle w:val="NormalWeb"/>
        <w:spacing w:before="0" w:beforeAutospacing="0" w:after="0" w:afterAutospacing="0" w:line="360" w:lineRule="auto"/>
        <w:jc w:val="both"/>
      </w:pPr>
      <w:r w:rsidRPr="00AB7CBB">
        <w:t xml:space="preserve">Mulesoft (2022). </w:t>
      </w:r>
      <w:r w:rsidRPr="00AB7CBB">
        <w:rPr>
          <w:i/>
          <w:iCs/>
        </w:rPr>
        <w:t>British Petroleum (BP) case study | TMS System</w:t>
      </w:r>
      <w:r w:rsidRPr="00AB7CBB">
        <w:t>. [online] MuleSoft. Available at: https://www.mulesoft.com/case-studies/api/british-petroleum.</w:t>
      </w:r>
    </w:p>
    <w:p w14:paraId="546D55A2" w14:textId="77777777" w:rsidR="001A4F48" w:rsidRPr="00AB7CBB" w:rsidRDefault="00BA0127" w:rsidP="00AB7CBB">
      <w:pPr>
        <w:pStyle w:val="NormalWeb"/>
        <w:spacing w:before="0" w:beforeAutospacing="0" w:after="0" w:afterAutospacing="0" w:line="360" w:lineRule="auto"/>
        <w:jc w:val="both"/>
      </w:pPr>
      <w:r w:rsidRPr="00AB7CBB">
        <w:lastRenderedPageBreak/>
        <w:t xml:space="preserve">Mustafa Ali Mohd (2012). </w:t>
      </w:r>
      <w:r w:rsidRPr="00AB7CBB">
        <w:rPr>
          <w:i/>
          <w:iCs/>
        </w:rPr>
        <w:t xml:space="preserve">Advanced gas </w:t>
      </w:r>
      <w:r w:rsidR="00AB7CBB" w:rsidRPr="00AB7CBB">
        <w:rPr>
          <w:i/>
          <w:iCs/>
        </w:rPr>
        <w:t>chromatography:</w:t>
      </w:r>
      <w:r w:rsidRPr="00AB7CBB">
        <w:rPr>
          <w:i/>
          <w:iCs/>
        </w:rPr>
        <w:t xml:space="preserve"> progress in agricultural, biomedical and industrial applications/monograph.</w:t>
      </w:r>
      <w:r w:rsidRPr="00AB7CBB">
        <w:t xml:space="preserve"> Rijeka, Croatia: Intech.</w:t>
      </w:r>
    </w:p>
    <w:p w14:paraId="017B0F08" w14:textId="77777777" w:rsidR="001A4F48" w:rsidRPr="00AB7CBB" w:rsidRDefault="00BA0127" w:rsidP="00AB7CBB">
      <w:pPr>
        <w:pStyle w:val="NormalWeb"/>
        <w:spacing w:before="0" w:beforeAutospacing="0" w:after="0" w:afterAutospacing="0" w:line="360" w:lineRule="auto"/>
        <w:jc w:val="both"/>
      </w:pPr>
      <w:r w:rsidRPr="00AB7CBB">
        <w:t xml:space="preserve">Palepu, K.G., Healy, P.M., Bernard, V.L., Wright, S., Bradbury, M. and Lee, P. (2018). </w:t>
      </w:r>
      <w:r w:rsidRPr="00AB7CBB">
        <w:rPr>
          <w:i/>
          <w:iCs/>
        </w:rPr>
        <w:t xml:space="preserve">Business analysis &amp; </w:t>
      </w:r>
      <w:r w:rsidR="00AB7CBB" w:rsidRPr="00AB7CBB">
        <w:rPr>
          <w:i/>
          <w:iCs/>
        </w:rPr>
        <w:t>valuation:</w:t>
      </w:r>
      <w:r w:rsidRPr="00AB7CBB">
        <w:rPr>
          <w:i/>
          <w:iCs/>
        </w:rPr>
        <w:t xml:space="preserve"> using financial statements</w:t>
      </w:r>
      <w:r w:rsidRPr="00AB7CBB">
        <w:t>. South Melbourne, Victoria: Cengage Learning Australia.</w:t>
      </w:r>
    </w:p>
    <w:p w14:paraId="68FC5DF3" w14:textId="77777777" w:rsidR="001A4F48" w:rsidRPr="00AB7CBB" w:rsidRDefault="00BA0127" w:rsidP="00AB7CBB">
      <w:pPr>
        <w:pStyle w:val="NormalWeb"/>
        <w:spacing w:before="0" w:beforeAutospacing="0" w:after="0" w:afterAutospacing="0" w:line="360" w:lineRule="auto"/>
        <w:jc w:val="both"/>
      </w:pPr>
      <w:r w:rsidRPr="00AB7CBB">
        <w:t xml:space="preserve">Peng, Y., Liu, Y., Qu, H., Dong, F. and Wang, J. (2024). </w:t>
      </w:r>
      <w:r w:rsidRPr="00AB7CBB">
        <w:rPr>
          <w:i/>
          <w:iCs/>
        </w:rPr>
        <w:t>Production Technology for Deep Reservoirs</w:t>
      </w:r>
      <w:r w:rsidRPr="00AB7CBB">
        <w:t>. Frontiers Media SA.</w:t>
      </w:r>
    </w:p>
    <w:p w14:paraId="34AD2E63" w14:textId="77777777" w:rsidR="001A4F48" w:rsidRPr="00AB7CBB" w:rsidRDefault="00BA0127" w:rsidP="00AB7CBB">
      <w:pPr>
        <w:pStyle w:val="NormalWeb"/>
        <w:spacing w:before="0" w:beforeAutospacing="0" w:after="0" w:afterAutospacing="0" w:line="360" w:lineRule="auto"/>
        <w:jc w:val="both"/>
      </w:pPr>
      <w:r w:rsidRPr="00AB7CBB">
        <w:t xml:space="preserve">Peter Martin Schwarz (2018). </w:t>
      </w:r>
      <w:r w:rsidRPr="00AB7CBB">
        <w:rPr>
          <w:i/>
          <w:iCs/>
        </w:rPr>
        <w:t>Energy economics</w:t>
      </w:r>
      <w:r w:rsidRPr="00AB7CBB">
        <w:t>. London Routledge.</w:t>
      </w:r>
    </w:p>
    <w:p w14:paraId="72D95B9C" w14:textId="77777777" w:rsidR="001A4F48" w:rsidRPr="00AB7CBB" w:rsidRDefault="00BA0127" w:rsidP="00AB7CBB">
      <w:pPr>
        <w:pStyle w:val="NormalWeb"/>
        <w:spacing w:before="0" w:beforeAutospacing="0" w:after="0" w:afterAutospacing="0" w:line="360" w:lineRule="auto"/>
        <w:jc w:val="both"/>
      </w:pPr>
      <w:r w:rsidRPr="00AB7CBB">
        <w:t xml:space="preserve">Pike, R. and Neale, B. (2019). </w:t>
      </w:r>
      <w:r w:rsidRPr="00AB7CBB">
        <w:rPr>
          <w:i/>
          <w:iCs/>
        </w:rPr>
        <w:t>Corporate finance and investment decisions and strategies</w:t>
      </w:r>
      <w:r w:rsidRPr="00AB7CBB">
        <w:t>. Harlow Prentice Hall.</w:t>
      </w:r>
    </w:p>
    <w:p w14:paraId="179C7319" w14:textId="77777777" w:rsidR="001A4F48" w:rsidRPr="00AB7CBB" w:rsidRDefault="00BA0127" w:rsidP="00AB7CBB">
      <w:pPr>
        <w:pStyle w:val="NormalWeb"/>
        <w:spacing w:before="0" w:beforeAutospacing="0" w:after="0" w:afterAutospacing="0" w:line="360" w:lineRule="auto"/>
        <w:jc w:val="both"/>
      </w:pPr>
      <w:r w:rsidRPr="00AB7CBB">
        <w:t xml:space="preserve">Porter, M. (1980). </w:t>
      </w:r>
      <w:r w:rsidRPr="00AB7CBB">
        <w:rPr>
          <w:i/>
          <w:iCs/>
        </w:rPr>
        <w:t xml:space="preserve">Competitive strategy: Techniques for </w:t>
      </w:r>
      <w:r w:rsidR="00AB7CBB" w:rsidRPr="00AB7CBB">
        <w:rPr>
          <w:i/>
          <w:iCs/>
        </w:rPr>
        <w:t>Analysing</w:t>
      </w:r>
      <w:r w:rsidRPr="00AB7CBB">
        <w:rPr>
          <w:i/>
          <w:iCs/>
        </w:rPr>
        <w:t xml:space="preserve"> Industries and Competitors</w:t>
      </w:r>
      <w:r w:rsidRPr="00AB7CBB">
        <w:t>. [online] Hbs.edu. Available at: https://www.hbs.edu/faculty/Pages/item.aspx?num=195 [Accessed 21 Jun. 2025].</w:t>
      </w:r>
    </w:p>
    <w:p w14:paraId="67F850A2" w14:textId="77777777" w:rsidR="001A4F48" w:rsidRPr="00AB7CBB" w:rsidRDefault="00BA0127" w:rsidP="00AB7CBB">
      <w:pPr>
        <w:pStyle w:val="NormalWeb"/>
        <w:spacing w:before="0" w:beforeAutospacing="0" w:after="0" w:afterAutospacing="0" w:line="360" w:lineRule="auto"/>
        <w:jc w:val="both"/>
      </w:pPr>
      <w:r w:rsidRPr="00AB7CBB">
        <w:t xml:space="preserve">Reilly, F.K. (2020). </w:t>
      </w:r>
      <w:r w:rsidRPr="00AB7CBB">
        <w:rPr>
          <w:i/>
          <w:iCs/>
        </w:rPr>
        <w:t>Investment Analysis &amp; Portfolio Management</w:t>
      </w:r>
      <w:r w:rsidRPr="00AB7CBB">
        <w:t>. South Melbourne, Victoria: Cengage Learning Australia.</w:t>
      </w:r>
    </w:p>
    <w:p w14:paraId="3C3A4CCA" w14:textId="77777777" w:rsidR="001A4F48" w:rsidRPr="00AB7CBB" w:rsidRDefault="00BA0127" w:rsidP="00AB7CBB">
      <w:pPr>
        <w:pStyle w:val="NormalWeb"/>
        <w:spacing w:before="0" w:beforeAutospacing="0" w:after="0" w:afterAutospacing="0" w:line="360" w:lineRule="auto"/>
        <w:jc w:val="both"/>
      </w:pPr>
      <w:r w:rsidRPr="00AB7CBB">
        <w:t xml:space="preserve">Sanchez-Rodriguez, A. (2024). Investment decisions in the context of SMEs: A non-financial factor approach. </w:t>
      </w:r>
      <w:r w:rsidRPr="00AB7CBB">
        <w:rPr>
          <w:i/>
          <w:iCs/>
        </w:rPr>
        <w:t>International Journal of Applied Economics, Finance and Accounting</w:t>
      </w:r>
      <w:r w:rsidRPr="00AB7CBB">
        <w:t>, [online] 18(2), pp.375–385. Available at: https://ideas.repec.org/a/oap/ijaefa/v18y2024i2p375-385id1411.html.</w:t>
      </w:r>
    </w:p>
    <w:p w14:paraId="23A0B77A" w14:textId="77777777" w:rsidR="001A4F48" w:rsidRPr="00AB7CBB" w:rsidRDefault="00BA0127" w:rsidP="00AB7CBB">
      <w:pPr>
        <w:pStyle w:val="NormalWeb"/>
        <w:spacing w:before="0" w:beforeAutospacing="0" w:after="0" w:afterAutospacing="0" w:line="360" w:lineRule="auto"/>
        <w:jc w:val="both"/>
      </w:pPr>
      <w:r w:rsidRPr="00AB7CBB">
        <w:t xml:space="preserve">Thomas, S.D. (2019). </w:t>
      </w:r>
      <w:r w:rsidRPr="00AB7CBB">
        <w:rPr>
          <w:i/>
          <w:iCs/>
        </w:rPr>
        <w:t>Energy Policy | Journal | ScienceDirect.com</w:t>
      </w:r>
      <w:r w:rsidRPr="00AB7CBB">
        <w:t>. [online] Sciencedirect.com. Available at: https://www.sciencedirect.com/journal/energy-policy.</w:t>
      </w:r>
    </w:p>
    <w:p w14:paraId="67AB91D8" w14:textId="77777777" w:rsidR="001A4F48" w:rsidRPr="00AB7CBB" w:rsidRDefault="00BA0127" w:rsidP="00AB7CBB">
      <w:pPr>
        <w:pStyle w:val="NormalWeb"/>
        <w:spacing w:before="0" w:beforeAutospacing="0" w:after="0" w:afterAutospacing="0" w:line="360" w:lineRule="auto"/>
        <w:jc w:val="both"/>
      </w:pPr>
      <w:r w:rsidRPr="00AB7CBB">
        <w:t xml:space="preserve">Trent, S. (2025). </w:t>
      </w:r>
      <w:r w:rsidRPr="00AB7CBB">
        <w:rPr>
          <w:i/>
          <w:iCs/>
        </w:rPr>
        <w:t>Petroleum Science | SciOpen</w:t>
      </w:r>
      <w:r w:rsidRPr="00AB7CBB">
        <w:t>. [online] Sciopen.com. Available at: https://www.sciopen.com/journal/1672-5107 [Accessed 23 Jun. 2025].</w:t>
      </w:r>
    </w:p>
    <w:p w14:paraId="3C06F318" w14:textId="77777777" w:rsidR="001A4F48" w:rsidRDefault="001A4F48" w:rsidP="0079579F"/>
    <w:p w14:paraId="71A8C193" w14:textId="77777777" w:rsidR="001A4F48" w:rsidRDefault="001A4F48" w:rsidP="0079579F"/>
    <w:p w14:paraId="721706C8" w14:textId="77777777" w:rsidR="00C56D3A" w:rsidRDefault="00BA0127" w:rsidP="004D0A84">
      <w:pPr>
        <w:pStyle w:val="Heading1"/>
      </w:pPr>
      <w:bookmarkStart w:id="24" w:name="_Toc201712000"/>
      <w:r>
        <w:lastRenderedPageBreak/>
        <w:t>Appendices</w:t>
      </w:r>
      <w:bookmarkEnd w:id="24"/>
      <w:r>
        <w:t xml:space="preserve"> </w:t>
      </w:r>
    </w:p>
    <w:p w14:paraId="786C1386" w14:textId="77777777" w:rsidR="004C72CF" w:rsidRDefault="00BA0127" w:rsidP="003920C8">
      <w:pPr>
        <w:pStyle w:val="Heading2"/>
      </w:pPr>
      <w:bookmarkStart w:id="25" w:name="_Toc201712001"/>
      <w:r>
        <w:t xml:space="preserve">Appendix 1 </w:t>
      </w:r>
      <w:r w:rsidR="007451CA">
        <w:t>Group Income Statement</w:t>
      </w:r>
      <w:bookmarkEnd w:id="25"/>
      <w:r w:rsidR="007451CA">
        <w:t xml:space="preserve"> </w:t>
      </w:r>
    </w:p>
    <w:p w14:paraId="6535F908" w14:textId="77777777" w:rsidR="004C72CF" w:rsidRDefault="00BA0127" w:rsidP="00C56D3A">
      <w:r w:rsidRPr="007451CA">
        <w:rPr>
          <w:noProof/>
        </w:rPr>
        <w:drawing>
          <wp:inline distT="0" distB="0" distL="0" distR="0" wp14:anchorId="25FB01BC" wp14:editId="297E4D8F">
            <wp:extent cx="5943600" cy="2801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5943600" cy="2801620"/>
                    </a:xfrm>
                    <a:prstGeom prst="rect">
                      <a:avLst/>
                    </a:prstGeom>
                  </pic:spPr>
                </pic:pic>
              </a:graphicData>
            </a:graphic>
          </wp:inline>
        </w:drawing>
      </w:r>
    </w:p>
    <w:p w14:paraId="629FA3C3" w14:textId="77777777" w:rsidR="007451CA" w:rsidRDefault="00BA0127">
      <w:pPr>
        <w:spacing w:line="259" w:lineRule="auto"/>
        <w:jc w:val="left"/>
      </w:pPr>
      <w:r>
        <w:br w:type="page"/>
      </w:r>
    </w:p>
    <w:p w14:paraId="215A5359" w14:textId="77777777" w:rsidR="007451CA" w:rsidRDefault="00BA0127" w:rsidP="003920C8">
      <w:pPr>
        <w:pStyle w:val="Heading2"/>
      </w:pPr>
      <w:bookmarkStart w:id="26" w:name="_Toc201712002"/>
      <w:r>
        <w:lastRenderedPageBreak/>
        <w:t>Appendix 2 Group Balance Sheet</w:t>
      </w:r>
      <w:bookmarkEnd w:id="26"/>
    </w:p>
    <w:p w14:paraId="213C3934" w14:textId="77777777" w:rsidR="0068267E" w:rsidRDefault="00BA0127" w:rsidP="008A37D1">
      <w:pPr>
        <w:jc w:val="center"/>
      </w:pPr>
      <w:r w:rsidRPr="008A37D1">
        <w:rPr>
          <w:noProof/>
        </w:rPr>
        <w:drawing>
          <wp:inline distT="0" distB="0" distL="0" distR="0" wp14:anchorId="6D722CA1" wp14:editId="502719D8">
            <wp:extent cx="5849166" cy="7116168"/>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stretch>
                      <a:fillRect/>
                    </a:stretch>
                  </pic:blipFill>
                  <pic:spPr>
                    <a:xfrm>
                      <a:off x="0" y="0"/>
                      <a:ext cx="5849166" cy="7116168"/>
                    </a:xfrm>
                    <a:prstGeom prst="rect">
                      <a:avLst/>
                    </a:prstGeom>
                  </pic:spPr>
                </pic:pic>
              </a:graphicData>
            </a:graphic>
          </wp:inline>
        </w:drawing>
      </w:r>
    </w:p>
    <w:p w14:paraId="1E6B3864" w14:textId="77777777" w:rsidR="008A37D1" w:rsidRDefault="00BA0127">
      <w:pPr>
        <w:spacing w:line="259" w:lineRule="auto"/>
        <w:jc w:val="left"/>
      </w:pPr>
      <w:r>
        <w:br w:type="page"/>
      </w:r>
    </w:p>
    <w:p w14:paraId="125F0629" w14:textId="77777777" w:rsidR="008A37D1" w:rsidRDefault="00BA0127" w:rsidP="003920C8">
      <w:pPr>
        <w:pStyle w:val="Heading2"/>
      </w:pPr>
      <w:bookmarkStart w:id="27" w:name="_Toc201712003"/>
      <w:r>
        <w:lastRenderedPageBreak/>
        <w:t>Appendix 3 Ratio Calculation</w:t>
      </w:r>
      <w:bookmarkEnd w:id="27"/>
      <w:r>
        <w:t xml:space="preserve"> </w:t>
      </w:r>
    </w:p>
    <w:tbl>
      <w:tblPr>
        <w:tblW w:w="5099" w:type="pct"/>
        <w:tblLayout w:type="fixed"/>
        <w:tblLook w:val="04A0" w:firstRow="1" w:lastRow="0" w:firstColumn="1" w:lastColumn="0" w:noHBand="0" w:noVBand="1"/>
      </w:tblPr>
      <w:tblGrid>
        <w:gridCol w:w="1316"/>
        <w:gridCol w:w="1777"/>
        <w:gridCol w:w="4741"/>
        <w:gridCol w:w="803"/>
        <w:gridCol w:w="898"/>
      </w:tblGrid>
      <w:tr w:rsidR="00A31EED" w14:paraId="4FAFA7F7" w14:textId="77777777" w:rsidTr="005751F4">
        <w:trPr>
          <w:trHeight w:val="288"/>
        </w:trPr>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7BFE5A" w14:textId="77777777" w:rsidR="005751F4" w:rsidRPr="005751F4" w:rsidRDefault="00BA0127" w:rsidP="00AB7CBB">
            <w:pPr>
              <w:spacing w:after="0"/>
              <w:jc w:val="center"/>
              <w:rPr>
                <w:b/>
                <w:bCs/>
                <w:lang w:eastAsia="en-GB"/>
              </w:rPr>
            </w:pPr>
            <w:r w:rsidRPr="005751F4">
              <w:rPr>
                <w:b/>
                <w:bCs/>
                <w:lang w:eastAsia="en-GB"/>
              </w:rPr>
              <w:t>Ratio Category</w:t>
            </w:r>
          </w:p>
        </w:tc>
        <w:tc>
          <w:tcPr>
            <w:tcW w:w="932" w:type="pct"/>
            <w:tcBorders>
              <w:top w:val="single" w:sz="4" w:space="0" w:color="auto"/>
              <w:left w:val="nil"/>
              <w:bottom w:val="single" w:sz="4" w:space="0" w:color="auto"/>
              <w:right w:val="single" w:sz="4" w:space="0" w:color="auto"/>
            </w:tcBorders>
            <w:shd w:val="clear" w:color="auto" w:fill="auto"/>
            <w:noWrap/>
            <w:vAlign w:val="bottom"/>
            <w:hideMark/>
          </w:tcPr>
          <w:p w14:paraId="49D9AA05" w14:textId="77777777" w:rsidR="005751F4" w:rsidRPr="005751F4" w:rsidRDefault="00BA0127" w:rsidP="00AB7CBB">
            <w:pPr>
              <w:spacing w:after="0"/>
              <w:jc w:val="center"/>
              <w:rPr>
                <w:b/>
                <w:bCs/>
                <w:lang w:eastAsia="en-GB"/>
              </w:rPr>
            </w:pPr>
            <w:r w:rsidRPr="005751F4">
              <w:rPr>
                <w:b/>
                <w:bCs/>
                <w:lang w:eastAsia="en-GB"/>
              </w:rPr>
              <w:t>Ratio Name</w:t>
            </w:r>
          </w:p>
        </w:tc>
        <w:tc>
          <w:tcPr>
            <w:tcW w:w="2486" w:type="pct"/>
            <w:tcBorders>
              <w:top w:val="single" w:sz="4" w:space="0" w:color="auto"/>
              <w:left w:val="nil"/>
              <w:bottom w:val="single" w:sz="4" w:space="0" w:color="auto"/>
              <w:right w:val="single" w:sz="4" w:space="0" w:color="auto"/>
            </w:tcBorders>
            <w:shd w:val="clear" w:color="auto" w:fill="auto"/>
            <w:noWrap/>
            <w:vAlign w:val="bottom"/>
            <w:hideMark/>
          </w:tcPr>
          <w:p w14:paraId="3E5C6E2A" w14:textId="77777777" w:rsidR="005751F4" w:rsidRPr="005751F4" w:rsidRDefault="00BA0127" w:rsidP="00AB7CBB">
            <w:pPr>
              <w:spacing w:after="0"/>
              <w:jc w:val="center"/>
              <w:rPr>
                <w:b/>
                <w:bCs/>
                <w:lang w:eastAsia="en-GB"/>
              </w:rPr>
            </w:pPr>
            <w:r w:rsidRPr="005751F4">
              <w:rPr>
                <w:b/>
                <w:bCs/>
                <w:lang w:eastAsia="en-GB"/>
              </w:rPr>
              <w:t>Formula</w:t>
            </w:r>
          </w:p>
        </w:tc>
        <w:tc>
          <w:tcPr>
            <w:tcW w:w="421" w:type="pct"/>
            <w:tcBorders>
              <w:top w:val="single" w:sz="4" w:space="0" w:color="auto"/>
              <w:left w:val="nil"/>
              <w:bottom w:val="single" w:sz="4" w:space="0" w:color="auto"/>
              <w:right w:val="single" w:sz="4" w:space="0" w:color="auto"/>
            </w:tcBorders>
            <w:shd w:val="clear" w:color="auto" w:fill="auto"/>
            <w:noWrap/>
            <w:vAlign w:val="bottom"/>
            <w:hideMark/>
          </w:tcPr>
          <w:p w14:paraId="7AFB0DC2" w14:textId="77777777" w:rsidR="005751F4" w:rsidRPr="005751F4" w:rsidRDefault="00BA0127" w:rsidP="00AB7CBB">
            <w:pPr>
              <w:spacing w:after="0"/>
              <w:jc w:val="center"/>
              <w:rPr>
                <w:b/>
                <w:bCs/>
                <w:lang w:eastAsia="en-GB"/>
              </w:rPr>
            </w:pPr>
            <w:r w:rsidRPr="005751F4">
              <w:rPr>
                <w:b/>
                <w:bCs/>
                <w:lang w:eastAsia="en-GB"/>
              </w:rPr>
              <w:t>2024</w:t>
            </w:r>
          </w:p>
        </w:tc>
        <w:tc>
          <w:tcPr>
            <w:tcW w:w="471" w:type="pct"/>
            <w:tcBorders>
              <w:top w:val="single" w:sz="4" w:space="0" w:color="auto"/>
              <w:left w:val="nil"/>
              <w:bottom w:val="single" w:sz="4" w:space="0" w:color="auto"/>
              <w:right w:val="single" w:sz="4" w:space="0" w:color="auto"/>
            </w:tcBorders>
            <w:shd w:val="clear" w:color="auto" w:fill="auto"/>
            <w:noWrap/>
            <w:vAlign w:val="bottom"/>
            <w:hideMark/>
          </w:tcPr>
          <w:p w14:paraId="0C4BB6C7" w14:textId="77777777" w:rsidR="005751F4" w:rsidRPr="005751F4" w:rsidRDefault="00BA0127" w:rsidP="00AB7CBB">
            <w:pPr>
              <w:spacing w:after="0"/>
              <w:jc w:val="center"/>
              <w:rPr>
                <w:b/>
                <w:bCs/>
                <w:lang w:eastAsia="en-GB"/>
              </w:rPr>
            </w:pPr>
            <w:r w:rsidRPr="005751F4">
              <w:rPr>
                <w:b/>
                <w:bCs/>
                <w:lang w:eastAsia="en-GB"/>
              </w:rPr>
              <w:t>2023</w:t>
            </w:r>
          </w:p>
        </w:tc>
      </w:tr>
      <w:tr w:rsidR="00A31EED" w14:paraId="26ED1F23" w14:textId="77777777" w:rsidTr="005751F4">
        <w:trPr>
          <w:trHeight w:val="576"/>
        </w:trPr>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20CB8700" w14:textId="77777777" w:rsidR="005751F4" w:rsidRPr="00AB7CBB" w:rsidRDefault="00BA0127" w:rsidP="00AB7CBB">
            <w:pPr>
              <w:spacing w:after="0"/>
              <w:rPr>
                <w:szCs w:val="24"/>
                <w:lang w:eastAsia="en-GB"/>
              </w:rPr>
            </w:pPr>
            <w:r w:rsidRPr="00AB7CBB">
              <w:rPr>
                <w:szCs w:val="24"/>
                <w:lang w:eastAsia="en-GB"/>
              </w:rPr>
              <w:t xml:space="preserve">Profitability </w:t>
            </w:r>
          </w:p>
        </w:tc>
        <w:tc>
          <w:tcPr>
            <w:tcW w:w="932" w:type="pct"/>
            <w:tcBorders>
              <w:top w:val="nil"/>
              <w:left w:val="nil"/>
              <w:bottom w:val="single" w:sz="4" w:space="0" w:color="auto"/>
              <w:right w:val="single" w:sz="4" w:space="0" w:color="auto"/>
            </w:tcBorders>
            <w:shd w:val="clear" w:color="auto" w:fill="auto"/>
            <w:noWrap/>
            <w:vAlign w:val="bottom"/>
            <w:hideMark/>
          </w:tcPr>
          <w:p w14:paraId="3B06BD6D" w14:textId="77777777" w:rsidR="005751F4" w:rsidRPr="00AB7CBB" w:rsidRDefault="00BA0127" w:rsidP="00AB7CBB">
            <w:pPr>
              <w:spacing w:after="0"/>
              <w:rPr>
                <w:szCs w:val="24"/>
                <w:lang w:eastAsia="en-GB"/>
              </w:rPr>
            </w:pPr>
            <w:r w:rsidRPr="00AB7CBB">
              <w:rPr>
                <w:szCs w:val="24"/>
                <w:lang w:eastAsia="en-GB"/>
              </w:rPr>
              <w:t xml:space="preserve">Operating Profit </w:t>
            </w:r>
          </w:p>
        </w:tc>
        <w:tc>
          <w:tcPr>
            <w:tcW w:w="2486" w:type="pct"/>
            <w:tcBorders>
              <w:top w:val="nil"/>
              <w:left w:val="nil"/>
              <w:bottom w:val="single" w:sz="4" w:space="0" w:color="auto"/>
              <w:right w:val="single" w:sz="4" w:space="0" w:color="auto"/>
            </w:tcBorders>
            <w:shd w:val="clear" w:color="auto" w:fill="auto"/>
            <w:noWrap/>
            <w:vAlign w:val="bottom"/>
            <w:hideMark/>
          </w:tcPr>
          <w:p w14:paraId="0C9DE1CE" w14:textId="77777777" w:rsidR="005751F4" w:rsidRPr="00AB7CBB" w:rsidRDefault="00BA0127" w:rsidP="00AB7CBB">
            <w:pPr>
              <w:spacing w:after="0"/>
              <w:rPr>
                <w:szCs w:val="24"/>
                <w:lang w:eastAsia="en-GB"/>
              </w:rPr>
            </w:pPr>
            <w:r w:rsidRPr="00AB7CBB">
              <w:rPr>
                <w:szCs w:val="24"/>
                <w:lang w:eastAsia="en-GB"/>
              </w:rPr>
              <w:t>(Profit before Interest and Taxation / Sales) * 100</w:t>
            </w:r>
          </w:p>
        </w:tc>
        <w:tc>
          <w:tcPr>
            <w:tcW w:w="421" w:type="pct"/>
            <w:tcBorders>
              <w:top w:val="nil"/>
              <w:left w:val="nil"/>
              <w:bottom w:val="single" w:sz="4" w:space="0" w:color="auto"/>
              <w:right w:val="single" w:sz="4" w:space="0" w:color="auto"/>
            </w:tcBorders>
            <w:shd w:val="clear" w:color="auto" w:fill="auto"/>
            <w:noWrap/>
            <w:vAlign w:val="bottom"/>
            <w:hideMark/>
          </w:tcPr>
          <w:p w14:paraId="1FEC6232" w14:textId="77777777" w:rsidR="005751F4" w:rsidRPr="00AB7CBB" w:rsidRDefault="00BA0127" w:rsidP="00AB7CBB">
            <w:pPr>
              <w:spacing w:after="0"/>
              <w:rPr>
                <w:szCs w:val="24"/>
                <w:lang w:eastAsia="en-GB"/>
              </w:rPr>
            </w:pPr>
            <w:r w:rsidRPr="00AB7CBB">
              <w:rPr>
                <w:szCs w:val="24"/>
                <w:lang w:eastAsia="en-GB"/>
              </w:rPr>
              <w:t>5.971</w:t>
            </w:r>
          </w:p>
        </w:tc>
        <w:tc>
          <w:tcPr>
            <w:tcW w:w="471" w:type="pct"/>
            <w:tcBorders>
              <w:top w:val="nil"/>
              <w:left w:val="nil"/>
              <w:bottom w:val="single" w:sz="4" w:space="0" w:color="auto"/>
              <w:right w:val="single" w:sz="4" w:space="0" w:color="auto"/>
            </w:tcBorders>
            <w:shd w:val="clear" w:color="auto" w:fill="auto"/>
            <w:noWrap/>
            <w:vAlign w:val="bottom"/>
            <w:hideMark/>
          </w:tcPr>
          <w:p w14:paraId="4A7FE125" w14:textId="77777777" w:rsidR="005751F4" w:rsidRPr="00AB7CBB" w:rsidRDefault="00BA0127" w:rsidP="00AB7CBB">
            <w:pPr>
              <w:spacing w:after="0"/>
              <w:rPr>
                <w:szCs w:val="24"/>
                <w:lang w:eastAsia="en-GB"/>
              </w:rPr>
            </w:pPr>
            <w:r w:rsidRPr="00AB7CBB">
              <w:rPr>
                <w:szCs w:val="24"/>
                <w:lang w:eastAsia="en-GB"/>
              </w:rPr>
              <w:t>13.015</w:t>
            </w:r>
          </w:p>
        </w:tc>
      </w:tr>
      <w:tr w:rsidR="00A31EED" w14:paraId="26286ABC" w14:textId="77777777" w:rsidTr="005751F4">
        <w:trPr>
          <w:trHeight w:val="576"/>
        </w:trPr>
        <w:tc>
          <w:tcPr>
            <w:tcW w:w="690" w:type="pct"/>
            <w:vMerge/>
            <w:tcBorders>
              <w:top w:val="nil"/>
              <w:left w:val="single" w:sz="4" w:space="0" w:color="auto"/>
              <w:bottom w:val="single" w:sz="4" w:space="0" w:color="auto"/>
              <w:right w:val="single" w:sz="4" w:space="0" w:color="auto"/>
            </w:tcBorders>
            <w:vAlign w:val="center"/>
            <w:hideMark/>
          </w:tcPr>
          <w:p w14:paraId="71D03B42" w14:textId="77777777" w:rsidR="005751F4" w:rsidRPr="00AB7CBB" w:rsidRDefault="005751F4" w:rsidP="00AB7CBB">
            <w:pPr>
              <w:spacing w:after="0"/>
              <w:rPr>
                <w:szCs w:val="24"/>
                <w:lang w:eastAsia="en-GB"/>
              </w:rPr>
            </w:pPr>
          </w:p>
        </w:tc>
        <w:tc>
          <w:tcPr>
            <w:tcW w:w="932" w:type="pct"/>
            <w:tcBorders>
              <w:top w:val="nil"/>
              <w:left w:val="nil"/>
              <w:bottom w:val="single" w:sz="4" w:space="0" w:color="auto"/>
              <w:right w:val="single" w:sz="4" w:space="0" w:color="auto"/>
            </w:tcBorders>
            <w:shd w:val="clear" w:color="auto" w:fill="auto"/>
            <w:noWrap/>
            <w:vAlign w:val="bottom"/>
            <w:hideMark/>
          </w:tcPr>
          <w:p w14:paraId="5C7E3FFF" w14:textId="77777777" w:rsidR="005751F4" w:rsidRPr="00AB7CBB" w:rsidRDefault="00BA0127" w:rsidP="00AB7CBB">
            <w:pPr>
              <w:spacing w:after="0"/>
              <w:rPr>
                <w:szCs w:val="24"/>
                <w:lang w:eastAsia="en-GB"/>
              </w:rPr>
            </w:pPr>
            <w:r w:rsidRPr="00AB7CBB">
              <w:rPr>
                <w:szCs w:val="24"/>
                <w:lang w:eastAsia="en-GB"/>
              </w:rPr>
              <w:t xml:space="preserve">Net Profit Margin </w:t>
            </w:r>
          </w:p>
        </w:tc>
        <w:tc>
          <w:tcPr>
            <w:tcW w:w="2486" w:type="pct"/>
            <w:tcBorders>
              <w:top w:val="nil"/>
              <w:left w:val="nil"/>
              <w:bottom w:val="single" w:sz="4" w:space="0" w:color="auto"/>
              <w:right w:val="single" w:sz="4" w:space="0" w:color="auto"/>
            </w:tcBorders>
            <w:shd w:val="clear" w:color="auto" w:fill="auto"/>
            <w:noWrap/>
            <w:vAlign w:val="bottom"/>
            <w:hideMark/>
          </w:tcPr>
          <w:p w14:paraId="7269FE90" w14:textId="77777777" w:rsidR="005751F4" w:rsidRPr="00AB7CBB" w:rsidRDefault="00BA0127" w:rsidP="00AB7CBB">
            <w:pPr>
              <w:spacing w:after="0"/>
              <w:rPr>
                <w:szCs w:val="24"/>
                <w:lang w:eastAsia="en-GB"/>
              </w:rPr>
            </w:pPr>
            <w:r w:rsidRPr="00AB7CBB">
              <w:rPr>
                <w:szCs w:val="24"/>
                <w:lang w:eastAsia="en-GB"/>
              </w:rPr>
              <w:t>(Profit for the Year / Sales) * 100</w:t>
            </w:r>
          </w:p>
        </w:tc>
        <w:tc>
          <w:tcPr>
            <w:tcW w:w="421" w:type="pct"/>
            <w:tcBorders>
              <w:top w:val="nil"/>
              <w:left w:val="nil"/>
              <w:bottom w:val="single" w:sz="4" w:space="0" w:color="auto"/>
              <w:right w:val="single" w:sz="4" w:space="0" w:color="auto"/>
            </w:tcBorders>
            <w:shd w:val="clear" w:color="auto" w:fill="auto"/>
            <w:noWrap/>
            <w:vAlign w:val="bottom"/>
            <w:hideMark/>
          </w:tcPr>
          <w:p w14:paraId="6757CDDA" w14:textId="77777777" w:rsidR="005751F4" w:rsidRPr="00AB7CBB" w:rsidRDefault="00BA0127" w:rsidP="00AB7CBB">
            <w:pPr>
              <w:spacing w:after="0"/>
              <w:rPr>
                <w:szCs w:val="24"/>
                <w:lang w:eastAsia="en-GB"/>
              </w:rPr>
            </w:pPr>
            <w:r w:rsidRPr="00AB7CBB">
              <w:rPr>
                <w:szCs w:val="24"/>
                <w:lang w:eastAsia="en-GB"/>
              </w:rPr>
              <w:t>0.650</w:t>
            </w:r>
          </w:p>
        </w:tc>
        <w:tc>
          <w:tcPr>
            <w:tcW w:w="471" w:type="pct"/>
            <w:tcBorders>
              <w:top w:val="nil"/>
              <w:left w:val="nil"/>
              <w:bottom w:val="single" w:sz="4" w:space="0" w:color="auto"/>
              <w:right w:val="single" w:sz="4" w:space="0" w:color="auto"/>
            </w:tcBorders>
            <w:shd w:val="clear" w:color="auto" w:fill="auto"/>
            <w:noWrap/>
            <w:vAlign w:val="bottom"/>
            <w:hideMark/>
          </w:tcPr>
          <w:p w14:paraId="2E8101A2" w14:textId="77777777" w:rsidR="005751F4" w:rsidRPr="00AB7CBB" w:rsidRDefault="00BA0127" w:rsidP="00AB7CBB">
            <w:pPr>
              <w:spacing w:after="0"/>
              <w:rPr>
                <w:szCs w:val="24"/>
                <w:lang w:eastAsia="en-GB"/>
              </w:rPr>
            </w:pPr>
            <w:r w:rsidRPr="00AB7CBB">
              <w:rPr>
                <w:szCs w:val="24"/>
                <w:lang w:eastAsia="en-GB"/>
              </w:rPr>
              <w:t>7.557</w:t>
            </w:r>
          </w:p>
        </w:tc>
      </w:tr>
      <w:tr w:rsidR="00A31EED" w14:paraId="6FA0A157" w14:textId="77777777" w:rsidTr="005751F4">
        <w:trPr>
          <w:trHeight w:val="288"/>
        </w:trPr>
        <w:tc>
          <w:tcPr>
            <w:tcW w:w="690" w:type="pct"/>
            <w:vMerge/>
            <w:tcBorders>
              <w:top w:val="nil"/>
              <w:left w:val="single" w:sz="4" w:space="0" w:color="auto"/>
              <w:bottom w:val="single" w:sz="4" w:space="0" w:color="auto"/>
              <w:right w:val="single" w:sz="4" w:space="0" w:color="auto"/>
            </w:tcBorders>
            <w:vAlign w:val="center"/>
            <w:hideMark/>
          </w:tcPr>
          <w:p w14:paraId="779381B0" w14:textId="77777777" w:rsidR="005751F4" w:rsidRPr="00AB7CBB" w:rsidRDefault="005751F4" w:rsidP="00AB7CBB">
            <w:pPr>
              <w:spacing w:after="0"/>
              <w:rPr>
                <w:szCs w:val="24"/>
                <w:lang w:eastAsia="en-GB"/>
              </w:rPr>
            </w:pPr>
          </w:p>
        </w:tc>
        <w:tc>
          <w:tcPr>
            <w:tcW w:w="932" w:type="pct"/>
            <w:tcBorders>
              <w:top w:val="nil"/>
              <w:left w:val="nil"/>
              <w:bottom w:val="single" w:sz="4" w:space="0" w:color="auto"/>
              <w:right w:val="single" w:sz="4" w:space="0" w:color="auto"/>
            </w:tcBorders>
            <w:shd w:val="clear" w:color="auto" w:fill="auto"/>
            <w:noWrap/>
            <w:vAlign w:val="bottom"/>
            <w:hideMark/>
          </w:tcPr>
          <w:p w14:paraId="70E34382" w14:textId="77777777" w:rsidR="005751F4" w:rsidRPr="00AB7CBB" w:rsidRDefault="00BA0127" w:rsidP="00AB7CBB">
            <w:pPr>
              <w:spacing w:after="0"/>
              <w:rPr>
                <w:szCs w:val="24"/>
                <w:lang w:eastAsia="en-GB"/>
              </w:rPr>
            </w:pPr>
            <w:r w:rsidRPr="00AB7CBB">
              <w:rPr>
                <w:szCs w:val="24"/>
                <w:lang w:eastAsia="en-GB"/>
              </w:rPr>
              <w:t>ROSE</w:t>
            </w:r>
          </w:p>
        </w:tc>
        <w:tc>
          <w:tcPr>
            <w:tcW w:w="2486" w:type="pct"/>
            <w:tcBorders>
              <w:top w:val="nil"/>
              <w:left w:val="nil"/>
              <w:bottom w:val="single" w:sz="4" w:space="0" w:color="auto"/>
              <w:right w:val="single" w:sz="4" w:space="0" w:color="auto"/>
            </w:tcBorders>
            <w:shd w:val="clear" w:color="auto" w:fill="auto"/>
            <w:noWrap/>
            <w:vAlign w:val="bottom"/>
            <w:hideMark/>
          </w:tcPr>
          <w:p w14:paraId="59A1B4C2" w14:textId="77777777" w:rsidR="005751F4" w:rsidRPr="00AB7CBB" w:rsidRDefault="00BA0127" w:rsidP="00AB7CBB">
            <w:pPr>
              <w:spacing w:after="0"/>
              <w:rPr>
                <w:szCs w:val="24"/>
                <w:lang w:eastAsia="en-GB"/>
              </w:rPr>
            </w:pPr>
            <w:r w:rsidRPr="00AB7CBB">
              <w:rPr>
                <w:szCs w:val="24"/>
                <w:lang w:eastAsia="en-GB"/>
              </w:rPr>
              <w:t>(Profit before Interest and Taxation / Capital Employed) * 100</w:t>
            </w:r>
          </w:p>
        </w:tc>
        <w:tc>
          <w:tcPr>
            <w:tcW w:w="421" w:type="pct"/>
            <w:tcBorders>
              <w:top w:val="nil"/>
              <w:left w:val="nil"/>
              <w:bottom w:val="single" w:sz="4" w:space="0" w:color="auto"/>
              <w:right w:val="single" w:sz="4" w:space="0" w:color="auto"/>
            </w:tcBorders>
            <w:shd w:val="clear" w:color="auto" w:fill="auto"/>
            <w:noWrap/>
            <w:vAlign w:val="bottom"/>
            <w:hideMark/>
          </w:tcPr>
          <w:p w14:paraId="2BA04AEC" w14:textId="77777777" w:rsidR="005751F4" w:rsidRPr="00AB7CBB" w:rsidRDefault="00BA0127" w:rsidP="00AB7CBB">
            <w:pPr>
              <w:spacing w:after="0"/>
              <w:rPr>
                <w:szCs w:val="24"/>
                <w:lang w:eastAsia="en-GB"/>
              </w:rPr>
            </w:pPr>
            <w:r w:rsidRPr="00AB7CBB">
              <w:rPr>
                <w:szCs w:val="24"/>
                <w:lang w:eastAsia="en-GB"/>
              </w:rPr>
              <w:t>0.056</w:t>
            </w:r>
          </w:p>
        </w:tc>
        <w:tc>
          <w:tcPr>
            <w:tcW w:w="471" w:type="pct"/>
            <w:tcBorders>
              <w:top w:val="nil"/>
              <w:left w:val="nil"/>
              <w:bottom w:val="single" w:sz="4" w:space="0" w:color="auto"/>
              <w:right w:val="single" w:sz="4" w:space="0" w:color="auto"/>
            </w:tcBorders>
            <w:shd w:val="clear" w:color="auto" w:fill="auto"/>
            <w:noWrap/>
            <w:vAlign w:val="bottom"/>
            <w:hideMark/>
          </w:tcPr>
          <w:p w14:paraId="3F670E69" w14:textId="77777777" w:rsidR="005751F4" w:rsidRPr="00AB7CBB" w:rsidRDefault="00BA0127" w:rsidP="00AB7CBB">
            <w:pPr>
              <w:spacing w:after="0"/>
              <w:rPr>
                <w:szCs w:val="24"/>
                <w:lang w:eastAsia="en-GB"/>
              </w:rPr>
            </w:pPr>
            <w:r w:rsidRPr="00AB7CBB">
              <w:rPr>
                <w:szCs w:val="24"/>
                <w:lang w:eastAsia="en-GB"/>
              </w:rPr>
              <w:t>0.141</w:t>
            </w:r>
          </w:p>
        </w:tc>
      </w:tr>
      <w:tr w:rsidR="00A31EED" w14:paraId="377968EE" w14:textId="77777777" w:rsidTr="005751F4">
        <w:trPr>
          <w:trHeight w:val="576"/>
        </w:trPr>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005A8696" w14:textId="77777777" w:rsidR="005751F4" w:rsidRPr="00AB7CBB" w:rsidRDefault="00BA0127" w:rsidP="00AB7CBB">
            <w:pPr>
              <w:spacing w:after="0"/>
              <w:rPr>
                <w:szCs w:val="24"/>
                <w:lang w:eastAsia="en-GB"/>
              </w:rPr>
            </w:pPr>
            <w:r w:rsidRPr="00AB7CBB">
              <w:rPr>
                <w:szCs w:val="24"/>
                <w:lang w:eastAsia="en-GB"/>
              </w:rPr>
              <w:t xml:space="preserve">Liquidity Ratio </w:t>
            </w:r>
          </w:p>
        </w:tc>
        <w:tc>
          <w:tcPr>
            <w:tcW w:w="932" w:type="pct"/>
            <w:tcBorders>
              <w:top w:val="nil"/>
              <w:left w:val="nil"/>
              <w:bottom w:val="single" w:sz="4" w:space="0" w:color="auto"/>
              <w:right w:val="single" w:sz="4" w:space="0" w:color="auto"/>
            </w:tcBorders>
            <w:shd w:val="clear" w:color="auto" w:fill="auto"/>
            <w:noWrap/>
            <w:vAlign w:val="bottom"/>
            <w:hideMark/>
          </w:tcPr>
          <w:p w14:paraId="2BE9E543" w14:textId="77777777" w:rsidR="005751F4" w:rsidRPr="00AB7CBB" w:rsidRDefault="00BA0127" w:rsidP="00AB7CBB">
            <w:pPr>
              <w:spacing w:after="0"/>
              <w:rPr>
                <w:szCs w:val="24"/>
                <w:lang w:eastAsia="en-GB"/>
              </w:rPr>
            </w:pPr>
            <w:r w:rsidRPr="00AB7CBB">
              <w:rPr>
                <w:szCs w:val="24"/>
                <w:lang w:eastAsia="en-GB"/>
              </w:rPr>
              <w:t xml:space="preserve">Current Ratio </w:t>
            </w:r>
          </w:p>
        </w:tc>
        <w:tc>
          <w:tcPr>
            <w:tcW w:w="2486" w:type="pct"/>
            <w:tcBorders>
              <w:top w:val="nil"/>
              <w:left w:val="nil"/>
              <w:bottom w:val="single" w:sz="4" w:space="0" w:color="auto"/>
              <w:right w:val="single" w:sz="4" w:space="0" w:color="auto"/>
            </w:tcBorders>
            <w:shd w:val="clear" w:color="auto" w:fill="auto"/>
            <w:noWrap/>
            <w:vAlign w:val="bottom"/>
            <w:hideMark/>
          </w:tcPr>
          <w:p w14:paraId="470CFABB" w14:textId="77777777" w:rsidR="005751F4" w:rsidRPr="00AB7CBB" w:rsidRDefault="00BA0127" w:rsidP="00AB7CBB">
            <w:pPr>
              <w:spacing w:after="0"/>
              <w:rPr>
                <w:szCs w:val="24"/>
                <w:lang w:eastAsia="en-GB"/>
              </w:rPr>
            </w:pPr>
            <w:r w:rsidRPr="00AB7CBB">
              <w:rPr>
                <w:szCs w:val="24"/>
                <w:lang w:eastAsia="en-GB"/>
              </w:rPr>
              <w:t>Current Assets / Current Liabilities</w:t>
            </w:r>
          </w:p>
        </w:tc>
        <w:tc>
          <w:tcPr>
            <w:tcW w:w="421" w:type="pct"/>
            <w:tcBorders>
              <w:top w:val="nil"/>
              <w:left w:val="nil"/>
              <w:bottom w:val="single" w:sz="4" w:space="0" w:color="auto"/>
              <w:right w:val="single" w:sz="4" w:space="0" w:color="auto"/>
            </w:tcBorders>
            <w:shd w:val="clear" w:color="auto" w:fill="auto"/>
            <w:noWrap/>
            <w:vAlign w:val="bottom"/>
            <w:hideMark/>
          </w:tcPr>
          <w:p w14:paraId="57FBB36B" w14:textId="77777777" w:rsidR="005751F4" w:rsidRPr="00AB7CBB" w:rsidRDefault="00BA0127" w:rsidP="00AB7CBB">
            <w:pPr>
              <w:spacing w:after="0"/>
              <w:rPr>
                <w:szCs w:val="24"/>
                <w:lang w:eastAsia="en-GB"/>
              </w:rPr>
            </w:pPr>
            <w:r w:rsidRPr="00AB7CBB">
              <w:rPr>
                <w:szCs w:val="24"/>
                <w:lang w:eastAsia="en-GB"/>
              </w:rPr>
              <w:t>1.217</w:t>
            </w:r>
          </w:p>
        </w:tc>
        <w:tc>
          <w:tcPr>
            <w:tcW w:w="471" w:type="pct"/>
            <w:tcBorders>
              <w:top w:val="nil"/>
              <w:left w:val="nil"/>
              <w:bottom w:val="single" w:sz="4" w:space="0" w:color="auto"/>
              <w:right w:val="single" w:sz="4" w:space="0" w:color="auto"/>
            </w:tcBorders>
            <w:shd w:val="clear" w:color="auto" w:fill="auto"/>
            <w:noWrap/>
            <w:vAlign w:val="bottom"/>
            <w:hideMark/>
          </w:tcPr>
          <w:p w14:paraId="6E1F07C1" w14:textId="77777777" w:rsidR="005751F4" w:rsidRPr="00AB7CBB" w:rsidRDefault="00BA0127" w:rsidP="00AB7CBB">
            <w:pPr>
              <w:spacing w:after="0"/>
              <w:rPr>
                <w:szCs w:val="24"/>
                <w:lang w:eastAsia="en-GB"/>
              </w:rPr>
            </w:pPr>
            <w:r w:rsidRPr="00AB7CBB">
              <w:rPr>
                <w:szCs w:val="24"/>
                <w:lang w:eastAsia="en-GB"/>
              </w:rPr>
              <w:t>1.209</w:t>
            </w:r>
          </w:p>
        </w:tc>
      </w:tr>
      <w:tr w:rsidR="00A31EED" w14:paraId="37D30E4C" w14:textId="77777777" w:rsidTr="005751F4">
        <w:trPr>
          <w:trHeight w:val="288"/>
        </w:trPr>
        <w:tc>
          <w:tcPr>
            <w:tcW w:w="690" w:type="pct"/>
            <w:vMerge/>
            <w:tcBorders>
              <w:top w:val="nil"/>
              <w:left w:val="single" w:sz="4" w:space="0" w:color="auto"/>
              <w:bottom w:val="single" w:sz="4" w:space="0" w:color="auto"/>
              <w:right w:val="single" w:sz="4" w:space="0" w:color="auto"/>
            </w:tcBorders>
            <w:vAlign w:val="center"/>
            <w:hideMark/>
          </w:tcPr>
          <w:p w14:paraId="47BB4901" w14:textId="77777777" w:rsidR="005751F4" w:rsidRPr="00AB7CBB" w:rsidRDefault="005751F4" w:rsidP="00AB7CBB">
            <w:pPr>
              <w:spacing w:after="0"/>
              <w:rPr>
                <w:szCs w:val="24"/>
                <w:lang w:eastAsia="en-GB"/>
              </w:rPr>
            </w:pPr>
          </w:p>
        </w:tc>
        <w:tc>
          <w:tcPr>
            <w:tcW w:w="932" w:type="pct"/>
            <w:tcBorders>
              <w:top w:val="nil"/>
              <w:left w:val="nil"/>
              <w:bottom w:val="single" w:sz="4" w:space="0" w:color="auto"/>
              <w:right w:val="single" w:sz="4" w:space="0" w:color="auto"/>
            </w:tcBorders>
            <w:shd w:val="clear" w:color="auto" w:fill="auto"/>
            <w:noWrap/>
            <w:vAlign w:val="bottom"/>
            <w:hideMark/>
          </w:tcPr>
          <w:p w14:paraId="76EC7D55" w14:textId="77777777" w:rsidR="005751F4" w:rsidRPr="00AB7CBB" w:rsidRDefault="00BA0127" w:rsidP="00AB7CBB">
            <w:pPr>
              <w:spacing w:after="0"/>
              <w:rPr>
                <w:szCs w:val="24"/>
                <w:lang w:eastAsia="en-GB"/>
              </w:rPr>
            </w:pPr>
            <w:r w:rsidRPr="00AB7CBB">
              <w:rPr>
                <w:szCs w:val="24"/>
                <w:lang w:eastAsia="en-GB"/>
              </w:rPr>
              <w:t xml:space="preserve">Acid Test Ratio </w:t>
            </w:r>
          </w:p>
        </w:tc>
        <w:tc>
          <w:tcPr>
            <w:tcW w:w="2486" w:type="pct"/>
            <w:tcBorders>
              <w:top w:val="nil"/>
              <w:left w:val="nil"/>
              <w:bottom w:val="single" w:sz="4" w:space="0" w:color="auto"/>
              <w:right w:val="single" w:sz="4" w:space="0" w:color="auto"/>
            </w:tcBorders>
            <w:shd w:val="clear" w:color="auto" w:fill="auto"/>
            <w:noWrap/>
            <w:vAlign w:val="bottom"/>
            <w:hideMark/>
          </w:tcPr>
          <w:p w14:paraId="69911B24" w14:textId="77777777" w:rsidR="005751F4" w:rsidRPr="00AB7CBB" w:rsidRDefault="00BA0127" w:rsidP="00AB7CBB">
            <w:pPr>
              <w:spacing w:after="0"/>
              <w:rPr>
                <w:szCs w:val="24"/>
                <w:lang w:eastAsia="en-GB"/>
              </w:rPr>
            </w:pPr>
            <w:r w:rsidRPr="00AB7CBB">
              <w:rPr>
                <w:szCs w:val="24"/>
                <w:lang w:eastAsia="en-GB"/>
              </w:rPr>
              <w:t>(Current Assets - Inventories) / Current Liabilities</w:t>
            </w:r>
          </w:p>
        </w:tc>
        <w:tc>
          <w:tcPr>
            <w:tcW w:w="421" w:type="pct"/>
            <w:tcBorders>
              <w:top w:val="nil"/>
              <w:left w:val="nil"/>
              <w:bottom w:val="single" w:sz="4" w:space="0" w:color="auto"/>
              <w:right w:val="single" w:sz="4" w:space="0" w:color="auto"/>
            </w:tcBorders>
            <w:shd w:val="clear" w:color="auto" w:fill="auto"/>
            <w:noWrap/>
            <w:vAlign w:val="bottom"/>
            <w:hideMark/>
          </w:tcPr>
          <w:p w14:paraId="7ECB1841" w14:textId="77777777" w:rsidR="005751F4" w:rsidRPr="00AB7CBB" w:rsidRDefault="00BA0127" w:rsidP="00AB7CBB">
            <w:pPr>
              <w:spacing w:after="0"/>
              <w:rPr>
                <w:szCs w:val="24"/>
                <w:lang w:eastAsia="en-GB"/>
              </w:rPr>
            </w:pPr>
            <w:r w:rsidRPr="00AB7CBB">
              <w:rPr>
                <w:szCs w:val="24"/>
                <w:lang w:eastAsia="en-GB"/>
              </w:rPr>
              <w:t>0.931</w:t>
            </w:r>
          </w:p>
        </w:tc>
        <w:tc>
          <w:tcPr>
            <w:tcW w:w="471" w:type="pct"/>
            <w:tcBorders>
              <w:top w:val="nil"/>
              <w:left w:val="nil"/>
              <w:bottom w:val="single" w:sz="4" w:space="0" w:color="auto"/>
              <w:right w:val="single" w:sz="4" w:space="0" w:color="auto"/>
            </w:tcBorders>
            <w:shd w:val="clear" w:color="auto" w:fill="auto"/>
            <w:noWrap/>
            <w:vAlign w:val="bottom"/>
            <w:hideMark/>
          </w:tcPr>
          <w:p w14:paraId="506E7032" w14:textId="77777777" w:rsidR="005751F4" w:rsidRPr="00AB7CBB" w:rsidRDefault="00BA0127" w:rsidP="00AB7CBB">
            <w:pPr>
              <w:spacing w:after="0"/>
              <w:rPr>
                <w:szCs w:val="24"/>
                <w:lang w:eastAsia="en-GB"/>
              </w:rPr>
            </w:pPr>
            <w:r w:rsidRPr="00AB7CBB">
              <w:rPr>
                <w:szCs w:val="24"/>
                <w:lang w:eastAsia="en-GB"/>
              </w:rPr>
              <w:t>0.944</w:t>
            </w:r>
          </w:p>
        </w:tc>
      </w:tr>
      <w:tr w:rsidR="00A31EED" w14:paraId="6D43AD51" w14:textId="77777777" w:rsidTr="005751F4">
        <w:trPr>
          <w:trHeight w:val="288"/>
        </w:trPr>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36D8552C" w14:textId="77777777" w:rsidR="005751F4" w:rsidRPr="00AB7CBB" w:rsidRDefault="00BA0127" w:rsidP="00AB7CBB">
            <w:pPr>
              <w:spacing w:after="0"/>
              <w:rPr>
                <w:szCs w:val="24"/>
                <w:lang w:eastAsia="en-GB"/>
              </w:rPr>
            </w:pPr>
            <w:r w:rsidRPr="00AB7CBB">
              <w:rPr>
                <w:szCs w:val="24"/>
                <w:lang w:eastAsia="en-GB"/>
              </w:rPr>
              <w:t xml:space="preserve">Gearing Ratio </w:t>
            </w:r>
          </w:p>
        </w:tc>
        <w:tc>
          <w:tcPr>
            <w:tcW w:w="932" w:type="pct"/>
            <w:tcBorders>
              <w:top w:val="nil"/>
              <w:left w:val="nil"/>
              <w:bottom w:val="single" w:sz="4" w:space="0" w:color="auto"/>
              <w:right w:val="single" w:sz="4" w:space="0" w:color="auto"/>
            </w:tcBorders>
            <w:shd w:val="clear" w:color="auto" w:fill="auto"/>
            <w:noWrap/>
            <w:vAlign w:val="bottom"/>
            <w:hideMark/>
          </w:tcPr>
          <w:p w14:paraId="2448517A" w14:textId="77777777" w:rsidR="005751F4" w:rsidRPr="00AB7CBB" w:rsidRDefault="00BA0127" w:rsidP="00AB7CBB">
            <w:pPr>
              <w:spacing w:after="0"/>
              <w:rPr>
                <w:szCs w:val="24"/>
                <w:lang w:eastAsia="en-GB"/>
              </w:rPr>
            </w:pPr>
            <w:r w:rsidRPr="00AB7CBB">
              <w:rPr>
                <w:szCs w:val="24"/>
                <w:lang w:eastAsia="en-GB"/>
              </w:rPr>
              <w:t xml:space="preserve">Debt to Equity Ratio </w:t>
            </w:r>
          </w:p>
        </w:tc>
        <w:tc>
          <w:tcPr>
            <w:tcW w:w="2486" w:type="pct"/>
            <w:tcBorders>
              <w:top w:val="nil"/>
              <w:left w:val="nil"/>
              <w:bottom w:val="single" w:sz="4" w:space="0" w:color="auto"/>
              <w:right w:val="single" w:sz="4" w:space="0" w:color="auto"/>
            </w:tcBorders>
            <w:shd w:val="clear" w:color="auto" w:fill="auto"/>
            <w:noWrap/>
            <w:vAlign w:val="bottom"/>
            <w:hideMark/>
          </w:tcPr>
          <w:p w14:paraId="056A7CA8" w14:textId="77777777" w:rsidR="005751F4" w:rsidRPr="00AB7CBB" w:rsidRDefault="00BA0127" w:rsidP="00AB7CBB">
            <w:pPr>
              <w:spacing w:after="0"/>
              <w:rPr>
                <w:szCs w:val="24"/>
                <w:lang w:eastAsia="en-GB"/>
              </w:rPr>
            </w:pPr>
            <w:r w:rsidRPr="00AB7CBB">
              <w:rPr>
                <w:szCs w:val="24"/>
                <w:lang w:eastAsia="en-GB"/>
              </w:rPr>
              <w:t>Total Debt / Total Equity</w:t>
            </w:r>
          </w:p>
        </w:tc>
        <w:tc>
          <w:tcPr>
            <w:tcW w:w="421" w:type="pct"/>
            <w:tcBorders>
              <w:top w:val="nil"/>
              <w:left w:val="nil"/>
              <w:bottom w:val="single" w:sz="4" w:space="0" w:color="auto"/>
              <w:right w:val="single" w:sz="4" w:space="0" w:color="auto"/>
            </w:tcBorders>
            <w:shd w:val="clear" w:color="auto" w:fill="auto"/>
            <w:noWrap/>
            <w:vAlign w:val="bottom"/>
            <w:hideMark/>
          </w:tcPr>
          <w:p w14:paraId="613CE982" w14:textId="77777777" w:rsidR="005751F4" w:rsidRPr="00AB7CBB" w:rsidRDefault="00BA0127" w:rsidP="00AB7CBB">
            <w:pPr>
              <w:spacing w:after="0"/>
              <w:rPr>
                <w:szCs w:val="24"/>
                <w:lang w:eastAsia="en-GB"/>
              </w:rPr>
            </w:pPr>
            <w:r w:rsidRPr="00AB7CBB">
              <w:rPr>
                <w:szCs w:val="24"/>
                <w:lang w:eastAsia="en-GB"/>
              </w:rPr>
              <w:t>0.723</w:t>
            </w:r>
          </w:p>
        </w:tc>
        <w:tc>
          <w:tcPr>
            <w:tcW w:w="471" w:type="pct"/>
            <w:tcBorders>
              <w:top w:val="nil"/>
              <w:left w:val="nil"/>
              <w:bottom w:val="single" w:sz="4" w:space="0" w:color="auto"/>
              <w:right w:val="single" w:sz="4" w:space="0" w:color="auto"/>
            </w:tcBorders>
            <w:shd w:val="clear" w:color="auto" w:fill="auto"/>
            <w:noWrap/>
            <w:vAlign w:val="bottom"/>
            <w:hideMark/>
          </w:tcPr>
          <w:p w14:paraId="78D70E11" w14:textId="77777777" w:rsidR="005751F4" w:rsidRPr="00AB7CBB" w:rsidRDefault="00BA0127" w:rsidP="00AB7CBB">
            <w:pPr>
              <w:spacing w:after="0"/>
              <w:rPr>
                <w:szCs w:val="24"/>
                <w:lang w:eastAsia="en-GB"/>
              </w:rPr>
            </w:pPr>
            <w:r w:rsidRPr="00AB7CBB">
              <w:rPr>
                <w:szCs w:val="24"/>
                <w:lang w:eastAsia="en-GB"/>
              </w:rPr>
              <w:t>0.695</w:t>
            </w:r>
          </w:p>
        </w:tc>
      </w:tr>
      <w:tr w:rsidR="00A31EED" w14:paraId="749E7001" w14:textId="77777777" w:rsidTr="005751F4">
        <w:trPr>
          <w:trHeight w:val="576"/>
        </w:trPr>
        <w:tc>
          <w:tcPr>
            <w:tcW w:w="690" w:type="pct"/>
            <w:vMerge/>
            <w:tcBorders>
              <w:top w:val="nil"/>
              <w:left w:val="single" w:sz="4" w:space="0" w:color="auto"/>
              <w:bottom w:val="single" w:sz="4" w:space="0" w:color="auto"/>
              <w:right w:val="single" w:sz="4" w:space="0" w:color="auto"/>
            </w:tcBorders>
            <w:vAlign w:val="center"/>
            <w:hideMark/>
          </w:tcPr>
          <w:p w14:paraId="585CE21A" w14:textId="77777777" w:rsidR="005751F4" w:rsidRPr="00AB7CBB" w:rsidRDefault="005751F4" w:rsidP="00AB7CBB">
            <w:pPr>
              <w:spacing w:after="0"/>
              <w:rPr>
                <w:szCs w:val="24"/>
                <w:lang w:eastAsia="en-GB"/>
              </w:rPr>
            </w:pPr>
          </w:p>
        </w:tc>
        <w:tc>
          <w:tcPr>
            <w:tcW w:w="932" w:type="pct"/>
            <w:tcBorders>
              <w:top w:val="nil"/>
              <w:left w:val="nil"/>
              <w:bottom w:val="single" w:sz="4" w:space="0" w:color="auto"/>
              <w:right w:val="single" w:sz="4" w:space="0" w:color="auto"/>
            </w:tcBorders>
            <w:shd w:val="clear" w:color="auto" w:fill="auto"/>
            <w:noWrap/>
            <w:vAlign w:val="bottom"/>
            <w:hideMark/>
          </w:tcPr>
          <w:p w14:paraId="7E5AEC03" w14:textId="77777777" w:rsidR="005751F4" w:rsidRPr="00AB7CBB" w:rsidRDefault="00BA0127" w:rsidP="00AB7CBB">
            <w:pPr>
              <w:spacing w:after="0"/>
              <w:rPr>
                <w:szCs w:val="24"/>
                <w:lang w:eastAsia="en-GB"/>
              </w:rPr>
            </w:pPr>
            <w:r w:rsidRPr="00AB7CBB">
              <w:rPr>
                <w:szCs w:val="24"/>
                <w:lang w:eastAsia="en-GB"/>
              </w:rPr>
              <w:t xml:space="preserve">Interest Cover </w:t>
            </w:r>
          </w:p>
        </w:tc>
        <w:tc>
          <w:tcPr>
            <w:tcW w:w="2486" w:type="pct"/>
            <w:tcBorders>
              <w:top w:val="nil"/>
              <w:left w:val="nil"/>
              <w:bottom w:val="single" w:sz="4" w:space="0" w:color="auto"/>
              <w:right w:val="single" w:sz="4" w:space="0" w:color="auto"/>
            </w:tcBorders>
            <w:shd w:val="clear" w:color="auto" w:fill="auto"/>
            <w:noWrap/>
            <w:vAlign w:val="bottom"/>
            <w:hideMark/>
          </w:tcPr>
          <w:p w14:paraId="011D36DD" w14:textId="77777777" w:rsidR="005751F4" w:rsidRPr="00AB7CBB" w:rsidRDefault="00BA0127" w:rsidP="00AB7CBB">
            <w:pPr>
              <w:spacing w:after="0"/>
              <w:rPr>
                <w:szCs w:val="24"/>
                <w:lang w:eastAsia="en-GB"/>
              </w:rPr>
            </w:pPr>
            <w:r w:rsidRPr="00AB7CBB">
              <w:rPr>
                <w:szCs w:val="24"/>
                <w:lang w:eastAsia="en-GB"/>
              </w:rPr>
              <w:t>Profit before Interest and Taxation / Finance Costs</w:t>
            </w:r>
          </w:p>
        </w:tc>
        <w:tc>
          <w:tcPr>
            <w:tcW w:w="421" w:type="pct"/>
            <w:tcBorders>
              <w:top w:val="nil"/>
              <w:left w:val="nil"/>
              <w:bottom w:val="single" w:sz="4" w:space="0" w:color="auto"/>
              <w:right w:val="single" w:sz="4" w:space="0" w:color="auto"/>
            </w:tcBorders>
            <w:shd w:val="clear" w:color="auto" w:fill="auto"/>
            <w:noWrap/>
            <w:vAlign w:val="bottom"/>
            <w:hideMark/>
          </w:tcPr>
          <w:p w14:paraId="58CE74DB" w14:textId="77777777" w:rsidR="005751F4" w:rsidRPr="00AB7CBB" w:rsidRDefault="00BA0127" w:rsidP="00AB7CBB">
            <w:pPr>
              <w:spacing w:after="0"/>
              <w:rPr>
                <w:szCs w:val="24"/>
                <w:lang w:eastAsia="en-GB"/>
              </w:rPr>
            </w:pPr>
            <w:r w:rsidRPr="00AB7CBB">
              <w:rPr>
                <w:szCs w:val="24"/>
                <w:lang w:eastAsia="en-GB"/>
              </w:rPr>
              <w:t>2.412</w:t>
            </w:r>
          </w:p>
        </w:tc>
        <w:tc>
          <w:tcPr>
            <w:tcW w:w="471" w:type="pct"/>
            <w:tcBorders>
              <w:top w:val="nil"/>
              <w:left w:val="nil"/>
              <w:bottom w:val="single" w:sz="4" w:space="0" w:color="auto"/>
              <w:right w:val="single" w:sz="4" w:space="0" w:color="auto"/>
            </w:tcBorders>
            <w:shd w:val="clear" w:color="auto" w:fill="auto"/>
            <w:noWrap/>
            <w:vAlign w:val="bottom"/>
            <w:hideMark/>
          </w:tcPr>
          <w:p w14:paraId="0365D4B9" w14:textId="77777777" w:rsidR="005751F4" w:rsidRPr="00AB7CBB" w:rsidRDefault="00BA0127" w:rsidP="00AB7CBB">
            <w:pPr>
              <w:spacing w:after="0"/>
              <w:rPr>
                <w:szCs w:val="24"/>
                <w:lang w:eastAsia="en-GB"/>
              </w:rPr>
            </w:pPr>
            <w:r w:rsidRPr="00AB7CBB">
              <w:rPr>
                <w:szCs w:val="24"/>
                <w:lang w:eastAsia="en-GB"/>
              </w:rPr>
              <w:t>7.122</w:t>
            </w:r>
          </w:p>
        </w:tc>
      </w:tr>
      <w:tr w:rsidR="00A31EED" w14:paraId="6E3E0968" w14:textId="77777777" w:rsidTr="005751F4">
        <w:trPr>
          <w:trHeight w:val="288"/>
        </w:trPr>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7D3BDC68" w14:textId="77777777" w:rsidR="005751F4" w:rsidRPr="00AB7CBB" w:rsidRDefault="00BA0127" w:rsidP="00AB7CBB">
            <w:pPr>
              <w:spacing w:after="0"/>
              <w:rPr>
                <w:szCs w:val="24"/>
                <w:lang w:eastAsia="en-GB"/>
              </w:rPr>
            </w:pPr>
            <w:r w:rsidRPr="00AB7CBB">
              <w:rPr>
                <w:szCs w:val="24"/>
                <w:lang w:eastAsia="en-GB"/>
              </w:rPr>
              <w:t xml:space="preserve">Efficiency Ratio </w:t>
            </w:r>
          </w:p>
        </w:tc>
        <w:tc>
          <w:tcPr>
            <w:tcW w:w="932" w:type="pct"/>
            <w:tcBorders>
              <w:top w:val="nil"/>
              <w:left w:val="nil"/>
              <w:bottom w:val="single" w:sz="4" w:space="0" w:color="auto"/>
              <w:right w:val="single" w:sz="4" w:space="0" w:color="auto"/>
            </w:tcBorders>
            <w:shd w:val="clear" w:color="auto" w:fill="auto"/>
            <w:noWrap/>
            <w:vAlign w:val="bottom"/>
            <w:hideMark/>
          </w:tcPr>
          <w:p w14:paraId="7C838055" w14:textId="77777777" w:rsidR="005751F4" w:rsidRPr="00AB7CBB" w:rsidRDefault="00BA0127" w:rsidP="00AB7CBB">
            <w:pPr>
              <w:spacing w:after="0"/>
              <w:rPr>
                <w:szCs w:val="24"/>
                <w:lang w:eastAsia="en-GB"/>
              </w:rPr>
            </w:pPr>
            <w:r w:rsidRPr="00AB7CBB">
              <w:rPr>
                <w:szCs w:val="24"/>
                <w:lang w:eastAsia="en-GB"/>
              </w:rPr>
              <w:t xml:space="preserve">Asset Turnover </w:t>
            </w:r>
          </w:p>
        </w:tc>
        <w:tc>
          <w:tcPr>
            <w:tcW w:w="2486" w:type="pct"/>
            <w:tcBorders>
              <w:top w:val="nil"/>
              <w:left w:val="nil"/>
              <w:bottom w:val="single" w:sz="4" w:space="0" w:color="auto"/>
              <w:right w:val="single" w:sz="4" w:space="0" w:color="auto"/>
            </w:tcBorders>
            <w:shd w:val="clear" w:color="auto" w:fill="auto"/>
            <w:noWrap/>
            <w:vAlign w:val="bottom"/>
            <w:hideMark/>
          </w:tcPr>
          <w:p w14:paraId="5BDF3523" w14:textId="77777777" w:rsidR="005751F4" w:rsidRPr="00AB7CBB" w:rsidRDefault="00BA0127" w:rsidP="00AB7CBB">
            <w:pPr>
              <w:spacing w:after="0"/>
              <w:rPr>
                <w:szCs w:val="24"/>
                <w:lang w:eastAsia="en-GB"/>
              </w:rPr>
            </w:pPr>
            <w:r w:rsidRPr="00AB7CBB">
              <w:rPr>
                <w:szCs w:val="24"/>
                <w:lang w:eastAsia="en-GB"/>
              </w:rPr>
              <w:t>Sales / Total Assets</w:t>
            </w:r>
          </w:p>
        </w:tc>
        <w:tc>
          <w:tcPr>
            <w:tcW w:w="421" w:type="pct"/>
            <w:tcBorders>
              <w:top w:val="nil"/>
              <w:left w:val="nil"/>
              <w:bottom w:val="single" w:sz="4" w:space="0" w:color="auto"/>
              <w:right w:val="single" w:sz="4" w:space="0" w:color="auto"/>
            </w:tcBorders>
            <w:shd w:val="clear" w:color="auto" w:fill="auto"/>
            <w:noWrap/>
            <w:vAlign w:val="bottom"/>
            <w:hideMark/>
          </w:tcPr>
          <w:p w14:paraId="1D066E16" w14:textId="77777777" w:rsidR="005751F4" w:rsidRPr="00AB7CBB" w:rsidRDefault="00BA0127" w:rsidP="00AB7CBB">
            <w:pPr>
              <w:spacing w:after="0"/>
              <w:rPr>
                <w:szCs w:val="24"/>
                <w:lang w:eastAsia="en-GB"/>
              </w:rPr>
            </w:pPr>
            <w:r w:rsidRPr="00AB7CBB">
              <w:rPr>
                <w:szCs w:val="24"/>
                <w:lang w:eastAsia="en-GB"/>
              </w:rPr>
              <w:t>0.670</w:t>
            </w:r>
          </w:p>
        </w:tc>
        <w:tc>
          <w:tcPr>
            <w:tcW w:w="471" w:type="pct"/>
            <w:tcBorders>
              <w:top w:val="nil"/>
              <w:left w:val="nil"/>
              <w:bottom w:val="single" w:sz="4" w:space="0" w:color="auto"/>
              <w:right w:val="single" w:sz="4" w:space="0" w:color="auto"/>
            </w:tcBorders>
            <w:shd w:val="clear" w:color="auto" w:fill="auto"/>
            <w:noWrap/>
            <w:vAlign w:val="bottom"/>
            <w:hideMark/>
          </w:tcPr>
          <w:p w14:paraId="1ABA0AD3" w14:textId="77777777" w:rsidR="005751F4" w:rsidRPr="00AB7CBB" w:rsidRDefault="00BA0127" w:rsidP="00AB7CBB">
            <w:pPr>
              <w:spacing w:after="0"/>
              <w:rPr>
                <w:szCs w:val="24"/>
                <w:lang w:eastAsia="en-GB"/>
              </w:rPr>
            </w:pPr>
            <w:r w:rsidRPr="00AB7CBB">
              <w:rPr>
                <w:szCs w:val="24"/>
                <w:lang w:eastAsia="en-GB"/>
              </w:rPr>
              <w:t>0.750</w:t>
            </w:r>
          </w:p>
        </w:tc>
      </w:tr>
      <w:tr w:rsidR="00A31EED" w14:paraId="7FA68A12" w14:textId="77777777" w:rsidTr="005751F4">
        <w:trPr>
          <w:trHeight w:val="576"/>
        </w:trPr>
        <w:tc>
          <w:tcPr>
            <w:tcW w:w="690" w:type="pct"/>
            <w:vMerge/>
            <w:tcBorders>
              <w:top w:val="nil"/>
              <w:left w:val="single" w:sz="4" w:space="0" w:color="auto"/>
              <w:bottom w:val="single" w:sz="4" w:space="0" w:color="auto"/>
              <w:right w:val="single" w:sz="4" w:space="0" w:color="auto"/>
            </w:tcBorders>
            <w:vAlign w:val="center"/>
            <w:hideMark/>
          </w:tcPr>
          <w:p w14:paraId="5CFBC2EE" w14:textId="77777777" w:rsidR="005751F4" w:rsidRPr="00AB7CBB" w:rsidRDefault="005751F4" w:rsidP="00AB7CBB">
            <w:pPr>
              <w:spacing w:after="0"/>
              <w:rPr>
                <w:szCs w:val="24"/>
                <w:lang w:eastAsia="en-GB"/>
              </w:rPr>
            </w:pPr>
          </w:p>
        </w:tc>
        <w:tc>
          <w:tcPr>
            <w:tcW w:w="932" w:type="pct"/>
            <w:tcBorders>
              <w:top w:val="nil"/>
              <w:left w:val="nil"/>
              <w:bottom w:val="single" w:sz="4" w:space="0" w:color="auto"/>
              <w:right w:val="single" w:sz="4" w:space="0" w:color="auto"/>
            </w:tcBorders>
            <w:shd w:val="clear" w:color="auto" w:fill="auto"/>
            <w:noWrap/>
            <w:vAlign w:val="bottom"/>
            <w:hideMark/>
          </w:tcPr>
          <w:p w14:paraId="417210E2" w14:textId="77777777" w:rsidR="005751F4" w:rsidRPr="00AB7CBB" w:rsidRDefault="00BA0127" w:rsidP="00AB7CBB">
            <w:pPr>
              <w:spacing w:after="0"/>
              <w:rPr>
                <w:szCs w:val="24"/>
                <w:lang w:eastAsia="en-GB"/>
              </w:rPr>
            </w:pPr>
            <w:r w:rsidRPr="00AB7CBB">
              <w:rPr>
                <w:szCs w:val="24"/>
                <w:lang w:eastAsia="en-GB"/>
              </w:rPr>
              <w:t xml:space="preserve">Inventory Turnover </w:t>
            </w:r>
          </w:p>
        </w:tc>
        <w:tc>
          <w:tcPr>
            <w:tcW w:w="2486" w:type="pct"/>
            <w:tcBorders>
              <w:top w:val="nil"/>
              <w:left w:val="nil"/>
              <w:bottom w:val="single" w:sz="4" w:space="0" w:color="auto"/>
              <w:right w:val="single" w:sz="4" w:space="0" w:color="auto"/>
            </w:tcBorders>
            <w:shd w:val="clear" w:color="auto" w:fill="auto"/>
            <w:noWrap/>
            <w:vAlign w:val="bottom"/>
            <w:hideMark/>
          </w:tcPr>
          <w:p w14:paraId="4FFE8192" w14:textId="77777777" w:rsidR="005751F4" w:rsidRPr="00AB7CBB" w:rsidRDefault="00BA0127" w:rsidP="00AB7CBB">
            <w:pPr>
              <w:spacing w:after="0"/>
              <w:rPr>
                <w:szCs w:val="24"/>
                <w:lang w:eastAsia="en-GB"/>
              </w:rPr>
            </w:pPr>
            <w:r w:rsidRPr="00AB7CBB">
              <w:rPr>
                <w:szCs w:val="24"/>
                <w:lang w:eastAsia="en-GB"/>
              </w:rPr>
              <w:t>Cost of Sales / Average Inventory</w:t>
            </w:r>
          </w:p>
        </w:tc>
        <w:tc>
          <w:tcPr>
            <w:tcW w:w="421" w:type="pct"/>
            <w:tcBorders>
              <w:top w:val="nil"/>
              <w:left w:val="nil"/>
              <w:bottom w:val="single" w:sz="4" w:space="0" w:color="auto"/>
              <w:right w:val="single" w:sz="4" w:space="0" w:color="auto"/>
            </w:tcBorders>
            <w:shd w:val="clear" w:color="auto" w:fill="auto"/>
            <w:noWrap/>
            <w:vAlign w:val="bottom"/>
            <w:hideMark/>
          </w:tcPr>
          <w:p w14:paraId="71BDA536" w14:textId="77777777" w:rsidR="005751F4" w:rsidRPr="00AB7CBB" w:rsidRDefault="00BA0127" w:rsidP="00AB7CBB">
            <w:pPr>
              <w:spacing w:after="0"/>
              <w:rPr>
                <w:szCs w:val="24"/>
                <w:lang w:eastAsia="en-GB"/>
              </w:rPr>
            </w:pPr>
            <w:r w:rsidRPr="00AB7CBB">
              <w:rPr>
                <w:szCs w:val="24"/>
                <w:lang w:eastAsia="en-GB"/>
              </w:rPr>
              <w:t>81.77</w:t>
            </w:r>
          </w:p>
        </w:tc>
        <w:tc>
          <w:tcPr>
            <w:tcW w:w="471" w:type="pct"/>
            <w:tcBorders>
              <w:top w:val="nil"/>
              <w:left w:val="nil"/>
              <w:bottom w:val="single" w:sz="4" w:space="0" w:color="auto"/>
              <w:right w:val="single" w:sz="4" w:space="0" w:color="auto"/>
            </w:tcBorders>
            <w:shd w:val="clear" w:color="auto" w:fill="auto"/>
            <w:noWrap/>
            <w:vAlign w:val="bottom"/>
            <w:hideMark/>
          </w:tcPr>
          <w:p w14:paraId="13780D65" w14:textId="77777777" w:rsidR="005751F4" w:rsidRPr="00AB7CBB" w:rsidRDefault="00BA0127" w:rsidP="00AB7CBB">
            <w:pPr>
              <w:spacing w:after="0"/>
              <w:rPr>
                <w:szCs w:val="24"/>
                <w:lang w:eastAsia="en-GB"/>
              </w:rPr>
            </w:pPr>
            <w:r w:rsidRPr="00AB7CBB">
              <w:rPr>
                <w:szCs w:val="24"/>
                <w:lang w:eastAsia="en-GB"/>
              </w:rPr>
              <w:t>133.51</w:t>
            </w:r>
          </w:p>
        </w:tc>
      </w:tr>
      <w:tr w:rsidR="00A31EED" w14:paraId="787F97AD" w14:textId="77777777" w:rsidTr="005751F4">
        <w:trPr>
          <w:trHeight w:val="576"/>
        </w:trPr>
        <w:tc>
          <w:tcPr>
            <w:tcW w:w="690" w:type="pct"/>
            <w:tcBorders>
              <w:top w:val="nil"/>
              <w:left w:val="single" w:sz="4" w:space="0" w:color="auto"/>
              <w:bottom w:val="single" w:sz="4" w:space="0" w:color="auto"/>
              <w:right w:val="single" w:sz="4" w:space="0" w:color="auto"/>
            </w:tcBorders>
            <w:shd w:val="clear" w:color="auto" w:fill="auto"/>
            <w:vAlign w:val="center"/>
            <w:hideMark/>
          </w:tcPr>
          <w:p w14:paraId="330BBF17" w14:textId="77777777" w:rsidR="005751F4" w:rsidRPr="00AB7CBB" w:rsidRDefault="00BA0127" w:rsidP="00AB7CBB">
            <w:pPr>
              <w:spacing w:after="0"/>
              <w:rPr>
                <w:szCs w:val="24"/>
                <w:lang w:eastAsia="en-GB"/>
              </w:rPr>
            </w:pPr>
            <w:r w:rsidRPr="00AB7CBB">
              <w:rPr>
                <w:szCs w:val="24"/>
                <w:lang w:eastAsia="en-GB"/>
              </w:rPr>
              <w:t xml:space="preserve">Investor Ratio </w:t>
            </w:r>
          </w:p>
        </w:tc>
        <w:tc>
          <w:tcPr>
            <w:tcW w:w="932" w:type="pct"/>
            <w:tcBorders>
              <w:top w:val="nil"/>
              <w:left w:val="nil"/>
              <w:bottom w:val="single" w:sz="4" w:space="0" w:color="auto"/>
              <w:right w:val="single" w:sz="4" w:space="0" w:color="auto"/>
            </w:tcBorders>
            <w:shd w:val="clear" w:color="auto" w:fill="auto"/>
            <w:noWrap/>
            <w:vAlign w:val="bottom"/>
            <w:hideMark/>
          </w:tcPr>
          <w:p w14:paraId="64AE9438" w14:textId="77777777" w:rsidR="005751F4" w:rsidRPr="00AB7CBB" w:rsidRDefault="00BA0127" w:rsidP="00AB7CBB">
            <w:pPr>
              <w:spacing w:after="0"/>
              <w:rPr>
                <w:szCs w:val="24"/>
                <w:lang w:eastAsia="en-GB"/>
              </w:rPr>
            </w:pPr>
            <w:r w:rsidRPr="00AB7CBB">
              <w:rPr>
                <w:szCs w:val="24"/>
                <w:lang w:eastAsia="en-GB"/>
              </w:rPr>
              <w:t>Return on equity (%)</w:t>
            </w:r>
          </w:p>
        </w:tc>
        <w:tc>
          <w:tcPr>
            <w:tcW w:w="2486" w:type="pct"/>
            <w:tcBorders>
              <w:top w:val="nil"/>
              <w:left w:val="nil"/>
              <w:bottom w:val="single" w:sz="4" w:space="0" w:color="auto"/>
              <w:right w:val="single" w:sz="4" w:space="0" w:color="auto"/>
            </w:tcBorders>
            <w:shd w:val="clear" w:color="auto" w:fill="auto"/>
            <w:noWrap/>
            <w:vAlign w:val="bottom"/>
            <w:hideMark/>
          </w:tcPr>
          <w:p w14:paraId="18791165" w14:textId="77777777" w:rsidR="005751F4" w:rsidRPr="00AB7CBB" w:rsidRDefault="00BA0127" w:rsidP="00AB7CBB">
            <w:pPr>
              <w:spacing w:after="0"/>
              <w:rPr>
                <w:szCs w:val="24"/>
                <w:lang w:eastAsia="en-GB"/>
              </w:rPr>
            </w:pPr>
            <w:r w:rsidRPr="00AB7CBB">
              <w:rPr>
                <w:szCs w:val="24"/>
                <w:lang w:eastAsia="en-GB"/>
              </w:rPr>
              <w:t>(Profit for the Year / Total Equity) * 100</w:t>
            </w:r>
          </w:p>
        </w:tc>
        <w:tc>
          <w:tcPr>
            <w:tcW w:w="421" w:type="pct"/>
            <w:tcBorders>
              <w:top w:val="nil"/>
              <w:left w:val="nil"/>
              <w:bottom w:val="single" w:sz="4" w:space="0" w:color="auto"/>
              <w:right w:val="single" w:sz="4" w:space="0" w:color="auto"/>
            </w:tcBorders>
            <w:shd w:val="clear" w:color="auto" w:fill="auto"/>
            <w:noWrap/>
            <w:vAlign w:val="bottom"/>
            <w:hideMark/>
          </w:tcPr>
          <w:p w14:paraId="779D1C7D" w14:textId="77777777" w:rsidR="005751F4" w:rsidRPr="00AB7CBB" w:rsidRDefault="00BA0127" w:rsidP="00AB7CBB">
            <w:pPr>
              <w:spacing w:after="0"/>
              <w:rPr>
                <w:szCs w:val="24"/>
                <w:lang w:eastAsia="en-GB"/>
              </w:rPr>
            </w:pPr>
            <w:r w:rsidRPr="00AB7CBB">
              <w:rPr>
                <w:szCs w:val="24"/>
                <w:lang w:eastAsia="en-GB"/>
              </w:rPr>
              <w:t>34.14</w:t>
            </w:r>
          </w:p>
        </w:tc>
        <w:tc>
          <w:tcPr>
            <w:tcW w:w="471" w:type="pct"/>
            <w:tcBorders>
              <w:top w:val="nil"/>
              <w:left w:val="nil"/>
              <w:bottom w:val="single" w:sz="4" w:space="0" w:color="auto"/>
              <w:right w:val="single" w:sz="4" w:space="0" w:color="auto"/>
            </w:tcBorders>
            <w:shd w:val="clear" w:color="auto" w:fill="auto"/>
            <w:noWrap/>
            <w:vAlign w:val="bottom"/>
            <w:hideMark/>
          </w:tcPr>
          <w:p w14:paraId="615AEE94" w14:textId="77777777" w:rsidR="005751F4" w:rsidRPr="00AB7CBB" w:rsidRDefault="00BA0127" w:rsidP="00AB7CBB">
            <w:pPr>
              <w:spacing w:after="0"/>
              <w:rPr>
                <w:szCs w:val="24"/>
                <w:lang w:eastAsia="en-GB"/>
              </w:rPr>
            </w:pPr>
            <w:r w:rsidRPr="00AB7CBB">
              <w:rPr>
                <w:szCs w:val="24"/>
                <w:lang w:eastAsia="en-GB"/>
              </w:rPr>
              <w:t>359.44</w:t>
            </w:r>
          </w:p>
        </w:tc>
      </w:tr>
    </w:tbl>
    <w:p w14:paraId="51EAC7F9" w14:textId="77777777" w:rsidR="005751F4" w:rsidRDefault="005751F4" w:rsidP="008A37D1">
      <w:pPr>
        <w:jc w:val="left"/>
      </w:pPr>
    </w:p>
    <w:p w14:paraId="37068CAD" w14:textId="77777777" w:rsidR="005751F4" w:rsidRDefault="00BA0127">
      <w:pPr>
        <w:spacing w:line="259" w:lineRule="auto"/>
        <w:jc w:val="left"/>
      </w:pPr>
      <w:r>
        <w:br w:type="page"/>
      </w:r>
    </w:p>
    <w:p w14:paraId="114F8DEF" w14:textId="577512C7" w:rsidR="008A37D1" w:rsidRDefault="00747A71" w:rsidP="003920C8">
      <w:pPr>
        <w:pStyle w:val="Heading2"/>
      </w:pPr>
      <w:bookmarkStart w:id="28" w:name="_Toc201712004"/>
      <w:r>
        <w:lastRenderedPageBreak/>
        <w:t xml:space="preserve">Appendix 4 </w:t>
      </w:r>
      <w:r w:rsidR="00BA0127">
        <w:t xml:space="preserve">Investment Analysis of </w:t>
      </w:r>
      <w:r w:rsidR="002E6D20">
        <w:t>Option A</w:t>
      </w:r>
      <w:bookmarkEnd w:id="28"/>
      <w:r w:rsidR="002E6D20">
        <w:t xml:space="preserve"> </w:t>
      </w:r>
    </w:p>
    <w:tbl>
      <w:tblPr>
        <w:tblStyle w:val="TableGrid"/>
        <w:tblW w:w="5000" w:type="pct"/>
        <w:tblLook w:val="04A0" w:firstRow="1" w:lastRow="0" w:firstColumn="1" w:lastColumn="0" w:noHBand="0" w:noVBand="1"/>
      </w:tblPr>
      <w:tblGrid>
        <w:gridCol w:w="1127"/>
        <w:gridCol w:w="1130"/>
        <w:gridCol w:w="1381"/>
        <w:gridCol w:w="1129"/>
        <w:gridCol w:w="1126"/>
        <w:gridCol w:w="1126"/>
        <w:gridCol w:w="1202"/>
        <w:gridCol w:w="1129"/>
      </w:tblGrid>
      <w:tr w:rsidR="00A31EED" w14:paraId="4F5504ED" w14:textId="77777777" w:rsidTr="00A83566">
        <w:trPr>
          <w:trHeight w:val="864"/>
        </w:trPr>
        <w:tc>
          <w:tcPr>
            <w:tcW w:w="602" w:type="pct"/>
            <w:hideMark/>
          </w:tcPr>
          <w:p w14:paraId="3404CF6F"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 xml:space="preserve">Year </w:t>
            </w:r>
          </w:p>
        </w:tc>
        <w:tc>
          <w:tcPr>
            <w:tcW w:w="604" w:type="pct"/>
            <w:hideMark/>
          </w:tcPr>
          <w:p w14:paraId="3796A559"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 xml:space="preserve">Cash Inflow </w:t>
            </w:r>
          </w:p>
        </w:tc>
        <w:tc>
          <w:tcPr>
            <w:tcW w:w="738" w:type="pct"/>
            <w:hideMark/>
          </w:tcPr>
          <w:p w14:paraId="295220E0"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Capital Allowance</w:t>
            </w:r>
          </w:p>
        </w:tc>
        <w:tc>
          <w:tcPr>
            <w:tcW w:w="604" w:type="pct"/>
            <w:hideMark/>
          </w:tcPr>
          <w:p w14:paraId="4EC3E72C"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Taxable Profit</w:t>
            </w:r>
          </w:p>
        </w:tc>
        <w:tc>
          <w:tcPr>
            <w:tcW w:w="602" w:type="pct"/>
            <w:hideMark/>
          </w:tcPr>
          <w:p w14:paraId="4C886CDC"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Tax @ 25%</w:t>
            </w:r>
          </w:p>
        </w:tc>
        <w:tc>
          <w:tcPr>
            <w:tcW w:w="602" w:type="pct"/>
            <w:hideMark/>
          </w:tcPr>
          <w:p w14:paraId="28C500A6"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Net Cash Flow</w:t>
            </w:r>
          </w:p>
        </w:tc>
        <w:tc>
          <w:tcPr>
            <w:tcW w:w="643" w:type="pct"/>
            <w:hideMark/>
          </w:tcPr>
          <w:p w14:paraId="28B6BA25"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Discount Factor @ 6%</w:t>
            </w:r>
          </w:p>
        </w:tc>
        <w:tc>
          <w:tcPr>
            <w:tcW w:w="604" w:type="pct"/>
            <w:hideMark/>
          </w:tcPr>
          <w:p w14:paraId="050FEF1E"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Present Value</w:t>
            </w:r>
          </w:p>
        </w:tc>
      </w:tr>
      <w:tr w:rsidR="00A31EED" w14:paraId="31CC29B3" w14:textId="77777777" w:rsidTr="00A83566">
        <w:trPr>
          <w:trHeight w:val="288"/>
        </w:trPr>
        <w:tc>
          <w:tcPr>
            <w:tcW w:w="602" w:type="pct"/>
            <w:hideMark/>
          </w:tcPr>
          <w:p w14:paraId="0BAAC654"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0</w:t>
            </w:r>
          </w:p>
        </w:tc>
        <w:tc>
          <w:tcPr>
            <w:tcW w:w="604" w:type="pct"/>
            <w:noWrap/>
            <w:hideMark/>
          </w:tcPr>
          <w:p w14:paraId="318729E8"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-600</w:t>
            </w:r>
          </w:p>
        </w:tc>
        <w:tc>
          <w:tcPr>
            <w:tcW w:w="738" w:type="pct"/>
            <w:hideMark/>
          </w:tcPr>
          <w:p w14:paraId="295F7543" w14:textId="77777777" w:rsidR="002E6D20" w:rsidRPr="002F7AF0" w:rsidRDefault="002E6D20" w:rsidP="00A83566">
            <w:pPr>
              <w:rPr>
                <w:rFonts w:ascii="Times New Roman" w:hAnsi="Times New Roman" w:cs="Times New Roman"/>
                <w:szCs w:val="24"/>
                <w:lang w:eastAsia="en-GB"/>
              </w:rPr>
            </w:pPr>
          </w:p>
        </w:tc>
        <w:tc>
          <w:tcPr>
            <w:tcW w:w="604" w:type="pct"/>
            <w:hideMark/>
          </w:tcPr>
          <w:p w14:paraId="4E2245DC" w14:textId="77777777" w:rsidR="002E6D20" w:rsidRPr="002F7AF0" w:rsidRDefault="002E6D20" w:rsidP="00A83566">
            <w:pPr>
              <w:rPr>
                <w:rFonts w:ascii="Times New Roman" w:hAnsi="Times New Roman" w:cs="Times New Roman"/>
                <w:szCs w:val="24"/>
                <w:lang w:eastAsia="en-GB"/>
              </w:rPr>
            </w:pPr>
          </w:p>
        </w:tc>
        <w:tc>
          <w:tcPr>
            <w:tcW w:w="602" w:type="pct"/>
            <w:hideMark/>
          </w:tcPr>
          <w:p w14:paraId="13DEDD72" w14:textId="77777777" w:rsidR="002E6D20" w:rsidRPr="002F7AF0" w:rsidRDefault="002E6D20" w:rsidP="00A83566">
            <w:pPr>
              <w:rPr>
                <w:rFonts w:ascii="Times New Roman" w:hAnsi="Times New Roman" w:cs="Times New Roman"/>
                <w:szCs w:val="24"/>
                <w:lang w:eastAsia="en-GB"/>
              </w:rPr>
            </w:pPr>
          </w:p>
        </w:tc>
        <w:tc>
          <w:tcPr>
            <w:tcW w:w="602" w:type="pct"/>
            <w:hideMark/>
          </w:tcPr>
          <w:p w14:paraId="67E20DB1"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-600</w:t>
            </w:r>
          </w:p>
        </w:tc>
        <w:tc>
          <w:tcPr>
            <w:tcW w:w="643" w:type="pct"/>
            <w:hideMark/>
          </w:tcPr>
          <w:p w14:paraId="663430BD"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w:t>
            </w:r>
          </w:p>
        </w:tc>
        <w:tc>
          <w:tcPr>
            <w:tcW w:w="604" w:type="pct"/>
            <w:hideMark/>
          </w:tcPr>
          <w:p w14:paraId="7B3EC302"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-600</w:t>
            </w:r>
          </w:p>
        </w:tc>
      </w:tr>
      <w:tr w:rsidR="00A31EED" w14:paraId="45ACBE67" w14:textId="77777777" w:rsidTr="00A83566">
        <w:trPr>
          <w:trHeight w:val="288"/>
        </w:trPr>
        <w:tc>
          <w:tcPr>
            <w:tcW w:w="602" w:type="pct"/>
            <w:hideMark/>
          </w:tcPr>
          <w:p w14:paraId="0068892E"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w:t>
            </w:r>
          </w:p>
        </w:tc>
        <w:tc>
          <w:tcPr>
            <w:tcW w:w="604" w:type="pct"/>
            <w:noWrap/>
            <w:hideMark/>
          </w:tcPr>
          <w:p w14:paraId="45635252"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200</w:t>
            </w:r>
          </w:p>
        </w:tc>
        <w:tc>
          <w:tcPr>
            <w:tcW w:w="738" w:type="pct"/>
            <w:hideMark/>
          </w:tcPr>
          <w:p w14:paraId="0E59FEDE"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120</w:t>
            </w:r>
          </w:p>
        </w:tc>
        <w:tc>
          <w:tcPr>
            <w:tcW w:w="604" w:type="pct"/>
            <w:hideMark/>
          </w:tcPr>
          <w:p w14:paraId="2D933BCE"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80</w:t>
            </w:r>
          </w:p>
        </w:tc>
        <w:tc>
          <w:tcPr>
            <w:tcW w:w="602" w:type="pct"/>
            <w:hideMark/>
          </w:tcPr>
          <w:p w14:paraId="046A074F"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20</w:t>
            </w:r>
          </w:p>
        </w:tc>
        <w:tc>
          <w:tcPr>
            <w:tcW w:w="602" w:type="pct"/>
            <w:hideMark/>
          </w:tcPr>
          <w:p w14:paraId="72A72163"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180</w:t>
            </w:r>
          </w:p>
        </w:tc>
        <w:tc>
          <w:tcPr>
            <w:tcW w:w="643" w:type="pct"/>
            <w:hideMark/>
          </w:tcPr>
          <w:p w14:paraId="10B8BBF1"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0.943</w:t>
            </w:r>
          </w:p>
        </w:tc>
        <w:tc>
          <w:tcPr>
            <w:tcW w:w="604" w:type="pct"/>
            <w:hideMark/>
          </w:tcPr>
          <w:p w14:paraId="1A0ED276"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169.74</w:t>
            </w:r>
          </w:p>
        </w:tc>
      </w:tr>
      <w:tr w:rsidR="00A31EED" w14:paraId="3D763A38" w14:textId="77777777" w:rsidTr="00A83566">
        <w:trPr>
          <w:trHeight w:val="288"/>
        </w:trPr>
        <w:tc>
          <w:tcPr>
            <w:tcW w:w="602" w:type="pct"/>
            <w:hideMark/>
          </w:tcPr>
          <w:p w14:paraId="0F113E7A"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w:t>
            </w:r>
          </w:p>
        </w:tc>
        <w:tc>
          <w:tcPr>
            <w:tcW w:w="604" w:type="pct"/>
            <w:noWrap/>
            <w:hideMark/>
          </w:tcPr>
          <w:p w14:paraId="2396859F"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300</w:t>
            </w:r>
          </w:p>
        </w:tc>
        <w:tc>
          <w:tcPr>
            <w:tcW w:w="738" w:type="pct"/>
            <w:hideMark/>
          </w:tcPr>
          <w:p w14:paraId="6090DA2F"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120</w:t>
            </w:r>
          </w:p>
        </w:tc>
        <w:tc>
          <w:tcPr>
            <w:tcW w:w="604" w:type="pct"/>
            <w:hideMark/>
          </w:tcPr>
          <w:p w14:paraId="300F2A79"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180</w:t>
            </w:r>
          </w:p>
        </w:tc>
        <w:tc>
          <w:tcPr>
            <w:tcW w:w="602" w:type="pct"/>
            <w:hideMark/>
          </w:tcPr>
          <w:p w14:paraId="50DD1EED"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45</w:t>
            </w:r>
          </w:p>
        </w:tc>
        <w:tc>
          <w:tcPr>
            <w:tcW w:w="602" w:type="pct"/>
            <w:hideMark/>
          </w:tcPr>
          <w:p w14:paraId="4DF84210"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255</w:t>
            </w:r>
          </w:p>
        </w:tc>
        <w:tc>
          <w:tcPr>
            <w:tcW w:w="643" w:type="pct"/>
            <w:hideMark/>
          </w:tcPr>
          <w:p w14:paraId="480B4318"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0.89</w:t>
            </w:r>
          </w:p>
        </w:tc>
        <w:tc>
          <w:tcPr>
            <w:tcW w:w="604" w:type="pct"/>
            <w:hideMark/>
          </w:tcPr>
          <w:p w14:paraId="7319BD0B"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226.95</w:t>
            </w:r>
          </w:p>
        </w:tc>
      </w:tr>
      <w:tr w:rsidR="00A31EED" w14:paraId="7F070895" w14:textId="77777777" w:rsidTr="00A83566">
        <w:trPr>
          <w:trHeight w:val="288"/>
        </w:trPr>
        <w:tc>
          <w:tcPr>
            <w:tcW w:w="602" w:type="pct"/>
            <w:hideMark/>
          </w:tcPr>
          <w:p w14:paraId="7BA44D7B"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3</w:t>
            </w:r>
          </w:p>
        </w:tc>
        <w:tc>
          <w:tcPr>
            <w:tcW w:w="604" w:type="pct"/>
            <w:noWrap/>
            <w:hideMark/>
          </w:tcPr>
          <w:p w14:paraId="693D7166"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400</w:t>
            </w:r>
          </w:p>
        </w:tc>
        <w:tc>
          <w:tcPr>
            <w:tcW w:w="738" w:type="pct"/>
            <w:hideMark/>
          </w:tcPr>
          <w:p w14:paraId="753450DC"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120</w:t>
            </w:r>
          </w:p>
        </w:tc>
        <w:tc>
          <w:tcPr>
            <w:tcW w:w="604" w:type="pct"/>
            <w:hideMark/>
          </w:tcPr>
          <w:p w14:paraId="730EFCF5"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280</w:t>
            </w:r>
          </w:p>
        </w:tc>
        <w:tc>
          <w:tcPr>
            <w:tcW w:w="602" w:type="pct"/>
            <w:hideMark/>
          </w:tcPr>
          <w:p w14:paraId="210B38B8"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70</w:t>
            </w:r>
          </w:p>
        </w:tc>
        <w:tc>
          <w:tcPr>
            <w:tcW w:w="602" w:type="pct"/>
            <w:hideMark/>
          </w:tcPr>
          <w:p w14:paraId="468BAC1B"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330</w:t>
            </w:r>
          </w:p>
        </w:tc>
        <w:tc>
          <w:tcPr>
            <w:tcW w:w="643" w:type="pct"/>
            <w:hideMark/>
          </w:tcPr>
          <w:p w14:paraId="775669A9"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0.84</w:t>
            </w:r>
          </w:p>
        </w:tc>
        <w:tc>
          <w:tcPr>
            <w:tcW w:w="604" w:type="pct"/>
            <w:hideMark/>
          </w:tcPr>
          <w:p w14:paraId="49208123"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277.2</w:t>
            </w:r>
          </w:p>
        </w:tc>
      </w:tr>
      <w:tr w:rsidR="00A31EED" w14:paraId="3FFF6BC4" w14:textId="77777777" w:rsidTr="00A83566">
        <w:trPr>
          <w:trHeight w:val="288"/>
        </w:trPr>
        <w:tc>
          <w:tcPr>
            <w:tcW w:w="602" w:type="pct"/>
            <w:hideMark/>
          </w:tcPr>
          <w:p w14:paraId="4BE13969"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4</w:t>
            </w:r>
          </w:p>
        </w:tc>
        <w:tc>
          <w:tcPr>
            <w:tcW w:w="604" w:type="pct"/>
            <w:noWrap/>
            <w:hideMark/>
          </w:tcPr>
          <w:p w14:paraId="1A643F99"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500</w:t>
            </w:r>
          </w:p>
        </w:tc>
        <w:tc>
          <w:tcPr>
            <w:tcW w:w="738" w:type="pct"/>
            <w:hideMark/>
          </w:tcPr>
          <w:p w14:paraId="12E88AE1"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120</w:t>
            </w:r>
          </w:p>
        </w:tc>
        <w:tc>
          <w:tcPr>
            <w:tcW w:w="604" w:type="pct"/>
            <w:hideMark/>
          </w:tcPr>
          <w:p w14:paraId="7E249959"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380</w:t>
            </w:r>
          </w:p>
        </w:tc>
        <w:tc>
          <w:tcPr>
            <w:tcW w:w="602" w:type="pct"/>
            <w:hideMark/>
          </w:tcPr>
          <w:p w14:paraId="5D1BF3B3"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95</w:t>
            </w:r>
          </w:p>
        </w:tc>
        <w:tc>
          <w:tcPr>
            <w:tcW w:w="602" w:type="pct"/>
            <w:hideMark/>
          </w:tcPr>
          <w:p w14:paraId="14610A59"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405</w:t>
            </w:r>
          </w:p>
        </w:tc>
        <w:tc>
          <w:tcPr>
            <w:tcW w:w="643" w:type="pct"/>
            <w:hideMark/>
          </w:tcPr>
          <w:p w14:paraId="69D6B685"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0.792</w:t>
            </w:r>
          </w:p>
        </w:tc>
        <w:tc>
          <w:tcPr>
            <w:tcW w:w="604" w:type="pct"/>
            <w:hideMark/>
          </w:tcPr>
          <w:p w14:paraId="6D250360"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320.76</w:t>
            </w:r>
          </w:p>
        </w:tc>
      </w:tr>
      <w:tr w:rsidR="00A31EED" w14:paraId="1F3741A4" w14:textId="77777777" w:rsidTr="00A83566">
        <w:trPr>
          <w:trHeight w:val="288"/>
        </w:trPr>
        <w:tc>
          <w:tcPr>
            <w:tcW w:w="602" w:type="pct"/>
            <w:noWrap/>
            <w:hideMark/>
          </w:tcPr>
          <w:p w14:paraId="44D61BA4" w14:textId="77777777" w:rsidR="002E6D20" w:rsidRPr="002F7AF0" w:rsidRDefault="002E6D20" w:rsidP="00A83566">
            <w:pPr>
              <w:rPr>
                <w:rFonts w:ascii="Times New Roman" w:hAnsi="Times New Roman" w:cs="Times New Roman"/>
                <w:szCs w:val="24"/>
                <w:lang w:eastAsia="en-GB"/>
              </w:rPr>
            </w:pPr>
          </w:p>
        </w:tc>
        <w:tc>
          <w:tcPr>
            <w:tcW w:w="604" w:type="pct"/>
            <w:noWrap/>
            <w:hideMark/>
          </w:tcPr>
          <w:p w14:paraId="64EF2975" w14:textId="77777777" w:rsidR="002E6D20" w:rsidRPr="002F7AF0" w:rsidRDefault="002E6D20" w:rsidP="00A83566">
            <w:pPr>
              <w:rPr>
                <w:rFonts w:ascii="Times New Roman" w:hAnsi="Times New Roman" w:cs="Times New Roman"/>
                <w:szCs w:val="24"/>
                <w:lang w:eastAsia="en-GB"/>
              </w:rPr>
            </w:pPr>
          </w:p>
        </w:tc>
        <w:tc>
          <w:tcPr>
            <w:tcW w:w="738" w:type="pct"/>
            <w:noWrap/>
            <w:hideMark/>
          </w:tcPr>
          <w:p w14:paraId="46166743" w14:textId="77777777" w:rsidR="002E6D20" w:rsidRPr="002F7AF0" w:rsidRDefault="002E6D20" w:rsidP="00A83566">
            <w:pPr>
              <w:rPr>
                <w:rFonts w:ascii="Times New Roman" w:hAnsi="Times New Roman" w:cs="Times New Roman"/>
                <w:szCs w:val="24"/>
                <w:lang w:eastAsia="en-GB"/>
              </w:rPr>
            </w:pPr>
          </w:p>
        </w:tc>
        <w:tc>
          <w:tcPr>
            <w:tcW w:w="604" w:type="pct"/>
            <w:noWrap/>
            <w:hideMark/>
          </w:tcPr>
          <w:p w14:paraId="6484558C" w14:textId="77777777" w:rsidR="002E6D20" w:rsidRPr="002F7AF0" w:rsidRDefault="002E6D20" w:rsidP="00A83566">
            <w:pPr>
              <w:rPr>
                <w:rFonts w:ascii="Times New Roman" w:hAnsi="Times New Roman" w:cs="Times New Roman"/>
                <w:szCs w:val="24"/>
                <w:lang w:eastAsia="en-GB"/>
              </w:rPr>
            </w:pPr>
          </w:p>
        </w:tc>
        <w:tc>
          <w:tcPr>
            <w:tcW w:w="602" w:type="pct"/>
            <w:noWrap/>
            <w:hideMark/>
          </w:tcPr>
          <w:p w14:paraId="43D2BE64" w14:textId="77777777" w:rsidR="002E6D20" w:rsidRPr="002F7AF0" w:rsidRDefault="002E6D20" w:rsidP="00A83566">
            <w:pPr>
              <w:rPr>
                <w:rFonts w:ascii="Times New Roman" w:hAnsi="Times New Roman" w:cs="Times New Roman"/>
                <w:szCs w:val="24"/>
                <w:lang w:eastAsia="en-GB"/>
              </w:rPr>
            </w:pPr>
          </w:p>
        </w:tc>
        <w:tc>
          <w:tcPr>
            <w:tcW w:w="602" w:type="pct"/>
            <w:noWrap/>
            <w:hideMark/>
          </w:tcPr>
          <w:p w14:paraId="06DED6B4" w14:textId="77777777" w:rsidR="002E6D20" w:rsidRPr="002F7AF0" w:rsidRDefault="002E6D20" w:rsidP="00A83566">
            <w:pPr>
              <w:rPr>
                <w:rFonts w:ascii="Times New Roman" w:hAnsi="Times New Roman" w:cs="Times New Roman"/>
                <w:szCs w:val="24"/>
                <w:lang w:eastAsia="en-GB"/>
              </w:rPr>
            </w:pPr>
          </w:p>
        </w:tc>
        <w:tc>
          <w:tcPr>
            <w:tcW w:w="643" w:type="pct"/>
            <w:noWrap/>
            <w:hideMark/>
          </w:tcPr>
          <w:p w14:paraId="2DDF58BC" w14:textId="77777777" w:rsidR="002E6D20" w:rsidRPr="002F7AF0" w:rsidRDefault="002E6D20" w:rsidP="00A83566">
            <w:pPr>
              <w:rPr>
                <w:rFonts w:ascii="Times New Roman" w:hAnsi="Times New Roman" w:cs="Times New Roman"/>
                <w:szCs w:val="24"/>
                <w:lang w:eastAsia="en-GB"/>
              </w:rPr>
            </w:pPr>
          </w:p>
        </w:tc>
        <w:tc>
          <w:tcPr>
            <w:tcW w:w="604" w:type="pct"/>
            <w:noWrap/>
            <w:hideMark/>
          </w:tcPr>
          <w:p w14:paraId="6C5BF79D" w14:textId="77777777" w:rsidR="002E6D20" w:rsidRPr="002F7AF0" w:rsidRDefault="002E6D20" w:rsidP="00A83566">
            <w:pPr>
              <w:rPr>
                <w:rFonts w:ascii="Times New Roman" w:hAnsi="Times New Roman" w:cs="Times New Roman"/>
                <w:szCs w:val="24"/>
                <w:lang w:eastAsia="en-GB"/>
              </w:rPr>
            </w:pPr>
          </w:p>
        </w:tc>
      </w:tr>
      <w:tr w:rsidR="00A31EED" w14:paraId="504B6674" w14:textId="77777777" w:rsidTr="00A83566">
        <w:trPr>
          <w:trHeight w:val="288"/>
        </w:trPr>
        <w:tc>
          <w:tcPr>
            <w:tcW w:w="602" w:type="pct"/>
            <w:noWrap/>
            <w:hideMark/>
          </w:tcPr>
          <w:p w14:paraId="25DDF0F2" w14:textId="77777777" w:rsidR="002E6D20" w:rsidRPr="002F7AF0" w:rsidRDefault="002E6D20" w:rsidP="00A83566">
            <w:pPr>
              <w:rPr>
                <w:rFonts w:ascii="Times New Roman" w:hAnsi="Times New Roman" w:cs="Times New Roman"/>
                <w:szCs w:val="24"/>
                <w:lang w:eastAsia="en-GB"/>
              </w:rPr>
            </w:pPr>
          </w:p>
        </w:tc>
        <w:tc>
          <w:tcPr>
            <w:tcW w:w="604" w:type="pct"/>
            <w:noWrap/>
            <w:hideMark/>
          </w:tcPr>
          <w:p w14:paraId="4E712883" w14:textId="77777777" w:rsidR="002E6D20" w:rsidRPr="002F7AF0" w:rsidRDefault="002E6D20" w:rsidP="00A83566">
            <w:pPr>
              <w:rPr>
                <w:rFonts w:ascii="Times New Roman" w:hAnsi="Times New Roman" w:cs="Times New Roman"/>
                <w:szCs w:val="24"/>
                <w:lang w:eastAsia="en-GB"/>
              </w:rPr>
            </w:pPr>
          </w:p>
        </w:tc>
        <w:tc>
          <w:tcPr>
            <w:tcW w:w="738" w:type="pct"/>
            <w:noWrap/>
            <w:hideMark/>
          </w:tcPr>
          <w:p w14:paraId="662C170F" w14:textId="77777777" w:rsidR="002E6D20" w:rsidRPr="002F7AF0" w:rsidRDefault="002E6D20" w:rsidP="00A83566">
            <w:pPr>
              <w:rPr>
                <w:rFonts w:ascii="Times New Roman" w:hAnsi="Times New Roman" w:cs="Times New Roman"/>
                <w:szCs w:val="24"/>
                <w:lang w:eastAsia="en-GB"/>
              </w:rPr>
            </w:pPr>
          </w:p>
        </w:tc>
        <w:tc>
          <w:tcPr>
            <w:tcW w:w="604" w:type="pct"/>
            <w:noWrap/>
            <w:hideMark/>
          </w:tcPr>
          <w:p w14:paraId="447D82C0" w14:textId="77777777" w:rsidR="002E6D20" w:rsidRPr="002F7AF0" w:rsidRDefault="002E6D20" w:rsidP="00A83566">
            <w:pPr>
              <w:rPr>
                <w:rFonts w:ascii="Times New Roman" w:hAnsi="Times New Roman" w:cs="Times New Roman"/>
                <w:szCs w:val="24"/>
                <w:lang w:eastAsia="en-GB"/>
              </w:rPr>
            </w:pPr>
          </w:p>
        </w:tc>
        <w:tc>
          <w:tcPr>
            <w:tcW w:w="602" w:type="pct"/>
            <w:noWrap/>
            <w:hideMark/>
          </w:tcPr>
          <w:p w14:paraId="1E0DD399" w14:textId="77777777" w:rsidR="002E6D20" w:rsidRPr="002F7AF0" w:rsidRDefault="002E6D20" w:rsidP="00A83566">
            <w:pPr>
              <w:rPr>
                <w:rFonts w:ascii="Times New Roman" w:hAnsi="Times New Roman" w:cs="Times New Roman"/>
                <w:szCs w:val="24"/>
                <w:lang w:eastAsia="en-GB"/>
              </w:rPr>
            </w:pPr>
          </w:p>
        </w:tc>
        <w:tc>
          <w:tcPr>
            <w:tcW w:w="602" w:type="pct"/>
            <w:noWrap/>
            <w:hideMark/>
          </w:tcPr>
          <w:p w14:paraId="137B51E0" w14:textId="77777777" w:rsidR="002E6D20" w:rsidRPr="002F7AF0" w:rsidRDefault="002E6D20" w:rsidP="00A83566">
            <w:pPr>
              <w:rPr>
                <w:rFonts w:ascii="Times New Roman" w:hAnsi="Times New Roman" w:cs="Times New Roman"/>
                <w:szCs w:val="24"/>
                <w:lang w:eastAsia="en-GB"/>
              </w:rPr>
            </w:pPr>
          </w:p>
        </w:tc>
        <w:tc>
          <w:tcPr>
            <w:tcW w:w="643" w:type="pct"/>
            <w:noWrap/>
            <w:hideMark/>
          </w:tcPr>
          <w:p w14:paraId="7D00C82D" w14:textId="77777777" w:rsidR="002E6D20" w:rsidRPr="002F7AF0" w:rsidRDefault="002E6D20" w:rsidP="00A83566">
            <w:pPr>
              <w:rPr>
                <w:rFonts w:ascii="Times New Roman" w:hAnsi="Times New Roman" w:cs="Times New Roman"/>
                <w:szCs w:val="24"/>
                <w:lang w:eastAsia="en-GB"/>
              </w:rPr>
            </w:pPr>
          </w:p>
        </w:tc>
        <w:tc>
          <w:tcPr>
            <w:tcW w:w="604" w:type="pct"/>
            <w:noWrap/>
            <w:hideMark/>
          </w:tcPr>
          <w:p w14:paraId="220C6355" w14:textId="77777777" w:rsidR="002E6D20" w:rsidRPr="002F7AF0" w:rsidRDefault="002E6D20" w:rsidP="00A83566">
            <w:pPr>
              <w:rPr>
                <w:rFonts w:ascii="Times New Roman" w:hAnsi="Times New Roman" w:cs="Times New Roman"/>
                <w:szCs w:val="24"/>
                <w:lang w:eastAsia="en-GB"/>
              </w:rPr>
            </w:pPr>
          </w:p>
        </w:tc>
      </w:tr>
      <w:tr w:rsidR="00A31EED" w14:paraId="09CAD27E" w14:textId="77777777" w:rsidTr="00A83566">
        <w:trPr>
          <w:trHeight w:val="288"/>
        </w:trPr>
        <w:tc>
          <w:tcPr>
            <w:tcW w:w="602" w:type="pct"/>
            <w:noWrap/>
            <w:hideMark/>
          </w:tcPr>
          <w:p w14:paraId="77A66147"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IRR</w:t>
            </w:r>
          </w:p>
        </w:tc>
        <w:tc>
          <w:tcPr>
            <w:tcW w:w="604" w:type="pct"/>
            <w:noWrap/>
            <w:hideMark/>
          </w:tcPr>
          <w:p w14:paraId="44EEEBA3"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28%</w:t>
            </w:r>
          </w:p>
        </w:tc>
        <w:tc>
          <w:tcPr>
            <w:tcW w:w="738" w:type="pct"/>
            <w:noWrap/>
            <w:hideMark/>
          </w:tcPr>
          <w:p w14:paraId="1CD29606" w14:textId="77777777" w:rsidR="002E6D20" w:rsidRPr="002F7AF0" w:rsidRDefault="002E6D20" w:rsidP="00A83566">
            <w:pPr>
              <w:rPr>
                <w:rFonts w:ascii="Times New Roman" w:hAnsi="Times New Roman" w:cs="Times New Roman"/>
                <w:szCs w:val="24"/>
                <w:lang w:eastAsia="en-GB"/>
              </w:rPr>
            </w:pPr>
          </w:p>
        </w:tc>
        <w:tc>
          <w:tcPr>
            <w:tcW w:w="604" w:type="pct"/>
            <w:noWrap/>
            <w:hideMark/>
          </w:tcPr>
          <w:p w14:paraId="55D2146F" w14:textId="77777777" w:rsidR="002E6D20" w:rsidRPr="002F7AF0" w:rsidRDefault="002E6D20" w:rsidP="00A83566">
            <w:pPr>
              <w:rPr>
                <w:rFonts w:ascii="Times New Roman" w:hAnsi="Times New Roman" w:cs="Times New Roman"/>
                <w:szCs w:val="24"/>
                <w:lang w:eastAsia="en-GB"/>
              </w:rPr>
            </w:pPr>
          </w:p>
        </w:tc>
        <w:tc>
          <w:tcPr>
            <w:tcW w:w="602" w:type="pct"/>
            <w:noWrap/>
            <w:hideMark/>
          </w:tcPr>
          <w:p w14:paraId="7766BF43" w14:textId="77777777" w:rsidR="002E6D20" w:rsidRPr="002F7AF0" w:rsidRDefault="002E6D20" w:rsidP="00A83566">
            <w:pPr>
              <w:rPr>
                <w:rFonts w:ascii="Times New Roman" w:hAnsi="Times New Roman" w:cs="Times New Roman"/>
                <w:szCs w:val="24"/>
                <w:lang w:eastAsia="en-GB"/>
              </w:rPr>
            </w:pPr>
          </w:p>
        </w:tc>
        <w:tc>
          <w:tcPr>
            <w:tcW w:w="602" w:type="pct"/>
            <w:noWrap/>
            <w:hideMark/>
          </w:tcPr>
          <w:p w14:paraId="3BC45E7B" w14:textId="77777777" w:rsidR="002E6D20" w:rsidRPr="002F7AF0" w:rsidRDefault="002E6D20" w:rsidP="00A83566">
            <w:pPr>
              <w:rPr>
                <w:rFonts w:ascii="Times New Roman" w:hAnsi="Times New Roman" w:cs="Times New Roman"/>
                <w:szCs w:val="24"/>
                <w:lang w:eastAsia="en-GB"/>
              </w:rPr>
            </w:pPr>
          </w:p>
        </w:tc>
        <w:tc>
          <w:tcPr>
            <w:tcW w:w="643" w:type="pct"/>
            <w:noWrap/>
            <w:hideMark/>
          </w:tcPr>
          <w:p w14:paraId="7769794F"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 xml:space="preserve">NPV </w:t>
            </w:r>
          </w:p>
        </w:tc>
        <w:tc>
          <w:tcPr>
            <w:tcW w:w="604" w:type="pct"/>
            <w:hideMark/>
          </w:tcPr>
          <w:p w14:paraId="245FC9BB" w14:textId="77777777" w:rsidR="002E6D20" w:rsidRPr="002F7AF0" w:rsidRDefault="00BA0127" w:rsidP="00A83566">
            <w:pPr>
              <w:rPr>
                <w:rFonts w:ascii="Times New Roman" w:hAnsi="Times New Roman" w:cs="Times New Roman"/>
                <w:szCs w:val="24"/>
                <w:lang w:eastAsia="en-GB"/>
              </w:rPr>
            </w:pPr>
            <w:r w:rsidRPr="002F7AF0">
              <w:rPr>
                <w:rFonts w:ascii="Times New Roman" w:hAnsi="Times New Roman" w:cs="Times New Roman"/>
                <w:szCs w:val="24"/>
                <w:lang w:eastAsia="en-GB"/>
              </w:rPr>
              <w:t>394.65</w:t>
            </w:r>
          </w:p>
        </w:tc>
      </w:tr>
    </w:tbl>
    <w:p w14:paraId="44F9F128" w14:textId="062E3643" w:rsidR="00A83566" w:rsidRDefault="00747A71" w:rsidP="003920C8">
      <w:pPr>
        <w:pStyle w:val="Heading2"/>
      </w:pPr>
      <w:bookmarkStart w:id="29" w:name="_Toc201712005"/>
      <w:r>
        <w:t xml:space="preserve">Appendix 5 </w:t>
      </w:r>
      <w:r w:rsidR="00BA0127">
        <w:t>Investment Analysis of Option B</w:t>
      </w:r>
      <w:bookmarkEnd w:id="29"/>
      <w:r w:rsidR="00BA0127">
        <w:t xml:space="preserve"> </w:t>
      </w:r>
    </w:p>
    <w:tbl>
      <w:tblPr>
        <w:tblStyle w:val="TableGrid"/>
        <w:tblW w:w="5000" w:type="pct"/>
        <w:tblLook w:val="04A0" w:firstRow="1" w:lastRow="0" w:firstColumn="1" w:lastColumn="0" w:noHBand="0" w:noVBand="1"/>
      </w:tblPr>
      <w:tblGrid>
        <w:gridCol w:w="1049"/>
        <w:gridCol w:w="1049"/>
        <w:gridCol w:w="1530"/>
        <w:gridCol w:w="1049"/>
        <w:gridCol w:w="1049"/>
        <w:gridCol w:w="1049"/>
        <w:gridCol w:w="1530"/>
        <w:gridCol w:w="1045"/>
      </w:tblGrid>
      <w:tr w:rsidR="00A31EED" w14:paraId="07E3EB4A" w14:textId="77777777" w:rsidTr="00C17923">
        <w:trPr>
          <w:trHeight w:val="864"/>
        </w:trPr>
        <w:tc>
          <w:tcPr>
            <w:tcW w:w="561" w:type="pct"/>
            <w:noWrap/>
            <w:hideMark/>
          </w:tcPr>
          <w:p w14:paraId="43A56D03"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 xml:space="preserve">Year </w:t>
            </w:r>
          </w:p>
        </w:tc>
        <w:tc>
          <w:tcPr>
            <w:tcW w:w="561" w:type="pct"/>
            <w:hideMark/>
          </w:tcPr>
          <w:p w14:paraId="3C53F1FE"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Cash Inflow</w:t>
            </w:r>
          </w:p>
        </w:tc>
        <w:tc>
          <w:tcPr>
            <w:tcW w:w="818" w:type="pct"/>
            <w:hideMark/>
          </w:tcPr>
          <w:p w14:paraId="7B77784F"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 xml:space="preserve">Capital Allowance </w:t>
            </w:r>
          </w:p>
        </w:tc>
        <w:tc>
          <w:tcPr>
            <w:tcW w:w="561" w:type="pct"/>
            <w:hideMark/>
          </w:tcPr>
          <w:p w14:paraId="314F6324"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 xml:space="preserve">Taxable Profit </w:t>
            </w:r>
          </w:p>
        </w:tc>
        <w:tc>
          <w:tcPr>
            <w:tcW w:w="561" w:type="pct"/>
            <w:hideMark/>
          </w:tcPr>
          <w:p w14:paraId="4D9B1A0B"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Tax @25%</w:t>
            </w:r>
          </w:p>
        </w:tc>
        <w:tc>
          <w:tcPr>
            <w:tcW w:w="561" w:type="pct"/>
            <w:hideMark/>
          </w:tcPr>
          <w:p w14:paraId="5242FA27"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 xml:space="preserve">Net Cash Flow </w:t>
            </w:r>
          </w:p>
        </w:tc>
        <w:tc>
          <w:tcPr>
            <w:tcW w:w="818" w:type="pct"/>
            <w:hideMark/>
          </w:tcPr>
          <w:p w14:paraId="6E83820E"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 xml:space="preserve">Discounting Factors </w:t>
            </w:r>
          </w:p>
        </w:tc>
        <w:tc>
          <w:tcPr>
            <w:tcW w:w="561" w:type="pct"/>
            <w:hideMark/>
          </w:tcPr>
          <w:p w14:paraId="462155C3"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 xml:space="preserve">Present Value </w:t>
            </w:r>
          </w:p>
        </w:tc>
      </w:tr>
      <w:tr w:rsidR="00A31EED" w14:paraId="3084CBCC" w14:textId="77777777" w:rsidTr="00C17923">
        <w:trPr>
          <w:trHeight w:val="288"/>
        </w:trPr>
        <w:tc>
          <w:tcPr>
            <w:tcW w:w="561" w:type="pct"/>
            <w:noWrap/>
            <w:hideMark/>
          </w:tcPr>
          <w:p w14:paraId="4DC63A5E"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0</w:t>
            </w:r>
          </w:p>
        </w:tc>
        <w:tc>
          <w:tcPr>
            <w:tcW w:w="561" w:type="pct"/>
            <w:hideMark/>
          </w:tcPr>
          <w:p w14:paraId="48BA02BD"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-1000</w:t>
            </w:r>
          </w:p>
        </w:tc>
        <w:tc>
          <w:tcPr>
            <w:tcW w:w="818" w:type="pct"/>
            <w:noWrap/>
            <w:hideMark/>
          </w:tcPr>
          <w:p w14:paraId="2307D74A"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7EDB086C"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33DF0F92"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0F652317"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-1000</w:t>
            </w:r>
          </w:p>
        </w:tc>
        <w:tc>
          <w:tcPr>
            <w:tcW w:w="818" w:type="pct"/>
            <w:hideMark/>
          </w:tcPr>
          <w:p w14:paraId="35FFF509"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1</w:t>
            </w:r>
          </w:p>
        </w:tc>
        <w:tc>
          <w:tcPr>
            <w:tcW w:w="561" w:type="pct"/>
            <w:noWrap/>
            <w:hideMark/>
          </w:tcPr>
          <w:p w14:paraId="37681F4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-1000</w:t>
            </w:r>
          </w:p>
        </w:tc>
      </w:tr>
      <w:tr w:rsidR="00A31EED" w14:paraId="4BC05D34" w14:textId="77777777" w:rsidTr="00C17923">
        <w:trPr>
          <w:trHeight w:val="288"/>
        </w:trPr>
        <w:tc>
          <w:tcPr>
            <w:tcW w:w="561" w:type="pct"/>
            <w:noWrap/>
            <w:hideMark/>
          </w:tcPr>
          <w:p w14:paraId="718B2540"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1</w:t>
            </w:r>
          </w:p>
        </w:tc>
        <w:tc>
          <w:tcPr>
            <w:tcW w:w="561" w:type="pct"/>
            <w:hideMark/>
          </w:tcPr>
          <w:p w14:paraId="022107C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400</w:t>
            </w:r>
          </w:p>
        </w:tc>
        <w:tc>
          <w:tcPr>
            <w:tcW w:w="818" w:type="pct"/>
            <w:noWrap/>
            <w:hideMark/>
          </w:tcPr>
          <w:p w14:paraId="48343D20"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200</w:t>
            </w:r>
          </w:p>
        </w:tc>
        <w:tc>
          <w:tcPr>
            <w:tcW w:w="561" w:type="pct"/>
            <w:noWrap/>
            <w:hideMark/>
          </w:tcPr>
          <w:p w14:paraId="1719DAAF"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200</w:t>
            </w:r>
          </w:p>
        </w:tc>
        <w:tc>
          <w:tcPr>
            <w:tcW w:w="561" w:type="pct"/>
            <w:noWrap/>
            <w:hideMark/>
          </w:tcPr>
          <w:p w14:paraId="55E71ED3"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50</w:t>
            </w:r>
          </w:p>
        </w:tc>
        <w:tc>
          <w:tcPr>
            <w:tcW w:w="561" w:type="pct"/>
            <w:noWrap/>
            <w:hideMark/>
          </w:tcPr>
          <w:p w14:paraId="1E9667C9"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350</w:t>
            </w:r>
          </w:p>
        </w:tc>
        <w:tc>
          <w:tcPr>
            <w:tcW w:w="818" w:type="pct"/>
            <w:hideMark/>
          </w:tcPr>
          <w:p w14:paraId="0B18496A"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0.943</w:t>
            </w:r>
          </w:p>
        </w:tc>
        <w:tc>
          <w:tcPr>
            <w:tcW w:w="561" w:type="pct"/>
            <w:noWrap/>
            <w:hideMark/>
          </w:tcPr>
          <w:p w14:paraId="3DC50E3F"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377.2</w:t>
            </w:r>
          </w:p>
        </w:tc>
      </w:tr>
      <w:tr w:rsidR="00A31EED" w14:paraId="492C48EF" w14:textId="77777777" w:rsidTr="00C17923">
        <w:trPr>
          <w:trHeight w:val="288"/>
        </w:trPr>
        <w:tc>
          <w:tcPr>
            <w:tcW w:w="561" w:type="pct"/>
            <w:noWrap/>
            <w:hideMark/>
          </w:tcPr>
          <w:p w14:paraId="2DC47752"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w:t>
            </w:r>
          </w:p>
        </w:tc>
        <w:tc>
          <w:tcPr>
            <w:tcW w:w="561" w:type="pct"/>
            <w:hideMark/>
          </w:tcPr>
          <w:p w14:paraId="6522600D"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450</w:t>
            </w:r>
          </w:p>
        </w:tc>
        <w:tc>
          <w:tcPr>
            <w:tcW w:w="818" w:type="pct"/>
            <w:noWrap/>
            <w:hideMark/>
          </w:tcPr>
          <w:p w14:paraId="72CBB5B3"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200</w:t>
            </w:r>
          </w:p>
        </w:tc>
        <w:tc>
          <w:tcPr>
            <w:tcW w:w="561" w:type="pct"/>
            <w:noWrap/>
            <w:hideMark/>
          </w:tcPr>
          <w:p w14:paraId="0C069236"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250</w:t>
            </w:r>
          </w:p>
        </w:tc>
        <w:tc>
          <w:tcPr>
            <w:tcW w:w="561" w:type="pct"/>
            <w:noWrap/>
            <w:hideMark/>
          </w:tcPr>
          <w:p w14:paraId="7323D09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62.5</w:t>
            </w:r>
          </w:p>
        </w:tc>
        <w:tc>
          <w:tcPr>
            <w:tcW w:w="561" w:type="pct"/>
            <w:noWrap/>
            <w:hideMark/>
          </w:tcPr>
          <w:p w14:paraId="40065327"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387.5</w:t>
            </w:r>
          </w:p>
        </w:tc>
        <w:tc>
          <w:tcPr>
            <w:tcW w:w="818" w:type="pct"/>
            <w:hideMark/>
          </w:tcPr>
          <w:p w14:paraId="4DB0C36D"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0.89</w:t>
            </w:r>
          </w:p>
        </w:tc>
        <w:tc>
          <w:tcPr>
            <w:tcW w:w="561" w:type="pct"/>
            <w:noWrap/>
            <w:hideMark/>
          </w:tcPr>
          <w:p w14:paraId="114618A6"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400.5</w:t>
            </w:r>
          </w:p>
        </w:tc>
      </w:tr>
      <w:tr w:rsidR="00A31EED" w14:paraId="02B5BB45" w14:textId="77777777" w:rsidTr="00C17923">
        <w:trPr>
          <w:trHeight w:val="288"/>
        </w:trPr>
        <w:tc>
          <w:tcPr>
            <w:tcW w:w="561" w:type="pct"/>
            <w:noWrap/>
            <w:hideMark/>
          </w:tcPr>
          <w:p w14:paraId="42F6CE3E"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4</w:t>
            </w:r>
          </w:p>
        </w:tc>
        <w:tc>
          <w:tcPr>
            <w:tcW w:w="561" w:type="pct"/>
            <w:hideMark/>
          </w:tcPr>
          <w:p w14:paraId="1152FD10"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400</w:t>
            </w:r>
          </w:p>
        </w:tc>
        <w:tc>
          <w:tcPr>
            <w:tcW w:w="818" w:type="pct"/>
            <w:noWrap/>
            <w:hideMark/>
          </w:tcPr>
          <w:p w14:paraId="37C30ECD"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200</w:t>
            </w:r>
          </w:p>
        </w:tc>
        <w:tc>
          <w:tcPr>
            <w:tcW w:w="561" w:type="pct"/>
            <w:noWrap/>
            <w:hideMark/>
          </w:tcPr>
          <w:p w14:paraId="511BACF5"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200</w:t>
            </w:r>
          </w:p>
        </w:tc>
        <w:tc>
          <w:tcPr>
            <w:tcW w:w="561" w:type="pct"/>
            <w:noWrap/>
            <w:hideMark/>
          </w:tcPr>
          <w:p w14:paraId="2DC70EB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50</w:t>
            </w:r>
          </w:p>
        </w:tc>
        <w:tc>
          <w:tcPr>
            <w:tcW w:w="561" w:type="pct"/>
            <w:noWrap/>
            <w:hideMark/>
          </w:tcPr>
          <w:p w14:paraId="488C68E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350</w:t>
            </w:r>
          </w:p>
        </w:tc>
        <w:tc>
          <w:tcPr>
            <w:tcW w:w="818" w:type="pct"/>
            <w:hideMark/>
          </w:tcPr>
          <w:p w14:paraId="4DA171BC"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0.84</w:t>
            </w:r>
          </w:p>
        </w:tc>
        <w:tc>
          <w:tcPr>
            <w:tcW w:w="561" w:type="pct"/>
            <w:noWrap/>
            <w:hideMark/>
          </w:tcPr>
          <w:p w14:paraId="459510E3"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336</w:t>
            </w:r>
          </w:p>
        </w:tc>
      </w:tr>
      <w:tr w:rsidR="00A31EED" w14:paraId="4B985E80" w14:textId="77777777" w:rsidTr="00C17923">
        <w:trPr>
          <w:trHeight w:val="288"/>
        </w:trPr>
        <w:tc>
          <w:tcPr>
            <w:tcW w:w="561" w:type="pct"/>
            <w:noWrap/>
            <w:hideMark/>
          </w:tcPr>
          <w:p w14:paraId="10DE01A3"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5</w:t>
            </w:r>
          </w:p>
        </w:tc>
        <w:tc>
          <w:tcPr>
            <w:tcW w:w="561" w:type="pct"/>
            <w:hideMark/>
          </w:tcPr>
          <w:p w14:paraId="2FF18D34"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500</w:t>
            </w:r>
          </w:p>
        </w:tc>
        <w:tc>
          <w:tcPr>
            <w:tcW w:w="818" w:type="pct"/>
            <w:noWrap/>
            <w:hideMark/>
          </w:tcPr>
          <w:p w14:paraId="60C2DD34"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200</w:t>
            </w:r>
          </w:p>
        </w:tc>
        <w:tc>
          <w:tcPr>
            <w:tcW w:w="561" w:type="pct"/>
            <w:noWrap/>
            <w:hideMark/>
          </w:tcPr>
          <w:p w14:paraId="2EAD0183"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300</w:t>
            </w:r>
          </w:p>
        </w:tc>
        <w:tc>
          <w:tcPr>
            <w:tcW w:w="561" w:type="pct"/>
            <w:noWrap/>
            <w:hideMark/>
          </w:tcPr>
          <w:p w14:paraId="3E1FCE77"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75</w:t>
            </w:r>
          </w:p>
        </w:tc>
        <w:tc>
          <w:tcPr>
            <w:tcW w:w="561" w:type="pct"/>
            <w:noWrap/>
            <w:hideMark/>
          </w:tcPr>
          <w:p w14:paraId="654076D5"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425</w:t>
            </w:r>
          </w:p>
        </w:tc>
        <w:tc>
          <w:tcPr>
            <w:tcW w:w="818" w:type="pct"/>
            <w:hideMark/>
          </w:tcPr>
          <w:p w14:paraId="751BADC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0.792</w:t>
            </w:r>
          </w:p>
        </w:tc>
        <w:tc>
          <w:tcPr>
            <w:tcW w:w="561" w:type="pct"/>
            <w:noWrap/>
            <w:hideMark/>
          </w:tcPr>
          <w:p w14:paraId="41E6BAC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396</w:t>
            </w:r>
          </w:p>
        </w:tc>
      </w:tr>
      <w:tr w:rsidR="00A31EED" w14:paraId="5637E8A7" w14:textId="77777777" w:rsidTr="00C17923">
        <w:trPr>
          <w:trHeight w:val="288"/>
        </w:trPr>
        <w:tc>
          <w:tcPr>
            <w:tcW w:w="561" w:type="pct"/>
            <w:noWrap/>
            <w:hideMark/>
          </w:tcPr>
          <w:p w14:paraId="2F6E3828"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326D2056" w14:textId="77777777" w:rsidR="00C17923" w:rsidRPr="002F7AF0" w:rsidRDefault="00C17923" w:rsidP="00C17923">
            <w:pPr>
              <w:rPr>
                <w:rFonts w:ascii="Times New Roman" w:hAnsi="Times New Roman" w:cs="Times New Roman"/>
                <w:szCs w:val="24"/>
                <w:lang w:eastAsia="en-GB"/>
              </w:rPr>
            </w:pPr>
          </w:p>
        </w:tc>
        <w:tc>
          <w:tcPr>
            <w:tcW w:w="818" w:type="pct"/>
            <w:noWrap/>
            <w:hideMark/>
          </w:tcPr>
          <w:p w14:paraId="1F7E59DD"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4D4A25DC"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309B5A11"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52DAFC4A" w14:textId="77777777" w:rsidR="00C17923" w:rsidRPr="002F7AF0" w:rsidRDefault="00C17923" w:rsidP="00C17923">
            <w:pPr>
              <w:rPr>
                <w:rFonts w:ascii="Times New Roman" w:hAnsi="Times New Roman" w:cs="Times New Roman"/>
                <w:szCs w:val="24"/>
                <w:lang w:eastAsia="en-GB"/>
              </w:rPr>
            </w:pPr>
          </w:p>
        </w:tc>
        <w:tc>
          <w:tcPr>
            <w:tcW w:w="818" w:type="pct"/>
            <w:noWrap/>
            <w:hideMark/>
          </w:tcPr>
          <w:p w14:paraId="360D92FA"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41CC5078" w14:textId="77777777" w:rsidR="00C17923" w:rsidRPr="002F7AF0" w:rsidRDefault="00C17923" w:rsidP="00C17923">
            <w:pPr>
              <w:rPr>
                <w:rFonts w:ascii="Times New Roman" w:hAnsi="Times New Roman" w:cs="Times New Roman"/>
                <w:szCs w:val="24"/>
                <w:lang w:eastAsia="en-GB"/>
              </w:rPr>
            </w:pPr>
          </w:p>
        </w:tc>
      </w:tr>
      <w:tr w:rsidR="00A31EED" w14:paraId="26DFEC86" w14:textId="77777777" w:rsidTr="00C17923">
        <w:trPr>
          <w:trHeight w:val="288"/>
        </w:trPr>
        <w:tc>
          <w:tcPr>
            <w:tcW w:w="561" w:type="pct"/>
            <w:noWrap/>
            <w:hideMark/>
          </w:tcPr>
          <w:p w14:paraId="39E53F70"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2ABF6D54" w14:textId="77777777" w:rsidR="00C17923" w:rsidRPr="002F7AF0" w:rsidRDefault="00C17923" w:rsidP="00C17923">
            <w:pPr>
              <w:rPr>
                <w:rFonts w:ascii="Times New Roman" w:hAnsi="Times New Roman" w:cs="Times New Roman"/>
                <w:szCs w:val="24"/>
                <w:lang w:eastAsia="en-GB"/>
              </w:rPr>
            </w:pPr>
          </w:p>
        </w:tc>
        <w:tc>
          <w:tcPr>
            <w:tcW w:w="818" w:type="pct"/>
            <w:noWrap/>
            <w:hideMark/>
          </w:tcPr>
          <w:p w14:paraId="0CD1E77E"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6BAA742F"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05381DBF"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54D9E6CD" w14:textId="77777777" w:rsidR="00C17923" w:rsidRPr="002F7AF0" w:rsidRDefault="00C17923" w:rsidP="00C17923">
            <w:pPr>
              <w:rPr>
                <w:rFonts w:ascii="Times New Roman" w:hAnsi="Times New Roman" w:cs="Times New Roman"/>
                <w:szCs w:val="24"/>
                <w:lang w:eastAsia="en-GB"/>
              </w:rPr>
            </w:pPr>
          </w:p>
        </w:tc>
        <w:tc>
          <w:tcPr>
            <w:tcW w:w="818" w:type="pct"/>
            <w:noWrap/>
            <w:hideMark/>
          </w:tcPr>
          <w:p w14:paraId="46782C13"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0B3FBA6F" w14:textId="77777777" w:rsidR="00C17923" w:rsidRPr="002F7AF0" w:rsidRDefault="00C17923" w:rsidP="00C17923">
            <w:pPr>
              <w:rPr>
                <w:rFonts w:ascii="Times New Roman" w:hAnsi="Times New Roman" w:cs="Times New Roman"/>
                <w:szCs w:val="24"/>
                <w:lang w:eastAsia="en-GB"/>
              </w:rPr>
            </w:pPr>
          </w:p>
        </w:tc>
      </w:tr>
      <w:tr w:rsidR="00A31EED" w14:paraId="6FFF1C55" w14:textId="77777777" w:rsidTr="00C17923">
        <w:trPr>
          <w:trHeight w:val="288"/>
        </w:trPr>
        <w:tc>
          <w:tcPr>
            <w:tcW w:w="561" w:type="pct"/>
            <w:noWrap/>
            <w:hideMark/>
          </w:tcPr>
          <w:p w14:paraId="77818CFE"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IRR</w:t>
            </w:r>
          </w:p>
        </w:tc>
        <w:tc>
          <w:tcPr>
            <w:tcW w:w="561" w:type="pct"/>
            <w:noWrap/>
            <w:hideMark/>
          </w:tcPr>
          <w:p w14:paraId="400AF4F1"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18%</w:t>
            </w:r>
          </w:p>
        </w:tc>
        <w:tc>
          <w:tcPr>
            <w:tcW w:w="818" w:type="pct"/>
            <w:noWrap/>
            <w:hideMark/>
          </w:tcPr>
          <w:p w14:paraId="7F63A760"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2D19084F"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3460910C" w14:textId="77777777" w:rsidR="00C17923" w:rsidRPr="002F7AF0" w:rsidRDefault="00C17923" w:rsidP="00C17923">
            <w:pPr>
              <w:rPr>
                <w:rFonts w:ascii="Times New Roman" w:hAnsi="Times New Roman" w:cs="Times New Roman"/>
                <w:szCs w:val="24"/>
                <w:lang w:eastAsia="en-GB"/>
              </w:rPr>
            </w:pPr>
          </w:p>
        </w:tc>
        <w:tc>
          <w:tcPr>
            <w:tcW w:w="561" w:type="pct"/>
            <w:noWrap/>
            <w:hideMark/>
          </w:tcPr>
          <w:p w14:paraId="77A944BC" w14:textId="77777777" w:rsidR="00C17923" w:rsidRPr="002F7AF0" w:rsidRDefault="00C17923" w:rsidP="00C17923">
            <w:pPr>
              <w:rPr>
                <w:rFonts w:ascii="Times New Roman" w:hAnsi="Times New Roman" w:cs="Times New Roman"/>
                <w:szCs w:val="24"/>
                <w:lang w:eastAsia="en-GB"/>
              </w:rPr>
            </w:pPr>
          </w:p>
        </w:tc>
        <w:tc>
          <w:tcPr>
            <w:tcW w:w="818" w:type="pct"/>
            <w:noWrap/>
            <w:hideMark/>
          </w:tcPr>
          <w:p w14:paraId="33BED629"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 xml:space="preserve">NPV </w:t>
            </w:r>
          </w:p>
        </w:tc>
        <w:tc>
          <w:tcPr>
            <w:tcW w:w="561" w:type="pct"/>
            <w:noWrap/>
            <w:hideMark/>
          </w:tcPr>
          <w:p w14:paraId="3B2AB218" w14:textId="77777777" w:rsidR="00C17923" w:rsidRPr="002F7AF0" w:rsidRDefault="00BA0127" w:rsidP="00C17923">
            <w:pPr>
              <w:rPr>
                <w:rFonts w:ascii="Times New Roman" w:hAnsi="Times New Roman" w:cs="Times New Roman"/>
                <w:szCs w:val="24"/>
                <w:lang w:eastAsia="en-GB"/>
              </w:rPr>
            </w:pPr>
            <w:r w:rsidRPr="002F7AF0">
              <w:rPr>
                <w:rFonts w:ascii="Times New Roman" w:hAnsi="Times New Roman" w:cs="Times New Roman"/>
                <w:szCs w:val="24"/>
                <w:lang w:eastAsia="en-GB"/>
              </w:rPr>
              <w:t>509.7</w:t>
            </w:r>
          </w:p>
        </w:tc>
      </w:tr>
    </w:tbl>
    <w:p w14:paraId="28EECC03" w14:textId="726296F3" w:rsidR="00A83566" w:rsidRDefault="00747A71" w:rsidP="003920C8">
      <w:pPr>
        <w:pStyle w:val="Heading2"/>
      </w:pPr>
      <w:bookmarkStart w:id="30" w:name="_Toc201712006"/>
      <w:r>
        <w:t xml:space="preserve">Appendix 6 </w:t>
      </w:r>
      <w:r w:rsidR="00BA0127">
        <w:t>Investment Analysis of Option C</w:t>
      </w:r>
      <w:bookmarkEnd w:id="30"/>
      <w:r w:rsidR="00BA0127">
        <w:t xml:space="preserve"> </w:t>
      </w:r>
    </w:p>
    <w:tbl>
      <w:tblPr>
        <w:tblStyle w:val="TableGrid"/>
        <w:tblW w:w="5000" w:type="pct"/>
        <w:tblLook w:val="04A0" w:firstRow="1" w:lastRow="0" w:firstColumn="1" w:lastColumn="0" w:noHBand="0" w:noVBand="1"/>
      </w:tblPr>
      <w:tblGrid>
        <w:gridCol w:w="1091"/>
        <w:gridCol w:w="1090"/>
        <w:gridCol w:w="1339"/>
        <w:gridCol w:w="1090"/>
        <w:gridCol w:w="1090"/>
        <w:gridCol w:w="1090"/>
        <w:gridCol w:w="1472"/>
        <w:gridCol w:w="1088"/>
      </w:tblGrid>
      <w:tr w:rsidR="00A31EED" w14:paraId="3B361994" w14:textId="77777777" w:rsidTr="00FA4092">
        <w:trPr>
          <w:trHeight w:val="864"/>
        </w:trPr>
        <w:tc>
          <w:tcPr>
            <w:tcW w:w="583" w:type="pct"/>
            <w:noWrap/>
            <w:hideMark/>
          </w:tcPr>
          <w:p w14:paraId="6C154E8D"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 xml:space="preserve">Year </w:t>
            </w:r>
          </w:p>
        </w:tc>
        <w:tc>
          <w:tcPr>
            <w:tcW w:w="583" w:type="pct"/>
            <w:hideMark/>
          </w:tcPr>
          <w:p w14:paraId="087371A9"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Cash Inflow</w:t>
            </w:r>
          </w:p>
        </w:tc>
        <w:tc>
          <w:tcPr>
            <w:tcW w:w="716" w:type="pct"/>
            <w:hideMark/>
          </w:tcPr>
          <w:p w14:paraId="4FDC0C60"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 xml:space="preserve">Capital Allowance </w:t>
            </w:r>
          </w:p>
        </w:tc>
        <w:tc>
          <w:tcPr>
            <w:tcW w:w="583" w:type="pct"/>
            <w:hideMark/>
          </w:tcPr>
          <w:p w14:paraId="47D3B09E"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 xml:space="preserve">Taxable Profit </w:t>
            </w:r>
          </w:p>
        </w:tc>
        <w:tc>
          <w:tcPr>
            <w:tcW w:w="583" w:type="pct"/>
            <w:hideMark/>
          </w:tcPr>
          <w:p w14:paraId="1F2B6CE6"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Tax @25%</w:t>
            </w:r>
          </w:p>
        </w:tc>
        <w:tc>
          <w:tcPr>
            <w:tcW w:w="583" w:type="pct"/>
            <w:hideMark/>
          </w:tcPr>
          <w:p w14:paraId="5FFD82AD"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 xml:space="preserve">Net Cash Flow </w:t>
            </w:r>
          </w:p>
        </w:tc>
        <w:tc>
          <w:tcPr>
            <w:tcW w:w="787" w:type="pct"/>
            <w:hideMark/>
          </w:tcPr>
          <w:p w14:paraId="1B8B1FDC"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 xml:space="preserve">Discounting Factors </w:t>
            </w:r>
          </w:p>
        </w:tc>
        <w:tc>
          <w:tcPr>
            <w:tcW w:w="583" w:type="pct"/>
            <w:hideMark/>
          </w:tcPr>
          <w:p w14:paraId="4351FBCF"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 xml:space="preserve">Present Value </w:t>
            </w:r>
          </w:p>
        </w:tc>
      </w:tr>
      <w:tr w:rsidR="00A31EED" w14:paraId="21729912" w14:textId="77777777" w:rsidTr="00FA4092">
        <w:trPr>
          <w:trHeight w:val="288"/>
        </w:trPr>
        <w:tc>
          <w:tcPr>
            <w:tcW w:w="583" w:type="pct"/>
            <w:noWrap/>
            <w:hideMark/>
          </w:tcPr>
          <w:p w14:paraId="25801364"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0</w:t>
            </w:r>
          </w:p>
        </w:tc>
        <w:tc>
          <w:tcPr>
            <w:tcW w:w="583" w:type="pct"/>
            <w:noWrap/>
            <w:hideMark/>
          </w:tcPr>
          <w:p w14:paraId="3D74A7E3"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-1600</w:t>
            </w:r>
          </w:p>
        </w:tc>
        <w:tc>
          <w:tcPr>
            <w:tcW w:w="716" w:type="pct"/>
            <w:noWrap/>
            <w:hideMark/>
          </w:tcPr>
          <w:p w14:paraId="3F599106"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6A1D59AF"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03068BDC"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2D301F03"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-1600</w:t>
            </w:r>
          </w:p>
        </w:tc>
        <w:tc>
          <w:tcPr>
            <w:tcW w:w="787" w:type="pct"/>
            <w:hideMark/>
          </w:tcPr>
          <w:p w14:paraId="2A227063"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w:t>
            </w:r>
          </w:p>
        </w:tc>
        <w:tc>
          <w:tcPr>
            <w:tcW w:w="583" w:type="pct"/>
            <w:noWrap/>
            <w:hideMark/>
          </w:tcPr>
          <w:p w14:paraId="063E5C96"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-1600</w:t>
            </w:r>
          </w:p>
        </w:tc>
      </w:tr>
      <w:tr w:rsidR="00A31EED" w14:paraId="2FD92D11" w14:textId="77777777" w:rsidTr="00FA4092">
        <w:trPr>
          <w:trHeight w:val="288"/>
        </w:trPr>
        <w:tc>
          <w:tcPr>
            <w:tcW w:w="583" w:type="pct"/>
            <w:noWrap/>
            <w:hideMark/>
          </w:tcPr>
          <w:p w14:paraId="44671251"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w:t>
            </w:r>
          </w:p>
        </w:tc>
        <w:tc>
          <w:tcPr>
            <w:tcW w:w="583" w:type="pct"/>
            <w:noWrap/>
            <w:hideMark/>
          </w:tcPr>
          <w:p w14:paraId="413691E8"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400</w:t>
            </w:r>
          </w:p>
        </w:tc>
        <w:tc>
          <w:tcPr>
            <w:tcW w:w="716" w:type="pct"/>
            <w:noWrap/>
            <w:hideMark/>
          </w:tcPr>
          <w:p w14:paraId="65883B02"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320</w:t>
            </w:r>
          </w:p>
        </w:tc>
        <w:tc>
          <w:tcPr>
            <w:tcW w:w="583" w:type="pct"/>
            <w:noWrap/>
            <w:hideMark/>
          </w:tcPr>
          <w:p w14:paraId="364CB1BD"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80</w:t>
            </w:r>
          </w:p>
        </w:tc>
        <w:tc>
          <w:tcPr>
            <w:tcW w:w="583" w:type="pct"/>
            <w:noWrap/>
            <w:hideMark/>
          </w:tcPr>
          <w:p w14:paraId="374B7CB9"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20</w:t>
            </w:r>
          </w:p>
        </w:tc>
        <w:tc>
          <w:tcPr>
            <w:tcW w:w="583" w:type="pct"/>
            <w:noWrap/>
            <w:hideMark/>
          </w:tcPr>
          <w:p w14:paraId="65FC8F9C"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380</w:t>
            </w:r>
          </w:p>
        </w:tc>
        <w:tc>
          <w:tcPr>
            <w:tcW w:w="787" w:type="pct"/>
            <w:hideMark/>
          </w:tcPr>
          <w:p w14:paraId="251E3BAD"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0.943</w:t>
            </w:r>
          </w:p>
        </w:tc>
        <w:tc>
          <w:tcPr>
            <w:tcW w:w="583" w:type="pct"/>
            <w:noWrap/>
            <w:hideMark/>
          </w:tcPr>
          <w:p w14:paraId="13E413D2"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377.2</w:t>
            </w:r>
          </w:p>
        </w:tc>
      </w:tr>
      <w:tr w:rsidR="00A31EED" w14:paraId="1E0A3966" w14:textId="77777777" w:rsidTr="00FA4092">
        <w:trPr>
          <w:trHeight w:val="288"/>
        </w:trPr>
        <w:tc>
          <w:tcPr>
            <w:tcW w:w="583" w:type="pct"/>
            <w:noWrap/>
            <w:hideMark/>
          </w:tcPr>
          <w:p w14:paraId="39A2AD7B"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2</w:t>
            </w:r>
          </w:p>
        </w:tc>
        <w:tc>
          <w:tcPr>
            <w:tcW w:w="583" w:type="pct"/>
            <w:noWrap/>
            <w:hideMark/>
          </w:tcPr>
          <w:p w14:paraId="30E62C63"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700</w:t>
            </w:r>
          </w:p>
        </w:tc>
        <w:tc>
          <w:tcPr>
            <w:tcW w:w="716" w:type="pct"/>
            <w:noWrap/>
            <w:hideMark/>
          </w:tcPr>
          <w:p w14:paraId="0941B09A"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320</w:t>
            </w:r>
          </w:p>
        </w:tc>
        <w:tc>
          <w:tcPr>
            <w:tcW w:w="583" w:type="pct"/>
            <w:noWrap/>
            <w:hideMark/>
          </w:tcPr>
          <w:p w14:paraId="3820C73B"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380</w:t>
            </w:r>
          </w:p>
        </w:tc>
        <w:tc>
          <w:tcPr>
            <w:tcW w:w="583" w:type="pct"/>
            <w:noWrap/>
            <w:hideMark/>
          </w:tcPr>
          <w:p w14:paraId="5C88009E"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95</w:t>
            </w:r>
          </w:p>
        </w:tc>
        <w:tc>
          <w:tcPr>
            <w:tcW w:w="583" w:type="pct"/>
            <w:noWrap/>
            <w:hideMark/>
          </w:tcPr>
          <w:p w14:paraId="688C9399"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605</w:t>
            </w:r>
          </w:p>
        </w:tc>
        <w:tc>
          <w:tcPr>
            <w:tcW w:w="787" w:type="pct"/>
            <w:hideMark/>
          </w:tcPr>
          <w:p w14:paraId="74074B7E"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0.89</w:t>
            </w:r>
          </w:p>
        </w:tc>
        <w:tc>
          <w:tcPr>
            <w:tcW w:w="583" w:type="pct"/>
            <w:noWrap/>
            <w:hideMark/>
          </w:tcPr>
          <w:p w14:paraId="56E804BA"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623</w:t>
            </w:r>
          </w:p>
        </w:tc>
      </w:tr>
      <w:tr w:rsidR="00A31EED" w14:paraId="1EF60EE7" w14:textId="77777777" w:rsidTr="00FA4092">
        <w:trPr>
          <w:trHeight w:val="288"/>
        </w:trPr>
        <w:tc>
          <w:tcPr>
            <w:tcW w:w="583" w:type="pct"/>
            <w:noWrap/>
            <w:hideMark/>
          </w:tcPr>
          <w:p w14:paraId="0948D221"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w:t>
            </w:r>
          </w:p>
        </w:tc>
        <w:tc>
          <w:tcPr>
            <w:tcW w:w="583" w:type="pct"/>
            <w:noWrap/>
            <w:hideMark/>
          </w:tcPr>
          <w:p w14:paraId="49B1E7D2"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850</w:t>
            </w:r>
          </w:p>
        </w:tc>
        <w:tc>
          <w:tcPr>
            <w:tcW w:w="716" w:type="pct"/>
            <w:noWrap/>
            <w:hideMark/>
          </w:tcPr>
          <w:p w14:paraId="49174718"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320</w:t>
            </w:r>
          </w:p>
        </w:tc>
        <w:tc>
          <w:tcPr>
            <w:tcW w:w="583" w:type="pct"/>
            <w:noWrap/>
            <w:hideMark/>
          </w:tcPr>
          <w:p w14:paraId="1D0F3B76"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530</w:t>
            </w:r>
          </w:p>
        </w:tc>
        <w:tc>
          <w:tcPr>
            <w:tcW w:w="583" w:type="pct"/>
            <w:noWrap/>
            <w:hideMark/>
          </w:tcPr>
          <w:p w14:paraId="6C68EC3D"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132.5</w:t>
            </w:r>
          </w:p>
        </w:tc>
        <w:tc>
          <w:tcPr>
            <w:tcW w:w="583" w:type="pct"/>
            <w:noWrap/>
            <w:hideMark/>
          </w:tcPr>
          <w:p w14:paraId="103BE037"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717.5</w:t>
            </w:r>
          </w:p>
        </w:tc>
        <w:tc>
          <w:tcPr>
            <w:tcW w:w="787" w:type="pct"/>
            <w:hideMark/>
          </w:tcPr>
          <w:p w14:paraId="641561CA"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0.84</w:t>
            </w:r>
          </w:p>
        </w:tc>
        <w:tc>
          <w:tcPr>
            <w:tcW w:w="583" w:type="pct"/>
            <w:noWrap/>
            <w:hideMark/>
          </w:tcPr>
          <w:p w14:paraId="23556AFC"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714</w:t>
            </w:r>
          </w:p>
        </w:tc>
      </w:tr>
      <w:tr w:rsidR="00A31EED" w14:paraId="0C8BB76E" w14:textId="77777777" w:rsidTr="00FA4092">
        <w:trPr>
          <w:trHeight w:val="288"/>
        </w:trPr>
        <w:tc>
          <w:tcPr>
            <w:tcW w:w="583" w:type="pct"/>
            <w:noWrap/>
            <w:hideMark/>
          </w:tcPr>
          <w:p w14:paraId="60A68716"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lastRenderedPageBreak/>
              <w:t>4</w:t>
            </w:r>
          </w:p>
        </w:tc>
        <w:tc>
          <w:tcPr>
            <w:tcW w:w="583" w:type="pct"/>
            <w:noWrap/>
            <w:hideMark/>
          </w:tcPr>
          <w:p w14:paraId="6F9948A8"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1100</w:t>
            </w:r>
          </w:p>
        </w:tc>
        <w:tc>
          <w:tcPr>
            <w:tcW w:w="716" w:type="pct"/>
            <w:noWrap/>
            <w:hideMark/>
          </w:tcPr>
          <w:p w14:paraId="668543EC"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320</w:t>
            </w:r>
          </w:p>
        </w:tc>
        <w:tc>
          <w:tcPr>
            <w:tcW w:w="583" w:type="pct"/>
            <w:noWrap/>
            <w:hideMark/>
          </w:tcPr>
          <w:p w14:paraId="218BAE58"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780</w:t>
            </w:r>
          </w:p>
        </w:tc>
        <w:tc>
          <w:tcPr>
            <w:tcW w:w="583" w:type="pct"/>
            <w:noWrap/>
            <w:hideMark/>
          </w:tcPr>
          <w:p w14:paraId="06AC383E"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195</w:t>
            </w:r>
          </w:p>
        </w:tc>
        <w:tc>
          <w:tcPr>
            <w:tcW w:w="583" w:type="pct"/>
            <w:noWrap/>
            <w:hideMark/>
          </w:tcPr>
          <w:p w14:paraId="17F666F0"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905</w:t>
            </w:r>
          </w:p>
        </w:tc>
        <w:tc>
          <w:tcPr>
            <w:tcW w:w="787" w:type="pct"/>
            <w:hideMark/>
          </w:tcPr>
          <w:p w14:paraId="62D7B271"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0.792</w:t>
            </w:r>
          </w:p>
        </w:tc>
        <w:tc>
          <w:tcPr>
            <w:tcW w:w="583" w:type="pct"/>
            <w:noWrap/>
            <w:hideMark/>
          </w:tcPr>
          <w:p w14:paraId="07E58E2B"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871.2</w:t>
            </w:r>
          </w:p>
        </w:tc>
      </w:tr>
      <w:tr w:rsidR="00A31EED" w14:paraId="6374F332" w14:textId="77777777" w:rsidTr="00FA4092">
        <w:trPr>
          <w:trHeight w:val="288"/>
        </w:trPr>
        <w:tc>
          <w:tcPr>
            <w:tcW w:w="583" w:type="pct"/>
            <w:noWrap/>
            <w:hideMark/>
          </w:tcPr>
          <w:p w14:paraId="6708A617"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51D8A3DC" w14:textId="77777777" w:rsidR="00FA4092" w:rsidRPr="002F7AF0" w:rsidRDefault="00FA4092" w:rsidP="00FA4092">
            <w:pPr>
              <w:rPr>
                <w:rFonts w:ascii="Times New Roman" w:hAnsi="Times New Roman" w:cs="Times New Roman"/>
                <w:szCs w:val="24"/>
                <w:lang w:eastAsia="en-GB"/>
              </w:rPr>
            </w:pPr>
          </w:p>
        </w:tc>
        <w:tc>
          <w:tcPr>
            <w:tcW w:w="716" w:type="pct"/>
            <w:noWrap/>
            <w:hideMark/>
          </w:tcPr>
          <w:p w14:paraId="7F131126"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1985E408"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4089B8E2"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7E8695DB" w14:textId="77777777" w:rsidR="00FA4092" w:rsidRPr="002F7AF0" w:rsidRDefault="00FA4092" w:rsidP="00FA4092">
            <w:pPr>
              <w:rPr>
                <w:rFonts w:ascii="Times New Roman" w:hAnsi="Times New Roman" w:cs="Times New Roman"/>
                <w:szCs w:val="24"/>
                <w:lang w:eastAsia="en-GB"/>
              </w:rPr>
            </w:pPr>
          </w:p>
        </w:tc>
        <w:tc>
          <w:tcPr>
            <w:tcW w:w="787" w:type="pct"/>
            <w:noWrap/>
            <w:hideMark/>
          </w:tcPr>
          <w:p w14:paraId="0C2FF802"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274A2B89" w14:textId="77777777" w:rsidR="00FA4092" w:rsidRPr="002F7AF0" w:rsidRDefault="00FA4092" w:rsidP="00FA4092">
            <w:pPr>
              <w:rPr>
                <w:rFonts w:ascii="Times New Roman" w:hAnsi="Times New Roman" w:cs="Times New Roman"/>
                <w:szCs w:val="24"/>
                <w:lang w:eastAsia="en-GB"/>
              </w:rPr>
            </w:pPr>
          </w:p>
        </w:tc>
      </w:tr>
      <w:tr w:rsidR="00A31EED" w14:paraId="5BA047BF" w14:textId="77777777" w:rsidTr="00FA4092">
        <w:trPr>
          <w:trHeight w:val="288"/>
        </w:trPr>
        <w:tc>
          <w:tcPr>
            <w:tcW w:w="583" w:type="pct"/>
            <w:noWrap/>
            <w:hideMark/>
          </w:tcPr>
          <w:p w14:paraId="18A2A97F"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334D28EE" w14:textId="77777777" w:rsidR="00FA4092" w:rsidRPr="002F7AF0" w:rsidRDefault="00FA4092" w:rsidP="00FA4092">
            <w:pPr>
              <w:rPr>
                <w:rFonts w:ascii="Times New Roman" w:hAnsi="Times New Roman" w:cs="Times New Roman"/>
                <w:szCs w:val="24"/>
                <w:lang w:eastAsia="en-GB"/>
              </w:rPr>
            </w:pPr>
          </w:p>
        </w:tc>
        <w:tc>
          <w:tcPr>
            <w:tcW w:w="716" w:type="pct"/>
            <w:noWrap/>
            <w:hideMark/>
          </w:tcPr>
          <w:p w14:paraId="32280A5A"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4521FB02"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43A74D2C"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04487BD6" w14:textId="77777777" w:rsidR="00FA4092" w:rsidRPr="002F7AF0" w:rsidRDefault="00FA4092" w:rsidP="00FA4092">
            <w:pPr>
              <w:rPr>
                <w:rFonts w:ascii="Times New Roman" w:hAnsi="Times New Roman" w:cs="Times New Roman"/>
                <w:szCs w:val="24"/>
                <w:lang w:eastAsia="en-GB"/>
              </w:rPr>
            </w:pPr>
          </w:p>
        </w:tc>
        <w:tc>
          <w:tcPr>
            <w:tcW w:w="787" w:type="pct"/>
            <w:noWrap/>
            <w:hideMark/>
          </w:tcPr>
          <w:p w14:paraId="6BC374F7"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446B18B9" w14:textId="77777777" w:rsidR="00FA4092" w:rsidRPr="002F7AF0" w:rsidRDefault="00FA4092" w:rsidP="00FA4092">
            <w:pPr>
              <w:rPr>
                <w:rFonts w:ascii="Times New Roman" w:hAnsi="Times New Roman" w:cs="Times New Roman"/>
                <w:szCs w:val="24"/>
                <w:lang w:eastAsia="en-GB"/>
              </w:rPr>
            </w:pPr>
          </w:p>
        </w:tc>
      </w:tr>
      <w:tr w:rsidR="00A31EED" w14:paraId="1CAEF49F" w14:textId="77777777" w:rsidTr="00FA4092">
        <w:trPr>
          <w:trHeight w:val="288"/>
        </w:trPr>
        <w:tc>
          <w:tcPr>
            <w:tcW w:w="583" w:type="pct"/>
            <w:noWrap/>
            <w:hideMark/>
          </w:tcPr>
          <w:p w14:paraId="2EED62B9"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IRR</w:t>
            </w:r>
          </w:p>
        </w:tc>
        <w:tc>
          <w:tcPr>
            <w:tcW w:w="583" w:type="pct"/>
            <w:noWrap/>
            <w:hideMark/>
          </w:tcPr>
          <w:p w14:paraId="63F1221B"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20%</w:t>
            </w:r>
          </w:p>
        </w:tc>
        <w:tc>
          <w:tcPr>
            <w:tcW w:w="716" w:type="pct"/>
            <w:noWrap/>
            <w:hideMark/>
          </w:tcPr>
          <w:p w14:paraId="34B649EA"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503E6342"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0472BF3C" w14:textId="77777777" w:rsidR="00FA4092" w:rsidRPr="002F7AF0" w:rsidRDefault="00FA4092" w:rsidP="00FA4092">
            <w:pPr>
              <w:rPr>
                <w:rFonts w:ascii="Times New Roman" w:hAnsi="Times New Roman" w:cs="Times New Roman"/>
                <w:szCs w:val="24"/>
                <w:lang w:eastAsia="en-GB"/>
              </w:rPr>
            </w:pPr>
          </w:p>
        </w:tc>
        <w:tc>
          <w:tcPr>
            <w:tcW w:w="583" w:type="pct"/>
            <w:noWrap/>
            <w:hideMark/>
          </w:tcPr>
          <w:p w14:paraId="411F159F" w14:textId="77777777" w:rsidR="00FA4092" w:rsidRPr="002F7AF0" w:rsidRDefault="00FA4092" w:rsidP="00FA4092">
            <w:pPr>
              <w:rPr>
                <w:rFonts w:ascii="Times New Roman" w:hAnsi="Times New Roman" w:cs="Times New Roman"/>
                <w:szCs w:val="24"/>
                <w:lang w:eastAsia="en-GB"/>
              </w:rPr>
            </w:pPr>
          </w:p>
        </w:tc>
        <w:tc>
          <w:tcPr>
            <w:tcW w:w="787" w:type="pct"/>
            <w:noWrap/>
            <w:hideMark/>
          </w:tcPr>
          <w:p w14:paraId="608D50C6"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NPV</w:t>
            </w:r>
          </w:p>
        </w:tc>
        <w:tc>
          <w:tcPr>
            <w:tcW w:w="583" w:type="pct"/>
            <w:noWrap/>
            <w:hideMark/>
          </w:tcPr>
          <w:p w14:paraId="286097DE" w14:textId="77777777" w:rsidR="00FA4092" w:rsidRPr="002F7AF0" w:rsidRDefault="00BA0127" w:rsidP="00FA4092">
            <w:pPr>
              <w:rPr>
                <w:rFonts w:ascii="Times New Roman" w:hAnsi="Times New Roman" w:cs="Times New Roman"/>
                <w:szCs w:val="24"/>
                <w:lang w:eastAsia="en-GB"/>
              </w:rPr>
            </w:pPr>
            <w:r w:rsidRPr="002F7AF0">
              <w:rPr>
                <w:rFonts w:ascii="Times New Roman" w:hAnsi="Times New Roman" w:cs="Times New Roman"/>
                <w:szCs w:val="24"/>
                <w:lang w:eastAsia="en-GB"/>
              </w:rPr>
              <w:t>985.4</w:t>
            </w:r>
          </w:p>
        </w:tc>
      </w:tr>
    </w:tbl>
    <w:p w14:paraId="7EEB2A7C" w14:textId="3B1DC6AC" w:rsidR="00896E0B" w:rsidRDefault="00747A71" w:rsidP="003920C8">
      <w:pPr>
        <w:pStyle w:val="Heading2"/>
      </w:pPr>
      <w:bookmarkStart w:id="31" w:name="_Toc201712007"/>
      <w:r>
        <w:t xml:space="preserve">Appendix 7 </w:t>
      </w:r>
      <w:r w:rsidR="00BA0127">
        <w:t>Capital Rationing (Optimum Capital Allocation)</w:t>
      </w:r>
      <w:bookmarkEnd w:id="31"/>
      <w:r w:rsidR="00BA0127">
        <w:t xml:space="preserve"> </w:t>
      </w:r>
    </w:p>
    <w:tbl>
      <w:tblPr>
        <w:tblStyle w:val="TableGrid"/>
        <w:tblW w:w="5000" w:type="pct"/>
        <w:tblLook w:val="04A0" w:firstRow="1" w:lastRow="0" w:firstColumn="1" w:lastColumn="0" w:noHBand="0" w:noVBand="1"/>
      </w:tblPr>
      <w:tblGrid>
        <w:gridCol w:w="1259"/>
        <w:gridCol w:w="2338"/>
        <w:gridCol w:w="1263"/>
        <w:gridCol w:w="2521"/>
        <w:gridCol w:w="1969"/>
      </w:tblGrid>
      <w:tr w:rsidR="00A31EED" w14:paraId="67CD4FA8" w14:textId="77777777" w:rsidTr="001F11C1">
        <w:trPr>
          <w:trHeight w:val="288"/>
        </w:trPr>
        <w:tc>
          <w:tcPr>
            <w:tcW w:w="674" w:type="pct"/>
            <w:noWrap/>
            <w:hideMark/>
          </w:tcPr>
          <w:p w14:paraId="1EC9D621"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Option </w:t>
            </w:r>
          </w:p>
        </w:tc>
        <w:tc>
          <w:tcPr>
            <w:tcW w:w="1250" w:type="pct"/>
            <w:noWrap/>
            <w:hideMark/>
          </w:tcPr>
          <w:p w14:paraId="402865DD"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Initial Investment </w:t>
            </w:r>
          </w:p>
        </w:tc>
        <w:tc>
          <w:tcPr>
            <w:tcW w:w="674" w:type="pct"/>
            <w:noWrap/>
            <w:hideMark/>
          </w:tcPr>
          <w:p w14:paraId="68D899C3"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NPV</w:t>
            </w:r>
          </w:p>
        </w:tc>
        <w:tc>
          <w:tcPr>
            <w:tcW w:w="1348" w:type="pct"/>
            <w:noWrap/>
            <w:hideMark/>
          </w:tcPr>
          <w:p w14:paraId="588FBCCF"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NPV per £   </w:t>
            </w:r>
          </w:p>
        </w:tc>
        <w:tc>
          <w:tcPr>
            <w:tcW w:w="1053" w:type="pct"/>
            <w:noWrap/>
            <w:hideMark/>
          </w:tcPr>
          <w:p w14:paraId="1D4B2B6A"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Rank </w:t>
            </w:r>
          </w:p>
        </w:tc>
      </w:tr>
      <w:tr w:rsidR="00A31EED" w14:paraId="09B12BD8" w14:textId="77777777" w:rsidTr="001F11C1">
        <w:trPr>
          <w:trHeight w:val="288"/>
        </w:trPr>
        <w:tc>
          <w:tcPr>
            <w:tcW w:w="674" w:type="pct"/>
            <w:noWrap/>
            <w:hideMark/>
          </w:tcPr>
          <w:p w14:paraId="4A75CB2E"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A</w:t>
            </w:r>
          </w:p>
        </w:tc>
        <w:tc>
          <w:tcPr>
            <w:tcW w:w="1250" w:type="pct"/>
            <w:noWrap/>
            <w:hideMark/>
          </w:tcPr>
          <w:p w14:paraId="240073D0"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600,000</w:t>
            </w:r>
          </w:p>
        </w:tc>
        <w:tc>
          <w:tcPr>
            <w:tcW w:w="674" w:type="pct"/>
            <w:noWrap/>
            <w:hideMark/>
          </w:tcPr>
          <w:p w14:paraId="4067ACB5"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394650</w:t>
            </w:r>
          </w:p>
        </w:tc>
        <w:tc>
          <w:tcPr>
            <w:tcW w:w="1348" w:type="pct"/>
            <w:noWrap/>
            <w:hideMark/>
          </w:tcPr>
          <w:p w14:paraId="645973CB"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0.65775</w:t>
            </w:r>
          </w:p>
        </w:tc>
        <w:tc>
          <w:tcPr>
            <w:tcW w:w="1053" w:type="pct"/>
            <w:noWrap/>
            <w:hideMark/>
          </w:tcPr>
          <w:p w14:paraId="56BC1CFE"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w:t>
            </w:r>
          </w:p>
        </w:tc>
      </w:tr>
      <w:tr w:rsidR="00A31EED" w14:paraId="09F4BE14" w14:textId="77777777" w:rsidTr="001F11C1">
        <w:trPr>
          <w:trHeight w:val="288"/>
        </w:trPr>
        <w:tc>
          <w:tcPr>
            <w:tcW w:w="674" w:type="pct"/>
            <w:noWrap/>
            <w:hideMark/>
          </w:tcPr>
          <w:p w14:paraId="6CEBC2B3"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B</w:t>
            </w:r>
          </w:p>
        </w:tc>
        <w:tc>
          <w:tcPr>
            <w:tcW w:w="1250" w:type="pct"/>
            <w:noWrap/>
            <w:hideMark/>
          </w:tcPr>
          <w:p w14:paraId="2B9946F0"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10,000,000</w:t>
            </w:r>
          </w:p>
        </w:tc>
        <w:tc>
          <w:tcPr>
            <w:tcW w:w="674" w:type="pct"/>
            <w:noWrap/>
            <w:hideMark/>
          </w:tcPr>
          <w:p w14:paraId="32432D0B"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509700</w:t>
            </w:r>
          </w:p>
        </w:tc>
        <w:tc>
          <w:tcPr>
            <w:tcW w:w="1348" w:type="pct"/>
            <w:noWrap/>
            <w:hideMark/>
          </w:tcPr>
          <w:p w14:paraId="5623E041"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0.05097</w:t>
            </w:r>
          </w:p>
        </w:tc>
        <w:tc>
          <w:tcPr>
            <w:tcW w:w="1053" w:type="pct"/>
            <w:noWrap/>
            <w:hideMark/>
          </w:tcPr>
          <w:p w14:paraId="395EEE9D"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3</w:t>
            </w:r>
          </w:p>
        </w:tc>
      </w:tr>
      <w:tr w:rsidR="00A31EED" w14:paraId="11DD9113" w14:textId="77777777" w:rsidTr="001F11C1">
        <w:trPr>
          <w:trHeight w:val="288"/>
        </w:trPr>
        <w:tc>
          <w:tcPr>
            <w:tcW w:w="674" w:type="pct"/>
            <w:noWrap/>
            <w:hideMark/>
          </w:tcPr>
          <w:p w14:paraId="0D2CABDB"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C</w:t>
            </w:r>
          </w:p>
        </w:tc>
        <w:tc>
          <w:tcPr>
            <w:tcW w:w="1250" w:type="pct"/>
            <w:noWrap/>
            <w:hideMark/>
          </w:tcPr>
          <w:p w14:paraId="05C9B8F1"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16,000,000</w:t>
            </w:r>
          </w:p>
        </w:tc>
        <w:tc>
          <w:tcPr>
            <w:tcW w:w="674" w:type="pct"/>
            <w:noWrap/>
            <w:hideMark/>
          </w:tcPr>
          <w:p w14:paraId="26C8BADC"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985400</w:t>
            </w:r>
          </w:p>
        </w:tc>
        <w:tc>
          <w:tcPr>
            <w:tcW w:w="1348" w:type="pct"/>
            <w:noWrap/>
            <w:hideMark/>
          </w:tcPr>
          <w:p w14:paraId="7DB5646F"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0.0615875</w:t>
            </w:r>
          </w:p>
        </w:tc>
        <w:tc>
          <w:tcPr>
            <w:tcW w:w="1053" w:type="pct"/>
            <w:noWrap/>
            <w:hideMark/>
          </w:tcPr>
          <w:p w14:paraId="32DAE059"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2</w:t>
            </w:r>
          </w:p>
        </w:tc>
      </w:tr>
      <w:tr w:rsidR="00A31EED" w14:paraId="2EBB2E9A" w14:textId="77777777" w:rsidTr="001F11C1">
        <w:trPr>
          <w:trHeight w:val="288"/>
        </w:trPr>
        <w:tc>
          <w:tcPr>
            <w:tcW w:w="674" w:type="pct"/>
            <w:noWrap/>
            <w:hideMark/>
          </w:tcPr>
          <w:p w14:paraId="7C13381A" w14:textId="77777777" w:rsidR="001F11C1" w:rsidRPr="002F7AF0" w:rsidRDefault="001F11C1" w:rsidP="001F11C1">
            <w:pPr>
              <w:rPr>
                <w:rFonts w:ascii="Times New Roman" w:hAnsi="Times New Roman" w:cs="Times New Roman"/>
                <w:szCs w:val="24"/>
                <w:lang w:eastAsia="en-GB"/>
              </w:rPr>
            </w:pPr>
          </w:p>
        </w:tc>
        <w:tc>
          <w:tcPr>
            <w:tcW w:w="1250" w:type="pct"/>
            <w:noWrap/>
            <w:hideMark/>
          </w:tcPr>
          <w:p w14:paraId="085C321D" w14:textId="77777777" w:rsidR="001F11C1" w:rsidRPr="002F7AF0" w:rsidRDefault="001F11C1" w:rsidP="001F11C1">
            <w:pPr>
              <w:rPr>
                <w:rFonts w:ascii="Times New Roman" w:hAnsi="Times New Roman" w:cs="Times New Roman"/>
                <w:szCs w:val="24"/>
                <w:lang w:eastAsia="en-GB"/>
              </w:rPr>
            </w:pPr>
          </w:p>
        </w:tc>
        <w:tc>
          <w:tcPr>
            <w:tcW w:w="674" w:type="pct"/>
            <w:noWrap/>
            <w:hideMark/>
          </w:tcPr>
          <w:p w14:paraId="53FB2EF7" w14:textId="77777777" w:rsidR="001F11C1" w:rsidRPr="002F7AF0" w:rsidRDefault="001F11C1" w:rsidP="001F11C1">
            <w:pPr>
              <w:rPr>
                <w:rFonts w:ascii="Times New Roman" w:hAnsi="Times New Roman" w:cs="Times New Roman"/>
                <w:szCs w:val="24"/>
                <w:lang w:eastAsia="en-GB"/>
              </w:rPr>
            </w:pPr>
          </w:p>
        </w:tc>
        <w:tc>
          <w:tcPr>
            <w:tcW w:w="1348" w:type="pct"/>
            <w:noWrap/>
            <w:hideMark/>
          </w:tcPr>
          <w:p w14:paraId="6645AEEB" w14:textId="77777777" w:rsidR="001F11C1" w:rsidRPr="002F7AF0" w:rsidRDefault="001F11C1" w:rsidP="001F11C1">
            <w:pPr>
              <w:rPr>
                <w:rFonts w:ascii="Times New Roman" w:hAnsi="Times New Roman" w:cs="Times New Roman"/>
                <w:szCs w:val="24"/>
                <w:lang w:eastAsia="en-GB"/>
              </w:rPr>
            </w:pPr>
          </w:p>
        </w:tc>
        <w:tc>
          <w:tcPr>
            <w:tcW w:w="1053" w:type="pct"/>
            <w:noWrap/>
            <w:hideMark/>
          </w:tcPr>
          <w:p w14:paraId="1A544A82" w14:textId="77777777" w:rsidR="001F11C1" w:rsidRPr="002F7AF0" w:rsidRDefault="001F11C1" w:rsidP="001F11C1">
            <w:pPr>
              <w:rPr>
                <w:rFonts w:ascii="Times New Roman" w:hAnsi="Times New Roman" w:cs="Times New Roman"/>
                <w:szCs w:val="24"/>
                <w:lang w:eastAsia="en-GB"/>
              </w:rPr>
            </w:pPr>
          </w:p>
        </w:tc>
      </w:tr>
      <w:tr w:rsidR="00A31EED" w14:paraId="1ACBD158" w14:textId="77777777" w:rsidTr="001F11C1">
        <w:trPr>
          <w:trHeight w:val="288"/>
        </w:trPr>
        <w:tc>
          <w:tcPr>
            <w:tcW w:w="674" w:type="pct"/>
            <w:noWrap/>
            <w:hideMark/>
          </w:tcPr>
          <w:p w14:paraId="5DF78776" w14:textId="77777777" w:rsidR="001F11C1" w:rsidRPr="002F7AF0" w:rsidRDefault="001F11C1" w:rsidP="001F11C1">
            <w:pPr>
              <w:rPr>
                <w:rFonts w:ascii="Times New Roman" w:hAnsi="Times New Roman" w:cs="Times New Roman"/>
                <w:szCs w:val="24"/>
                <w:lang w:eastAsia="en-GB"/>
              </w:rPr>
            </w:pPr>
          </w:p>
        </w:tc>
        <w:tc>
          <w:tcPr>
            <w:tcW w:w="1250" w:type="pct"/>
            <w:noWrap/>
            <w:hideMark/>
          </w:tcPr>
          <w:p w14:paraId="7C149893" w14:textId="77777777" w:rsidR="001F11C1" w:rsidRPr="002F7AF0" w:rsidRDefault="001F11C1" w:rsidP="001F11C1">
            <w:pPr>
              <w:rPr>
                <w:rFonts w:ascii="Times New Roman" w:hAnsi="Times New Roman" w:cs="Times New Roman"/>
                <w:szCs w:val="24"/>
                <w:lang w:eastAsia="en-GB"/>
              </w:rPr>
            </w:pPr>
          </w:p>
        </w:tc>
        <w:tc>
          <w:tcPr>
            <w:tcW w:w="674" w:type="pct"/>
            <w:noWrap/>
            <w:hideMark/>
          </w:tcPr>
          <w:p w14:paraId="3D2E3005" w14:textId="77777777" w:rsidR="001F11C1" w:rsidRPr="002F7AF0" w:rsidRDefault="001F11C1" w:rsidP="001F11C1">
            <w:pPr>
              <w:rPr>
                <w:rFonts w:ascii="Times New Roman" w:hAnsi="Times New Roman" w:cs="Times New Roman"/>
                <w:szCs w:val="24"/>
                <w:lang w:eastAsia="en-GB"/>
              </w:rPr>
            </w:pPr>
          </w:p>
        </w:tc>
        <w:tc>
          <w:tcPr>
            <w:tcW w:w="1348" w:type="pct"/>
            <w:noWrap/>
            <w:hideMark/>
          </w:tcPr>
          <w:p w14:paraId="2FF509F5" w14:textId="77777777" w:rsidR="001F11C1" w:rsidRPr="002F7AF0" w:rsidRDefault="001F11C1" w:rsidP="001F11C1">
            <w:pPr>
              <w:rPr>
                <w:rFonts w:ascii="Times New Roman" w:hAnsi="Times New Roman" w:cs="Times New Roman"/>
                <w:szCs w:val="24"/>
                <w:lang w:eastAsia="en-GB"/>
              </w:rPr>
            </w:pPr>
          </w:p>
        </w:tc>
        <w:tc>
          <w:tcPr>
            <w:tcW w:w="1053" w:type="pct"/>
            <w:noWrap/>
            <w:hideMark/>
          </w:tcPr>
          <w:p w14:paraId="668BC32F" w14:textId="77777777" w:rsidR="001F11C1" w:rsidRPr="002F7AF0" w:rsidRDefault="001F11C1" w:rsidP="001F11C1">
            <w:pPr>
              <w:rPr>
                <w:rFonts w:ascii="Times New Roman" w:hAnsi="Times New Roman" w:cs="Times New Roman"/>
                <w:szCs w:val="24"/>
                <w:lang w:eastAsia="en-GB"/>
              </w:rPr>
            </w:pPr>
          </w:p>
        </w:tc>
      </w:tr>
      <w:tr w:rsidR="00A31EED" w14:paraId="4F4383E1" w14:textId="77777777" w:rsidTr="001F11C1">
        <w:trPr>
          <w:trHeight w:val="288"/>
        </w:trPr>
        <w:tc>
          <w:tcPr>
            <w:tcW w:w="1924" w:type="pct"/>
            <w:gridSpan w:val="2"/>
            <w:noWrap/>
            <w:hideMark/>
          </w:tcPr>
          <w:p w14:paraId="182AECB2"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Allocate Funds </w:t>
            </w:r>
          </w:p>
        </w:tc>
        <w:tc>
          <w:tcPr>
            <w:tcW w:w="674" w:type="pct"/>
            <w:noWrap/>
            <w:hideMark/>
          </w:tcPr>
          <w:p w14:paraId="41C72655" w14:textId="77777777" w:rsidR="001F11C1" w:rsidRPr="002F7AF0" w:rsidRDefault="001F11C1" w:rsidP="001F11C1">
            <w:pPr>
              <w:rPr>
                <w:rFonts w:ascii="Times New Roman" w:hAnsi="Times New Roman" w:cs="Times New Roman"/>
                <w:szCs w:val="24"/>
                <w:lang w:eastAsia="en-GB"/>
              </w:rPr>
            </w:pPr>
          </w:p>
        </w:tc>
        <w:tc>
          <w:tcPr>
            <w:tcW w:w="1348" w:type="pct"/>
            <w:noWrap/>
            <w:hideMark/>
          </w:tcPr>
          <w:p w14:paraId="1016512A" w14:textId="77777777" w:rsidR="001F11C1" w:rsidRPr="002F7AF0" w:rsidRDefault="001F11C1" w:rsidP="001F11C1">
            <w:pPr>
              <w:rPr>
                <w:rFonts w:ascii="Times New Roman" w:hAnsi="Times New Roman" w:cs="Times New Roman"/>
                <w:szCs w:val="24"/>
                <w:lang w:eastAsia="en-GB"/>
              </w:rPr>
            </w:pPr>
          </w:p>
        </w:tc>
        <w:tc>
          <w:tcPr>
            <w:tcW w:w="1053" w:type="pct"/>
            <w:noWrap/>
            <w:hideMark/>
          </w:tcPr>
          <w:p w14:paraId="43347A45" w14:textId="77777777" w:rsidR="001F11C1" w:rsidRPr="002F7AF0" w:rsidRDefault="001F11C1" w:rsidP="001F11C1">
            <w:pPr>
              <w:rPr>
                <w:rFonts w:ascii="Times New Roman" w:hAnsi="Times New Roman" w:cs="Times New Roman"/>
                <w:szCs w:val="24"/>
                <w:lang w:eastAsia="en-GB"/>
              </w:rPr>
            </w:pPr>
          </w:p>
        </w:tc>
      </w:tr>
      <w:tr w:rsidR="00A31EED" w14:paraId="6CF5B350" w14:textId="77777777" w:rsidTr="001F11C1">
        <w:trPr>
          <w:trHeight w:val="864"/>
        </w:trPr>
        <w:tc>
          <w:tcPr>
            <w:tcW w:w="674" w:type="pct"/>
            <w:noWrap/>
            <w:hideMark/>
          </w:tcPr>
          <w:p w14:paraId="6C272E45"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Option </w:t>
            </w:r>
          </w:p>
        </w:tc>
        <w:tc>
          <w:tcPr>
            <w:tcW w:w="1250" w:type="pct"/>
            <w:noWrap/>
            <w:hideMark/>
          </w:tcPr>
          <w:p w14:paraId="3626FD9C"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Amount Invested </w:t>
            </w:r>
          </w:p>
        </w:tc>
        <w:tc>
          <w:tcPr>
            <w:tcW w:w="674" w:type="pct"/>
            <w:noWrap/>
            <w:hideMark/>
          </w:tcPr>
          <w:p w14:paraId="10DC1CEC"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Fraction </w:t>
            </w:r>
          </w:p>
        </w:tc>
        <w:tc>
          <w:tcPr>
            <w:tcW w:w="1348" w:type="pct"/>
            <w:hideMark/>
          </w:tcPr>
          <w:p w14:paraId="674E35A4"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NPV Contribution </w:t>
            </w:r>
          </w:p>
        </w:tc>
        <w:tc>
          <w:tcPr>
            <w:tcW w:w="1053" w:type="pct"/>
            <w:hideMark/>
          </w:tcPr>
          <w:p w14:paraId="3E6CBF5A"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Remaining Budget </w:t>
            </w:r>
          </w:p>
        </w:tc>
      </w:tr>
      <w:tr w:rsidR="00A31EED" w14:paraId="25A5012D" w14:textId="77777777" w:rsidTr="001F11C1">
        <w:trPr>
          <w:trHeight w:val="288"/>
        </w:trPr>
        <w:tc>
          <w:tcPr>
            <w:tcW w:w="674" w:type="pct"/>
            <w:noWrap/>
            <w:hideMark/>
          </w:tcPr>
          <w:p w14:paraId="28ECF92D"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A</w:t>
            </w:r>
          </w:p>
        </w:tc>
        <w:tc>
          <w:tcPr>
            <w:tcW w:w="1250" w:type="pct"/>
            <w:noWrap/>
            <w:hideMark/>
          </w:tcPr>
          <w:p w14:paraId="26200998"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600000</w:t>
            </w:r>
          </w:p>
        </w:tc>
        <w:tc>
          <w:tcPr>
            <w:tcW w:w="674" w:type="pct"/>
            <w:noWrap/>
            <w:hideMark/>
          </w:tcPr>
          <w:p w14:paraId="361CC251"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w:t>
            </w:r>
          </w:p>
        </w:tc>
        <w:tc>
          <w:tcPr>
            <w:tcW w:w="1348" w:type="pct"/>
            <w:noWrap/>
            <w:hideMark/>
          </w:tcPr>
          <w:p w14:paraId="08577CD0"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394650</w:t>
            </w:r>
          </w:p>
        </w:tc>
        <w:tc>
          <w:tcPr>
            <w:tcW w:w="1053" w:type="pct"/>
            <w:noWrap/>
            <w:hideMark/>
          </w:tcPr>
          <w:p w14:paraId="1F5BF3CF"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1400000</w:t>
            </w:r>
          </w:p>
        </w:tc>
      </w:tr>
      <w:tr w:rsidR="00A31EED" w14:paraId="372C933B" w14:textId="77777777" w:rsidTr="001F11C1">
        <w:trPr>
          <w:trHeight w:val="288"/>
        </w:trPr>
        <w:tc>
          <w:tcPr>
            <w:tcW w:w="674" w:type="pct"/>
            <w:noWrap/>
            <w:hideMark/>
          </w:tcPr>
          <w:p w14:paraId="462ADEEF"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 xml:space="preserve">C </w:t>
            </w:r>
          </w:p>
        </w:tc>
        <w:tc>
          <w:tcPr>
            <w:tcW w:w="1250" w:type="pct"/>
            <w:noWrap/>
            <w:hideMark/>
          </w:tcPr>
          <w:p w14:paraId="75B74A84"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1,600,000</w:t>
            </w:r>
          </w:p>
        </w:tc>
        <w:tc>
          <w:tcPr>
            <w:tcW w:w="674" w:type="pct"/>
            <w:noWrap/>
            <w:hideMark/>
          </w:tcPr>
          <w:p w14:paraId="13B2A60A"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0.875</w:t>
            </w:r>
          </w:p>
        </w:tc>
        <w:tc>
          <w:tcPr>
            <w:tcW w:w="1348" w:type="pct"/>
            <w:noWrap/>
            <w:hideMark/>
          </w:tcPr>
          <w:p w14:paraId="47987951"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862225</w:t>
            </w:r>
          </w:p>
        </w:tc>
        <w:tc>
          <w:tcPr>
            <w:tcW w:w="1053" w:type="pct"/>
            <w:noWrap/>
            <w:hideMark/>
          </w:tcPr>
          <w:p w14:paraId="3F72EE4B"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0</w:t>
            </w:r>
          </w:p>
        </w:tc>
      </w:tr>
      <w:tr w:rsidR="00A31EED" w14:paraId="02E23C10" w14:textId="77777777" w:rsidTr="001F11C1">
        <w:trPr>
          <w:trHeight w:val="288"/>
        </w:trPr>
        <w:tc>
          <w:tcPr>
            <w:tcW w:w="674" w:type="pct"/>
            <w:noWrap/>
            <w:hideMark/>
          </w:tcPr>
          <w:p w14:paraId="44190C0F"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B</w:t>
            </w:r>
          </w:p>
        </w:tc>
        <w:tc>
          <w:tcPr>
            <w:tcW w:w="1250" w:type="pct"/>
            <w:noWrap/>
            <w:hideMark/>
          </w:tcPr>
          <w:p w14:paraId="0FF07C2F"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1,000,000</w:t>
            </w:r>
          </w:p>
        </w:tc>
        <w:tc>
          <w:tcPr>
            <w:tcW w:w="674" w:type="pct"/>
            <w:noWrap/>
            <w:hideMark/>
          </w:tcPr>
          <w:p w14:paraId="17D8DDA9" w14:textId="77777777" w:rsidR="001F11C1" w:rsidRPr="002F7AF0" w:rsidRDefault="001F11C1" w:rsidP="001F11C1">
            <w:pPr>
              <w:rPr>
                <w:rFonts w:ascii="Times New Roman" w:hAnsi="Times New Roman" w:cs="Times New Roman"/>
                <w:szCs w:val="24"/>
                <w:lang w:eastAsia="en-GB"/>
              </w:rPr>
            </w:pPr>
          </w:p>
        </w:tc>
        <w:tc>
          <w:tcPr>
            <w:tcW w:w="1348" w:type="pct"/>
            <w:noWrap/>
            <w:hideMark/>
          </w:tcPr>
          <w:p w14:paraId="75BC53EA" w14:textId="77777777" w:rsidR="001F11C1" w:rsidRPr="002F7AF0" w:rsidRDefault="001F11C1" w:rsidP="001F11C1">
            <w:pPr>
              <w:rPr>
                <w:rFonts w:ascii="Times New Roman" w:hAnsi="Times New Roman" w:cs="Times New Roman"/>
                <w:szCs w:val="24"/>
                <w:lang w:eastAsia="en-GB"/>
              </w:rPr>
            </w:pPr>
          </w:p>
        </w:tc>
        <w:tc>
          <w:tcPr>
            <w:tcW w:w="1053" w:type="pct"/>
            <w:noWrap/>
            <w:hideMark/>
          </w:tcPr>
          <w:p w14:paraId="54EC28B3" w14:textId="77777777" w:rsidR="001F11C1" w:rsidRPr="002F7AF0" w:rsidRDefault="001F11C1" w:rsidP="001F11C1">
            <w:pPr>
              <w:rPr>
                <w:rFonts w:ascii="Times New Roman" w:hAnsi="Times New Roman" w:cs="Times New Roman"/>
                <w:szCs w:val="24"/>
                <w:lang w:eastAsia="en-GB"/>
              </w:rPr>
            </w:pPr>
          </w:p>
        </w:tc>
      </w:tr>
      <w:tr w:rsidR="00A31EED" w14:paraId="3A80CF01" w14:textId="77777777" w:rsidTr="001F11C1">
        <w:trPr>
          <w:trHeight w:val="288"/>
        </w:trPr>
        <w:tc>
          <w:tcPr>
            <w:tcW w:w="674" w:type="pct"/>
            <w:noWrap/>
            <w:hideMark/>
          </w:tcPr>
          <w:p w14:paraId="3C26EDE8" w14:textId="77777777" w:rsidR="001F11C1" w:rsidRPr="002F7AF0" w:rsidRDefault="001F11C1" w:rsidP="001F11C1">
            <w:pPr>
              <w:rPr>
                <w:rFonts w:ascii="Times New Roman" w:hAnsi="Times New Roman" w:cs="Times New Roman"/>
                <w:szCs w:val="24"/>
                <w:lang w:eastAsia="en-GB"/>
              </w:rPr>
            </w:pPr>
          </w:p>
        </w:tc>
        <w:tc>
          <w:tcPr>
            <w:tcW w:w="1250" w:type="pct"/>
            <w:noWrap/>
            <w:hideMark/>
          </w:tcPr>
          <w:p w14:paraId="3C81AAAF" w14:textId="77777777" w:rsidR="001F11C1" w:rsidRPr="002F7AF0" w:rsidRDefault="001F11C1" w:rsidP="001F11C1">
            <w:pPr>
              <w:rPr>
                <w:rFonts w:ascii="Times New Roman" w:hAnsi="Times New Roman" w:cs="Times New Roman"/>
                <w:szCs w:val="24"/>
                <w:lang w:eastAsia="en-GB"/>
              </w:rPr>
            </w:pPr>
          </w:p>
        </w:tc>
        <w:tc>
          <w:tcPr>
            <w:tcW w:w="674" w:type="pct"/>
            <w:noWrap/>
            <w:hideMark/>
          </w:tcPr>
          <w:p w14:paraId="557DDE67"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Total NPV</w:t>
            </w:r>
          </w:p>
        </w:tc>
        <w:tc>
          <w:tcPr>
            <w:tcW w:w="1348" w:type="pct"/>
            <w:noWrap/>
            <w:hideMark/>
          </w:tcPr>
          <w:p w14:paraId="58CA05A9" w14:textId="77777777" w:rsidR="001F11C1" w:rsidRPr="002F7AF0" w:rsidRDefault="00BA0127" w:rsidP="001F11C1">
            <w:pPr>
              <w:rPr>
                <w:rFonts w:ascii="Times New Roman" w:hAnsi="Times New Roman" w:cs="Times New Roman"/>
                <w:szCs w:val="24"/>
                <w:lang w:eastAsia="en-GB"/>
              </w:rPr>
            </w:pPr>
            <w:r w:rsidRPr="002F7AF0">
              <w:rPr>
                <w:rFonts w:ascii="Times New Roman" w:hAnsi="Times New Roman" w:cs="Times New Roman"/>
                <w:szCs w:val="24"/>
                <w:lang w:eastAsia="en-GB"/>
              </w:rPr>
              <w:t>1256875</w:t>
            </w:r>
          </w:p>
        </w:tc>
        <w:tc>
          <w:tcPr>
            <w:tcW w:w="1053" w:type="pct"/>
            <w:noWrap/>
            <w:hideMark/>
          </w:tcPr>
          <w:p w14:paraId="594801FB" w14:textId="77777777" w:rsidR="001F11C1" w:rsidRPr="002F7AF0" w:rsidRDefault="001F11C1" w:rsidP="001F11C1">
            <w:pPr>
              <w:rPr>
                <w:rFonts w:ascii="Times New Roman" w:hAnsi="Times New Roman" w:cs="Times New Roman"/>
                <w:szCs w:val="24"/>
                <w:lang w:eastAsia="en-GB"/>
              </w:rPr>
            </w:pPr>
          </w:p>
        </w:tc>
      </w:tr>
    </w:tbl>
    <w:p w14:paraId="7A922483" w14:textId="1617107E" w:rsidR="003920C8" w:rsidRDefault="003920C8" w:rsidP="008A37D1">
      <w:pPr>
        <w:jc w:val="left"/>
      </w:pPr>
    </w:p>
    <w:p w14:paraId="0DE06E78" w14:textId="77777777" w:rsidR="003920C8" w:rsidRDefault="003920C8">
      <w:pPr>
        <w:spacing w:line="259" w:lineRule="auto"/>
        <w:jc w:val="left"/>
      </w:pPr>
      <w:r>
        <w:br w:type="page"/>
      </w:r>
    </w:p>
    <w:p w14:paraId="49DBF371" w14:textId="52C3B2B4" w:rsidR="001F11C1" w:rsidRDefault="003920C8" w:rsidP="003920C8">
      <w:pPr>
        <w:pStyle w:val="Heading2"/>
      </w:pPr>
      <w:bookmarkStart w:id="32" w:name="_Toc201712008"/>
      <w:r>
        <w:lastRenderedPageBreak/>
        <w:t>Appendix 8: AI Declaration:</w:t>
      </w:r>
      <w:bookmarkEnd w:id="32"/>
    </w:p>
    <w:p w14:paraId="4A2FE2C9" w14:textId="77777777" w:rsidR="003920C8" w:rsidRPr="003920C8" w:rsidRDefault="003920C8" w:rsidP="003920C8">
      <w:pPr>
        <w:spacing w:after="0"/>
        <w:jc w:val="center"/>
        <w:rPr>
          <w:rFonts w:ascii="Times New Roman" w:hAnsi="Times New Roman" w:cs="Times New Roman"/>
          <w:b/>
          <w:bCs/>
          <w:sz w:val="28"/>
          <w:szCs w:val="28"/>
        </w:rPr>
      </w:pPr>
      <w:r w:rsidRPr="003920C8">
        <w:rPr>
          <w:rFonts w:ascii="Times New Roman" w:hAnsi="Times New Roman" w:cs="Times New Roman"/>
          <w:b/>
          <w:bCs/>
          <w:sz w:val="28"/>
          <w:szCs w:val="28"/>
        </w:rPr>
        <w:t>Acknowledgement of Not Using Any AI Tools</w:t>
      </w:r>
    </w:p>
    <w:tbl>
      <w:tblPr>
        <w:tblW w:w="9892" w:type="dxa"/>
        <w:tblCellMar>
          <w:left w:w="0" w:type="dxa"/>
          <w:right w:w="0" w:type="dxa"/>
        </w:tblCellMar>
        <w:tblLook w:val="01E0" w:firstRow="1" w:lastRow="1" w:firstColumn="1" w:lastColumn="1" w:noHBand="0" w:noVBand="0"/>
      </w:tblPr>
      <w:tblGrid>
        <w:gridCol w:w="2004"/>
        <w:gridCol w:w="7025"/>
        <w:gridCol w:w="863"/>
      </w:tblGrid>
      <w:tr w:rsidR="003920C8" w:rsidRPr="003920C8" w14:paraId="74EF656B" w14:textId="77777777" w:rsidTr="0074660F">
        <w:trPr>
          <w:trHeight w:val="684"/>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A1C1ACD"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b/>
                <w:bCs/>
                <w:szCs w:val="24"/>
                <w:lang w:val="en-US"/>
              </w:rPr>
              <w:t>RESEARCH</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33D05E3" w14:textId="77777777" w:rsidR="003920C8" w:rsidRPr="003920C8" w:rsidRDefault="003920C8" w:rsidP="003920C8">
            <w:pPr>
              <w:spacing w:after="0"/>
              <w:rPr>
                <w:rFonts w:ascii="Times New Roman" w:hAnsi="Times New Roman" w:cs="Times New Roman"/>
                <w:szCs w:val="24"/>
                <w:lang w:val="en-US"/>
              </w:rPr>
            </w:pPr>
            <w:r w:rsidRPr="003920C8">
              <w:rPr>
                <w:rFonts w:ascii="Times New Roman" w:hAnsi="Times New Roman" w:cs="Times New Roman"/>
                <w:szCs w:val="24"/>
                <w:lang w:val="en-US"/>
              </w:rPr>
              <w:t>For this assessment, you can use Generative AI to support you in research, including searching for a bibliography and using tools to summarise, compare and interrogate materials.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717A005"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Yes </w:t>
            </w:r>
            <w:r w:rsidRPr="003920C8">
              <w:rPr>
                <w:rFonts w:ascii="Segoe UI Symbol" w:hAnsi="Segoe UI Symbol" w:cs="Segoe UI Symbol"/>
                <w:szCs w:val="24"/>
                <w:lang w:val="en-US"/>
              </w:rPr>
              <w:t>☐</w:t>
            </w:r>
          </w:p>
          <w:p w14:paraId="5062AF64"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No </w:t>
            </w:r>
            <w:r w:rsidRPr="003920C8">
              <w:rPr>
                <w:rFonts w:ascii="Segoe UI Symbol" w:hAnsi="Segoe UI Symbol" w:cs="Segoe UI Symbol"/>
                <w:szCs w:val="24"/>
                <w:lang w:val="en-US"/>
              </w:rPr>
              <w:t>☐✔</w:t>
            </w:r>
          </w:p>
        </w:tc>
      </w:tr>
      <w:tr w:rsidR="003920C8" w:rsidRPr="003920C8" w14:paraId="327CD47E" w14:textId="77777777" w:rsidTr="0074660F">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F12AEC3"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b/>
                <w:bCs/>
                <w:szCs w:val="24"/>
                <w:lang w:val="en-US"/>
              </w:rPr>
              <w:t>STRUCTURE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AC7301B" w14:textId="77777777" w:rsidR="003920C8" w:rsidRPr="003920C8" w:rsidRDefault="003920C8" w:rsidP="003920C8">
            <w:pPr>
              <w:spacing w:after="0"/>
              <w:rPr>
                <w:rFonts w:ascii="Times New Roman" w:hAnsi="Times New Roman" w:cs="Times New Roman"/>
                <w:szCs w:val="24"/>
                <w:lang w:val="en-US"/>
              </w:rPr>
            </w:pPr>
            <w:r w:rsidRPr="003920C8">
              <w:rPr>
                <w:rFonts w:ascii="Times New Roman" w:hAnsi="Times New Roman" w:cs="Times New Roman"/>
                <w:szCs w:val="24"/>
                <w:lang w:val="en-US"/>
              </w:rPr>
              <w:t>For this assessment, you can use Generative AI to support you in structuring your submission, including creating a draft argument structure, identifying parts and headings, etc.</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68D374D"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Yes </w:t>
            </w:r>
            <w:r w:rsidRPr="003920C8">
              <w:rPr>
                <w:rFonts w:ascii="Segoe UI Symbol" w:hAnsi="Segoe UI Symbol" w:cs="Segoe UI Symbol"/>
                <w:szCs w:val="24"/>
                <w:lang w:val="en-US"/>
              </w:rPr>
              <w:t>☐</w:t>
            </w:r>
          </w:p>
          <w:p w14:paraId="628F675A"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No </w:t>
            </w:r>
            <w:r w:rsidRPr="003920C8">
              <w:rPr>
                <w:rFonts w:ascii="Segoe UI Symbol" w:hAnsi="Segoe UI Symbol" w:cs="Segoe UI Symbol"/>
                <w:szCs w:val="24"/>
                <w:lang w:val="en-US"/>
              </w:rPr>
              <w:t>☐✔</w:t>
            </w:r>
          </w:p>
        </w:tc>
      </w:tr>
      <w:tr w:rsidR="003920C8" w:rsidRPr="003920C8" w14:paraId="76B6B018" w14:textId="77777777" w:rsidTr="0074660F">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9F0B5B8"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b/>
                <w:bCs/>
                <w:szCs w:val="24"/>
                <w:lang w:val="en-US"/>
              </w:rPr>
              <w:t>PROOFREADING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2784CC8" w14:textId="77777777" w:rsidR="003920C8" w:rsidRPr="003920C8" w:rsidRDefault="003920C8" w:rsidP="003920C8">
            <w:pPr>
              <w:spacing w:after="0"/>
              <w:rPr>
                <w:rFonts w:ascii="Times New Roman" w:hAnsi="Times New Roman" w:cs="Times New Roman"/>
                <w:szCs w:val="24"/>
                <w:lang w:val="en-US"/>
              </w:rPr>
            </w:pPr>
            <w:r w:rsidRPr="003920C8">
              <w:rPr>
                <w:rFonts w:ascii="Times New Roman" w:hAnsi="Times New Roman" w:cs="Times New Roman"/>
                <w:szCs w:val="24"/>
                <w:lang w:val="en-US"/>
              </w:rPr>
              <w:t>For this assessment, you can use Generative AI to check your text/creation for grammatical and syntactical mistakes, including rephrasing your work within specific standards.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C264EB9"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Yes </w:t>
            </w:r>
            <w:r w:rsidRPr="003920C8">
              <w:rPr>
                <w:rFonts w:ascii="Segoe UI Symbol" w:hAnsi="Segoe UI Symbol" w:cs="Segoe UI Symbol"/>
                <w:szCs w:val="24"/>
                <w:lang w:val="en-US"/>
              </w:rPr>
              <w:t>☐</w:t>
            </w:r>
          </w:p>
          <w:p w14:paraId="64A706A4"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No </w:t>
            </w:r>
            <w:r w:rsidRPr="003920C8">
              <w:rPr>
                <w:rFonts w:ascii="Segoe UI Symbol" w:hAnsi="Segoe UI Symbol" w:cs="Segoe UI Symbol"/>
                <w:szCs w:val="24"/>
                <w:lang w:val="en-US"/>
              </w:rPr>
              <w:t>☐✔</w:t>
            </w:r>
          </w:p>
        </w:tc>
      </w:tr>
      <w:tr w:rsidR="003920C8" w:rsidRPr="003920C8" w14:paraId="411F2DB9" w14:textId="77777777" w:rsidTr="0074660F">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98E85D9"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b/>
                <w:bCs/>
                <w:szCs w:val="24"/>
                <w:lang w:val="en-US"/>
              </w:rPr>
              <w:t>WRITING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BB1BCDC" w14:textId="77777777" w:rsidR="003920C8" w:rsidRPr="003920C8" w:rsidRDefault="003920C8" w:rsidP="003920C8">
            <w:pPr>
              <w:spacing w:after="0"/>
              <w:rPr>
                <w:rFonts w:ascii="Times New Roman" w:hAnsi="Times New Roman" w:cs="Times New Roman"/>
                <w:szCs w:val="24"/>
                <w:lang w:val="en-US"/>
              </w:rPr>
            </w:pPr>
            <w:r w:rsidRPr="003920C8">
              <w:rPr>
                <w:rFonts w:ascii="Times New Roman" w:hAnsi="Times New Roman" w:cs="Times New Roman"/>
                <w:szCs w:val="24"/>
                <w:lang w:val="en-US"/>
              </w:rPr>
              <w:t>For this assessment, you can use Generative AI to create text for submission.</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CA71464"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Yes </w:t>
            </w:r>
            <w:r w:rsidRPr="003920C8">
              <w:rPr>
                <w:rFonts w:ascii="Segoe UI Symbol" w:hAnsi="Segoe UI Symbol" w:cs="Segoe UI Symbol"/>
                <w:szCs w:val="24"/>
                <w:lang w:val="en-US"/>
              </w:rPr>
              <w:t>☐</w:t>
            </w:r>
          </w:p>
          <w:p w14:paraId="30C643AE"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No </w:t>
            </w:r>
            <w:r w:rsidRPr="003920C8">
              <w:rPr>
                <w:rFonts w:ascii="Segoe UI Symbol" w:hAnsi="Segoe UI Symbol" w:cs="Segoe UI Symbol"/>
                <w:szCs w:val="24"/>
                <w:lang w:val="en-US"/>
              </w:rPr>
              <w:t>☐✔</w:t>
            </w:r>
          </w:p>
        </w:tc>
      </w:tr>
      <w:tr w:rsidR="003920C8" w:rsidRPr="003920C8" w14:paraId="64139EEB" w14:textId="77777777" w:rsidTr="0074660F">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429DEEF"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b/>
                <w:bCs/>
                <w:szCs w:val="24"/>
                <w:lang w:val="en-US"/>
              </w:rPr>
              <w:t>CREATIVE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55A50AA" w14:textId="77777777" w:rsidR="003920C8" w:rsidRPr="003920C8" w:rsidRDefault="003920C8" w:rsidP="003920C8">
            <w:pPr>
              <w:spacing w:after="0"/>
              <w:rPr>
                <w:rFonts w:ascii="Times New Roman" w:hAnsi="Times New Roman" w:cs="Times New Roman"/>
                <w:szCs w:val="24"/>
                <w:lang w:val="en-US"/>
              </w:rPr>
            </w:pPr>
            <w:r w:rsidRPr="003920C8">
              <w:rPr>
                <w:rFonts w:ascii="Times New Roman" w:hAnsi="Times New Roman" w:cs="Times New Roman"/>
                <w:szCs w:val="24"/>
                <w:lang w:val="en-US"/>
              </w:rPr>
              <w:t>For this assessment, you can use Generative AI to create creative materials, such as images.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4D55B6D"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Yes </w:t>
            </w:r>
            <w:r w:rsidRPr="003920C8">
              <w:rPr>
                <w:rFonts w:ascii="Segoe UI Symbol" w:hAnsi="Segoe UI Symbol" w:cs="Segoe UI Symbol"/>
                <w:szCs w:val="24"/>
                <w:lang w:val="en-US"/>
              </w:rPr>
              <w:t>☐</w:t>
            </w:r>
          </w:p>
          <w:p w14:paraId="68216459"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No </w:t>
            </w:r>
            <w:r w:rsidRPr="003920C8">
              <w:rPr>
                <w:rFonts w:ascii="Segoe UI Symbol" w:hAnsi="Segoe UI Symbol" w:cs="Segoe UI Symbol"/>
                <w:szCs w:val="24"/>
                <w:lang w:val="en-US"/>
              </w:rPr>
              <w:t>☐✔</w:t>
            </w:r>
          </w:p>
        </w:tc>
      </w:tr>
      <w:tr w:rsidR="003920C8" w:rsidRPr="003920C8" w14:paraId="5100EF56" w14:textId="77777777" w:rsidTr="0074660F">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FC48F7C"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b/>
                <w:bCs/>
                <w:szCs w:val="24"/>
                <w:lang w:val="en-US"/>
              </w:rPr>
              <w:t>PROGRAMMING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2C17A64" w14:textId="77777777" w:rsidR="003920C8" w:rsidRPr="003920C8" w:rsidRDefault="003920C8" w:rsidP="003920C8">
            <w:pPr>
              <w:spacing w:after="0"/>
              <w:rPr>
                <w:rFonts w:ascii="Times New Roman" w:hAnsi="Times New Roman" w:cs="Times New Roman"/>
                <w:szCs w:val="24"/>
                <w:lang w:val="en-US"/>
              </w:rPr>
            </w:pPr>
            <w:r w:rsidRPr="003920C8">
              <w:rPr>
                <w:rFonts w:ascii="Times New Roman" w:hAnsi="Times New Roman" w:cs="Times New Roman"/>
                <w:szCs w:val="24"/>
                <w:lang w:val="en-US"/>
              </w:rPr>
              <w:t>For this assessment, you can use Generative AI to create and check code.</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38108D9"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Yes </w:t>
            </w:r>
            <w:r w:rsidRPr="003920C8">
              <w:rPr>
                <w:rFonts w:ascii="Segoe UI Symbol" w:hAnsi="Segoe UI Symbol" w:cs="Segoe UI Symbol"/>
                <w:szCs w:val="24"/>
                <w:lang w:val="en-US"/>
              </w:rPr>
              <w:t>☐</w:t>
            </w:r>
          </w:p>
          <w:p w14:paraId="283D415A"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No </w:t>
            </w:r>
            <w:r w:rsidRPr="003920C8">
              <w:rPr>
                <w:rFonts w:ascii="Segoe UI Symbol" w:hAnsi="Segoe UI Symbol" w:cs="Segoe UI Symbol"/>
                <w:szCs w:val="24"/>
                <w:lang w:val="en-US"/>
              </w:rPr>
              <w:t>☐✔</w:t>
            </w:r>
          </w:p>
        </w:tc>
      </w:tr>
      <w:tr w:rsidR="003920C8" w:rsidRPr="003920C8" w14:paraId="07D56414" w14:textId="77777777" w:rsidTr="0074660F">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BEAA7AF"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b/>
                <w:bCs/>
                <w:szCs w:val="24"/>
                <w:lang w:val="en-US"/>
              </w:rPr>
              <w:t>NONE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42FBE90" w14:textId="77777777" w:rsidR="003920C8" w:rsidRPr="003920C8" w:rsidRDefault="003920C8" w:rsidP="003920C8">
            <w:pPr>
              <w:spacing w:after="0"/>
              <w:rPr>
                <w:rFonts w:ascii="Times New Roman" w:hAnsi="Times New Roman" w:cs="Times New Roman"/>
                <w:szCs w:val="24"/>
                <w:lang w:val="en-US"/>
              </w:rPr>
            </w:pPr>
            <w:r w:rsidRPr="003920C8">
              <w:rPr>
                <w:rFonts w:ascii="Times New Roman" w:hAnsi="Times New Roman" w:cs="Times New Roman"/>
                <w:szCs w:val="24"/>
                <w:lang w:val="en-US"/>
              </w:rPr>
              <w:t>For this assessment, you are not allowed to use any Generative AI support. This includes research support, structural support, writing and proofreading support, as well as creative support.</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6AE79ED"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Yes</w:t>
            </w:r>
            <w:r w:rsidRPr="003920C8">
              <w:rPr>
                <w:rFonts w:ascii="Segoe UI Symbol" w:hAnsi="Segoe UI Symbol" w:cs="Segoe UI Symbol"/>
                <w:szCs w:val="24"/>
                <w:lang w:val="en-US"/>
              </w:rPr>
              <w:t>☐✔</w:t>
            </w:r>
          </w:p>
          <w:p w14:paraId="3E8823E2" w14:textId="77777777" w:rsidR="003920C8" w:rsidRPr="003920C8" w:rsidRDefault="003920C8" w:rsidP="003920C8">
            <w:pPr>
              <w:spacing w:after="0"/>
              <w:jc w:val="left"/>
              <w:rPr>
                <w:rFonts w:ascii="Times New Roman" w:hAnsi="Times New Roman" w:cs="Times New Roman"/>
                <w:szCs w:val="24"/>
                <w:lang w:val="en-US"/>
              </w:rPr>
            </w:pPr>
            <w:r w:rsidRPr="003920C8">
              <w:rPr>
                <w:rFonts w:ascii="Times New Roman" w:hAnsi="Times New Roman" w:cs="Times New Roman"/>
                <w:szCs w:val="24"/>
                <w:lang w:val="en-US"/>
              </w:rPr>
              <w:t xml:space="preserve">No </w:t>
            </w:r>
            <w:r w:rsidRPr="003920C8">
              <w:rPr>
                <w:rFonts w:ascii="Segoe UI Symbol" w:hAnsi="Segoe UI Symbol" w:cs="Segoe UI Symbol"/>
                <w:szCs w:val="24"/>
                <w:lang w:val="en-US"/>
              </w:rPr>
              <w:t>☐</w:t>
            </w:r>
          </w:p>
        </w:tc>
      </w:tr>
    </w:tbl>
    <w:p w14:paraId="206D17FA" w14:textId="19685EC9" w:rsidR="003920C8" w:rsidRPr="003920C8" w:rsidRDefault="003920C8" w:rsidP="003920C8">
      <w:pPr>
        <w:spacing w:after="0"/>
        <w:rPr>
          <w:rFonts w:ascii="Times New Roman" w:hAnsi="Times New Roman" w:cs="Times New Roman"/>
          <w:szCs w:val="24"/>
        </w:rPr>
      </w:pPr>
      <w:r w:rsidRPr="003920C8">
        <w:rPr>
          <w:rFonts w:ascii="Times New Roman" w:hAnsi="Times New Roman" w:cs="Times New Roman"/>
          <w:szCs w:val="24"/>
        </w:rPr>
        <w:t>I acknowledge the use of Grammarly (https://www.grammarly.com/) on</w:t>
      </w:r>
      <w:r w:rsidR="000F4A1A">
        <w:rPr>
          <w:rFonts w:ascii="Times New Roman" w:hAnsi="Times New Roman" w:cs="Times New Roman"/>
          <w:szCs w:val="24"/>
        </w:rPr>
        <w:t>7th</w:t>
      </w:r>
      <w:r w:rsidR="0020302F">
        <w:rPr>
          <w:rFonts w:ascii="Times New Roman" w:hAnsi="Times New Roman" w:cs="Times New Roman"/>
          <w:szCs w:val="24"/>
        </w:rPr>
        <w:t xml:space="preserve"> July </w:t>
      </w:r>
      <w:r w:rsidR="0020302F" w:rsidRPr="003920C8">
        <w:rPr>
          <w:rFonts w:ascii="Times New Roman" w:hAnsi="Times New Roman" w:cs="Times New Roman"/>
          <w:szCs w:val="24"/>
        </w:rPr>
        <w:t>2025</w:t>
      </w:r>
      <w:r w:rsidRPr="003920C8">
        <w:rPr>
          <w:rFonts w:ascii="Times New Roman" w:hAnsi="Times New Roman" w:cs="Times New Roman"/>
          <w:szCs w:val="24"/>
        </w:rPr>
        <w:t xml:space="preserve"> to check my work using the prompt(s): </w:t>
      </w:r>
    </w:p>
    <w:p w14:paraId="143D9AF4" w14:textId="77777777" w:rsidR="003920C8" w:rsidRPr="003920C8" w:rsidRDefault="003920C8" w:rsidP="003920C8">
      <w:pPr>
        <w:numPr>
          <w:ilvl w:val="1"/>
          <w:numId w:val="11"/>
        </w:numPr>
        <w:spacing w:after="0"/>
        <w:jc w:val="left"/>
        <w:rPr>
          <w:rFonts w:ascii="Times New Roman" w:hAnsi="Times New Roman" w:cs="Times New Roman"/>
          <w:szCs w:val="24"/>
        </w:rPr>
      </w:pPr>
      <w:r w:rsidRPr="003920C8">
        <w:rPr>
          <w:rFonts w:ascii="Times New Roman" w:hAnsi="Times New Roman" w:cs="Times New Roman"/>
          <w:szCs w:val="24"/>
        </w:rPr>
        <w:t>Report</w:t>
      </w:r>
    </w:p>
    <w:p w14:paraId="1A6E40E9" w14:textId="77777777" w:rsidR="003920C8" w:rsidRPr="003920C8" w:rsidRDefault="003920C8" w:rsidP="003920C8">
      <w:pPr>
        <w:numPr>
          <w:ilvl w:val="1"/>
          <w:numId w:val="11"/>
        </w:numPr>
        <w:spacing w:after="0"/>
        <w:jc w:val="left"/>
        <w:rPr>
          <w:rFonts w:ascii="Times New Roman" w:hAnsi="Times New Roman" w:cs="Times New Roman"/>
          <w:szCs w:val="24"/>
        </w:rPr>
      </w:pPr>
      <w:r w:rsidRPr="003920C8">
        <w:rPr>
          <w:rFonts w:ascii="Times New Roman" w:hAnsi="Times New Roman" w:cs="Times New Roman"/>
          <w:szCs w:val="24"/>
        </w:rPr>
        <w:t xml:space="preserve">UK English </w:t>
      </w:r>
    </w:p>
    <w:p w14:paraId="12BCDBF3" w14:textId="77777777" w:rsidR="003920C8" w:rsidRPr="003920C8" w:rsidRDefault="003920C8" w:rsidP="003920C8">
      <w:pPr>
        <w:spacing w:after="0"/>
        <w:rPr>
          <w:rFonts w:ascii="Times New Roman" w:hAnsi="Times New Roman" w:cs="Times New Roman"/>
          <w:szCs w:val="24"/>
        </w:rPr>
      </w:pPr>
      <w:r w:rsidRPr="003920C8">
        <w:rPr>
          <w:rFonts w:ascii="Times New Roman" w:hAnsi="Times New Roman" w:cs="Times New Roman"/>
          <w:szCs w:val="24"/>
        </w:rPr>
        <w:t>I certify that no artificial intelligence (AI) tools were used in the research or development of this assignment. I certify that I have not claimed any content generated by AI as my own. I affirm that I have copies of the notes, drafts, and other materials I utilised; I have been said to present these as proof.</w:t>
      </w:r>
    </w:p>
    <w:p w14:paraId="268B4B20" w14:textId="77777777" w:rsidR="003920C8" w:rsidRDefault="003920C8" w:rsidP="008A37D1">
      <w:pPr>
        <w:jc w:val="left"/>
      </w:pPr>
    </w:p>
    <w:sectPr w:rsidR="003920C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B4742" w14:textId="77777777" w:rsidR="00E5704D" w:rsidRDefault="00E5704D">
      <w:pPr>
        <w:spacing w:after="0" w:line="240" w:lineRule="auto"/>
      </w:pPr>
      <w:r>
        <w:separator/>
      </w:r>
    </w:p>
  </w:endnote>
  <w:endnote w:type="continuationSeparator" w:id="0">
    <w:p w14:paraId="62492923" w14:textId="77777777" w:rsidR="00E5704D" w:rsidRDefault="00E57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090389"/>
      <w:docPartObj>
        <w:docPartGallery w:val="Page Numbers (Bottom of Page)"/>
        <w:docPartUnique/>
      </w:docPartObj>
    </w:sdtPr>
    <w:sdtEndPr>
      <w:rPr>
        <w:noProof/>
      </w:rPr>
    </w:sdtEndPr>
    <w:sdtContent>
      <w:p w14:paraId="3F3EA8C0" w14:textId="77777777" w:rsidR="0074660F" w:rsidRDefault="007466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DCB2D4" w14:textId="77777777" w:rsidR="0074660F" w:rsidRDefault="00746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9E8EA" w14:textId="77777777" w:rsidR="00E5704D" w:rsidRDefault="00E5704D">
      <w:pPr>
        <w:spacing w:after="0" w:line="240" w:lineRule="auto"/>
      </w:pPr>
      <w:r>
        <w:separator/>
      </w:r>
    </w:p>
  </w:footnote>
  <w:footnote w:type="continuationSeparator" w:id="0">
    <w:p w14:paraId="6D74A5BF" w14:textId="77777777" w:rsidR="00E5704D" w:rsidRDefault="00E57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26D6C"/>
    <w:multiLevelType w:val="multilevel"/>
    <w:tmpl w:val="B776985A"/>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47C80554"/>
    <w:multiLevelType w:val="hybridMultilevel"/>
    <w:tmpl w:val="4B321952"/>
    <w:lvl w:ilvl="0" w:tplc="626A1426">
      <w:start w:val="1"/>
      <w:numFmt w:val="bullet"/>
      <w:lvlText w:val=""/>
      <w:lvlJc w:val="left"/>
      <w:pPr>
        <w:ind w:left="360" w:hanging="360"/>
      </w:pPr>
      <w:rPr>
        <w:rFonts w:ascii="Symbol" w:hAnsi="Symbol" w:hint="default"/>
      </w:rPr>
    </w:lvl>
    <w:lvl w:ilvl="1" w:tplc="70A60116" w:tentative="1">
      <w:start w:val="1"/>
      <w:numFmt w:val="bullet"/>
      <w:lvlText w:val="o"/>
      <w:lvlJc w:val="left"/>
      <w:pPr>
        <w:ind w:left="1440" w:hanging="360"/>
      </w:pPr>
      <w:rPr>
        <w:rFonts w:ascii="Courier New" w:hAnsi="Courier New" w:cs="Courier New" w:hint="default"/>
      </w:rPr>
    </w:lvl>
    <w:lvl w:ilvl="2" w:tplc="0FD0D9BA" w:tentative="1">
      <w:start w:val="1"/>
      <w:numFmt w:val="bullet"/>
      <w:lvlText w:val=""/>
      <w:lvlJc w:val="left"/>
      <w:pPr>
        <w:ind w:left="2160" w:hanging="360"/>
      </w:pPr>
      <w:rPr>
        <w:rFonts w:ascii="Wingdings" w:hAnsi="Wingdings" w:hint="default"/>
      </w:rPr>
    </w:lvl>
    <w:lvl w:ilvl="3" w:tplc="4FB68A7E" w:tentative="1">
      <w:start w:val="1"/>
      <w:numFmt w:val="bullet"/>
      <w:lvlText w:val=""/>
      <w:lvlJc w:val="left"/>
      <w:pPr>
        <w:ind w:left="2880" w:hanging="360"/>
      </w:pPr>
      <w:rPr>
        <w:rFonts w:ascii="Symbol" w:hAnsi="Symbol" w:hint="default"/>
      </w:rPr>
    </w:lvl>
    <w:lvl w:ilvl="4" w:tplc="A91871C6" w:tentative="1">
      <w:start w:val="1"/>
      <w:numFmt w:val="bullet"/>
      <w:lvlText w:val="o"/>
      <w:lvlJc w:val="left"/>
      <w:pPr>
        <w:ind w:left="3600" w:hanging="360"/>
      </w:pPr>
      <w:rPr>
        <w:rFonts w:ascii="Courier New" w:hAnsi="Courier New" w:cs="Courier New" w:hint="default"/>
      </w:rPr>
    </w:lvl>
    <w:lvl w:ilvl="5" w:tplc="417CAA84" w:tentative="1">
      <w:start w:val="1"/>
      <w:numFmt w:val="bullet"/>
      <w:lvlText w:val=""/>
      <w:lvlJc w:val="left"/>
      <w:pPr>
        <w:ind w:left="4320" w:hanging="360"/>
      </w:pPr>
      <w:rPr>
        <w:rFonts w:ascii="Wingdings" w:hAnsi="Wingdings" w:hint="default"/>
      </w:rPr>
    </w:lvl>
    <w:lvl w:ilvl="6" w:tplc="00843DEC" w:tentative="1">
      <w:start w:val="1"/>
      <w:numFmt w:val="bullet"/>
      <w:lvlText w:val=""/>
      <w:lvlJc w:val="left"/>
      <w:pPr>
        <w:ind w:left="5040" w:hanging="360"/>
      </w:pPr>
      <w:rPr>
        <w:rFonts w:ascii="Symbol" w:hAnsi="Symbol" w:hint="default"/>
      </w:rPr>
    </w:lvl>
    <w:lvl w:ilvl="7" w:tplc="EBEA093A" w:tentative="1">
      <w:start w:val="1"/>
      <w:numFmt w:val="bullet"/>
      <w:lvlText w:val="o"/>
      <w:lvlJc w:val="left"/>
      <w:pPr>
        <w:ind w:left="5760" w:hanging="360"/>
      </w:pPr>
      <w:rPr>
        <w:rFonts w:ascii="Courier New" w:hAnsi="Courier New" w:cs="Courier New" w:hint="default"/>
      </w:rPr>
    </w:lvl>
    <w:lvl w:ilvl="8" w:tplc="765296DA" w:tentative="1">
      <w:start w:val="1"/>
      <w:numFmt w:val="bullet"/>
      <w:lvlText w:val=""/>
      <w:lvlJc w:val="left"/>
      <w:pPr>
        <w:ind w:left="6480" w:hanging="360"/>
      </w:pPr>
      <w:rPr>
        <w:rFonts w:ascii="Wingdings" w:hAnsi="Wingdings" w:hint="default"/>
      </w:rPr>
    </w:lvl>
  </w:abstractNum>
  <w:abstractNum w:abstractNumId="2" w15:restartNumberingAfterBreak="0">
    <w:nsid w:val="4CBF7385"/>
    <w:multiLevelType w:val="hybridMultilevel"/>
    <w:tmpl w:val="E69CA550"/>
    <w:lvl w:ilvl="0" w:tplc="DB306EFC">
      <w:start w:val="1"/>
      <w:numFmt w:val="bullet"/>
      <w:lvlText w:val=""/>
      <w:lvlJc w:val="left"/>
      <w:pPr>
        <w:ind w:left="360" w:hanging="360"/>
      </w:pPr>
      <w:rPr>
        <w:rFonts w:ascii="Symbol" w:hAnsi="Symbol" w:hint="default"/>
      </w:rPr>
    </w:lvl>
    <w:lvl w:ilvl="1" w:tplc="2FBCCBDA" w:tentative="1">
      <w:start w:val="1"/>
      <w:numFmt w:val="bullet"/>
      <w:lvlText w:val="o"/>
      <w:lvlJc w:val="left"/>
      <w:pPr>
        <w:ind w:left="1440" w:hanging="360"/>
      </w:pPr>
      <w:rPr>
        <w:rFonts w:ascii="Courier New" w:hAnsi="Courier New" w:cs="Courier New" w:hint="default"/>
      </w:rPr>
    </w:lvl>
    <w:lvl w:ilvl="2" w:tplc="DFD8065C" w:tentative="1">
      <w:start w:val="1"/>
      <w:numFmt w:val="bullet"/>
      <w:lvlText w:val=""/>
      <w:lvlJc w:val="left"/>
      <w:pPr>
        <w:ind w:left="2160" w:hanging="360"/>
      </w:pPr>
      <w:rPr>
        <w:rFonts w:ascii="Wingdings" w:hAnsi="Wingdings" w:hint="default"/>
      </w:rPr>
    </w:lvl>
    <w:lvl w:ilvl="3" w:tplc="3716C4AC" w:tentative="1">
      <w:start w:val="1"/>
      <w:numFmt w:val="bullet"/>
      <w:lvlText w:val=""/>
      <w:lvlJc w:val="left"/>
      <w:pPr>
        <w:ind w:left="2880" w:hanging="360"/>
      </w:pPr>
      <w:rPr>
        <w:rFonts w:ascii="Symbol" w:hAnsi="Symbol" w:hint="default"/>
      </w:rPr>
    </w:lvl>
    <w:lvl w:ilvl="4" w:tplc="9AC889D4" w:tentative="1">
      <w:start w:val="1"/>
      <w:numFmt w:val="bullet"/>
      <w:lvlText w:val="o"/>
      <w:lvlJc w:val="left"/>
      <w:pPr>
        <w:ind w:left="3600" w:hanging="360"/>
      </w:pPr>
      <w:rPr>
        <w:rFonts w:ascii="Courier New" w:hAnsi="Courier New" w:cs="Courier New" w:hint="default"/>
      </w:rPr>
    </w:lvl>
    <w:lvl w:ilvl="5" w:tplc="19DE9DC6" w:tentative="1">
      <w:start w:val="1"/>
      <w:numFmt w:val="bullet"/>
      <w:lvlText w:val=""/>
      <w:lvlJc w:val="left"/>
      <w:pPr>
        <w:ind w:left="4320" w:hanging="360"/>
      </w:pPr>
      <w:rPr>
        <w:rFonts w:ascii="Wingdings" w:hAnsi="Wingdings" w:hint="default"/>
      </w:rPr>
    </w:lvl>
    <w:lvl w:ilvl="6" w:tplc="462EBABC" w:tentative="1">
      <w:start w:val="1"/>
      <w:numFmt w:val="bullet"/>
      <w:lvlText w:val=""/>
      <w:lvlJc w:val="left"/>
      <w:pPr>
        <w:ind w:left="5040" w:hanging="360"/>
      </w:pPr>
      <w:rPr>
        <w:rFonts w:ascii="Symbol" w:hAnsi="Symbol" w:hint="default"/>
      </w:rPr>
    </w:lvl>
    <w:lvl w:ilvl="7" w:tplc="4EBA8FC8" w:tentative="1">
      <w:start w:val="1"/>
      <w:numFmt w:val="bullet"/>
      <w:lvlText w:val="o"/>
      <w:lvlJc w:val="left"/>
      <w:pPr>
        <w:ind w:left="5760" w:hanging="360"/>
      </w:pPr>
      <w:rPr>
        <w:rFonts w:ascii="Courier New" w:hAnsi="Courier New" w:cs="Courier New" w:hint="default"/>
      </w:rPr>
    </w:lvl>
    <w:lvl w:ilvl="8" w:tplc="9258D23E" w:tentative="1">
      <w:start w:val="1"/>
      <w:numFmt w:val="bullet"/>
      <w:lvlText w:val=""/>
      <w:lvlJc w:val="left"/>
      <w:pPr>
        <w:ind w:left="6480" w:hanging="360"/>
      </w:pPr>
      <w:rPr>
        <w:rFonts w:ascii="Wingdings" w:hAnsi="Wingdings" w:hint="default"/>
      </w:rPr>
    </w:lvl>
  </w:abstractNum>
  <w:abstractNum w:abstractNumId="3" w15:restartNumberingAfterBreak="0">
    <w:nsid w:val="53465EF5"/>
    <w:multiLevelType w:val="hybridMultilevel"/>
    <w:tmpl w:val="45C85BC8"/>
    <w:lvl w:ilvl="0" w:tplc="2B4EAC8E">
      <w:start w:val="1"/>
      <w:numFmt w:val="bullet"/>
      <w:lvlText w:val=""/>
      <w:lvlJc w:val="left"/>
      <w:pPr>
        <w:ind w:left="360" w:hanging="360"/>
      </w:pPr>
      <w:rPr>
        <w:rFonts w:ascii="Symbol" w:hAnsi="Symbol" w:hint="default"/>
      </w:rPr>
    </w:lvl>
    <w:lvl w:ilvl="1" w:tplc="3B0CB170" w:tentative="1">
      <w:start w:val="1"/>
      <w:numFmt w:val="bullet"/>
      <w:lvlText w:val="o"/>
      <w:lvlJc w:val="left"/>
      <w:pPr>
        <w:ind w:left="1440" w:hanging="360"/>
      </w:pPr>
      <w:rPr>
        <w:rFonts w:ascii="Courier New" w:hAnsi="Courier New" w:cs="Courier New" w:hint="default"/>
      </w:rPr>
    </w:lvl>
    <w:lvl w:ilvl="2" w:tplc="8EAAB3C6" w:tentative="1">
      <w:start w:val="1"/>
      <w:numFmt w:val="bullet"/>
      <w:lvlText w:val=""/>
      <w:lvlJc w:val="left"/>
      <w:pPr>
        <w:ind w:left="2160" w:hanging="360"/>
      </w:pPr>
      <w:rPr>
        <w:rFonts w:ascii="Wingdings" w:hAnsi="Wingdings" w:hint="default"/>
      </w:rPr>
    </w:lvl>
    <w:lvl w:ilvl="3" w:tplc="2236D1CA" w:tentative="1">
      <w:start w:val="1"/>
      <w:numFmt w:val="bullet"/>
      <w:lvlText w:val=""/>
      <w:lvlJc w:val="left"/>
      <w:pPr>
        <w:ind w:left="2880" w:hanging="360"/>
      </w:pPr>
      <w:rPr>
        <w:rFonts w:ascii="Symbol" w:hAnsi="Symbol" w:hint="default"/>
      </w:rPr>
    </w:lvl>
    <w:lvl w:ilvl="4" w:tplc="B3CAF07C" w:tentative="1">
      <w:start w:val="1"/>
      <w:numFmt w:val="bullet"/>
      <w:lvlText w:val="o"/>
      <w:lvlJc w:val="left"/>
      <w:pPr>
        <w:ind w:left="3600" w:hanging="360"/>
      </w:pPr>
      <w:rPr>
        <w:rFonts w:ascii="Courier New" w:hAnsi="Courier New" w:cs="Courier New" w:hint="default"/>
      </w:rPr>
    </w:lvl>
    <w:lvl w:ilvl="5" w:tplc="8C7AAD3C" w:tentative="1">
      <w:start w:val="1"/>
      <w:numFmt w:val="bullet"/>
      <w:lvlText w:val=""/>
      <w:lvlJc w:val="left"/>
      <w:pPr>
        <w:ind w:left="4320" w:hanging="360"/>
      </w:pPr>
      <w:rPr>
        <w:rFonts w:ascii="Wingdings" w:hAnsi="Wingdings" w:hint="default"/>
      </w:rPr>
    </w:lvl>
    <w:lvl w:ilvl="6" w:tplc="65E43CEE" w:tentative="1">
      <w:start w:val="1"/>
      <w:numFmt w:val="bullet"/>
      <w:lvlText w:val=""/>
      <w:lvlJc w:val="left"/>
      <w:pPr>
        <w:ind w:left="5040" w:hanging="360"/>
      </w:pPr>
      <w:rPr>
        <w:rFonts w:ascii="Symbol" w:hAnsi="Symbol" w:hint="default"/>
      </w:rPr>
    </w:lvl>
    <w:lvl w:ilvl="7" w:tplc="F60A79E4" w:tentative="1">
      <w:start w:val="1"/>
      <w:numFmt w:val="bullet"/>
      <w:lvlText w:val="o"/>
      <w:lvlJc w:val="left"/>
      <w:pPr>
        <w:ind w:left="5760" w:hanging="360"/>
      </w:pPr>
      <w:rPr>
        <w:rFonts w:ascii="Courier New" w:hAnsi="Courier New" w:cs="Courier New" w:hint="default"/>
      </w:rPr>
    </w:lvl>
    <w:lvl w:ilvl="8" w:tplc="B246CA8A" w:tentative="1">
      <w:start w:val="1"/>
      <w:numFmt w:val="bullet"/>
      <w:lvlText w:val=""/>
      <w:lvlJc w:val="left"/>
      <w:pPr>
        <w:ind w:left="6480" w:hanging="360"/>
      </w:pPr>
      <w:rPr>
        <w:rFonts w:ascii="Wingdings" w:hAnsi="Wingdings" w:hint="default"/>
      </w:rPr>
    </w:lvl>
  </w:abstractNum>
  <w:abstractNum w:abstractNumId="4" w15:restartNumberingAfterBreak="0">
    <w:nsid w:val="56B407B1"/>
    <w:multiLevelType w:val="hybridMultilevel"/>
    <w:tmpl w:val="A116792C"/>
    <w:lvl w:ilvl="0" w:tplc="EF32D16E">
      <w:start w:val="1"/>
      <w:numFmt w:val="bullet"/>
      <w:lvlText w:val=""/>
      <w:lvlJc w:val="left"/>
      <w:pPr>
        <w:ind w:left="360" w:hanging="360"/>
      </w:pPr>
      <w:rPr>
        <w:rFonts w:ascii="Symbol" w:hAnsi="Symbol" w:hint="default"/>
      </w:rPr>
    </w:lvl>
    <w:lvl w:ilvl="1" w:tplc="E264B402" w:tentative="1">
      <w:start w:val="1"/>
      <w:numFmt w:val="bullet"/>
      <w:lvlText w:val="o"/>
      <w:lvlJc w:val="left"/>
      <w:pPr>
        <w:ind w:left="1440" w:hanging="360"/>
      </w:pPr>
      <w:rPr>
        <w:rFonts w:ascii="Courier New" w:hAnsi="Courier New" w:cs="Courier New" w:hint="default"/>
      </w:rPr>
    </w:lvl>
    <w:lvl w:ilvl="2" w:tplc="65CCD060" w:tentative="1">
      <w:start w:val="1"/>
      <w:numFmt w:val="bullet"/>
      <w:lvlText w:val=""/>
      <w:lvlJc w:val="left"/>
      <w:pPr>
        <w:ind w:left="2160" w:hanging="360"/>
      </w:pPr>
      <w:rPr>
        <w:rFonts w:ascii="Wingdings" w:hAnsi="Wingdings" w:hint="default"/>
      </w:rPr>
    </w:lvl>
    <w:lvl w:ilvl="3" w:tplc="8AE017F4" w:tentative="1">
      <w:start w:val="1"/>
      <w:numFmt w:val="bullet"/>
      <w:lvlText w:val=""/>
      <w:lvlJc w:val="left"/>
      <w:pPr>
        <w:ind w:left="2880" w:hanging="360"/>
      </w:pPr>
      <w:rPr>
        <w:rFonts w:ascii="Symbol" w:hAnsi="Symbol" w:hint="default"/>
      </w:rPr>
    </w:lvl>
    <w:lvl w:ilvl="4" w:tplc="3E20CD02" w:tentative="1">
      <w:start w:val="1"/>
      <w:numFmt w:val="bullet"/>
      <w:lvlText w:val="o"/>
      <w:lvlJc w:val="left"/>
      <w:pPr>
        <w:ind w:left="3600" w:hanging="360"/>
      </w:pPr>
      <w:rPr>
        <w:rFonts w:ascii="Courier New" w:hAnsi="Courier New" w:cs="Courier New" w:hint="default"/>
      </w:rPr>
    </w:lvl>
    <w:lvl w:ilvl="5" w:tplc="6FEC0D2E" w:tentative="1">
      <w:start w:val="1"/>
      <w:numFmt w:val="bullet"/>
      <w:lvlText w:val=""/>
      <w:lvlJc w:val="left"/>
      <w:pPr>
        <w:ind w:left="4320" w:hanging="360"/>
      </w:pPr>
      <w:rPr>
        <w:rFonts w:ascii="Wingdings" w:hAnsi="Wingdings" w:hint="default"/>
      </w:rPr>
    </w:lvl>
    <w:lvl w:ilvl="6" w:tplc="E3E8DFE8" w:tentative="1">
      <w:start w:val="1"/>
      <w:numFmt w:val="bullet"/>
      <w:lvlText w:val=""/>
      <w:lvlJc w:val="left"/>
      <w:pPr>
        <w:ind w:left="5040" w:hanging="360"/>
      </w:pPr>
      <w:rPr>
        <w:rFonts w:ascii="Symbol" w:hAnsi="Symbol" w:hint="default"/>
      </w:rPr>
    </w:lvl>
    <w:lvl w:ilvl="7" w:tplc="4FF03E4E" w:tentative="1">
      <w:start w:val="1"/>
      <w:numFmt w:val="bullet"/>
      <w:lvlText w:val="o"/>
      <w:lvlJc w:val="left"/>
      <w:pPr>
        <w:ind w:left="5760" w:hanging="360"/>
      </w:pPr>
      <w:rPr>
        <w:rFonts w:ascii="Courier New" w:hAnsi="Courier New" w:cs="Courier New" w:hint="default"/>
      </w:rPr>
    </w:lvl>
    <w:lvl w:ilvl="8" w:tplc="B1EADADC" w:tentative="1">
      <w:start w:val="1"/>
      <w:numFmt w:val="bullet"/>
      <w:lvlText w:val=""/>
      <w:lvlJc w:val="left"/>
      <w:pPr>
        <w:ind w:left="6480" w:hanging="360"/>
      </w:pPr>
      <w:rPr>
        <w:rFonts w:ascii="Wingdings" w:hAnsi="Wingdings" w:hint="default"/>
      </w:rPr>
    </w:lvl>
  </w:abstractNum>
  <w:abstractNum w:abstractNumId="5" w15:restartNumberingAfterBreak="0">
    <w:nsid w:val="5CB96169"/>
    <w:multiLevelType w:val="hybridMultilevel"/>
    <w:tmpl w:val="BC5EF1BE"/>
    <w:lvl w:ilvl="0" w:tplc="9BB2A2C8">
      <w:start w:val="1"/>
      <w:numFmt w:val="bullet"/>
      <w:lvlText w:val=""/>
      <w:lvlJc w:val="left"/>
      <w:pPr>
        <w:ind w:left="360" w:hanging="360"/>
      </w:pPr>
      <w:rPr>
        <w:rFonts w:ascii="Wingdings" w:hAnsi="Wingdings" w:hint="default"/>
      </w:rPr>
    </w:lvl>
    <w:lvl w:ilvl="1" w:tplc="854C3C42" w:tentative="1">
      <w:start w:val="1"/>
      <w:numFmt w:val="bullet"/>
      <w:lvlText w:val="o"/>
      <w:lvlJc w:val="left"/>
      <w:pPr>
        <w:ind w:left="1440" w:hanging="360"/>
      </w:pPr>
      <w:rPr>
        <w:rFonts w:ascii="Courier New" w:hAnsi="Courier New" w:cs="Courier New" w:hint="default"/>
      </w:rPr>
    </w:lvl>
    <w:lvl w:ilvl="2" w:tplc="2460D50A" w:tentative="1">
      <w:start w:val="1"/>
      <w:numFmt w:val="bullet"/>
      <w:lvlText w:val=""/>
      <w:lvlJc w:val="left"/>
      <w:pPr>
        <w:ind w:left="2160" w:hanging="360"/>
      </w:pPr>
      <w:rPr>
        <w:rFonts w:ascii="Wingdings" w:hAnsi="Wingdings" w:hint="default"/>
      </w:rPr>
    </w:lvl>
    <w:lvl w:ilvl="3" w:tplc="89CCE328" w:tentative="1">
      <w:start w:val="1"/>
      <w:numFmt w:val="bullet"/>
      <w:lvlText w:val=""/>
      <w:lvlJc w:val="left"/>
      <w:pPr>
        <w:ind w:left="2880" w:hanging="360"/>
      </w:pPr>
      <w:rPr>
        <w:rFonts w:ascii="Symbol" w:hAnsi="Symbol" w:hint="default"/>
      </w:rPr>
    </w:lvl>
    <w:lvl w:ilvl="4" w:tplc="3934DCA0" w:tentative="1">
      <w:start w:val="1"/>
      <w:numFmt w:val="bullet"/>
      <w:lvlText w:val="o"/>
      <w:lvlJc w:val="left"/>
      <w:pPr>
        <w:ind w:left="3600" w:hanging="360"/>
      </w:pPr>
      <w:rPr>
        <w:rFonts w:ascii="Courier New" w:hAnsi="Courier New" w:cs="Courier New" w:hint="default"/>
      </w:rPr>
    </w:lvl>
    <w:lvl w:ilvl="5" w:tplc="8460C472" w:tentative="1">
      <w:start w:val="1"/>
      <w:numFmt w:val="bullet"/>
      <w:lvlText w:val=""/>
      <w:lvlJc w:val="left"/>
      <w:pPr>
        <w:ind w:left="4320" w:hanging="360"/>
      </w:pPr>
      <w:rPr>
        <w:rFonts w:ascii="Wingdings" w:hAnsi="Wingdings" w:hint="default"/>
      </w:rPr>
    </w:lvl>
    <w:lvl w:ilvl="6" w:tplc="DF2E6266" w:tentative="1">
      <w:start w:val="1"/>
      <w:numFmt w:val="bullet"/>
      <w:lvlText w:val=""/>
      <w:lvlJc w:val="left"/>
      <w:pPr>
        <w:ind w:left="5040" w:hanging="360"/>
      </w:pPr>
      <w:rPr>
        <w:rFonts w:ascii="Symbol" w:hAnsi="Symbol" w:hint="default"/>
      </w:rPr>
    </w:lvl>
    <w:lvl w:ilvl="7" w:tplc="5CD619B4" w:tentative="1">
      <w:start w:val="1"/>
      <w:numFmt w:val="bullet"/>
      <w:lvlText w:val="o"/>
      <w:lvlJc w:val="left"/>
      <w:pPr>
        <w:ind w:left="5760" w:hanging="360"/>
      </w:pPr>
      <w:rPr>
        <w:rFonts w:ascii="Courier New" w:hAnsi="Courier New" w:cs="Courier New" w:hint="default"/>
      </w:rPr>
    </w:lvl>
    <w:lvl w:ilvl="8" w:tplc="5984787C" w:tentative="1">
      <w:start w:val="1"/>
      <w:numFmt w:val="bullet"/>
      <w:lvlText w:val=""/>
      <w:lvlJc w:val="left"/>
      <w:pPr>
        <w:ind w:left="6480" w:hanging="360"/>
      </w:pPr>
      <w:rPr>
        <w:rFonts w:ascii="Wingdings" w:hAnsi="Wingdings" w:hint="default"/>
      </w:rPr>
    </w:lvl>
  </w:abstractNum>
  <w:abstractNum w:abstractNumId="6" w15:restartNumberingAfterBreak="0">
    <w:nsid w:val="6C4B3FFA"/>
    <w:multiLevelType w:val="hybridMultilevel"/>
    <w:tmpl w:val="2D6E4636"/>
    <w:lvl w:ilvl="0" w:tplc="54ACA954">
      <w:start w:val="1"/>
      <w:numFmt w:val="bullet"/>
      <w:lvlText w:val=""/>
      <w:lvlJc w:val="left"/>
      <w:pPr>
        <w:ind w:left="360" w:hanging="360"/>
      </w:pPr>
      <w:rPr>
        <w:rFonts w:ascii="Wingdings" w:hAnsi="Wingdings" w:hint="default"/>
      </w:rPr>
    </w:lvl>
    <w:lvl w:ilvl="1" w:tplc="7F9AA048" w:tentative="1">
      <w:start w:val="1"/>
      <w:numFmt w:val="bullet"/>
      <w:lvlText w:val="o"/>
      <w:lvlJc w:val="left"/>
      <w:pPr>
        <w:ind w:left="1440" w:hanging="360"/>
      </w:pPr>
      <w:rPr>
        <w:rFonts w:ascii="Courier New" w:hAnsi="Courier New" w:cs="Courier New" w:hint="default"/>
      </w:rPr>
    </w:lvl>
    <w:lvl w:ilvl="2" w:tplc="9914390A" w:tentative="1">
      <w:start w:val="1"/>
      <w:numFmt w:val="bullet"/>
      <w:lvlText w:val=""/>
      <w:lvlJc w:val="left"/>
      <w:pPr>
        <w:ind w:left="2160" w:hanging="360"/>
      </w:pPr>
      <w:rPr>
        <w:rFonts w:ascii="Wingdings" w:hAnsi="Wingdings" w:hint="default"/>
      </w:rPr>
    </w:lvl>
    <w:lvl w:ilvl="3" w:tplc="8604C478" w:tentative="1">
      <w:start w:val="1"/>
      <w:numFmt w:val="bullet"/>
      <w:lvlText w:val=""/>
      <w:lvlJc w:val="left"/>
      <w:pPr>
        <w:ind w:left="2880" w:hanging="360"/>
      </w:pPr>
      <w:rPr>
        <w:rFonts w:ascii="Symbol" w:hAnsi="Symbol" w:hint="default"/>
      </w:rPr>
    </w:lvl>
    <w:lvl w:ilvl="4" w:tplc="CCA210D6" w:tentative="1">
      <w:start w:val="1"/>
      <w:numFmt w:val="bullet"/>
      <w:lvlText w:val="o"/>
      <w:lvlJc w:val="left"/>
      <w:pPr>
        <w:ind w:left="3600" w:hanging="360"/>
      </w:pPr>
      <w:rPr>
        <w:rFonts w:ascii="Courier New" w:hAnsi="Courier New" w:cs="Courier New" w:hint="default"/>
      </w:rPr>
    </w:lvl>
    <w:lvl w:ilvl="5" w:tplc="3A808E64" w:tentative="1">
      <w:start w:val="1"/>
      <w:numFmt w:val="bullet"/>
      <w:lvlText w:val=""/>
      <w:lvlJc w:val="left"/>
      <w:pPr>
        <w:ind w:left="4320" w:hanging="360"/>
      </w:pPr>
      <w:rPr>
        <w:rFonts w:ascii="Wingdings" w:hAnsi="Wingdings" w:hint="default"/>
      </w:rPr>
    </w:lvl>
    <w:lvl w:ilvl="6" w:tplc="F392D9C4" w:tentative="1">
      <w:start w:val="1"/>
      <w:numFmt w:val="bullet"/>
      <w:lvlText w:val=""/>
      <w:lvlJc w:val="left"/>
      <w:pPr>
        <w:ind w:left="5040" w:hanging="360"/>
      </w:pPr>
      <w:rPr>
        <w:rFonts w:ascii="Symbol" w:hAnsi="Symbol" w:hint="default"/>
      </w:rPr>
    </w:lvl>
    <w:lvl w:ilvl="7" w:tplc="E7C867A4" w:tentative="1">
      <w:start w:val="1"/>
      <w:numFmt w:val="bullet"/>
      <w:lvlText w:val="o"/>
      <w:lvlJc w:val="left"/>
      <w:pPr>
        <w:ind w:left="5760" w:hanging="360"/>
      </w:pPr>
      <w:rPr>
        <w:rFonts w:ascii="Courier New" w:hAnsi="Courier New" w:cs="Courier New" w:hint="default"/>
      </w:rPr>
    </w:lvl>
    <w:lvl w:ilvl="8" w:tplc="8CECCA6A" w:tentative="1">
      <w:start w:val="1"/>
      <w:numFmt w:val="bullet"/>
      <w:lvlText w:val=""/>
      <w:lvlJc w:val="left"/>
      <w:pPr>
        <w:ind w:left="6480" w:hanging="360"/>
      </w:pPr>
      <w:rPr>
        <w:rFonts w:ascii="Wingdings" w:hAnsi="Wingdings" w:hint="default"/>
      </w:rPr>
    </w:lvl>
  </w:abstractNum>
  <w:abstractNum w:abstractNumId="7" w15:restartNumberingAfterBreak="0">
    <w:nsid w:val="7273796C"/>
    <w:multiLevelType w:val="hybridMultilevel"/>
    <w:tmpl w:val="23DAAEAC"/>
    <w:lvl w:ilvl="0" w:tplc="5866CC62">
      <w:start w:val="1"/>
      <w:numFmt w:val="bullet"/>
      <w:lvlText w:val=""/>
      <w:lvlJc w:val="left"/>
      <w:pPr>
        <w:ind w:left="720" w:hanging="360"/>
      </w:pPr>
      <w:rPr>
        <w:rFonts w:ascii="Wingdings" w:hAnsi="Wingdings" w:hint="default"/>
      </w:rPr>
    </w:lvl>
    <w:lvl w:ilvl="1" w:tplc="3F0AC6C4" w:tentative="1">
      <w:start w:val="1"/>
      <w:numFmt w:val="bullet"/>
      <w:lvlText w:val="o"/>
      <w:lvlJc w:val="left"/>
      <w:pPr>
        <w:ind w:left="1440" w:hanging="360"/>
      </w:pPr>
      <w:rPr>
        <w:rFonts w:ascii="Courier New" w:hAnsi="Courier New" w:cs="Courier New" w:hint="default"/>
      </w:rPr>
    </w:lvl>
    <w:lvl w:ilvl="2" w:tplc="02E4289C" w:tentative="1">
      <w:start w:val="1"/>
      <w:numFmt w:val="bullet"/>
      <w:lvlText w:val=""/>
      <w:lvlJc w:val="left"/>
      <w:pPr>
        <w:ind w:left="2160" w:hanging="360"/>
      </w:pPr>
      <w:rPr>
        <w:rFonts w:ascii="Wingdings" w:hAnsi="Wingdings" w:hint="default"/>
      </w:rPr>
    </w:lvl>
    <w:lvl w:ilvl="3" w:tplc="5484C9DC" w:tentative="1">
      <w:start w:val="1"/>
      <w:numFmt w:val="bullet"/>
      <w:lvlText w:val=""/>
      <w:lvlJc w:val="left"/>
      <w:pPr>
        <w:ind w:left="2880" w:hanging="360"/>
      </w:pPr>
      <w:rPr>
        <w:rFonts w:ascii="Symbol" w:hAnsi="Symbol" w:hint="default"/>
      </w:rPr>
    </w:lvl>
    <w:lvl w:ilvl="4" w:tplc="966A0EC8" w:tentative="1">
      <w:start w:val="1"/>
      <w:numFmt w:val="bullet"/>
      <w:lvlText w:val="o"/>
      <w:lvlJc w:val="left"/>
      <w:pPr>
        <w:ind w:left="3600" w:hanging="360"/>
      </w:pPr>
      <w:rPr>
        <w:rFonts w:ascii="Courier New" w:hAnsi="Courier New" w:cs="Courier New" w:hint="default"/>
      </w:rPr>
    </w:lvl>
    <w:lvl w:ilvl="5" w:tplc="904665A8" w:tentative="1">
      <w:start w:val="1"/>
      <w:numFmt w:val="bullet"/>
      <w:lvlText w:val=""/>
      <w:lvlJc w:val="left"/>
      <w:pPr>
        <w:ind w:left="4320" w:hanging="360"/>
      </w:pPr>
      <w:rPr>
        <w:rFonts w:ascii="Wingdings" w:hAnsi="Wingdings" w:hint="default"/>
      </w:rPr>
    </w:lvl>
    <w:lvl w:ilvl="6" w:tplc="48AAEF40" w:tentative="1">
      <w:start w:val="1"/>
      <w:numFmt w:val="bullet"/>
      <w:lvlText w:val=""/>
      <w:lvlJc w:val="left"/>
      <w:pPr>
        <w:ind w:left="5040" w:hanging="360"/>
      </w:pPr>
      <w:rPr>
        <w:rFonts w:ascii="Symbol" w:hAnsi="Symbol" w:hint="default"/>
      </w:rPr>
    </w:lvl>
    <w:lvl w:ilvl="7" w:tplc="EC9CBD96" w:tentative="1">
      <w:start w:val="1"/>
      <w:numFmt w:val="bullet"/>
      <w:lvlText w:val="o"/>
      <w:lvlJc w:val="left"/>
      <w:pPr>
        <w:ind w:left="5760" w:hanging="360"/>
      </w:pPr>
      <w:rPr>
        <w:rFonts w:ascii="Courier New" w:hAnsi="Courier New" w:cs="Courier New" w:hint="default"/>
      </w:rPr>
    </w:lvl>
    <w:lvl w:ilvl="8" w:tplc="A7D87C8C" w:tentative="1">
      <w:start w:val="1"/>
      <w:numFmt w:val="bullet"/>
      <w:lvlText w:val=""/>
      <w:lvlJc w:val="left"/>
      <w:pPr>
        <w:ind w:left="6480" w:hanging="360"/>
      </w:pPr>
      <w:rPr>
        <w:rFonts w:ascii="Wingdings" w:hAnsi="Wingdings" w:hint="default"/>
      </w:rPr>
    </w:lvl>
  </w:abstractNum>
  <w:abstractNum w:abstractNumId="8" w15:restartNumberingAfterBreak="0">
    <w:nsid w:val="77FF4CCC"/>
    <w:multiLevelType w:val="hybridMultilevel"/>
    <w:tmpl w:val="E24C15D2"/>
    <w:lvl w:ilvl="0" w:tplc="0E3C697A">
      <w:start w:val="1"/>
      <w:numFmt w:val="bullet"/>
      <w:lvlText w:val=""/>
      <w:lvlJc w:val="left"/>
      <w:pPr>
        <w:ind w:left="720" w:hanging="360"/>
      </w:pPr>
      <w:rPr>
        <w:rFonts w:ascii="Symbol" w:hAnsi="Symbol" w:hint="default"/>
      </w:rPr>
    </w:lvl>
    <w:lvl w:ilvl="1" w:tplc="FD38E2EE" w:tentative="1">
      <w:start w:val="1"/>
      <w:numFmt w:val="bullet"/>
      <w:lvlText w:val="o"/>
      <w:lvlJc w:val="left"/>
      <w:pPr>
        <w:ind w:left="1440" w:hanging="360"/>
      </w:pPr>
      <w:rPr>
        <w:rFonts w:ascii="Courier New" w:hAnsi="Courier New" w:cs="Courier New" w:hint="default"/>
      </w:rPr>
    </w:lvl>
    <w:lvl w:ilvl="2" w:tplc="50D8C5B8" w:tentative="1">
      <w:start w:val="1"/>
      <w:numFmt w:val="bullet"/>
      <w:lvlText w:val=""/>
      <w:lvlJc w:val="left"/>
      <w:pPr>
        <w:ind w:left="2160" w:hanging="360"/>
      </w:pPr>
      <w:rPr>
        <w:rFonts w:ascii="Wingdings" w:hAnsi="Wingdings" w:hint="default"/>
      </w:rPr>
    </w:lvl>
    <w:lvl w:ilvl="3" w:tplc="A4C0DF02" w:tentative="1">
      <w:start w:val="1"/>
      <w:numFmt w:val="bullet"/>
      <w:lvlText w:val=""/>
      <w:lvlJc w:val="left"/>
      <w:pPr>
        <w:ind w:left="2880" w:hanging="360"/>
      </w:pPr>
      <w:rPr>
        <w:rFonts w:ascii="Symbol" w:hAnsi="Symbol" w:hint="default"/>
      </w:rPr>
    </w:lvl>
    <w:lvl w:ilvl="4" w:tplc="FCE20B9C" w:tentative="1">
      <w:start w:val="1"/>
      <w:numFmt w:val="bullet"/>
      <w:lvlText w:val="o"/>
      <w:lvlJc w:val="left"/>
      <w:pPr>
        <w:ind w:left="3600" w:hanging="360"/>
      </w:pPr>
      <w:rPr>
        <w:rFonts w:ascii="Courier New" w:hAnsi="Courier New" w:cs="Courier New" w:hint="default"/>
      </w:rPr>
    </w:lvl>
    <w:lvl w:ilvl="5" w:tplc="C60680BC" w:tentative="1">
      <w:start w:val="1"/>
      <w:numFmt w:val="bullet"/>
      <w:lvlText w:val=""/>
      <w:lvlJc w:val="left"/>
      <w:pPr>
        <w:ind w:left="4320" w:hanging="360"/>
      </w:pPr>
      <w:rPr>
        <w:rFonts w:ascii="Wingdings" w:hAnsi="Wingdings" w:hint="default"/>
      </w:rPr>
    </w:lvl>
    <w:lvl w:ilvl="6" w:tplc="182E1E88" w:tentative="1">
      <w:start w:val="1"/>
      <w:numFmt w:val="bullet"/>
      <w:lvlText w:val=""/>
      <w:lvlJc w:val="left"/>
      <w:pPr>
        <w:ind w:left="5040" w:hanging="360"/>
      </w:pPr>
      <w:rPr>
        <w:rFonts w:ascii="Symbol" w:hAnsi="Symbol" w:hint="default"/>
      </w:rPr>
    </w:lvl>
    <w:lvl w:ilvl="7" w:tplc="9CC8490C" w:tentative="1">
      <w:start w:val="1"/>
      <w:numFmt w:val="bullet"/>
      <w:lvlText w:val="o"/>
      <w:lvlJc w:val="left"/>
      <w:pPr>
        <w:ind w:left="5760" w:hanging="360"/>
      </w:pPr>
      <w:rPr>
        <w:rFonts w:ascii="Courier New" w:hAnsi="Courier New" w:cs="Courier New" w:hint="default"/>
      </w:rPr>
    </w:lvl>
    <w:lvl w:ilvl="8" w:tplc="D2106714" w:tentative="1">
      <w:start w:val="1"/>
      <w:numFmt w:val="bullet"/>
      <w:lvlText w:val=""/>
      <w:lvlJc w:val="left"/>
      <w:pPr>
        <w:ind w:left="6480" w:hanging="360"/>
      </w:pPr>
      <w:rPr>
        <w:rFonts w:ascii="Wingdings" w:hAnsi="Wingdings" w:hint="default"/>
      </w:rPr>
    </w:lvl>
  </w:abstractNum>
  <w:abstractNum w:abstractNumId="9" w15:restartNumberingAfterBreak="0">
    <w:nsid w:val="7902088D"/>
    <w:multiLevelType w:val="hybridMultilevel"/>
    <w:tmpl w:val="97B220BA"/>
    <w:lvl w:ilvl="0" w:tplc="D0BA10E6">
      <w:start w:val="1"/>
      <w:numFmt w:val="bullet"/>
      <w:lvlText w:val=""/>
      <w:lvlJc w:val="left"/>
      <w:pPr>
        <w:ind w:left="360" w:hanging="360"/>
      </w:pPr>
      <w:rPr>
        <w:rFonts w:ascii="Wingdings" w:hAnsi="Wingdings" w:hint="default"/>
      </w:rPr>
    </w:lvl>
    <w:lvl w:ilvl="1" w:tplc="B36255B0" w:tentative="1">
      <w:start w:val="1"/>
      <w:numFmt w:val="bullet"/>
      <w:lvlText w:val="o"/>
      <w:lvlJc w:val="left"/>
      <w:pPr>
        <w:ind w:left="1440" w:hanging="360"/>
      </w:pPr>
      <w:rPr>
        <w:rFonts w:ascii="Courier New" w:hAnsi="Courier New" w:cs="Courier New" w:hint="default"/>
      </w:rPr>
    </w:lvl>
    <w:lvl w:ilvl="2" w:tplc="9A0C3986" w:tentative="1">
      <w:start w:val="1"/>
      <w:numFmt w:val="bullet"/>
      <w:lvlText w:val=""/>
      <w:lvlJc w:val="left"/>
      <w:pPr>
        <w:ind w:left="2160" w:hanging="360"/>
      </w:pPr>
      <w:rPr>
        <w:rFonts w:ascii="Wingdings" w:hAnsi="Wingdings" w:hint="default"/>
      </w:rPr>
    </w:lvl>
    <w:lvl w:ilvl="3" w:tplc="26143946" w:tentative="1">
      <w:start w:val="1"/>
      <w:numFmt w:val="bullet"/>
      <w:lvlText w:val=""/>
      <w:lvlJc w:val="left"/>
      <w:pPr>
        <w:ind w:left="2880" w:hanging="360"/>
      </w:pPr>
      <w:rPr>
        <w:rFonts w:ascii="Symbol" w:hAnsi="Symbol" w:hint="default"/>
      </w:rPr>
    </w:lvl>
    <w:lvl w:ilvl="4" w:tplc="B11C0A9E" w:tentative="1">
      <w:start w:val="1"/>
      <w:numFmt w:val="bullet"/>
      <w:lvlText w:val="o"/>
      <w:lvlJc w:val="left"/>
      <w:pPr>
        <w:ind w:left="3600" w:hanging="360"/>
      </w:pPr>
      <w:rPr>
        <w:rFonts w:ascii="Courier New" w:hAnsi="Courier New" w:cs="Courier New" w:hint="default"/>
      </w:rPr>
    </w:lvl>
    <w:lvl w:ilvl="5" w:tplc="9E28106A" w:tentative="1">
      <w:start w:val="1"/>
      <w:numFmt w:val="bullet"/>
      <w:lvlText w:val=""/>
      <w:lvlJc w:val="left"/>
      <w:pPr>
        <w:ind w:left="4320" w:hanging="360"/>
      </w:pPr>
      <w:rPr>
        <w:rFonts w:ascii="Wingdings" w:hAnsi="Wingdings" w:hint="default"/>
      </w:rPr>
    </w:lvl>
    <w:lvl w:ilvl="6" w:tplc="166A3B34" w:tentative="1">
      <w:start w:val="1"/>
      <w:numFmt w:val="bullet"/>
      <w:lvlText w:val=""/>
      <w:lvlJc w:val="left"/>
      <w:pPr>
        <w:ind w:left="5040" w:hanging="360"/>
      </w:pPr>
      <w:rPr>
        <w:rFonts w:ascii="Symbol" w:hAnsi="Symbol" w:hint="default"/>
      </w:rPr>
    </w:lvl>
    <w:lvl w:ilvl="7" w:tplc="B558863E" w:tentative="1">
      <w:start w:val="1"/>
      <w:numFmt w:val="bullet"/>
      <w:lvlText w:val="o"/>
      <w:lvlJc w:val="left"/>
      <w:pPr>
        <w:ind w:left="5760" w:hanging="360"/>
      </w:pPr>
      <w:rPr>
        <w:rFonts w:ascii="Courier New" w:hAnsi="Courier New" w:cs="Courier New" w:hint="default"/>
      </w:rPr>
    </w:lvl>
    <w:lvl w:ilvl="8" w:tplc="89A4DAA8" w:tentative="1">
      <w:start w:val="1"/>
      <w:numFmt w:val="bullet"/>
      <w:lvlText w:val=""/>
      <w:lvlJc w:val="left"/>
      <w:pPr>
        <w:ind w:left="6480" w:hanging="360"/>
      </w:pPr>
      <w:rPr>
        <w:rFonts w:ascii="Wingdings" w:hAnsi="Wingdings" w:hint="default"/>
      </w:rPr>
    </w:lvl>
  </w:abstractNum>
  <w:abstractNum w:abstractNumId="10" w15:restartNumberingAfterBreak="0">
    <w:nsid w:val="79492615"/>
    <w:multiLevelType w:val="hybridMultilevel"/>
    <w:tmpl w:val="331044EE"/>
    <w:lvl w:ilvl="0" w:tplc="A9408CCC">
      <w:start w:val="1"/>
      <w:numFmt w:val="bullet"/>
      <w:lvlText w:val=""/>
      <w:lvlJc w:val="left"/>
      <w:pPr>
        <w:ind w:left="360" w:hanging="360"/>
      </w:pPr>
      <w:rPr>
        <w:rFonts w:ascii="Wingdings" w:hAnsi="Wingdings" w:hint="default"/>
      </w:rPr>
    </w:lvl>
    <w:lvl w:ilvl="1" w:tplc="F6722942" w:tentative="1">
      <w:start w:val="1"/>
      <w:numFmt w:val="bullet"/>
      <w:lvlText w:val="o"/>
      <w:lvlJc w:val="left"/>
      <w:pPr>
        <w:ind w:left="1440" w:hanging="360"/>
      </w:pPr>
      <w:rPr>
        <w:rFonts w:ascii="Courier New" w:hAnsi="Courier New" w:cs="Courier New" w:hint="default"/>
      </w:rPr>
    </w:lvl>
    <w:lvl w:ilvl="2" w:tplc="15223202" w:tentative="1">
      <w:start w:val="1"/>
      <w:numFmt w:val="bullet"/>
      <w:lvlText w:val=""/>
      <w:lvlJc w:val="left"/>
      <w:pPr>
        <w:ind w:left="2160" w:hanging="360"/>
      </w:pPr>
      <w:rPr>
        <w:rFonts w:ascii="Wingdings" w:hAnsi="Wingdings" w:hint="default"/>
      </w:rPr>
    </w:lvl>
    <w:lvl w:ilvl="3" w:tplc="DD384E78" w:tentative="1">
      <w:start w:val="1"/>
      <w:numFmt w:val="bullet"/>
      <w:lvlText w:val=""/>
      <w:lvlJc w:val="left"/>
      <w:pPr>
        <w:ind w:left="2880" w:hanging="360"/>
      </w:pPr>
      <w:rPr>
        <w:rFonts w:ascii="Symbol" w:hAnsi="Symbol" w:hint="default"/>
      </w:rPr>
    </w:lvl>
    <w:lvl w:ilvl="4" w:tplc="DF2AFFE4" w:tentative="1">
      <w:start w:val="1"/>
      <w:numFmt w:val="bullet"/>
      <w:lvlText w:val="o"/>
      <w:lvlJc w:val="left"/>
      <w:pPr>
        <w:ind w:left="3600" w:hanging="360"/>
      </w:pPr>
      <w:rPr>
        <w:rFonts w:ascii="Courier New" w:hAnsi="Courier New" w:cs="Courier New" w:hint="default"/>
      </w:rPr>
    </w:lvl>
    <w:lvl w:ilvl="5" w:tplc="57941EFE" w:tentative="1">
      <w:start w:val="1"/>
      <w:numFmt w:val="bullet"/>
      <w:lvlText w:val=""/>
      <w:lvlJc w:val="left"/>
      <w:pPr>
        <w:ind w:left="4320" w:hanging="360"/>
      </w:pPr>
      <w:rPr>
        <w:rFonts w:ascii="Wingdings" w:hAnsi="Wingdings" w:hint="default"/>
      </w:rPr>
    </w:lvl>
    <w:lvl w:ilvl="6" w:tplc="5EE60818" w:tentative="1">
      <w:start w:val="1"/>
      <w:numFmt w:val="bullet"/>
      <w:lvlText w:val=""/>
      <w:lvlJc w:val="left"/>
      <w:pPr>
        <w:ind w:left="5040" w:hanging="360"/>
      </w:pPr>
      <w:rPr>
        <w:rFonts w:ascii="Symbol" w:hAnsi="Symbol" w:hint="default"/>
      </w:rPr>
    </w:lvl>
    <w:lvl w:ilvl="7" w:tplc="E0BE5ED8" w:tentative="1">
      <w:start w:val="1"/>
      <w:numFmt w:val="bullet"/>
      <w:lvlText w:val="o"/>
      <w:lvlJc w:val="left"/>
      <w:pPr>
        <w:ind w:left="5760" w:hanging="360"/>
      </w:pPr>
      <w:rPr>
        <w:rFonts w:ascii="Courier New" w:hAnsi="Courier New" w:cs="Courier New" w:hint="default"/>
      </w:rPr>
    </w:lvl>
    <w:lvl w:ilvl="8" w:tplc="079094B2"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8"/>
  </w:num>
  <w:num w:numId="6">
    <w:abstractNumId w:val="5"/>
  </w:num>
  <w:num w:numId="7">
    <w:abstractNumId w:val="9"/>
  </w:num>
  <w:num w:numId="8">
    <w:abstractNumId w:val="10"/>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3A"/>
    <w:rsid w:val="00075C60"/>
    <w:rsid w:val="000C74B9"/>
    <w:rsid w:val="000F4A1A"/>
    <w:rsid w:val="001150F7"/>
    <w:rsid w:val="00190FF2"/>
    <w:rsid w:val="001A4F48"/>
    <w:rsid w:val="001F11C1"/>
    <w:rsid w:val="0020302F"/>
    <w:rsid w:val="0022135D"/>
    <w:rsid w:val="00233A3B"/>
    <w:rsid w:val="00242AC7"/>
    <w:rsid w:val="00284656"/>
    <w:rsid w:val="00295DF0"/>
    <w:rsid w:val="002A757E"/>
    <w:rsid w:val="002E6D20"/>
    <w:rsid w:val="002F6A21"/>
    <w:rsid w:val="002F7AF0"/>
    <w:rsid w:val="003126B1"/>
    <w:rsid w:val="003920C8"/>
    <w:rsid w:val="0041296E"/>
    <w:rsid w:val="004139C0"/>
    <w:rsid w:val="00415851"/>
    <w:rsid w:val="00431AEE"/>
    <w:rsid w:val="00497A37"/>
    <w:rsid w:val="004C72CF"/>
    <w:rsid w:val="004D0A84"/>
    <w:rsid w:val="00525F72"/>
    <w:rsid w:val="00550670"/>
    <w:rsid w:val="005629B8"/>
    <w:rsid w:val="005751F4"/>
    <w:rsid w:val="005B5BEA"/>
    <w:rsid w:val="00621FDE"/>
    <w:rsid w:val="00673EA3"/>
    <w:rsid w:val="0068267E"/>
    <w:rsid w:val="007451CA"/>
    <w:rsid w:val="0074660F"/>
    <w:rsid w:val="00747A71"/>
    <w:rsid w:val="0079579F"/>
    <w:rsid w:val="007C2ED1"/>
    <w:rsid w:val="007C3302"/>
    <w:rsid w:val="00896E0B"/>
    <w:rsid w:val="008A37D1"/>
    <w:rsid w:val="00970F5F"/>
    <w:rsid w:val="00A31EED"/>
    <w:rsid w:val="00A83566"/>
    <w:rsid w:val="00AB7CBB"/>
    <w:rsid w:val="00AD226E"/>
    <w:rsid w:val="00AE4627"/>
    <w:rsid w:val="00B02088"/>
    <w:rsid w:val="00B413A2"/>
    <w:rsid w:val="00BA0127"/>
    <w:rsid w:val="00BD2FEA"/>
    <w:rsid w:val="00C134AC"/>
    <w:rsid w:val="00C17923"/>
    <w:rsid w:val="00C37979"/>
    <w:rsid w:val="00C56D3A"/>
    <w:rsid w:val="00C96C3C"/>
    <w:rsid w:val="00D81149"/>
    <w:rsid w:val="00D83798"/>
    <w:rsid w:val="00DC53C9"/>
    <w:rsid w:val="00E431D7"/>
    <w:rsid w:val="00E5704D"/>
    <w:rsid w:val="00E85670"/>
    <w:rsid w:val="00EB61CF"/>
    <w:rsid w:val="00F02470"/>
    <w:rsid w:val="00F0530D"/>
    <w:rsid w:val="00FA40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F0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61CF"/>
    <w:pPr>
      <w:spacing w:line="360" w:lineRule="auto"/>
      <w:jc w:val="both"/>
    </w:pPr>
    <w:rPr>
      <w:rFonts w:asciiTheme="majorBidi" w:hAnsiTheme="majorBidi"/>
      <w:sz w:val="24"/>
    </w:rPr>
  </w:style>
  <w:style w:type="paragraph" w:styleId="Heading1">
    <w:name w:val="heading 1"/>
    <w:basedOn w:val="Normal"/>
    <w:next w:val="Normal"/>
    <w:link w:val="Heading1Char"/>
    <w:autoRedefine/>
    <w:uiPriority w:val="9"/>
    <w:qFormat/>
    <w:rsid w:val="004D0A84"/>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3920C8"/>
    <w:pPr>
      <w:keepNext/>
      <w:keepLines/>
      <w:spacing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2F6A21"/>
    <w:pPr>
      <w:keepNext/>
      <w:keepLines/>
      <w:spacing w:after="0"/>
      <w:outlineLvl w:val="2"/>
    </w:pPr>
    <w:rPr>
      <w:rFonts w:eastAsiaTheme="majorEastAsia" w:cstheme="majorBidi"/>
      <w:b/>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20C8"/>
    <w:rPr>
      <w:rFonts w:asciiTheme="majorBidi" w:eastAsiaTheme="majorEastAsia" w:hAnsiTheme="majorBidi" w:cstheme="majorBidi"/>
      <w:b/>
      <w:sz w:val="26"/>
      <w:szCs w:val="26"/>
    </w:rPr>
  </w:style>
  <w:style w:type="character" w:customStyle="1" w:styleId="Heading1Char">
    <w:name w:val="Heading 1 Char"/>
    <w:basedOn w:val="DefaultParagraphFont"/>
    <w:link w:val="Heading1"/>
    <w:uiPriority w:val="9"/>
    <w:rsid w:val="004D0A84"/>
    <w:rPr>
      <w:rFonts w:asciiTheme="majorBidi" w:eastAsiaTheme="majorEastAsia" w:hAnsiTheme="majorBidi" w:cstheme="majorBidi"/>
      <w:b/>
      <w:sz w:val="28"/>
      <w:szCs w:val="32"/>
    </w:rPr>
  </w:style>
  <w:style w:type="character" w:customStyle="1" w:styleId="Heading3Char">
    <w:name w:val="Heading 3 Char"/>
    <w:basedOn w:val="DefaultParagraphFont"/>
    <w:link w:val="Heading3"/>
    <w:uiPriority w:val="9"/>
    <w:rsid w:val="002F6A21"/>
    <w:rPr>
      <w:rFonts w:asciiTheme="majorBidi" w:eastAsiaTheme="majorEastAsia" w:hAnsiTheme="majorBidi" w:cstheme="majorBidi"/>
      <w:b/>
      <w:kern w:val="2"/>
      <w:sz w:val="24"/>
      <w:szCs w:val="24"/>
      <w14:ligatures w14:val="standardContextual"/>
    </w:rPr>
  </w:style>
  <w:style w:type="paragraph" w:styleId="ListParagraph">
    <w:name w:val="List Paragraph"/>
    <w:basedOn w:val="Normal"/>
    <w:uiPriority w:val="34"/>
    <w:qFormat/>
    <w:rsid w:val="00E431D7"/>
    <w:pPr>
      <w:ind w:left="720"/>
      <w:contextualSpacing/>
    </w:pPr>
  </w:style>
  <w:style w:type="paragraph" w:styleId="Caption">
    <w:name w:val="caption"/>
    <w:basedOn w:val="Normal"/>
    <w:next w:val="Normal"/>
    <w:uiPriority w:val="35"/>
    <w:unhideWhenUsed/>
    <w:qFormat/>
    <w:rsid w:val="00284656"/>
    <w:pPr>
      <w:spacing w:after="200" w:line="240" w:lineRule="auto"/>
    </w:pPr>
    <w:rPr>
      <w:i/>
      <w:iCs/>
      <w:color w:val="44546A" w:themeColor="text2"/>
      <w:sz w:val="18"/>
      <w:szCs w:val="18"/>
    </w:rPr>
  </w:style>
  <w:style w:type="paragraph" w:styleId="NormalWeb">
    <w:name w:val="Normal (Web)"/>
    <w:basedOn w:val="Normal"/>
    <w:uiPriority w:val="99"/>
    <w:semiHidden/>
    <w:unhideWhenUsed/>
    <w:rsid w:val="001A4F48"/>
    <w:pPr>
      <w:spacing w:before="100" w:beforeAutospacing="1" w:after="100" w:afterAutospacing="1" w:line="240" w:lineRule="auto"/>
      <w:jc w:val="left"/>
    </w:pPr>
    <w:rPr>
      <w:rFonts w:ascii="Times New Roman" w:eastAsia="Times New Roman" w:hAnsi="Times New Roman" w:cs="Times New Roman"/>
      <w:szCs w:val="24"/>
      <w:lang w:eastAsia="en-GB"/>
    </w:rPr>
  </w:style>
  <w:style w:type="table" w:styleId="TableGrid">
    <w:name w:val="Table Grid"/>
    <w:basedOn w:val="TableNormal"/>
    <w:uiPriority w:val="39"/>
    <w:rsid w:val="00A83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2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FEA"/>
    <w:rPr>
      <w:rFonts w:asciiTheme="majorBidi" w:hAnsiTheme="majorBidi"/>
      <w:sz w:val="24"/>
    </w:rPr>
  </w:style>
  <w:style w:type="paragraph" w:styleId="Footer">
    <w:name w:val="footer"/>
    <w:basedOn w:val="Normal"/>
    <w:link w:val="FooterChar"/>
    <w:uiPriority w:val="99"/>
    <w:unhideWhenUsed/>
    <w:rsid w:val="00BD2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FEA"/>
    <w:rPr>
      <w:rFonts w:asciiTheme="majorBidi" w:hAnsiTheme="majorBidi"/>
      <w:sz w:val="24"/>
    </w:rPr>
  </w:style>
  <w:style w:type="paragraph" w:styleId="TOCHeading">
    <w:name w:val="TOC Heading"/>
    <w:basedOn w:val="Heading1"/>
    <w:next w:val="Normal"/>
    <w:uiPriority w:val="39"/>
    <w:unhideWhenUsed/>
    <w:qFormat/>
    <w:rsid w:val="00BD2FEA"/>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D2FEA"/>
    <w:pPr>
      <w:spacing w:after="100"/>
    </w:pPr>
  </w:style>
  <w:style w:type="paragraph" w:styleId="TOC2">
    <w:name w:val="toc 2"/>
    <w:basedOn w:val="Normal"/>
    <w:next w:val="Normal"/>
    <w:autoRedefine/>
    <w:uiPriority w:val="39"/>
    <w:unhideWhenUsed/>
    <w:rsid w:val="00BD2FEA"/>
    <w:pPr>
      <w:spacing w:after="100"/>
      <w:ind w:left="240"/>
    </w:pPr>
  </w:style>
  <w:style w:type="character" w:styleId="Hyperlink">
    <w:name w:val="Hyperlink"/>
    <w:basedOn w:val="DefaultParagraphFont"/>
    <w:uiPriority w:val="99"/>
    <w:unhideWhenUsed/>
    <w:rsid w:val="00BD2FEA"/>
    <w:rPr>
      <w:color w:val="0563C1" w:themeColor="hyperlink"/>
      <w:u w:val="single"/>
    </w:rPr>
  </w:style>
  <w:style w:type="paragraph" w:styleId="TableofFigures">
    <w:name w:val="table of figures"/>
    <w:basedOn w:val="Normal"/>
    <w:next w:val="Normal"/>
    <w:uiPriority w:val="99"/>
    <w:unhideWhenUsed/>
    <w:rsid w:val="00BD2FEA"/>
    <w:pPr>
      <w:spacing w:after="0"/>
    </w:pPr>
  </w:style>
  <w:style w:type="paragraph" w:styleId="TOC3">
    <w:name w:val="toc 3"/>
    <w:basedOn w:val="Normal"/>
    <w:next w:val="Normal"/>
    <w:autoRedefine/>
    <w:uiPriority w:val="39"/>
    <w:unhideWhenUsed/>
    <w:rsid w:val="002F7AF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0bcabb552d90844/Documents/F-307/Finance%20for%20Business%20Manag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50bcabb552d90844/Documents/F-307/Finance%20for%20Business%20Manage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50bcabb552d90844/Documents/F-307/Finance%20for%20Business%20Manager.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Sheet5!$A$16</c:f>
              <c:strCache>
                <c:ptCount val="1"/>
                <c:pt idx="0">
                  <c:v>Operating Profit </c:v>
                </c:pt>
              </c:strCache>
            </c:strRef>
          </c:tx>
          <c:spPr>
            <a:solidFill>
              <a:schemeClr val="accent1"/>
            </a:solidFill>
            <a:ln>
              <a:noFill/>
            </a:ln>
            <a:effectLst/>
          </c:spPr>
          <c:invertIfNegative val="0"/>
          <c:cat>
            <c:numRef>
              <c:f>Sheet5!$B$1:$C$1</c:f>
              <c:numCache>
                <c:formatCode>General</c:formatCode>
                <c:ptCount val="2"/>
                <c:pt idx="0">
                  <c:v>2024</c:v>
                </c:pt>
                <c:pt idx="1">
                  <c:v>2023</c:v>
                </c:pt>
              </c:numCache>
            </c:numRef>
          </c:cat>
          <c:val>
            <c:numRef>
              <c:f>Sheet5!$B$16:$C$16</c:f>
              <c:numCache>
                <c:formatCode>0.000</c:formatCode>
                <c:ptCount val="2"/>
                <c:pt idx="0">
                  <c:v>5.9714036525094487</c:v>
                </c:pt>
                <c:pt idx="1">
                  <c:v>13.014800361680864</c:v>
                </c:pt>
              </c:numCache>
            </c:numRef>
          </c:val>
          <c:extLst>
            <c:ext xmlns:c16="http://schemas.microsoft.com/office/drawing/2014/chart" uri="{C3380CC4-5D6E-409C-BE32-E72D297353CC}">
              <c16:uniqueId val="{00000000-40C1-4D1D-9080-C9661BD3AEA4}"/>
            </c:ext>
          </c:extLst>
        </c:ser>
        <c:dLbls>
          <c:showLegendKey val="0"/>
          <c:showVal val="0"/>
          <c:showCatName val="0"/>
          <c:showSerName val="0"/>
          <c:showPercent val="0"/>
          <c:showBubbleSize val="0"/>
        </c:dLbls>
        <c:gapWidth val="219"/>
        <c:overlap val="-27"/>
        <c:axId val="599597167"/>
        <c:axId val="599600495"/>
      </c:barChart>
      <c:catAx>
        <c:axId val="599597167"/>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600495"/>
        <c:crosses val="autoZero"/>
        <c:auto val="1"/>
        <c:lblAlgn val="ctr"/>
        <c:lblOffset val="100"/>
        <c:noMultiLvlLbl val="0"/>
      </c:catAx>
      <c:valAx>
        <c:axId val="599600495"/>
        <c:scaling>
          <c:orientation val="minMax"/>
        </c:scaling>
        <c:delete val="0"/>
        <c:axPos val="l"/>
        <c:majorGridlines>
          <c:spPr>
            <a:ln w="9525">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597167"/>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b="1">
                <a:solidFill>
                  <a:sysClr val="windowText" lastClr="000000"/>
                </a:solidFill>
              </a:rPr>
              <a:t>Current Ratio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'British Petroleum'!$J$15</c:f>
              <c:strCache>
                <c:ptCount val="1"/>
              </c:strCache>
            </c:strRef>
          </c:tx>
          <c:spPr>
            <a:solidFill>
              <a:schemeClr val="accent4"/>
            </a:solidFill>
            <a:ln>
              <a:noFill/>
            </a:ln>
            <a:effectLst/>
          </c:spPr>
          <c:invertIfNegative val="0"/>
          <c:cat>
            <c:numRef>
              <c:f>'British Petroleum'!$K$14:$L$14</c:f>
              <c:numCache>
                <c:formatCode>General</c:formatCode>
                <c:ptCount val="2"/>
              </c:numCache>
            </c:numRef>
          </c:cat>
          <c:val>
            <c:numRef>
              <c:f>'British Petroleum'!$K$15:$L$15</c:f>
              <c:numCache>
                <c:formatCode>General</c:formatCode>
                <c:ptCount val="2"/>
              </c:numCache>
            </c:numRef>
          </c:val>
          <c:extLst>
            <c:ext xmlns:c16="http://schemas.microsoft.com/office/drawing/2014/chart" uri="{C3380CC4-5D6E-409C-BE32-E72D297353CC}">
              <c16:uniqueId val="{00000000-AF91-47A7-BE73-75EB54600AE9}"/>
            </c:ext>
          </c:extLst>
        </c:ser>
        <c:dLbls>
          <c:showLegendKey val="0"/>
          <c:showVal val="0"/>
          <c:showCatName val="0"/>
          <c:showSerName val="0"/>
          <c:showPercent val="0"/>
          <c:showBubbleSize val="0"/>
        </c:dLbls>
        <c:gapWidth val="267"/>
        <c:overlap val="-43"/>
        <c:axId val="607734143"/>
        <c:axId val="46150783"/>
      </c:barChart>
      <c:catAx>
        <c:axId val="607734143"/>
        <c:scaling>
          <c:orientation val="minMax"/>
        </c:scaling>
        <c:delete val="0"/>
        <c:axPos val="b"/>
        <c:majorGridlines>
          <c:spPr>
            <a:ln w="9525">
              <a:solidFill>
                <a:schemeClr val="dk1">
                  <a:lumMod val="15000"/>
                  <a:lumOff val="85000"/>
                </a:schemeClr>
              </a:solidFill>
              <a:round/>
            </a:ln>
            <a:effectLst/>
          </c:spPr>
        </c:majorGridlines>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6150783"/>
        <c:crosses val="autoZero"/>
        <c:auto val="1"/>
        <c:lblAlgn val="ctr"/>
        <c:lblOffset val="100"/>
        <c:noMultiLvlLbl val="0"/>
      </c:catAx>
      <c:valAx>
        <c:axId val="46150783"/>
        <c:scaling>
          <c:orientation val="minMax"/>
        </c:scaling>
        <c:delete val="0"/>
        <c:axPos val="l"/>
        <c:majorGridlines>
          <c:spPr>
            <a:ln w="9525">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07734143"/>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r>
              <a:rPr lang="en-US" sz="1200" b="1">
                <a:solidFill>
                  <a:sysClr val="windowText" lastClr="000000"/>
                </a:solidFill>
                <a:latin typeface="Times New Roman" panose="02020603050405020304" pitchFamily="18" charset="0"/>
                <a:cs typeface="Times New Roman" panose="02020603050405020304" pitchFamily="18" charset="0"/>
              </a:rPr>
              <a:t>Asset Turnover </a:t>
            </a:r>
          </a:p>
        </c:rich>
      </c:tx>
      <c:overlay val="0"/>
      <c:spPr>
        <a:noFill/>
        <a:ln>
          <a:noFill/>
        </a:ln>
        <a:effectLst/>
      </c:spPr>
      <c:txPr>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'British Petroleum'!$J$15</c:f>
              <c:strCache>
                <c:ptCount val="1"/>
                <c:pt idx="0">
                  <c:v>Asset Turnover </c:v>
                </c:pt>
              </c:strCache>
            </c:strRef>
          </c:tx>
          <c:spPr>
            <a:noFill/>
            <a:ln w="25400">
              <a:solidFill>
                <a:schemeClr val="accent4"/>
              </a:solidFill>
              <a:miter lim="800000"/>
            </a:ln>
            <a:effectLst/>
          </c:spPr>
          <c:invertIfNegative val="0"/>
          <c:cat>
            <c:numRef>
              <c:f>'British Petroleum'!$K$14:$L$14</c:f>
              <c:numCache>
                <c:formatCode>General</c:formatCode>
                <c:ptCount val="2"/>
                <c:pt idx="0">
                  <c:v>2024</c:v>
                </c:pt>
                <c:pt idx="1">
                  <c:v>2023</c:v>
                </c:pt>
              </c:numCache>
            </c:numRef>
          </c:cat>
          <c:val>
            <c:numRef>
              <c:f>'British Petroleum'!$K$15:$L$15</c:f>
              <c:numCache>
                <c:formatCode>General</c:formatCode>
                <c:ptCount val="2"/>
                <c:pt idx="0">
                  <c:v>0.67032682795470333</c:v>
                </c:pt>
                <c:pt idx="1">
                  <c:v>0.74991791694622489</c:v>
                </c:pt>
              </c:numCache>
            </c:numRef>
          </c:val>
          <c:extLst>
            <c:ext xmlns:c16="http://schemas.microsoft.com/office/drawing/2014/chart" uri="{C3380CC4-5D6E-409C-BE32-E72D297353CC}">
              <c16:uniqueId val="{00000000-CF68-42AB-BA29-6AA5F058E79E}"/>
            </c:ext>
          </c:extLst>
        </c:ser>
        <c:dLbls>
          <c:showLegendKey val="0"/>
          <c:showVal val="0"/>
          <c:showCatName val="0"/>
          <c:showSerName val="0"/>
          <c:showPercent val="0"/>
          <c:showBubbleSize val="0"/>
        </c:dLbls>
        <c:gapWidth val="164"/>
        <c:overlap val="-35"/>
        <c:axId val="607734143"/>
        <c:axId val="46150783"/>
      </c:barChart>
      <c:catAx>
        <c:axId val="6077341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6150783"/>
        <c:crosses val="autoZero"/>
        <c:auto val="1"/>
        <c:lblAlgn val="ctr"/>
        <c:lblOffset val="100"/>
        <c:noMultiLvlLbl val="0"/>
      </c:catAx>
      <c:valAx>
        <c:axId val="4615078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077341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4">
  <a:schemeClr val="accent4"/>
</cs:colorStyle>
</file>

<file path=word/charts/colors3.xml><?xml version="1.0" encoding="utf-8"?>
<cs:colorStyle xmlns:cs="http://schemas.microsoft.com/office/drawing/2012/chartStyle" xmlns:a="http://schemas.openxmlformats.org/drawingml/2006/main" meth="withinLinearReversed" id="24">
  <a:schemeClr val="accent4"/>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a:solidFill>
          <a:schemeClr val="phClr"/>
        </a:solidFill>
        <a:miter lim="800000"/>
      </a:ln>
    </cs:spPr>
  </cs:dataPoint>
  <cs:dataPoint3D>
    <cs:lnRef idx="0">
      <cs:styleClr val="auto"/>
    </cs:lnRef>
    <cs:fillRef idx="0">
      <cs:styleClr val="auto"/>
    </cs:fillRef>
    <cs:effectRef idx="0"/>
    <cs:fontRef idx="minor">
      <a:schemeClr val="dk1"/>
    </cs:fontRef>
    <cs:spPr>
      <a:ln w="19050">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round/>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3B395-B17B-4390-9BA7-6BC14E438868}">
  <ds:schemaRefs>
    <ds:schemaRef ds:uri="http://schemas.openxmlformats.org/officeDocument/2006/bibliography"/>
  </ds:schemaRefs>
</ds:datastoreItem>
</file>

<file path=docMetadata/LabelInfo.xml><?xml version="1.0" encoding="utf-8"?>
<clbl:labelList xmlns:clbl="http://schemas.microsoft.com/office/2020/mipLabelMetadata">
  <clbl:label id="{3741da7a-79c1-417c-b408-16c0bfe99fca}" enabled="1" method="Standard" siteId="{1e355c04-e0a4-42ed-8e2d-7351591f0ef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28</Pages>
  <Words>7160</Words>
  <Characters>40817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2025-07-12T22:21:00Z</dcterms:created>
  <dcterms:modified xsi:type="dcterms:W3CDTF">2025-07-12T22:21:00Z</dcterms:modified>
</cp:coreProperties>
</file>