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38e92067240c4663" /></Relationships>
</file>

<file path=word/document.xml><?xml version="1.0" encoding="utf-8"?>
<w:document xmlns:w="http://schemas.openxmlformats.org/wordprocessingml/2006/main">
  <w:body>
    <w:sectPr>
      <w:pgSz w:w="11906" w:h="16838"/>
      <w:pgMar w:top="1440" w:right="1440" w:bottom="1440" w:left="1440" w:header="720" w:footer="720" w:gutter="0"/>
    </w:sectPr>
    <w:p>
      <w:pPr>
        <w:pStyle w:val="Title"/>
      </w:pPr>
      <w:r>
        <w:t xml:space="preserve">Development Across the Lifespan   </w:t>
      </w:r>
    </w:p>
    <w:p>
      <w:pPr>
        <w:pStyle w:val="Normal"/>
      </w:pPr>
      <w:r>
        <w:t xml:space="preserve">2317085                                                     ECES4009                                                        2724</w:t>
      </w:r>
    </w:p>
    <w:p>
      <w:pPr>
        <w:pStyle w:val="Normal"/>
      </w:pPr>
      <w:r>
        <w:t xml:space="preserve">sway blog link: https://sway.cloud.microsoft/XGRPCBXivf9toXou?ref=Link&amp;loc=mysways</w:t>
      </w:r>
    </w:p>
    <w:p>
      <w:pPr>
        <w:pStyle w:val="Heading1"/>
      </w:pPr>
      <w:r>
        <w:t xml:space="preserve">The Impact of Nicotine and Tobacco Usage Around Children Pregnant Woman </w:t>
      </w:r>
    </w:p>
    <w:p>
      <w:pPr>
        <w:pStyle w:val="Normal"/>
      </w:pPr>
      <w:r>
        <w:t xml:space="preserve">Young children being surrounded by adults smoking and vaping can have negative impacts on their psychological development and their physical health. The affects can occur after a child has been exposed to second-hand smoke and more commonly, whilst their mother consumed nicotine or tobacco throughout the course of the pregnancy. Statistics show that maternal exposure to second-hand smoke while pregnant, there will be a 23% increase in risk of still birth and a 13% increased risk of congenital malformation, Leonardi-Bee</w:t>
      </w:r>
      <w:r>
        <w:rPr>
          <w:rStyle w:val="Emphasis"/>
        </w:rPr>
        <w:t xml:space="preserve"> et al</w:t>
      </w:r>
      <w:r>
        <w:t xml:space="preserve"> (2011).</w:t>
      </w:r>
    </w:p>
    <w:p>
      <w:pPr>
        <w:jc w:val="center"/>
      </w:pPr>
      <w:r>
        <w:drawing>
          <wp:inline xmlns:wp14="http://schemas.microsoft.com/office/word/2010/wordprocessingDrawing" xmlns:wp="http://schemas.openxmlformats.org/drawingml/2006/wordprocessingDrawing" distT="0" distB="0" distL="0" distR="0" wp14:editId="50D07946">
            <wp:extent cx="2865755" cy="3057444"/>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44fd3027a24421f" cstate="print">
                      <a:extLst>
                        <a:ext uri="{28A0092B-C50C-407E-A947-70E740481C1C}"/>
                      </a:extLst>
                    </a:blip>
                    <a:stretch>
                      <a:fillRect/>
                    </a:stretch>
                  </pic:blipFill>
                  <pic:spPr>
                    <a:xfrm>
                      <a:off x="0" y="0"/>
                      <a:ext cx="2865755" cy="3057444"/>
                    </a:xfrm>
                    <a:prstGeom prst="rect">
                      <a:avLst/>
                    </a:prstGeom>
                  </pic:spPr>
                </pic:pic>
              </a:graphicData>
            </a:graphic>
          </wp:inline>
        </w:drawing>
      </w:r>
    </w:p>
    <w:p>
      <w:pPr>
        <w:pStyle w:val="Caption"/>
      </w:pPr>
      <w:fldSimple w:instr=" SEQ Figure \*ARABIC ">
        <w:r>
          <w:t xml:space="preserve">1</w:t>
        </w:r>
      </w:fldSimple>
      <w:r>
        <w:t xml:space="preserve"> - </w:t>
      </w:r>
      <w:r>
        <w:t xml:space="preserve">(source:cdc.gov, 2020)</w:t>
      </w:r>
    </w:p>
    <w:p>
      <w:pPr>
        <w:pStyle w:val="Caption"/>
      </w:pPr>
      <w:r>
        <w:t xml:space="preserve">The exposure to second-hand smoke causes the death of 1.2 million people per year with  65,000 of them being premature and preventable deaths of children under the age of fifteen (Global Burden of Disease Study) Whilst at risk of consuming second-hand smoke, children with care givers who smoke are around 70% more likely to try smoking by the age of 15, further damaging their health (Global Burden of Disease Study) the inhalation of cigarette smoke causes carbon monoxide to enter the system, if carrying a baby this can cut off or limit the amount of oxygen reaching the child and van lead to serious damages to the babies health such as; increased chances of developing a cleft lip or pallet or developing learning or behavioral problems which would not be noticed until the child has begun attempting to engage with others (NHS highland). Some mothers may find it hard to quit once they become pregnant, while there are recourses to help mothers lower their intake levels such as nicotine replacement therapy (NRT) which consists of using nicotine patches, gums or using an inhaler, some midwifes may suggest switching to the use of an e-cigarette due to them containing a lower amount of harmful and toxic chemical (NHS Highland).</w:t>
      </w:r>
    </w:p>
    <w:p>
      <w:pPr>
        <w:jc w:val="center"/>
      </w:pPr>
      <w:r>
        <w:drawing>
          <wp:inline xmlns:wp14="http://schemas.microsoft.com/office/word/2010/wordprocessingDrawing" xmlns:wp="http://schemas.openxmlformats.org/drawingml/2006/wordprocessingDrawing" distT="0" distB="0" distL="0" distR="0" wp14:editId="50D07946">
            <wp:extent cx="2865754" cy="2646777"/>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143d06e5bb84e30" cstate="print">
                      <a:extLst>
                        <a:ext uri="{28A0092B-C50C-407E-A947-70E740481C1C}"/>
                      </a:extLst>
                    </a:blip>
                    <a:stretch>
                      <a:fillRect/>
                    </a:stretch>
                  </pic:blipFill>
                  <pic:spPr>
                    <a:xfrm>
                      <a:off x="0" y="0"/>
                      <a:ext cx="2865754" cy="2646777"/>
                    </a:xfrm>
                    <a:prstGeom prst="rect">
                      <a:avLst/>
                    </a:prstGeom>
                  </pic:spPr>
                </pic:pic>
              </a:graphicData>
            </a:graphic>
          </wp:inline>
        </w:drawing>
      </w:r>
    </w:p>
    <w:p>
      <w:pPr>
        <w:pStyle w:val="Caption"/>
      </w:pPr>
      <w:fldSimple w:instr=" SEQ Figure \*ARABIC ">
        <w:r>
          <w:t xml:space="preserve">2</w:t>
        </w:r>
      </w:fldSimple>
      <w:r>
        <w:t xml:space="preserve"> - </w:t>
      </w:r>
      <w:r>
        <w:t xml:space="preserve">(source:cdc.gov, 2020)</w:t>
      </w:r>
    </w:p>
    <w:p>
      <w:pPr>
        <w:pStyle w:val="Caption"/>
      </w:pPr>
      <w:r>
        <w:t xml:space="preserve">Although statistics have shown a decrease in the amount of people smoking, shown by the 7.3% decrease since 2011 when 20.2% of the UK were smokers in comparison to in 2022 where only 15.5% of the population are smokers (Office for National Statistics). Although the decrease of smokers in the UK is a positive change, there has been a steady rise in the number of young adults using e-cigarettes within recent years, numbers are showing that 15.5% of 16-24 year olds use e-cigarettes which shows a 4.4% increase since 2021 (Office for National Statistics). While many see the benefits from switching from smoking to vaping, due to them being seen as less harmful, there are still serious health risks for new parents and pregnant women. Scientists, E.N.Burrage et al (2021), experimented on the effects caused by maternal vaping  within offspring, their study used a control (no exposure to nicotine) subject and a subject exposed to 20 puffs off nicotine e-liquid in one hour windows per day. Although their research showed low effects on the offspring within the exposure windows to the nicotine due to the low levels and small amount of usage, their research suggest that the base products used within e-cigarettes even without the nicotine may cause cerebrovascular dysfunctions. A comparative study conducted by Orzabal et al, using higher levels of nicotine with longer and more frequent windows showed higher rates of lower birth weights. </w:t>
      </w:r>
    </w:p>
    <w:p>
      <w:pPr>
        <w:pStyle w:val="Caption"/>
      </w:pPr>
      <w:r>
        <w:t xml:space="preserve">While the test subjects used within these experiments were rodents and do not have identical biology to humans it is important to note that in past studies it has been evident that rodents show similar physiological and pathological outcomes as seen in humans. Though the results and effects on the subjects were significantly smaller than expected Burrage et al, stresses within their paper that due to the fat there is such robust adverse cerebrovascular effects within the narrow fatal ensure window should raise alarm and concern and serve as harbinger for humans.</w:t>
      </w:r>
    </w:p>
    <w:p>
      <w:pPr>
        <w:pStyle w:val="Normal"/>
      </w:pPr>
      <w:r>
        <w:t xml:space="preserve">While the test subjects used within these experiments were rodents and do not have identical biology to humans it is important to note that in past studies it has been evident that rodents show similar physiological and pathological outcomes as seen in humans. Though the results and effects on the subjects were significantly smaller than expected Burrage et al, stresses within their paper that due to the fat there is such robust adverse cerebrovascular effects within the narrow fatal ensure window should raise alarm and concern and serve as harbinger for humans.</w:t>
      </w:r>
    </w:p>
    <w:p>
      <w:pPr>
        <w:pStyle w:val="Normal"/>
      </w:pPr>
      <w:r>
        <w:t xml:space="preserve">Through there are many recourses to help pregnant women quit or lower their intake of nicotine to help support the growth and health of their child. The NHS offers support such as suggesting utilising the National Smokefree helpline, offering support and advice throughout the week as well as giving details of local support groups. Many of the NHS Stop Smoking services will often have a specialist midwife to help women through the process, and cope with the worries they may have around the stress of quitting, dealing with cravings and the worries of weight gain quitting might bring, due to the spike in appetite quitting smoking may induce. Supporting the NHS Stop Smoking services they also provide smokers with an app names ‘Quit Smoking’ which allows for them to track their progress, how much they’re saving over the course of the first 28 days.</w:t>
      </w:r>
    </w:p>
    <w:p>
      <w:pPr>
        <w:pStyle w:val="Normal"/>
      </w:pPr>
      <w:r>
        <w:t xml:space="preserve">To conclude, the health risks caused by inhaling tobacco and nicotine first and second hand through cigarettes and e-cigarettes can be detrimental to the health children throughout their development. Although there may be some benefits for mothers to switch to using e-cigarettes during their pregnancy (if previously using cigarettes), there are still risks of causing the child to have a low birth weight and respiratory problems such as asthma. By supporting mothers who have previously smoked or continue to smoke during their pregnancy it is vital to provide them with the correct information and recourses in order to ensure the health of themselves and their baby, whilst also education family members and their support systems on the risks of second-hand smoke and the threats they pose to a young child and the complications it may cause the child In its later years. Promoting the use of NRT and quitting apps and support groups will allow mothers who are trying to quit feel less isolated and be more educated themselves.</w:t>
      </w:r>
    </w:p>
    <w:p>
      <w:pPr>
        <w:pStyle w:val="Heading1"/>
      </w:pPr>
      <w:r>
        <w:rPr>
          <w:rStyle w:val="Strong"/>
        </w:rPr>
        <w:t xml:space="preserve">Impact of poverty on a child’s development and mental health.</w:t>
      </w:r>
    </w:p>
    <w:p>
      <w:pPr>
        <w:pStyle w:val="Normal"/>
      </w:pPr>
      <w:r>
        <w:t xml:space="preserve">Determining whether children’s development is stunted due to being raised in a financially challenged family is important to allow us to educate ourselves on how we can help children living in poverty, allowing them to succeed and excel within their education and future jobs and opportunities. According to the child poverty action group, 4.2 million children living in the UK in 2021-22 were suffering under poverty, this statistic show that nine out of thirty in a classroom will be living in poverty.</w:t>
      </w:r>
    </w:p>
    <w:p>
      <w:pPr>
        <w:pStyle w:val="Normal"/>
      </w:pPr>
      <w:r>
        <w:t xml:space="preserve">An American study in 2015, conducted by Hair et al, examined the brain scans of 389 children aged from 4-22. All children came from a range of economic and ethnic backgrounds to allow for a fair study on the effects of poverty to the developing brain. When reviewing the results, the researchers measured their poverty level depending on how far they were above or below the Federal Poverty Level (FPL). The results showed that children who were 3-4% below the FPL had 1.5 time below the average amount of grey matter commonly seen for their age and sex, this gap increased to some children who were below the FPL having 7-10% less volumes of grey matter. The results show that children from low-income background had significant structural differences in the frontal lobe, temporal lobe and the hippocampus. All important sectors within the brain to insure children are raised with the right temperament. The differences in the frontal lobe and temporal lobe development leads to the explanation of up to 20% of low-income children’s achievement deficits. </w:t>
      </w:r>
    </w:p>
    <w:p>
      <w:pPr>
        <w:jc w:val="center"/>
      </w:pPr>
      <w:r>
        <w:drawing>
          <wp:inline xmlns:wp14="http://schemas.microsoft.com/office/word/2010/wordprocessingDrawing" xmlns:wp="http://schemas.openxmlformats.org/drawingml/2006/wordprocessingDrawing" distT="0" distB="0" distL="0" distR="0" wp14:editId="50D07946">
            <wp:extent cx="2865755" cy="1358799"/>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55de25d05964717" cstate="print">
                      <a:extLst>
                        <a:ext uri="{28A0092B-C50C-407E-A947-70E740481C1C}"/>
                      </a:extLst>
                    </a:blip>
                    <a:stretch>
                      <a:fillRect/>
                    </a:stretch>
                  </pic:blipFill>
                  <pic:spPr>
                    <a:xfrm>
                      <a:off x="0" y="0"/>
                      <a:ext cx="2865755" cy="1358799"/>
                    </a:xfrm>
                    <a:prstGeom prst="rect">
                      <a:avLst/>
                    </a:prstGeom>
                  </pic:spPr>
                </pic:pic>
              </a:graphicData>
            </a:graphic>
          </wp:inline>
        </w:drawing>
      </w:r>
    </w:p>
    <w:p>
      <w:pPr>
        <w:pStyle w:val="Caption"/>
      </w:pPr>
      <w:fldSimple w:instr=" SEQ Figure \*ARABIC ">
        <w:r>
          <w:t xml:space="preserve">3</w:t>
        </w:r>
      </w:fldSimple>
      <w:r>
        <w:t xml:space="preserve"> - </w:t>
      </w:r>
      <w:r>
        <w:t xml:space="preserve">(source: the university of Queensland, 2018)</w:t>
      </w:r>
    </w:p>
    <w:p>
      <w:pPr>
        <w:pStyle w:val="Normal"/>
      </w:pPr>
      <w:r>
        <w:t xml:space="preserve"> The frontal lobe works as a sensory processor allowing for the individual to store short term memories and recognise differences between language and sound (Queensland Brain Institute, 2019). The frontal lobe, allows for emotional regulation, ease in planning, reasoning and problem solving, (Queensland Brain Institute, 2019). An example of the importance of the frontal lobe was shown in a rare case in 1848, when a Phineas Gage was impaled through his left eye and his brain. Although he survived the accident he suffered severe damage to his frontal lobe, causing his temper to change, becoming bad mannered and having difficulty carrying out plans, as explained by Bigelow 1850.</w:t>
      </w:r>
    </w:p>
    <w:p>
      <w:pPr>
        <w:pStyle w:val="Normal"/>
      </w:pPr>
      <w:r>
        <w:t xml:space="preserve">There are a multitude of explanations to why children living in poverty do not develop as well as or at the same rate as their peer who are living with financially stable family members. Poverty causes stress on a family environment due to the stresses inflicted. Kimberley Noble 2018, introduces the neuroplasticity, explaining that the differences in a child’s brain structure do not doom a child to a life of low achievement and while she acknowledged that it is important to intervene with slower developing children during their early years education, it may be too late to start due to most of the differences seen between brain structures occurring before the child enters education.</w:t>
      </w:r>
    </w:p>
    <w:p>
      <w:pPr>
        <w:pStyle w:val="Normal"/>
      </w:pPr>
      <w:r>
        <w:t xml:space="preserve">Due to children coming from more well-off family’s hearing an average 30million more spoken words in their first few years in comparison to those in less fortunate families, from this statistic, Noble suggests that families should begin using responsive conversations to and around the child allowing it to learn and interact with a larger range of vocabulary. Noble questions whether it is the uncertain and tense circumstances in a low-income household that creates the lack of development in children in these environments in her 2018 study, working with a team of economists, social policy’s experts and neuroscientists. Selecting one thousand mothers living below the FPL, giving them a unconditional monthly cash gift over 40 months. The mothers can use the money In any way they like, while all the mothers were given a varied amount, a majority of mothers monthly wage increased by 20-25% due to these payments. Due to the length of the study, the final paper is yet to be released however Noble hopes that study results show a change in the cognitive, emotional and brain development withing the first three years.</w:t>
      </w:r>
    </w:p>
    <w:p>
      <w:pPr>
        <w:pStyle w:val="Normal"/>
      </w:pPr>
      <w:r>
        <w:t xml:space="preserve">To conclude, there is clear evidence to show that poverty can stunt the development of a child’s brain. By continuing to research the way children’s brains develop while living in poverty we will be able to further educate and create ways in order to decrease the levels of children with less developed brains who are living in poverty. By supporting low-income families, it will allow us to see an increase in the numbers of low income students succeeding in their educational careers whilst also allowing them to have the opportunities to go into further education in universities, having equal opportunities as their peers who come from more well off families. This will also allow them to become more successful during in the later careers and also provide a lower chance of them falling back into poverty. </w:t>
      </w:r>
    </w:p>
    <w:p>
      <w:pPr>
        <w:pStyle w:val="Heading1"/>
      </w:pPr>
      <w:r>
        <w:t xml:space="preserve">  The effect bullying has on children's mental health </w:t>
      </w:r>
    </w:p>
    <w:p>
      <w:pPr>
        <w:pStyle w:val="Normal"/>
      </w:pPr>
      <w:r>
        <w:t xml:space="preserve">Within England and Wales 764,000 children aged 10-15 experienced some form of bullying (office for national statistics), while there is no legal definition for what bullying is, It can be described as a behaviour that hurts a peer whether that may be physically or emotionally and can occur at home, school or online. With the progression of technology, the act of bullying and anti-social behaviour has been easier to perform than before, allowing children to become bullies anonymously. Many young children have told ChildLine that the 24hr nature of online bullying means there’s no escape and can lead to very serious feelings of isolation and in extreme circumstances, suicide.</w:t>
      </w:r>
    </w:p>
    <w:p>
      <w:pPr>
        <w:pStyle w:val="Normal"/>
      </w:pPr>
      <w:r>
        <w:t xml:space="preserve">While it is important to analyse the affects that come with being a victim of bullying, it is also important that we assess what causes and provokes a child to bully their peers. Freud’s psychoanalytical approach towards the development of children’s minds and morals, believing that we are born with an ID, the part of our unconscious that causes urges and impulses, controlling the libido. Then going on to developing an ego at age 3, allowing us to process the world around us, followed up by the super-ego dictating the beliefs between right or wrong. Freuds theory shows us that although the super-ego has developed by the time most children attend primary school, they are still new to the ideas of morals and need guidance in distinguishing between right and wrong when interacting with fellow students. Due to this analysis, we can assume that during the first years of attending primary schools, young children are still impressionable in how they develop their opinion of what is right and wrong when interacting with their peers. The outcome of whether children develop good morals can be influenced by the home life and the media they are exposed to.</w:t>
      </w:r>
    </w:p>
    <w:p>
      <w:pPr>
        <w:pStyle w:val="Normal"/>
      </w:pPr>
      <w:r>
        <w:t xml:space="preserve"> The beliefs of some researchers (volk, </w:t>
      </w:r>
      <w:r>
        <w:rPr>
          <w:rStyle w:val="Emphasis"/>
        </w:rPr>
        <w:t xml:space="preserve">et al</w:t>
      </w:r>
      <w:r>
        <w:t xml:space="preserve">) are that bullying is an evolutionary adaption that allows the bully to gain short term benefits, showing that a majority of bullies do not tend to suffer from low self-esteem and have adapted to being socially skilled in manipulations leading them to having a high social status and popularity levels among their peers. Smith (2016) argues that bullies are some of the smartest within their classes, often excelling on theory of mind tasks, backing up Volk et al point showing that bullies are socially skilled in manipulation, explaining that bullies take advantage of understanding how their victims feel and understanding how to hurt them effectively, displaying cold cognition.</w:t>
      </w:r>
    </w:p>
    <w:p>
      <w:pPr>
        <w:pStyle w:val="Normal"/>
      </w:pPr>
      <w:r>
        <w:t xml:space="preserve">Due to the repetitive nature of bullying, it can have long term effects on those who were victims in their early years. With the majority of bullying leading to exclusion and rejection, causing students to feel isolated (W. deLara, 2018), as well as leading to ongoing problems with anxiety, depression and PTSD. Some former students reported that being a victim caused them to feel worthless and depressed casing difficulties when being in social situations in later life, with another former student claiming that they turned to the use of alcohol in order to deal with the anxiety of being bullied which has now caused them to be an alcoholic (W. deLara, 2018)</w:t>
      </w:r>
    </w:p>
    <w:p>
      <w:pPr>
        <w:pStyle w:val="Normal"/>
      </w:pPr>
      <w:r>
        <w:t xml:space="preserve">While it may become tricky to isolate the issue and figure out which children within the class room are subject to bullying or are the bullies themselves, a ‘guess who’ survey created by Coie </w:t>
      </w:r>
      <w:r>
        <w:rPr>
          <w:rStyle w:val="Emphasis"/>
        </w:rPr>
        <w:t xml:space="preserve">et al</w:t>
      </w:r>
      <w:r>
        <w:t xml:space="preserve">, allows children to fill out an anonymous survey, completing multiple choice answers to determine whether their results show them as a bully or victim. this method would alarm a teacher to the goings on within the classroom and decide how to reduce the bullying within the classroom. Sharp 1999, suggests that by using peer guided counselling and buddying it would allow for new students or students who may be feeling isolated, lonely or too shy to approach their peers, to come out of their shell and start to enjoy their time at school. While in some cases this may not work due to the nature of it being student led (while this may work with a older age group such as, secondary school students), the teacher may also choose to set up an extended curriculum within the classroom, raising awareness to their students as to what bullying and social behaviours could sound or look like, as well as demonstrating the ways a child could handle a situation if they were to occur bullying themselves and in other relationships, (sharp,1999).</w:t>
      </w:r>
    </w:p>
    <w:p>
      <w:pPr>
        <w:pStyle w:val="Normal"/>
      </w:pPr>
      <w:r>
        <w:t xml:space="preserve">To conclude, it is evident that bullying in early years can cause long term effects on the victims causing difficulty in day-to-day activities such as socialising. In some circumstances it may become more difficult for teachers to detect where bullying is occurring and the severity of it however by using methods such as anonymous surveys and engaging with the classroom to warn them of the knock-on effects they may inflict if they turn to bullying.  By educating teachers further on the paths they can take in order to support both the victims and the bullies, learning how to cope in social situations and using kind words to other students will allow for a more pleasant experience for the whole classroom. It is not only important to ease students time within education however, by reducing the occurrence of bullies may lead to a decrease in the number of young adults suffering from mental health conditions and allowing them to feel more comfortable when being surrounded by social situations. By showing young children how to properly socialise with other students and implementing it into the curriculum it with also bring awareness of how to avoid and tackle bullying in the home of the students, educating the parents on how they can support their child if they become a victim.</w:t>
      </w:r>
    </w:p>
    <w:p>
      <w:pPr>
        <w:pStyle w:val="Heading2"/>
      </w:pPr>
      <w:r>
        <w:t xml:space="preserve">Reference list </w:t>
      </w:r>
    </w:p>
    <w:p>
      <w:pPr>
        <w:pStyle w:val="Normal"/>
      </w:pPr>
      <w:r>
        <w:t xml:space="preserve">Burrage, E.N., Aboaziza, E., Hare, L., Reppert, S., Moore, J., Goldsmith, W.T., Kelley, E.E., Mills, A., Dakhlallah, D., Chantler, P.D. and Olfert, I.M. (2021). Long-term cerebrovascular dysfunction in the offspring from maternal electronic cigarette use during pregnancy. </w:t>
      </w:r>
      <w:r>
        <w:rPr>
          <w:rStyle w:val="Emphasis"/>
        </w:rPr>
        <w:t xml:space="preserve">American Journal of Physiology-Heart and Circulatory Physiology</w:t>
      </w:r>
      <w:r>
        <w:t xml:space="preserve">, 321(2), pp.H339–H352. doi:https://doi.org/10.1152/ajpheart.00206.2021.</w:t>
      </w:r>
    </w:p>
    <w:p>
      <w:pPr>
        <w:pStyle w:val="Normal"/>
      </w:pPr>
      <w:r>
        <w:t xml:space="preserve">Centers for Disease Control and Prevention (2022). </w:t>
      </w:r>
      <w:r>
        <w:rPr>
          <w:rStyle w:val="Emphasis"/>
        </w:rPr>
        <w:t xml:space="preserve">Health Problems Caused by Secondhand Smoke</w:t>
      </w:r>
      <w:r>
        <w:t xml:space="preserve">. [online] www.cdc.gov. Available at: https://www.cdc.gov/tobacco/secondhand-smoke/health.html.</w:t>
      </w:r>
    </w:p>
    <w:p>
      <w:pPr>
        <w:pStyle w:val="Normal"/>
      </w:pPr>
      <w:r>
        <w:t xml:space="preserve">Child Poverty Action Group (2016). </w:t>
      </w:r>
      <w:r>
        <w:rPr>
          <w:rStyle w:val="Emphasis"/>
        </w:rPr>
        <w:t xml:space="preserve">Child poverty facts and figures</w:t>
      </w:r>
      <w:r>
        <w:t xml:space="preserve">. [online] CPAG. Available at: https://cpag.org.uk/child-poverty/child-poverty-facts-and-figures#footnoteref1_qsnbrru [Accessed 4 Jan. 2024].</w:t>
      </w:r>
    </w:p>
    <w:p>
      <w:pPr>
        <w:pStyle w:val="Normal"/>
      </w:pPr>
      <w:r>
        <w:t xml:space="preserve">Coie, J.D., Dodge, K.A. and Coppotelli, H. (1982). Dimensions and types if social statue: A cross-age perspective. </w:t>
      </w:r>
      <w:r>
        <w:rPr>
          <w:rStyle w:val="Emphasis"/>
        </w:rPr>
        <w:t xml:space="preserve">Developmental Psychology</w:t>
      </w:r>
      <w:r>
        <w:t xml:space="preserve">, 18(4), PP. 557-70</w:t>
      </w:r>
    </w:p>
    <w:p>
      <w:pPr>
        <w:pStyle w:val="Normal"/>
      </w:pPr>
      <w:r>
        <w:t xml:space="preserve">deLara, E.W. (2018). Consequences of Childhood Bullying on Mental Health and Relationships for Young Adults. </w:t>
      </w:r>
      <w:r>
        <w:rPr>
          <w:rStyle w:val="Emphasis"/>
        </w:rPr>
        <w:t xml:space="preserve">Journal of Child and Family Studies</w:t>
      </w:r>
      <w:r>
        <w:t xml:space="preserve">, [online] 28(9), pp.2379–2389. doi:https://doi.org/10.1007/s10826-018-1197-y.</w:t>
      </w:r>
    </w:p>
    <w:p>
      <w:pPr>
        <w:pStyle w:val="Normal"/>
      </w:pPr>
      <w:r>
        <w:t xml:space="preserve">Freud, S. (1974). </w:t>
      </w:r>
      <w:r>
        <w:rPr>
          <w:rStyle w:val="Emphasis"/>
        </w:rPr>
        <w:t xml:space="preserve">THE MOST COMPREHENSIVE RESOURCES FOR COUNSELLORS AND STUDENT COUNSELLORS COUNSELLINGTUTOR.COM 1 Definition</w:t>
      </w:r>
      <w:r>
        <w:t xml:space="preserve">. [online] Available at: https://s3.eu-west-2.amazonaws.com/counselling-tutor/CSR+Documents/Psycho+Analysis+/Freud+-+Id+Ego+Superego.pdf.</w:t>
      </w:r>
    </w:p>
    <w:p>
      <w:pPr>
        <w:pStyle w:val="Normal"/>
      </w:pPr>
      <w:r>
        <w:t xml:space="preserve">Highland, N.H.S. (2023). </w:t>
      </w:r>
      <w:r>
        <w:rPr>
          <w:rStyle w:val="Emphasis"/>
        </w:rPr>
        <w:t xml:space="preserve">Smoking and Pregnancy</w:t>
      </w:r>
      <w:r>
        <w:t xml:space="preserve">. [online] NHS Highland. Available at: https://www.nhshighland.scot.nhs.uk/your-services/all-services-a-z/maternity-and-neonatal/enhanced-midwifery-support/smoking-and-pregnancy/#:~:text=Current%20research%20about%20e%2Dcigarette [Accessed 19 Jan. 2024].</w:t>
      </w:r>
    </w:p>
    <w:p>
      <w:pPr>
        <w:pStyle w:val="Normal"/>
      </w:pPr>
      <w:r>
        <w:t xml:space="preserve">Institute for Health Metrics and Evaluation (2019). </w:t>
      </w:r>
      <w:r>
        <w:rPr>
          <w:rStyle w:val="Emphasis"/>
        </w:rPr>
        <w:t xml:space="preserve">GBD Compare</w:t>
      </w:r>
      <w:r>
        <w:t xml:space="preserve">. [online] Healthdata.org. Available at: https://vizhub.healthdata.org/gbd-compare/ [Accessed 2 Jan. 2024].</w:t>
      </w:r>
    </w:p>
    <w:p>
      <w:pPr>
        <w:pStyle w:val="Normal"/>
      </w:pPr>
      <w:r>
        <w:t xml:space="preserve">Leonardi-Bee, J., Britton, J. and Venn, A. (2011). Secondhand Smoke and Adverse Fetal Outcomes in Nonsmoking Pregnant Women: A Meta-analysis. </w:t>
      </w:r>
      <w:r>
        <w:rPr>
          <w:rStyle w:val="Emphasis"/>
        </w:rPr>
        <w:t xml:space="preserve">PEDIATRICS</w:t>
      </w:r>
      <w:r>
        <w:t xml:space="preserve">, 127(4), pp.734–741. doi:https://doi.org/10.1542/peds.2010-3041.</w:t>
      </w:r>
    </w:p>
    <w:p>
      <w:pPr>
        <w:pStyle w:val="Normal"/>
      </w:pPr>
      <w:r>
        <w:t xml:space="preserve">NHS (2020). </w:t>
      </w:r>
      <w:r>
        <w:rPr>
          <w:rStyle w:val="Emphasis"/>
        </w:rPr>
        <w:t xml:space="preserve">Stop smoking in pregnancy</w:t>
      </w:r>
      <w:r>
        <w:t xml:space="preserve">. [online] nhs.uk. Available at: https://www.nhs.uk/pregnancy/keeping-well/stop-smoking/#:~:text=NHS%20Stop%20Smoking%20services%20can [Accessed 3 Jan. 2024].</w:t>
      </w:r>
    </w:p>
    <w:p>
      <w:pPr>
        <w:pStyle w:val="Normal"/>
      </w:pPr>
      <w:r>
        <w:t xml:space="preserve">Noble, K. (2019). </w:t>
      </w:r>
      <w:r>
        <w:rPr>
          <w:rStyle w:val="Emphasis"/>
        </w:rPr>
        <w:t xml:space="preserve">How Does Income Affect Childhood Brain development?</w:t>
      </w:r>
      <w:r>
        <w:t xml:space="preserve"> [online] Ted.com. Available at: https://www.ted.com/talks/kimberly_noble_how_does_income_affect_childhood_brain_development?language=en [Accessed 4 Jan. 2024].</w:t>
      </w:r>
    </w:p>
    <w:p>
      <w:pPr>
        <w:pStyle w:val="Normal"/>
      </w:pPr>
      <w:r>
        <w:t xml:space="preserve">Office for National Statistics (2020). </w:t>
      </w:r>
      <w:r>
        <w:rPr>
          <w:rStyle w:val="Emphasis"/>
        </w:rPr>
        <w:t xml:space="preserve">Online Bullying in England and Wales - Office for National Statistics</w:t>
      </w:r>
      <w:r>
        <w:t xml:space="preserve">. [online] www.ons.gov.uk. Available at: https://www.ons.gov.uk/peoplepopulationandcommunity/crimeandjustice/bulletins/onlinebullyinginenglandandwales/yearendingmarch2020#:~:text=Around%20one%20in%20five%20children.</w:t>
      </w:r>
    </w:p>
    <w:p>
      <w:pPr>
        <w:pStyle w:val="Normal"/>
      </w:pPr>
      <w:r>
        <w:t xml:space="preserve">Office for national statistics (2023). </w:t>
      </w:r>
      <w:r>
        <w:rPr>
          <w:rStyle w:val="Emphasis"/>
        </w:rPr>
        <w:t xml:space="preserve">Adult Smoking Habits in the UK: 2022</w:t>
      </w:r>
      <w:r>
        <w:t xml:space="preserve">. [online] Ons.gov.uk. Available at: https://www.ons.gov.uk [Accessed 2 Jan. 2024].</w:t>
      </w:r>
    </w:p>
    <w:p>
      <w:pPr>
        <w:pStyle w:val="Normal"/>
      </w:pPr>
      <w:r>
        <w:t xml:space="preserve">Orzabal, M.R., Lunde-Young, E.R., Ramirez, J.I., Howe, S.Y.F., Naik, V.D., Lee, J., Heaps, C.L., Threadgill, D.W. and Ramadoss, J. (2019). Chronic exposure to e-cig aerosols during early development causes vascular dysfunction and offspring growth deficits. </w:t>
      </w:r>
      <w:r>
        <w:rPr>
          <w:rStyle w:val="Emphasis"/>
        </w:rPr>
        <w:t xml:space="preserve">Translational Research</w:t>
      </w:r>
      <w:r>
        <w:t xml:space="preserve">, 207, pp.70–82. doi:https://doi.org/10.1016/j.trsl.2019.01.001.</w:t>
      </w:r>
    </w:p>
    <w:p>
      <w:pPr>
        <w:pStyle w:val="Normal"/>
      </w:pPr>
      <w:r>
        <w:t xml:space="preserve">Sharp, S. (1999). Bullying behaviour in schools. In N. Fredrickson and R.J Cameron (eds), </w:t>
      </w:r>
      <w:r>
        <w:rPr>
          <w:rStyle w:val="Emphasis"/>
        </w:rPr>
        <w:t xml:space="preserve">Psychology in Education Portfolio</w:t>
      </w:r>
      <w:r>
        <w:t xml:space="preserve">. Maidenhead, UK: NFER-Nelson</w:t>
      </w:r>
    </w:p>
    <w:p>
      <w:pPr>
        <w:pStyle w:val="Normal"/>
      </w:pPr>
      <w:r>
        <w:t xml:space="preserve">Smith, P.K. (2016). Bullying: Definition, Types, Causes, Consequences and Intervention. </w:t>
      </w:r>
      <w:r>
        <w:rPr>
          <w:rStyle w:val="Emphasis"/>
        </w:rPr>
        <w:t xml:space="preserve">Social and Personality Psychology Compass</w:t>
      </w:r>
      <w:r>
        <w:t xml:space="preserve">, [online] 10(9), pp.519–532. doi:https://doi.org/10.1111/spc3.12266.</w:t>
      </w:r>
    </w:p>
    <w:p>
      <w:pPr>
        <w:pStyle w:val="Normal"/>
      </w:pPr>
      <w:r>
        <w:t xml:space="preserve">Smoking, Q. (2021). </w:t>
      </w:r>
      <w:r>
        <w:rPr>
          <w:rStyle w:val="Emphasis"/>
        </w:rPr>
        <w:t xml:space="preserve">Smokefree Registration</w:t>
      </w:r>
      <w:r>
        <w:t xml:space="preserve">. [online] Smokefree.nhs.uk. Available at: https://quitnow.smokefree.nhs.uk/Congratulations/67fc4f4d-7360-4f7e-8980-b3c9c76ad1c4.</w:t>
      </w:r>
    </w:p>
    <w:p>
      <w:pPr>
        <w:pStyle w:val="Normal"/>
      </w:pPr>
      <w:r>
        <w:t xml:space="preserve">The University of Queensland (2018a). </w:t>
      </w:r>
      <w:r>
        <w:rPr>
          <w:rStyle w:val="Emphasis"/>
        </w:rPr>
        <w:t xml:space="preserve">Lobes of the brain</w:t>
      </w:r>
      <w:r>
        <w:t xml:space="preserve">. [online] Queensland Brain Institute. Available at: https://qbi.uq.edu.au/brain/brain-anatomy/lobes-brain [Accessed 4 Jan. 2024].</w:t>
      </w:r>
    </w:p>
    <w:p>
      <w:pPr>
        <w:pStyle w:val="Normal"/>
      </w:pPr>
      <w:r>
        <w:t xml:space="preserve">The University of Queensland (2018b). </w:t>
      </w:r>
      <w:r>
        <w:rPr>
          <w:rStyle w:val="Emphasis"/>
        </w:rPr>
        <w:t xml:space="preserve">Lobes of the brain</w:t>
      </w:r>
      <w:r>
        <w:t xml:space="preserve">. [online] Queensland Brain Institute. Available at: https://qbi.uq.edu.au/brain/brain-anatomy/lobes-brain.</w:t>
      </w:r>
    </w:p>
    <w:p>
      <w:pPr>
        <w:pStyle w:val="Normal"/>
      </w:pPr>
      <w:r>
        <w:t xml:space="preserve">Volk, A.A., Camilleri, J.A., Dane, A.V. and Marini, Z.A. (2012). Is Adolescent Bullying an Evolutionary Adaptation? </w:t>
      </w:r>
      <w:r>
        <w:rPr>
          <w:rStyle w:val="Emphasis"/>
        </w:rPr>
        <w:t xml:space="preserve">Aggressive Behavior</w:t>
      </w:r>
      <w:r>
        <w:t xml:space="preserve">, 38(3), pp.222–238. doi:https://doi.org/10.1002/ab.21418.</w:t>
      </w:r>
    </w:p>
    <w:p>
      <w:pPr>
        <w:pStyle w:val="Normal"/>
      </w:pPr>
      <w:r>
        <w:t xml:space="preserve">www.who.int. (2021). </w:t>
      </w:r>
      <w:r>
        <w:rPr>
          <w:rStyle w:val="Emphasis"/>
        </w:rPr>
        <w:t xml:space="preserve">Tobacco control to improve child health and development: thematic brief</w:t>
      </w:r>
      <w:r>
        <w:t xml:space="preserve">. [online] Available at: https://www.who.int/publications/i/item/9789240022218 [Accessed 2 Jan. 2024].</w:t>
      </w:r>
    </w:p>
    <w:p>
      <w:pPr>
        <w:pStyle w:val="Normal"/>
      </w:pPr>
      <w:r>
        <w:t xml:space="preserve">Yassa, M.A. (2019). hippocampus | Definition, Location, Function, &amp; Facts | Britannica. In: </w:t>
      </w:r>
      <w:r>
        <w:rPr>
          <w:rStyle w:val="Emphasis"/>
        </w:rPr>
        <w:t xml:space="preserve">Encyclopædia Britannica</w:t>
      </w:r>
      <w:r>
        <w:t xml:space="preserve">. [online] Available at: https://www.britannica.com/science/hippocampus [Accessed 4 Jan. 2024].</w:t>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dece9bd2ec624def" /><Relationship Type="http://schemas.openxmlformats.org/officeDocument/2006/relationships/image" Target="/media/image.jpg" Id="Rd44fd3027a24421f" /><Relationship Type="http://schemas.openxmlformats.org/officeDocument/2006/relationships/image" Target="/media/image2.jpg" Id="R5143d06e5bb84e30" /><Relationship Type="http://schemas.openxmlformats.org/officeDocument/2006/relationships/image" Target="/media/image3.jpg" Id="Rf55de25d05964717" /></Relationships>
</file>