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6E66A" w14:textId="77777777" w:rsidR="003A1CCB" w:rsidRPr="000714AE" w:rsidRDefault="003A1CCB" w:rsidP="008D1C34">
      <w:pPr>
        <w:jc w:val="center"/>
        <w:rPr>
          <w:rFonts w:cs="Arial"/>
          <w:b/>
          <w:bCs/>
          <w:lang w:val="en-GB"/>
        </w:rPr>
      </w:pPr>
    </w:p>
    <w:p w14:paraId="3E92325F" w14:textId="77777777" w:rsidR="003A1CCB" w:rsidRPr="000714AE" w:rsidRDefault="003A1CCB" w:rsidP="008D1C34">
      <w:pPr>
        <w:jc w:val="center"/>
        <w:rPr>
          <w:rFonts w:cs="Arial"/>
          <w:b/>
          <w:bCs/>
          <w:lang w:val="en-GB"/>
        </w:rPr>
      </w:pPr>
    </w:p>
    <w:p w14:paraId="09A33364" w14:textId="77777777" w:rsidR="003A1CCB" w:rsidRPr="000714AE" w:rsidRDefault="003A1CCB" w:rsidP="008D1C34">
      <w:pPr>
        <w:jc w:val="center"/>
        <w:rPr>
          <w:rFonts w:cs="Arial"/>
          <w:b/>
          <w:bCs/>
          <w:lang w:val="en-GB"/>
        </w:rPr>
      </w:pPr>
    </w:p>
    <w:p w14:paraId="54F744BD" w14:textId="77777777" w:rsidR="003A1CCB" w:rsidRPr="000714AE" w:rsidRDefault="003A1CCB" w:rsidP="008D1C34">
      <w:pPr>
        <w:jc w:val="center"/>
        <w:rPr>
          <w:rFonts w:cs="Arial"/>
          <w:b/>
          <w:bCs/>
          <w:lang w:val="en-GB"/>
        </w:rPr>
      </w:pPr>
    </w:p>
    <w:p w14:paraId="2D14F674" w14:textId="77777777" w:rsidR="003A1CCB" w:rsidRPr="000714AE" w:rsidRDefault="00BB129D" w:rsidP="008D1C34">
      <w:pPr>
        <w:jc w:val="center"/>
        <w:rPr>
          <w:rFonts w:cs="Arial"/>
          <w:b/>
          <w:bCs/>
          <w:lang w:val="en-GB"/>
        </w:rPr>
      </w:pPr>
      <w:r w:rsidRPr="000714AE">
        <w:rPr>
          <w:rFonts w:cs="Arial"/>
          <w:b/>
          <w:bCs/>
          <w:lang w:val="en-GB"/>
        </w:rPr>
        <w:t>PROGRAMME</w:t>
      </w:r>
      <w:r w:rsidR="008D2DE4" w:rsidRPr="000714AE">
        <w:rPr>
          <w:rFonts w:cs="Arial"/>
          <w:b/>
          <w:bCs/>
          <w:lang w:val="en-GB"/>
        </w:rPr>
        <w:t>: BSc (Hons) Health and Social Care</w:t>
      </w:r>
    </w:p>
    <w:p w14:paraId="183F9A48" w14:textId="77777777" w:rsidR="000932E2" w:rsidRPr="000714AE" w:rsidRDefault="00BB129D" w:rsidP="008D1C34">
      <w:pPr>
        <w:jc w:val="center"/>
        <w:rPr>
          <w:rFonts w:cs="Arial"/>
          <w:b/>
          <w:bCs/>
          <w:lang w:val="en-GB"/>
        </w:rPr>
      </w:pPr>
      <w:r w:rsidRPr="000714AE">
        <w:rPr>
          <w:rFonts w:cs="Arial"/>
          <w:b/>
          <w:bCs/>
          <w:lang w:val="en-GB"/>
        </w:rPr>
        <w:t>MODULE</w:t>
      </w:r>
      <w:r w:rsidR="008D2DE4" w:rsidRPr="000714AE">
        <w:rPr>
          <w:rFonts w:cs="Arial"/>
          <w:b/>
          <w:bCs/>
          <w:lang w:val="en-GB"/>
        </w:rPr>
        <w:t>: Health, Wellbeing and Sustainable Development</w:t>
      </w:r>
    </w:p>
    <w:p w14:paraId="5B0E8356" w14:textId="77777777" w:rsidR="00F16952" w:rsidRPr="000714AE" w:rsidRDefault="00BB129D" w:rsidP="008D1C34">
      <w:pPr>
        <w:jc w:val="center"/>
        <w:rPr>
          <w:rFonts w:cs="Arial"/>
          <w:b/>
          <w:bCs/>
          <w:lang w:val="en-GB"/>
        </w:rPr>
      </w:pPr>
      <w:r w:rsidRPr="000714AE">
        <w:rPr>
          <w:rFonts w:cs="Arial"/>
          <w:b/>
          <w:bCs/>
          <w:lang w:val="en-GB"/>
        </w:rPr>
        <w:t xml:space="preserve">MODULE CODE: </w:t>
      </w:r>
      <w:r w:rsidR="00F16952" w:rsidRPr="000714AE">
        <w:rPr>
          <w:rFonts w:cs="Arial"/>
          <w:b/>
          <w:bCs/>
          <w:lang w:val="en-GB"/>
        </w:rPr>
        <w:t>BMHP6030</w:t>
      </w:r>
    </w:p>
    <w:p w14:paraId="56D16982" w14:textId="77777777" w:rsidR="003A1CCB" w:rsidRPr="000714AE" w:rsidRDefault="003A1CCB" w:rsidP="008D1C34">
      <w:pPr>
        <w:jc w:val="center"/>
        <w:rPr>
          <w:rFonts w:cs="Arial"/>
          <w:b/>
          <w:bCs/>
          <w:lang w:val="en-GB"/>
        </w:rPr>
      </w:pPr>
    </w:p>
    <w:p w14:paraId="3AC99650" w14:textId="77777777" w:rsidR="003A1CCB" w:rsidRPr="000714AE" w:rsidRDefault="003A1CCB" w:rsidP="008D1C34">
      <w:pPr>
        <w:jc w:val="center"/>
        <w:rPr>
          <w:rFonts w:cs="Arial"/>
          <w:b/>
          <w:bCs/>
          <w:lang w:val="en-GB"/>
        </w:rPr>
      </w:pPr>
    </w:p>
    <w:p w14:paraId="62985F17" w14:textId="77777777" w:rsidR="003A1CCB" w:rsidRPr="000714AE" w:rsidRDefault="008D2DE4" w:rsidP="008D1C34">
      <w:pPr>
        <w:jc w:val="center"/>
        <w:rPr>
          <w:rFonts w:cs="Arial"/>
          <w:b/>
          <w:bCs/>
          <w:lang w:val="en-GB"/>
        </w:rPr>
      </w:pPr>
      <w:r w:rsidRPr="000714AE">
        <w:rPr>
          <w:rFonts w:cs="Arial"/>
          <w:b/>
          <w:bCs/>
          <w:lang w:val="en-GB"/>
        </w:rPr>
        <w:t>SUSTAINABLE DEVELOPMENT FOR WELL-BEING</w:t>
      </w:r>
    </w:p>
    <w:p w14:paraId="0A84E201" w14:textId="77777777" w:rsidR="003A1CCB" w:rsidRPr="000714AE" w:rsidRDefault="008D2DE4" w:rsidP="008D1C34">
      <w:pPr>
        <w:jc w:val="center"/>
        <w:rPr>
          <w:rFonts w:cs="Arial"/>
          <w:i/>
          <w:iCs/>
          <w:u w:val="single"/>
          <w:lang w:val="en-GB"/>
        </w:rPr>
      </w:pPr>
      <w:r w:rsidRPr="000714AE">
        <w:rPr>
          <w:rFonts w:cs="Arial"/>
          <w:i/>
          <w:iCs/>
          <w:u w:val="single"/>
          <w:lang w:val="en-GB"/>
        </w:rPr>
        <w:t>Component 2</w:t>
      </w:r>
    </w:p>
    <w:p w14:paraId="26DF0261" w14:textId="77777777" w:rsidR="003A1CCB" w:rsidRPr="000714AE" w:rsidRDefault="003A1CCB" w:rsidP="008D1C34">
      <w:pPr>
        <w:jc w:val="center"/>
        <w:rPr>
          <w:rFonts w:cs="Arial"/>
          <w:lang w:val="en-GB"/>
        </w:rPr>
      </w:pPr>
    </w:p>
    <w:p w14:paraId="546AF7B0" w14:textId="77777777" w:rsidR="003A1CCB" w:rsidRPr="000714AE" w:rsidRDefault="003A1CCB" w:rsidP="008D1C34">
      <w:pPr>
        <w:jc w:val="center"/>
        <w:rPr>
          <w:rFonts w:cs="Arial"/>
          <w:lang w:val="en-GB"/>
        </w:rPr>
      </w:pPr>
    </w:p>
    <w:p w14:paraId="26ACFA79" w14:textId="77777777" w:rsidR="003A1CCB" w:rsidRPr="000714AE" w:rsidRDefault="003A1CCB" w:rsidP="008D1C34">
      <w:pPr>
        <w:jc w:val="center"/>
        <w:rPr>
          <w:rFonts w:cs="Arial"/>
          <w:lang w:val="en-GB"/>
        </w:rPr>
      </w:pPr>
    </w:p>
    <w:p w14:paraId="5511BE23" w14:textId="05097C00" w:rsidR="003A1CCB" w:rsidRPr="000714AE" w:rsidRDefault="008D2DE4" w:rsidP="008D1C34">
      <w:pPr>
        <w:jc w:val="center"/>
        <w:rPr>
          <w:rFonts w:cs="Arial"/>
          <w:lang w:val="en-GB"/>
        </w:rPr>
      </w:pPr>
      <w:r w:rsidRPr="000714AE">
        <w:rPr>
          <w:rFonts w:cs="Arial"/>
          <w:lang w:val="en-GB"/>
        </w:rPr>
        <w:t>Student Name</w:t>
      </w:r>
      <w:r w:rsidR="00CD436A">
        <w:rPr>
          <w:rFonts w:cs="Arial"/>
          <w:lang w:val="en-GB"/>
        </w:rPr>
        <w:t>: Shabana Ghafoor</w:t>
      </w:r>
    </w:p>
    <w:p w14:paraId="24B817D0" w14:textId="241D2EA3" w:rsidR="003A1CCB" w:rsidRDefault="008D2DE4" w:rsidP="008D1C34">
      <w:pPr>
        <w:jc w:val="center"/>
        <w:rPr>
          <w:rFonts w:cs="Arial"/>
          <w:lang w:val="en-GB"/>
        </w:rPr>
      </w:pPr>
      <w:r w:rsidRPr="000714AE">
        <w:rPr>
          <w:rFonts w:cs="Arial"/>
          <w:lang w:val="en-GB"/>
        </w:rPr>
        <w:t>Student ID</w:t>
      </w:r>
      <w:r w:rsidR="00CD436A">
        <w:rPr>
          <w:rFonts w:cs="Arial"/>
          <w:lang w:val="en-GB"/>
        </w:rPr>
        <w:t>: 2232216</w:t>
      </w:r>
    </w:p>
    <w:p w14:paraId="33C164C6" w14:textId="5A839CB8" w:rsidR="00CD436A" w:rsidRPr="000714AE" w:rsidRDefault="00CD436A" w:rsidP="008D1C34">
      <w:pPr>
        <w:jc w:val="center"/>
        <w:rPr>
          <w:rFonts w:cs="Arial"/>
          <w:lang w:val="en-GB"/>
        </w:rPr>
      </w:pPr>
      <w:r>
        <w:rPr>
          <w:rFonts w:cs="Arial"/>
          <w:lang w:val="en-GB"/>
        </w:rPr>
        <w:t>Tutor Name: Parese Ahmed</w:t>
      </w:r>
    </w:p>
    <w:p w14:paraId="45764AE6" w14:textId="77777777" w:rsidR="003A1CCB" w:rsidRPr="000714AE" w:rsidRDefault="008D2DE4" w:rsidP="008D1C34">
      <w:pPr>
        <w:rPr>
          <w:rFonts w:cs="Arial"/>
          <w:lang w:val="en-GB"/>
        </w:rPr>
      </w:pPr>
      <w:r w:rsidRPr="000714AE">
        <w:rPr>
          <w:rFonts w:cs="Arial"/>
          <w:lang w:val="en-GB"/>
        </w:rPr>
        <w:br w:type="page"/>
      </w:r>
    </w:p>
    <w:sdt>
      <w:sdtPr>
        <w:rPr>
          <w:rFonts w:ascii="Arial" w:eastAsiaTheme="minorHAnsi" w:hAnsi="Arial" w:cs="Arial"/>
          <w:color w:val="auto"/>
          <w:sz w:val="22"/>
          <w:szCs w:val="22"/>
          <w:lang w:val="en-GB"/>
        </w:rPr>
        <w:id w:val="640930722"/>
        <w:docPartObj>
          <w:docPartGallery w:val="Table of Contents"/>
          <w:docPartUnique/>
        </w:docPartObj>
      </w:sdtPr>
      <w:sdtEndPr>
        <w:rPr>
          <w:b/>
          <w:bCs/>
          <w:noProof/>
        </w:rPr>
      </w:sdtEndPr>
      <w:sdtContent>
        <w:p w14:paraId="66242634" w14:textId="77777777" w:rsidR="005D12A7" w:rsidRPr="000714AE" w:rsidRDefault="008D2DE4" w:rsidP="008D1C34">
          <w:pPr>
            <w:pStyle w:val="TOCHeading"/>
            <w:spacing w:line="360" w:lineRule="auto"/>
            <w:rPr>
              <w:rFonts w:ascii="Arial" w:hAnsi="Arial" w:cs="Arial"/>
              <w:i/>
              <w:iCs/>
              <w:color w:val="auto"/>
              <w:sz w:val="22"/>
              <w:szCs w:val="22"/>
              <w:lang w:val="en-GB"/>
            </w:rPr>
          </w:pPr>
          <w:r w:rsidRPr="000714AE">
            <w:rPr>
              <w:rFonts w:ascii="Arial" w:hAnsi="Arial" w:cs="Arial"/>
              <w:i/>
              <w:iCs/>
              <w:color w:val="auto"/>
              <w:sz w:val="22"/>
              <w:szCs w:val="22"/>
              <w:lang w:val="en-GB"/>
            </w:rPr>
            <w:t>Table of Contents</w:t>
          </w:r>
        </w:p>
        <w:p w14:paraId="065BCF07" w14:textId="69CF549F" w:rsidR="001F0577" w:rsidRDefault="008D2DE4">
          <w:pPr>
            <w:pStyle w:val="TOC1"/>
            <w:tabs>
              <w:tab w:val="right" w:leader="dot" w:pos="9350"/>
            </w:tabs>
            <w:rPr>
              <w:rFonts w:asciiTheme="minorHAnsi" w:eastAsiaTheme="minorEastAsia" w:hAnsiTheme="minorHAnsi"/>
              <w:noProof/>
            </w:rPr>
          </w:pPr>
          <w:r w:rsidRPr="000714AE">
            <w:rPr>
              <w:rFonts w:cs="Arial"/>
              <w:lang w:val="en-GB"/>
            </w:rPr>
            <w:fldChar w:fldCharType="begin"/>
          </w:r>
          <w:r w:rsidRPr="000714AE">
            <w:rPr>
              <w:rFonts w:cs="Arial"/>
              <w:lang w:val="en-GB"/>
            </w:rPr>
            <w:instrText xml:space="preserve"> TOC \o "1-3" \h \z \u </w:instrText>
          </w:r>
          <w:r w:rsidRPr="000714AE">
            <w:rPr>
              <w:rFonts w:cs="Arial"/>
              <w:lang w:val="en-GB"/>
            </w:rPr>
            <w:fldChar w:fldCharType="separate"/>
          </w:r>
          <w:hyperlink w:anchor="_Toc213692728" w:history="1">
            <w:r w:rsidR="001F0577" w:rsidRPr="00B8111C">
              <w:rPr>
                <w:rStyle w:val="Hyperlink"/>
                <w:rFonts w:cs="Arial"/>
                <w:noProof/>
                <w:lang w:val="en-GB"/>
              </w:rPr>
              <w:t>Introduction</w:t>
            </w:r>
            <w:r w:rsidR="001F0577">
              <w:rPr>
                <w:noProof/>
                <w:webHidden/>
              </w:rPr>
              <w:tab/>
            </w:r>
            <w:r w:rsidR="001F0577">
              <w:rPr>
                <w:noProof/>
                <w:webHidden/>
              </w:rPr>
              <w:fldChar w:fldCharType="begin"/>
            </w:r>
            <w:r w:rsidR="001F0577">
              <w:rPr>
                <w:noProof/>
                <w:webHidden/>
              </w:rPr>
              <w:instrText xml:space="preserve"> PAGEREF _Toc213692728 \h </w:instrText>
            </w:r>
            <w:r w:rsidR="001F0577">
              <w:rPr>
                <w:noProof/>
                <w:webHidden/>
              </w:rPr>
            </w:r>
            <w:r w:rsidR="001F0577">
              <w:rPr>
                <w:noProof/>
                <w:webHidden/>
              </w:rPr>
              <w:fldChar w:fldCharType="separate"/>
            </w:r>
            <w:r w:rsidR="001F0577">
              <w:rPr>
                <w:noProof/>
                <w:webHidden/>
              </w:rPr>
              <w:t>3</w:t>
            </w:r>
            <w:r w:rsidR="001F0577">
              <w:rPr>
                <w:noProof/>
                <w:webHidden/>
              </w:rPr>
              <w:fldChar w:fldCharType="end"/>
            </w:r>
          </w:hyperlink>
        </w:p>
        <w:p w14:paraId="0B21E1DD" w14:textId="273C55FE" w:rsidR="001F0577" w:rsidRDefault="001F0577">
          <w:pPr>
            <w:pStyle w:val="TOC1"/>
            <w:tabs>
              <w:tab w:val="right" w:leader="dot" w:pos="9350"/>
            </w:tabs>
            <w:rPr>
              <w:rFonts w:asciiTheme="minorHAnsi" w:eastAsiaTheme="minorEastAsia" w:hAnsiTheme="minorHAnsi"/>
              <w:noProof/>
            </w:rPr>
          </w:pPr>
          <w:hyperlink w:anchor="_Toc213692729" w:history="1">
            <w:r w:rsidRPr="00B8111C">
              <w:rPr>
                <w:rStyle w:val="Hyperlink"/>
                <w:rFonts w:cs="Arial"/>
                <w:noProof/>
                <w:lang w:val="en-GB"/>
              </w:rPr>
              <w:t>Global Context: Sustainable Development Goals</w:t>
            </w:r>
            <w:r>
              <w:rPr>
                <w:noProof/>
                <w:webHidden/>
              </w:rPr>
              <w:tab/>
            </w:r>
            <w:r>
              <w:rPr>
                <w:noProof/>
                <w:webHidden/>
              </w:rPr>
              <w:fldChar w:fldCharType="begin"/>
            </w:r>
            <w:r>
              <w:rPr>
                <w:noProof/>
                <w:webHidden/>
              </w:rPr>
              <w:instrText xml:space="preserve"> PAGEREF _Toc213692729 \h </w:instrText>
            </w:r>
            <w:r>
              <w:rPr>
                <w:noProof/>
                <w:webHidden/>
              </w:rPr>
            </w:r>
            <w:r>
              <w:rPr>
                <w:noProof/>
                <w:webHidden/>
              </w:rPr>
              <w:fldChar w:fldCharType="separate"/>
            </w:r>
            <w:r>
              <w:rPr>
                <w:noProof/>
                <w:webHidden/>
              </w:rPr>
              <w:t>3</w:t>
            </w:r>
            <w:r>
              <w:rPr>
                <w:noProof/>
                <w:webHidden/>
              </w:rPr>
              <w:fldChar w:fldCharType="end"/>
            </w:r>
          </w:hyperlink>
        </w:p>
        <w:p w14:paraId="2DE2961B" w14:textId="51CF7F1A" w:rsidR="001F0577" w:rsidRDefault="001F0577">
          <w:pPr>
            <w:pStyle w:val="TOC1"/>
            <w:tabs>
              <w:tab w:val="right" w:leader="dot" w:pos="9350"/>
            </w:tabs>
            <w:rPr>
              <w:rFonts w:asciiTheme="minorHAnsi" w:eastAsiaTheme="minorEastAsia" w:hAnsiTheme="minorHAnsi"/>
              <w:noProof/>
            </w:rPr>
          </w:pPr>
          <w:hyperlink w:anchor="_Toc213692730" w:history="1">
            <w:r w:rsidRPr="00B8111C">
              <w:rPr>
                <w:rStyle w:val="Hyperlink"/>
                <w:rFonts w:cs="Arial"/>
                <w:noProof/>
                <w:lang w:val="en-GB"/>
              </w:rPr>
              <w:t>National Policies and Initiatives (UK)</w:t>
            </w:r>
            <w:r>
              <w:rPr>
                <w:noProof/>
                <w:webHidden/>
              </w:rPr>
              <w:tab/>
            </w:r>
            <w:r>
              <w:rPr>
                <w:noProof/>
                <w:webHidden/>
              </w:rPr>
              <w:fldChar w:fldCharType="begin"/>
            </w:r>
            <w:r>
              <w:rPr>
                <w:noProof/>
                <w:webHidden/>
              </w:rPr>
              <w:instrText xml:space="preserve"> PAGEREF _Toc213692730 \h </w:instrText>
            </w:r>
            <w:r>
              <w:rPr>
                <w:noProof/>
                <w:webHidden/>
              </w:rPr>
            </w:r>
            <w:r>
              <w:rPr>
                <w:noProof/>
                <w:webHidden/>
              </w:rPr>
              <w:fldChar w:fldCharType="separate"/>
            </w:r>
            <w:r>
              <w:rPr>
                <w:noProof/>
                <w:webHidden/>
              </w:rPr>
              <w:t>4</w:t>
            </w:r>
            <w:r>
              <w:rPr>
                <w:noProof/>
                <w:webHidden/>
              </w:rPr>
              <w:fldChar w:fldCharType="end"/>
            </w:r>
          </w:hyperlink>
        </w:p>
        <w:p w14:paraId="68A553D6" w14:textId="3DD025C1" w:rsidR="001F0577" w:rsidRDefault="001F0577">
          <w:pPr>
            <w:pStyle w:val="TOC1"/>
            <w:tabs>
              <w:tab w:val="right" w:leader="dot" w:pos="9350"/>
            </w:tabs>
            <w:rPr>
              <w:rFonts w:asciiTheme="minorHAnsi" w:eastAsiaTheme="minorEastAsia" w:hAnsiTheme="minorHAnsi"/>
              <w:noProof/>
            </w:rPr>
          </w:pPr>
          <w:hyperlink w:anchor="_Toc213692731" w:history="1">
            <w:r w:rsidRPr="00B8111C">
              <w:rPr>
                <w:rStyle w:val="Hyperlink"/>
                <w:rFonts w:cs="Arial"/>
                <w:noProof/>
                <w:lang w:val="en-GB"/>
              </w:rPr>
              <w:t>Local Context and Case Study: Birmingham</w:t>
            </w:r>
            <w:r>
              <w:rPr>
                <w:noProof/>
                <w:webHidden/>
              </w:rPr>
              <w:tab/>
            </w:r>
            <w:r>
              <w:rPr>
                <w:noProof/>
                <w:webHidden/>
              </w:rPr>
              <w:fldChar w:fldCharType="begin"/>
            </w:r>
            <w:r>
              <w:rPr>
                <w:noProof/>
                <w:webHidden/>
              </w:rPr>
              <w:instrText xml:space="preserve"> PAGEREF _Toc213692731 \h </w:instrText>
            </w:r>
            <w:r>
              <w:rPr>
                <w:noProof/>
                <w:webHidden/>
              </w:rPr>
            </w:r>
            <w:r>
              <w:rPr>
                <w:noProof/>
                <w:webHidden/>
              </w:rPr>
              <w:fldChar w:fldCharType="separate"/>
            </w:r>
            <w:r>
              <w:rPr>
                <w:noProof/>
                <w:webHidden/>
              </w:rPr>
              <w:t>5</w:t>
            </w:r>
            <w:r>
              <w:rPr>
                <w:noProof/>
                <w:webHidden/>
              </w:rPr>
              <w:fldChar w:fldCharType="end"/>
            </w:r>
          </w:hyperlink>
        </w:p>
        <w:p w14:paraId="298E2444" w14:textId="196333FC" w:rsidR="001F0577" w:rsidRDefault="001F0577">
          <w:pPr>
            <w:pStyle w:val="TOC1"/>
            <w:tabs>
              <w:tab w:val="right" w:leader="dot" w:pos="9350"/>
            </w:tabs>
            <w:rPr>
              <w:rFonts w:asciiTheme="minorHAnsi" w:eastAsiaTheme="minorEastAsia" w:hAnsiTheme="minorHAnsi"/>
              <w:noProof/>
            </w:rPr>
          </w:pPr>
          <w:hyperlink w:anchor="_Toc213692732" w:history="1">
            <w:r w:rsidRPr="00B8111C">
              <w:rPr>
                <w:rStyle w:val="Hyperlink"/>
                <w:rFonts w:cs="Arial"/>
                <w:noProof/>
                <w:lang w:val="en-GB"/>
              </w:rPr>
              <w:t>Recommendations</w:t>
            </w:r>
            <w:r>
              <w:rPr>
                <w:noProof/>
                <w:webHidden/>
              </w:rPr>
              <w:tab/>
            </w:r>
            <w:r>
              <w:rPr>
                <w:noProof/>
                <w:webHidden/>
              </w:rPr>
              <w:fldChar w:fldCharType="begin"/>
            </w:r>
            <w:r>
              <w:rPr>
                <w:noProof/>
                <w:webHidden/>
              </w:rPr>
              <w:instrText xml:space="preserve"> PAGEREF _Toc213692732 \h </w:instrText>
            </w:r>
            <w:r>
              <w:rPr>
                <w:noProof/>
                <w:webHidden/>
              </w:rPr>
            </w:r>
            <w:r>
              <w:rPr>
                <w:noProof/>
                <w:webHidden/>
              </w:rPr>
              <w:fldChar w:fldCharType="separate"/>
            </w:r>
            <w:r>
              <w:rPr>
                <w:noProof/>
                <w:webHidden/>
              </w:rPr>
              <w:t>6</w:t>
            </w:r>
            <w:r>
              <w:rPr>
                <w:noProof/>
                <w:webHidden/>
              </w:rPr>
              <w:fldChar w:fldCharType="end"/>
            </w:r>
          </w:hyperlink>
        </w:p>
        <w:p w14:paraId="4D121148" w14:textId="79E5A72B" w:rsidR="001F0577" w:rsidRDefault="001F0577">
          <w:pPr>
            <w:pStyle w:val="TOC1"/>
            <w:tabs>
              <w:tab w:val="right" w:leader="dot" w:pos="9350"/>
            </w:tabs>
            <w:rPr>
              <w:rFonts w:asciiTheme="minorHAnsi" w:eastAsiaTheme="minorEastAsia" w:hAnsiTheme="minorHAnsi"/>
              <w:noProof/>
            </w:rPr>
          </w:pPr>
          <w:hyperlink w:anchor="_Toc213692733" w:history="1">
            <w:r w:rsidRPr="00B8111C">
              <w:rPr>
                <w:rStyle w:val="Hyperlink"/>
                <w:rFonts w:cs="Arial"/>
                <w:noProof/>
                <w:lang w:val="en-GB"/>
              </w:rPr>
              <w:t>Conclusion</w:t>
            </w:r>
            <w:r>
              <w:rPr>
                <w:noProof/>
                <w:webHidden/>
              </w:rPr>
              <w:tab/>
            </w:r>
            <w:r>
              <w:rPr>
                <w:noProof/>
                <w:webHidden/>
              </w:rPr>
              <w:fldChar w:fldCharType="begin"/>
            </w:r>
            <w:r>
              <w:rPr>
                <w:noProof/>
                <w:webHidden/>
              </w:rPr>
              <w:instrText xml:space="preserve"> PAGEREF _Toc213692733 \h </w:instrText>
            </w:r>
            <w:r>
              <w:rPr>
                <w:noProof/>
                <w:webHidden/>
              </w:rPr>
            </w:r>
            <w:r>
              <w:rPr>
                <w:noProof/>
                <w:webHidden/>
              </w:rPr>
              <w:fldChar w:fldCharType="separate"/>
            </w:r>
            <w:r>
              <w:rPr>
                <w:noProof/>
                <w:webHidden/>
              </w:rPr>
              <w:t>7</w:t>
            </w:r>
            <w:r>
              <w:rPr>
                <w:noProof/>
                <w:webHidden/>
              </w:rPr>
              <w:fldChar w:fldCharType="end"/>
            </w:r>
          </w:hyperlink>
        </w:p>
        <w:p w14:paraId="492DC30F" w14:textId="225E7B99" w:rsidR="001F0577" w:rsidRDefault="001F0577">
          <w:pPr>
            <w:pStyle w:val="TOC1"/>
            <w:tabs>
              <w:tab w:val="right" w:leader="dot" w:pos="9350"/>
            </w:tabs>
            <w:rPr>
              <w:rFonts w:asciiTheme="minorHAnsi" w:eastAsiaTheme="minorEastAsia" w:hAnsiTheme="minorHAnsi"/>
              <w:noProof/>
            </w:rPr>
          </w:pPr>
          <w:hyperlink w:anchor="_Toc213692734" w:history="1">
            <w:r w:rsidRPr="00B8111C">
              <w:rPr>
                <w:rStyle w:val="Hyperlink"/>
                <w:rFonts w:cs="Arial"/>
                <w:noProof/>
                <w:lang w:val="en-GB"/>
              </w:rPr>
              <w:t>References</w:t>
            </w:r>
            <w:r>
              <w:rPr>
                <w:noProof/>
                <w:webHidden/>
              </w:rPr>
              <w:tab/>
            </w:r>
            <w:r>
              <w:rPr>
                <w:noProof/>
                <w:webHidden/>
              </w:rPr>
              <w:fldChar w:fldCharType="begin"/>
            </w:r>
            <w:r>
              <w:rPr>
                <w:noProof/>
                <w:webHidden/>
              </w:rPr>
              <w:instrText xml:space="preserve"> PAGEREF _Toc213692734 \h </w:instrText>
            </w:r>
            <w:r>
              <w:rPr>
                <w:noProof/>
                <w:webHidden/>
              </w:rPr>
            </w:r>
            <w:r>
              <w:rPr>
                <w:noProof/>
                <w:webHidden/>
              </w:rPr>
              <w:fldChar w:fldCharType="separate"/>
            </w:r>
            <w:r>
              <w:rPr>
                <w:noProof/>
                <w:webHidden/>
              </w:rPr>
              <w:t>8</w:t>
            </w:r>
            <w:r>
              <w:rPr>
                <w:noProof/>
                <w:webHidden/>
              </w:rPr>
              <w:fldChar w:fldCharType="end"/>
            </w:r>
          </w:hyperlink>
        </w:p>
        <w:p w14:paraId="12B7A2BB" w14:textId="7BA0F05C" w:rsidR="005D12A7" w:rsidRPr="000714AE" w:rsidRDefault="008D2DE4" w:rsidP="008D1C34">
          <w:pPr>
            <w:rPr>
              <w:rFonts w:cs="Arial"/>
              <w:lang w:val="en-GB"/>
            </w:rPr>
          </w:pPr>
          <w:r w:rsidRPr="000714AE">
            <w:rPr>
              <w:rFonts w:cs="Arial"/>
              <w:b/>
              <w:bCs/>
              <w:noProof/>
              <w:lang w:val="en-GB"/>
            </w:rPr>
            <w:fldChar w:fldCharType="end"/>
          </w:r>
        </w:p>
      </w:sdtContent>
    </w:sdt>
    <w:p w14:paraId="29EAA8B1" w14:textId="77777777" w:rsidR="003A1CCB" w:rsidRPr="000714AE" w:rsidRDefault="008D2DE4" w:rsidP="008D1C34">
      <w:pPr>
        <w:rPr>
          <w:rFonts w:cs="Arial"/>
          <w:lang w:val="en-GB"/>
        </w:rPr>
      </w:pPr>
      <w:r w:rsidRPr="000714AE">
        <w:rPr>
          <w:rFonts w:cs="Arial"/>
          <w:lang w:val="en-GB"/>
        </w:rPr>
        <w:br w:type="page"/>
      </w:r>
    </w:p>
    <w:p w14:paraId="2A565017" w14:textId="77777777" w:rsidR="003A1CCB" w:rsidRPr="000714AE" w:rsidRDefault="008D2DE4" w:rsidP="0057788E">
      <w:pPr>
        <w:pStyle w:val="Heading1"/>
        <w:jc w:val="both"/>
        <w:rPr>
          <w:rFonts w:cs="Arial"/>
          <w:szCs w:val="22"/>
          <w:lang w:val="en-GB"/>
        </w:rPr>
      </w:pPr>
      <w:bookmarkStart w:id="0" w:name="_Toc213692728"/>
      <w:r w:rsidRPr="000714AE">
        <w:rPr>
          <w:rFonts w:cs="Arial"/>
          <w:szCs w:val="22"/>
          <w:lang w:val="en-GB"/>
        </w:rPr>
        <w:lastRenderedPageBreak/>
        <w:t>Introduction</w:t>
      </w:r>
      <w:bookmarkEnd w:id="0"/>
    </w:p>
    <w:p w14:paraId="4C4B4843" w14:textId="77777777" w:rsidR="007A61AE" w:rsidRPr="000714AE" w:rsidRDefault="008D2DE4" w:rsidP="0057788E">
      <w:pPr>
        <w:jc w:val="both"/>
        <w:rPr>
          <w:rFonts w:cs="Arial"/>
          <w:lang w:val="en-GB"/>
        </w:rPr>
      </w:pPr>
      <w:r w:rsidRPr="000714AE">
        <w:rPr>
          <w:rFonts w:cs="Arial"/>
          <w:lang w:val="en-GB"/>
        </w:rPr>
        <w:t xml:space="preserve">This report critically analyses the contribution of sustainable development to health and social care with particular reference to Sustainable Development Goal (SDG)3, Good Health and Well-being, and SDG 10, Reduced Inequalities. In 2021, it was estimated that 4.5 billion individuals worldwide did not have full access to the essential health services (WHO, 2025). Health inequalities continue to exist in the United Kingdom as the life expectancy gap between the most disadvantaged communities and wealthy regions has increased over an almost ten-year period (ONS, 2022). </w:t>
      </w:r>
      <w:r w:rsidR="00073635" w:rsidRPr="000714AE">
        <w:rPr>
          <w:rFonts w:cs="Arial"/>
          <w:lang w:val="en-GB"/>
        </w:rPr>
        <w:t>T</w:t>
      </w:r>
      <w:r w:rsidR="00E75E5E" w:rsidRPr="000714AE">
        <w:rPr>
          <w:rFonts w:cs="Arial"/>
          <w:lang w:val="en-GB"/>
        </w:rPr>
        <w:t xml:space="preserve">here were significant inequalities in life expectancy between 2020 and 2022 in England. </w:t>
      </w:r>
      <w:r w:rsidR="00073635" w:rsidRPr="000714AE">
        <w:rPr>
          <w:rFonts w:cs="Arial"/>
          <w:lang w:val="en-GB"/>
        </w:rPr>
        <w:t>The findings of People’s Health Trust (2025) stated that t</w:t>
      </w:r>
      <w:r w:rsidR="00E75E5E" w:rsidRPr="000714AE">
        <w:rPr>
          <w:rFonts w:cs="Arial"/>
          <w:lang w:val="en-GB"/>
        </w:rPr>
        <w:t xml:space="preserve">he average life expectancy of males born in the most deprived regions was 72.6 years, and that of females at 77.7 years, both much lower than 83.0 years and 86.1 years in the least deprived areas. Similarly, </w:t>
      </w:r>
      <w:r w:rsidR="005A151E" w:rsidRPr="000714AE">
        <w:rPr>
          <w:rFonts w:cs="Arial"/>
          <w:lang w:val="en-GB"/>
        </w:rPr>
        <w:t xml:space="preserve">the report of Healthcare Leader (2025) demonstrated that </w:t>
      </w:r>
      <w:r w:rsidR="00E75E5E" w:rsidRPr="000714AE">
        <w:rPr>
          <w:rFonts w:cs="Arial"/>
          <w:lang w:val="en-GB"/>
        </w:rPr>
        <w:t>the deprived communities had significantly lower healthy life expectancy at birth, with males standing at 51.1 and females at 50.5 years, compared to 70.1 and 70.2 in wealthy districts. These results highlight</w:t>
      </w:r>
      <w:r w:rsidR="003E1FB5" w:rsidRPr="000714AE">
        <w:rPr>
          <w:rFonts w:cs="Arial"/>
          <w:lang w:val="en-GB"/>
        </w:rPr>
        <w:t>ed</w:t>
      </w:r>
      <w:r w:rsidR="00E75E5E" w:rsidRPr="000714AE">
        <w:rPr>
          <w:rFonts w:cs="Arial"/>
          <w:lang w:val="en-GB"/>
        </w:rPr>
        <w:t xml:space="preserve"> the existence of health disparities.</w:t>
      </w:r>
      <w:r w:rsidR="003E1FB5" w:rsidRPr="000714AE">
        <w:rPr>
          <w:rFonts w:cs="Arial"/>
          <w:lang w:val="en-GB"/>
        </w:rPr>
        <w:t xml:space="preserve"> </w:t>
      </w:r>
      <w:r w:rsidRPr="000714AE">
        <w:rPr>
          <w:rFonts w:cs="Arial"/>
          <w:lang w:val="en-GB"/>
        </w:rPr>
        <w:t xml:space="preserve">The discussion examines the international implications of SDGs3 and SDGs10, reviews policy and national measures in the UK and local projects, and suggests ideas to make it more effective, thus complying with the priorities of health, wellbeing, and sustainable development. </w:t>
      </w:r>
    </w:p>
    <w:p w14:paraId="7F201E3C" w14:textId="77777777" w:rsidR="00F67E79" w:rsidRPr="000714AE" w:rsidRDefault="00F67E79" w:rsidP="0057788E">
      <w:pPr>
        <w:jc w:val="both"/>
        <w:rPr>
          <w:rFonts w:cs="Arial"/>
          <w:lang w:val="en-GB"/>
        </w:rPr>
      </w:pPr>
    </w:p>
    <w:p w14:paraId="0E34D338" w14:textId="77777777" w:rsidR="00474263" w:rsidRPr="000714AE" w:rsidRDefault="008D2DE4" w:rsidP="0057788E">
      <w:pPr>
        <w:pStyle w:val="Heading1"/>
        <w:jc w:val="both"/>
        <w:rPr>
          <w:rFonts w:cs="Arial"/>
          <w:szCs w:val="22"/>
          <w:lang w:val="en-GB"/>
        </w:rPr>
      </w:pPr>
      <w:bookmarkStart w:id="1" w:name="_Toc213692729"/>
      <w:r w:rsidRPr="000714AE">
        <w:rPr>
          <w:rFonts w:cs="Arial"/>
          <w:szCs w:val="22"/>
          <w:lang w:val="en-GB"/>
        </w:rPr>
        <w:t>Global Context: Sustainable Development Goals</w:t>
      </w:r>
      <w:bookmarkEnd w:id="1"/>
      <w:r w:rsidRPr="000714AE">
        <w:rPr>
          <w:rFonts w:cs="Arial"/>
          <w:szCs w:val="22"/>
          <w:lang w:val="en-GB"/>
        </w:rPr>
        <w:t xml:space="preserve"> </w:t>
      </w:r>
    </w:p>
    <w:p w14:paraId="1B97C2B8" w14:textId="77777777" w:rsidR="0052210B" w:rsidRPr="000714AE" w:rsidRDefault="00645539" w:rsidP="0057788E">
      <w:pPr>
        <w:jc w:val="both"/>
        <w:rPr>
          <w:rFonts w:cs="Arial"/>
          <w:lang w:val="en-GB"/>
        </w:rPr>
      </w:pPr>
      <w:r w:rsidRPr="000714AE">
        <w:rPr>
          <w:rFonts w:cs="Arial"/>
          <w:lang w:val="en-GB"/>
        </w:rPr>
        <w:t>SDG</w:t>
      </w:r>
      <w:r w:rsidR="008D2DE4" w:rsidRPr="000714AE">
        <w:rPr>
          <w:rFonts w:cs="Arial"/>
          <w:lang w:val="en-GB"/>
        </w:rPr>
        <w:t xml:space="preserve"> 3, Good Health and Well-being, is focused on the goal of healthy living and promoting the well-being of all people by reducing mortality, attaining universal health coverage and enhancing health systems (United Nations, 2025). However, there are still global issues, as 4.5 billion individuals do not have access to basic health services, and almost two billion face disastrous spending on health in the year 2021 (WHO, 2025). </w:t>
      </w:r>
      <w:r w:rsidR="00E471CD" w:rsidRPr="000714AE">
        <w:rPr>
          <w:rFonts w:cs="Arial"/>
          <w:lang w:val="en-GB"/>
        </w:rPr>
        <w:t>The study of Kehoe (2021) argued</w:t>
      </w:r>
      <w:r w:rsidR="008D2DE4" w:rsidRPr="000714AE">
        <w:rPr>
          <w:rFonts w:cs="Arial"/>
          <w:lang w:val="en-GB"/>
        </w:rPr>
        <w:t xml:space="preserve"> that underinvestment in primary healthcare, including child immunisation programmes, is a contributing factor to preventable mortality, which in turn affects more than 6.6 million premature deaths o</w:t>
      </w:r>
      <w:r w:rsidR="00E471CD" w:rsidRPr="000714AE">
        <w:rPr>
          <w:rFonts w:cs="Arial"/>
          <w:lang w:val="en-GB"/>
        </w:rPr>
        <w:t xml:space="preserve">f children worldwide each year. In contrast, </w:t>
      </w:r>
      <w:r w:rsidR="008D2DE4" w:rsidRPr="000714AE">
        <w:rPr>
          <w:rFonts w:cs="Arial"/>
          <w:lang w:val="en-GB"/>
        </w:rPr>
        <w:t xml:space="preserve">Kaur (2023) </w:t>
      </w:r>
      <w:r w:rsidR="00E471CD" w:rsidRPr="000714AE">
        <w:rPr>
          <w:rFonts w:cs="Arial"/>
          <w:lang w:val="en-GB"/>
        </w:rPr>
        <w:t>suggested</w:t>
      </w:r>
      <w:r w:rsidR="008D2DE4" w:rsidRPr="000714AE">
        <w:rPr>
          <w:rFonts w:cs="Arial"/>
          <w:lang w:val="en-GB"/>
        </w:rPr>
        <w:t xml:space="preserve"> that universal immunisation coverage would prevent 1.5 million child deaths annually globally. Therefore, strengthening universal healthcare and immunisation is critical to the international well-being. </w:t>
      </w:r>
    </w:p>
    <w:p w14:paraId="2815C93D" w14:textId="77777777" w:rsidR="00E471CD" w:rsidRPr="000714AE" w:rsidRDefault="008D2DE4" w:rsidP="0057788E">
      <w:pPr>
        <w:jc w:val="both"/>
        <w:rPr>
          <w:rFonts w:cs="Arial"/>
          <w:lang w:val="en-GB"/>
        </w:rPr>
      </w:pPr>
      <w:r w:rsidRPr="000714AE">
        <w:rPr>
          <w:rFonts w:cs="Arial"/>
          <w:lang w:val="en-GB"/>
        </w:rPr>
        <w:t xml:space="preserve">SDG 10, Reduced Inequalities, has a direct complement of SDG 3 because it deals with the overall inequalities in health outcomes that relate to income, gender, ethnicity, and geography (United Nations, 2025). As an example, the child death rates are 13 times higher in sub-Saharan </w:t>
      </w:r>
      <w:r w:rsidRPr="000714AE">
        <w:rPr>
          <w:rFonts w:cs="Arial"/>
          <w:lang w:val="en-GB"/>
        </w:rPr>
        <w:lastRenderedPageBreak/>
        <w:t>Africa than in high-income areas (WHO, 2025). Pandemic preparedness is also undermined by inequalities, and this is also demonstrated by the slow distribution of vaccines to poor countries during the COVID-19 pandemic (UNDP, 2025). However, Wu (2025) criticised the restricted access to healthcare in low-income countries such as Chad, Malawi, and Afghanistan, which exposed almost 930 million individuals to inequality-induced health risks, such as maternal deaths and untreated infectious diseases.</w:t>
      </w:r>
    </w:p>
    <w:p w14:paraId="66D5EC12" w14:textId="77777777" w:rsidR="003E6724" w:rsidRPr="000714AE" w:rsidRDefault="008D2DE4" w:rsidP="0057788E">
      <w:pPr>
        <w:jc w:val="both"/>
        <w:rPr>
          <w:rFonts w:cs="Arial"/>
          <w:lang w:val="en-GB"/>
        </w:rPr>
      </w:pPr>
      <w:r w:rsidRPr="000714AE">
        <w:rPr>
          <w:rFonts w:cs="Arial"/>
          <w:lang w:val="en-GB"/>
        </w:rPr>
        <w:t>The interrelation</w:t>
      </w:r>
      <w:r w:rsidR="00CF372E" w:rsidRPr="000714AE">
        <w:rPr>
          <w:rFonts w:cs="Arial"/>
          <w:lang w:val="en-GB"/>
        </w:rPr>
        <w:t xml:space="preserve"> between SDGs 3 and 10 suggests that</w:t>
      </w:r>
      <w:r w:rsidRPr="000714AE">
        <w:rPr>
          <w:rFonts w:cs="Arial"/>
          <w:lang w:val="en-GB"/>
        </w:rPr>
        <w:t xml:space="preserve"> unless inequalities are decreased, the world's health is not achievable (Bhandari, 2024). Equal access to healthcare, education and social protection is a strength of resilience and positive health outcomes among the populations. In this context, it is crucial to align SDG 3 and SDG 10 to reduce health disparities, facilitate sustainable development, and ensure that the world can achieve global health equity by 2030.</w:t>
      </w:r>
    </w:p>
    <w:p w14:paraId="37CE503F" w14:textId="77777777" w:rsidR="00E471CD" w:rsidRPr="000714AE" w:rsidRDefault="00E471CD" w:rsidP="0057788E">
      <w:pPr>
        <w:jc w:val="both"/>
        <w:rPr>
          <w:rFonts w:cs="Arial"/>
          <w:lang w:val="en-GB"/>
        </w:rPr>
      </w:pPr>
    </w:p>
    <w:p w14:paraId="00E95556" w14:textId="77777777" w:rsidR="007A4DD3" w:rsidRPr="000714AE" w:rsidRDefault="008D2DE4" w:rsidP="0057788E">
      <w:pPr>
        <w:pStyle w:val="Heading1"/>
        <w:jc w:val="both"/>
        <w:rPr>
          <w:rFonts w:cs="Arial"/>
          <w:szCs w:val="22"/>
          <w:lang w:val="en-GB"/>
        </w:rPr>
      </w:pPr>
      <w:bookmarkStart w:id="2" w:name="_Toc213692730"/>
      <w:r w:rsidRPr="000714AE">
        <w:rPr>
          <w:rFonts w:cs="Arial"/>
          <w:szCs w:val="22"/>
          <w:lang w:val="en-GB"/>
        </w:rPr>
        <w:t>National Policies and Initiatives (UK)</w:t>
      </w:r>
      <w:bookmarkEnd w:id="2"/>
    </w:p>
    <w:p w14:paraId="127B6C8F" w14:textId="77777777" w:rsidR="00221A61" w:rsidRPr="000714AE" w:rsidRDefault="008D2DE4" w:rsidP="0057788E">
      <w:pPr>
        <w:jc w:val="both"/>
        <w:rPr>
          <w:rFonts w:cs="Arial"/>
          <w:lang w:val="en-GB"/>
        </w:rPr>
      </w:pPr>
      <w:r w:rsidRPr="000714AE">
        <w:rPr>
          <w:rFonts w:cs="Arial"/>
          <w:lang w:val="en-GB"/>
        </w:rPr>
        <w:t xml:space="preserve">The NHS Long Term Plan (2024) in the United Kingdom plays a key role in facilitating the development of SDG 3 through prevention, early intervention and integrated care. It </w:t>
      </w:r>
      <w:r w:rsidR="00731F57" w:rsidRPr="000714AE">
        <w:rPr>
          <w:rFonts w:cs="Arial"/>
          <w:lang w:val="en-GB"/>
        </w:rPr>
        <w:t>aims to achieve objectives</w:t>
      </w:r>
      <w:r w:rsidRPr="000714AE">
        <w:rPr>
          <w:rFonts w:cs="Arial"/>
          <w:lang w:val="en-GB"/>
        </w:rPr>
        <w:t xml:space="preserve"> that include reducing heart attacks, stroke and cases of dementia by 150,000 cases in a period of ten years using wider screening and lifestyle changes (NHS England, 2025). The improvement may be observed in the number of smokers dropping to 12.9 % in the year 2022, the highest point ever recorded during the history of the UK (ONS, 2025). However, there are still limitations: the report of NHS Digital (2023) argued that in August 2023, more than 7.6 million individuals continued to be on NHS waiting lists, which negatively impacts access to care in a timely manner. </w:t>
      </w:r>
      <w:r w:rsidR="007D4506" w:rsidRPr="000714AE">
        <w:rPr>
          <w:rFonts w:cs="Arial"/>
          <w:lang w:val="en-GB"/>
        </w:rPr>
        <w:t>Conversely</w:t>
      </w:r>
      <w:r w:rsidRPr="000714AE">
        <w:rPr>
          <w:rFonts w:cs="Arial"/>
          <w:lang w:val="en-GB"/>
        </w:rPr>
        <w:t>, Al-Shorbaji (2022) indicated that outpatient wait times may be reduced by 30 % through the implementation of more digital health solutions, which lead</w:t>
      </w:r>
      <w:r w:rsidR="003D66D9" w:rsidRPr="000714AE">
        <w:rPr>
          <w:rFonts w:cs="Arial"/>
          <w:lang w:val="en-GB"/>
        </w:rPr>
        <w:t>s</w:t>
      </w:r>
      <w:r w:rsidRPr="000714AE">
        <w:rPr>
          <w:rFonts w:cs="Arial"/>
          <w:lang w:val="en-GB"/>
        </w:rPr>
        <w:t xml:space="preserve"> to better patient access in the country. Therefore, strategic innovation and investment cannot be ignored in enhancing healthcare delivery. </w:t>
      </w:r>
    </w:p>
    <w:p w14:paraId="240052CA" w14:textId="77777777" w:rsidR="002C00CC" w:rsidRPr="000714AE" w:rsidRDefault="008D2DE4" w:rsidP="0057788E">
      <w:pPr>
        <w:jc w:val="both"/>
        <w:rPr>
          <w:rFonts w:cs="Arial"/>
          <w:lang w:val="en-GB"/>
        </w:rPr>
      </w:pPr>
      <w:r w:rsidRPr="000714AE">
        <w:rPr>
          <w:rFonts w:cs="Arial"/>
          <w:lang w:val="en-GB"/>
        </w:rPr>
        <w:t xml:space="preserve">The Objective of SDG 10, the Health Inequalities Strategy of Public Health England and its subsequent policy, the Office for Health Improvement and Disparities (OHID), are aimed at reducing health disparities. Life expectancy is almost 10 years shorter in the most deprived regions, and the difference in healthy life expectancy is even higher (Dwyer-Lindgren et al., 2022). The implementation of the disadvantaged groups is supposed to be prioritised by such policies as the Core20PLUS5 framework; it has been observed that not all regions are implementing it equally (NHS England, 2025). </w:t>
      </w:r>
      <w:r w:rsidR="00FB5411" w:rsidRPr="000714AE">
        <w:rPr>
          <w:rFonts w:cs="Arial"/>
          <w:lang w:val="en-GB"/>
        </w:rPr>
        <w:t xml:space="preserve">However, </w:t>
      </w:r>
      <w:r w:rsidRPr="000714AE">
        <w:rPr>
          <w:rFonts w:cs="Arial"/>
          <w:lang w:val="en-GB"/>
        </w:rPr>
        <w:t xml:space="preserve">UNDP (2025) </w:t>
      </w:r>
      <w:r w:rsidR="00E111E9" w:rsidRPr="000714AE">
        <w:rPr>
          <w:rFonts w:cs="Arial"/>
          <w:lang w:val="en-GB"/>
        </w:rPr>
        <w:t>criticised</w:t>
      </w:r>
      <w:r w:rsidR="00FB5411" w:rsidRPr="000714AE">
        <w:rPr>
          <w:rFonts w:cs="Arial"/>
          <w:lang w:val="en-GB"/>
        </w:rPr>
        <w:t xml:space="preserve"> </w:t>
      </w:r>
      <w:r w:rsidRPr="000714AE">
        <w:rPr>
          <w:rFonts w:cs="Arial"/>
          <w:lang w:val="en-GB"/>
        </w:rPr>
        <w:t xml:space="preserve">that continued underinvestment </w:t>
      </w:r>
      <w:r w:rsidRPr="000714AE">
        <w:rPr>
          <w:rFonts w:cs="Arial"/>
          <w:lang w:val="en-GB"/>
        </w:rPr>
        <w:lastRenderedPageBreak/>
        <w:t xml:space="preserve">in underserved regions in the United Kingdom increases premature death by 20% as compared to affluent regions. On the contrary, Alexiou et al. (2021) suggested that focused spending in underserved communities can prolong average lifespan in the UK by five years. Therefore, fair financing and special interventions play an essential role in the minimisation of inequalities. </w:t>
      </w:r>
    </w:p>
    <w:p w14:paraId="3B74CE23" w14:textId="77777777" w:rsidR="004A36D3" w:rsidRPr="000714AE" w:rsidRDefault="008D2DE4" w:rsidP="0057788E">
      <w:pPr>
        <w:jc w:val="both"/>
        <w:rPr>
          <w:rFonts w:cs="Arial"/>
          <w:lang w:val="en-GB"/>
        </w:rPr>
      </w:pPr>
      <w:r w:rsidRPr="000714AE">
        <w:rPr>
          <w:rFonts w:cs="Arial"/>
          <w:lang w:val="en-GB"/>
        </w:rPr>
        <w:t xml:space="preserve">Health is indirectly promoted by sustainability policies such as the UK Net 0 Strategy that reduces morbidity caused by pollution. Air pollution is also a contributory factor to 28000-36000 premature deaths in the UK each year (DEFRA, 2025). </w:t>
      </w:r>
      <w:r w:rsidR="007F393A" w:rsidRPr="000714AE">
        <w:rPr>
          <w:rFonts w:cs="Arial"/>
          <w:lang w:val="en-GB"/>
        </w:rPr>
        <w:t>This notwithstanding, the economic restraints and inertia in delivering policy have hampered progress</w:t>
      </w:r>
      <w:r w:rsidRPr="000714AE">
        <w:rPr>
          <w:rFonts w:cs="Arial"/>
          <w:lang w:val="en-GB"/>
        </w:rPr>
        <w:t>. The ambition of these UK policies is shown in their relationship between health and inequality reduction with sustainability, but the inflexibility of the systemic workforce shortage, increasing demand, and inequities in different regions constrain the effectiveness of these policies, contributing to the need to strengthen accountability and investment.</w:t>
      </w:r>
    </w:p>
    <w:p w14:paraId="0B14E022" w14:textId="77777777" w:rsidR="00FB5411" w:rsidRPr="000714AE" w:rsidRDefault="00FB5411" w:rsidP="0057788E">
      <w:pPr>
        <w:jc w:val="both"/>
        <w:rPr>
          <w:rFonts w:cs="Arial"/>
          <w:lang w:val="en-GB"/>
        </w:rPr>
      </w:pPr>
    </w:p>
    <w:p w14:paraId="3AE73831" w14:textId="77777777" w:rsidR="00C42CA7" w:rsidRPr="000714AE" w:rsidRDefault="008D2DE4" w:rsidP="0057788E">
      <w:pPr>
        <w:pStyle w:val="Heading1"/>
        <w:jc w:val="both"/>
        <w:rPr>
          <w:rFonts w:cs="Arial"/>
          <w:szCs w:val="22"/>
          <w:lang w:val="en-GB"/>
        </w:rPr>
      </w:pPr>
      <w:bookmarkStart w:id="3" w:name="_Toc213692731"/>
      <w:r w:rsidRPr="000714AE">
        <w:rPr>
          <w:rFonts w:cs="Arial"/>
          <w:szCs w:val="22"/>
          <w:lang w:val="en-GB"/>
        </w:rPr>
        <w:t>Local Context and Case Study: Birmingham</w:t>
      </w:r>
      <w:bookmarkEnd w:id="3"/>
    </w:p>
    <w:p w14:paraId="53638059" w14:textId="77777777" w:rsidR="00B70086" w:rsidRPr="000714AE" w:rsidRDefault="008D2DE4" w:rsidP="0057788E">
      <w:pPr>
        <w:jc w:val="both"/>
        <w:rPr>
          <w:rFonts w:cs="Arial"/>
          <w:lang w:val="en-GB"/>
        </w:rPr>
      </w:pPr>
      <w:r w:rsidRPr="000714AE">
        <w:rPr>
          <w:rFonts w:cs="Arial"/>
          <w:lang w:val="en-GB"/>
        </w:rPr>
        <w:t xml:space="preserve">Birmingham has high levels of health inequity and a 7.5-year difference in life expectancy between the men in the most and the least deprived wards and a 6.1-year difference in women (The Health Foundation, 2025). In the Joint Strategic Needs Assessment of the city, it was found that such major issues as a high obesity level among children, cardiovascular diseases, and mental health problems </w:t>
      </w:r>
      <w:r w:rsidR="00251C26" w:rsidRPr="000714AE">
        <w:rPr>
          <w:rFonts w:cs="Arial"/>
          <w:lang w:val="en-GB"/>
        </w:rPr>
        <w:t>still exist</w:t>
      </w:r>
      <w:r w:rsidRPr="000714AE">
        <w:rPr>
          <w:rFonts w:cs="Arial"/>
          <w:lang w:val="en-GB"/>
        </w:rPr>
        <w:t xml:space="preserve"> (JSNA, 2023). As an example, in 202122, 27.5% of Year 6 pupils were considered to be obese, compared with the national average of 23.4% (NHS England, 2025).</w:t>
      </w:r>
      <w:r w:rsidR="003D1136" w:rsidRPr="000714AE">
        <w:rPr>
          <w:rFonts w:cs="Arial"/>
          <w:lang w:val="en-GB"/>
        </w:rPr>
        <w:t xml:space="preserve"> The study of</w:t>
      </w:r>
      <w:r w:rsidRPr="000714AE">
        <w:rPr>
          <w:rFonts w:cs="Arial"/>
          <w:lang w:val="en-GB"/>
        </w:rPr>
        <w:t xml:space="preserve"> </w:t>
      </w:r>
      <w:r w:rsidR="003D1136" w:rsidRPr="000714AE">
        <w:rPr>
          <w:rFonts w:cs="Arial"/>
          <w:lang w:val="en-GB"/>
        </w:rPr>
        <w:t>Benoit et al. (2023) argued that</w:t>
      </w:r>
      <w:r w:rsidRPr="000714AE">
        <w:rPr>
          <w:rFonts w:cs="Arial"/>
          <w:lang w:val="en-GB"/>
        </w:rPr>
        <w:t xml:space="preserve"> poor resource distribution in the deprived wards is one of the factors that contribute to preventable hospitalisations, with over 500 hospitalisations per 100,000 residents. On the other hand, Alexiou et al. (2021) </w:t>
      </w:r>
      <w:r w:rsidR="00F46AE8" w:rsidRPr="000714AE">
        <w:rPr>
          <w:rFonts w:cs="Arial"/>
          <w:lang w:val="en-GB"/>
        </w:rPr>
        <w:t>indicated</w:t>
      </w:r>
      <w:r w:rsidRPr="000714AE">
        <w:rPr>
          <w:rFonts w:cs="Arial"/>
          <w:lang w:val="en-GB"/>
        </w:rPr>
        <w:t xml:space="preserve"> that child obesit</w:t>
      </w:r>
      <w:r w:rsidR="007C4D00" w:rsidRPr="000714AE">
        <w:rPr>
          <w:rFonts w:cs="Arial"/>
          <w:lang w:val="en-GB"/>
        </w:rPr>
        <w:t xml:space="preserve">y prevalence may decrease by 10% </w:t>
      </w:r>
      <w:r w:rsidRPr="000714AE">
        <w:rPr>
          <w:rFonts w:cs="Arial"/>
          <w:lang w:val="en-GB"/>
        </w:rPr>
        <w:t>in five years when a comprehensive obesity-prevention programme is implemented nationwide.</w:t>
      </w:r>
      <w:r w:rsidR="00682B0B" w:rsidRPr="000714AE">
        <w:rPr>
          <w:rFonts w:cs="Arial"/>
          <w:lang w:val="en-GB"/>
        </w:rPr>
        <w:t xml:space="preserve"> Therefore</w:t>
      </w:r>
      <w:r w:rsidRPr="000714AE">
        <w:rPr>
          <w:rFonts w:cs="Arial"/>
          <w:lang w:val="en-GB"/>
        </w:rPr>
        <w:t xml:space="preserve">, preventive programs and strategic investment are needed in order to enhance health in Birmingham. </w:t>
      </w:r>
    </w:p>
    <w:p w14:paraId="2B3FBA4A" w14:textId="77777777" w:rsidR="00832225" w:rsidRPr="000714AE" w:rsidRDefault="008D2DE4" w:rsidP="0057788E">
      <w:pPr>
        <w:jc w:val="both"/>
        <w:rPr>
          <w:rFonts w:cs="Arial"/>
          <w:lang w:val="en-GB"/>
        </w:rPr>
      </w:pPr>
      <w:r w:rsidRPr="000714AE">
        <w:rPr>
          <w:rFonts w:cs="Arial"/>
          <w:lang w:val="en-GB"/>
        </w:rPr>
        <w:t xml:space="preserve">The proposed Birmingham Health and Wellbeing Strategy (2022–2030) </w:t>
      </w:r>
      <w:r w:rsidR="00ED0298" w:rsidRPr="000714AE">
        <w:rPr>
          <w:rFonts w:cs="Arial"/>
          <w:lang w:val="en-GB"/>
        </w:rPr>
        <w:t>address</w:t>
      </w:r>
      <w:r w:rsidRPr="000714AE">
        <w:rPr>
          <w:rFonts w:cs="Arial"/>
          <w:lang w:val="en-GB"/>
        </w:rPr>
        <w:t xml:space="preserve">es these problems through a </w:t>
      </w:r>
      <w:r w:rsidR="00ED0298" w:rsidRPr="000714AE">
        <w:rPr>
          <w:rFonts w:cs="Arial"/>
          <w:lang w:val="en-GB"/>
        </w:rPr>
        <w:t>framework known as</w:t>
      </w:r>
      <w:r w:rsidRPr="000714AE">
        <w:rPr>
          <w:rFonts w:cs="Arial"/>
          <w:lang w:val="en-GB"/>
        </w:rPr>
        <w:t xml:space="preserve"> </w:t>
      </w:r>
      <w:r w:rsidR="00ED0298" w:rsidRPr="000714AE">
        <w:rPr>
          <w:rFonts w:cs="Arial"/>
          <w:lang w:val="en-GB"/>
        </w:rPr>
        <w:t>the "</w:t>
      </w:r>
      <w:r w:rsidRPr="000714AE">
        <w:rPr>
          <w:rFonts w:cs="Arial"/>
          <w:i/>
          <w:iCs/>
          <w:lang w:val="en-GB"/>
        </w:rPr>
        <w:t>Health in All Policies</w:t>
      </w:r>
      <w:r w:rsidR="00ED0298" w:rsidRPr="000714AE">
        <w:rPr>
          <w:rFonts w:cs="Arial"/>
          <w:i/>
          <w:iCs/>
          <w:lang w:val="en-GB"/>
        </w:rPr>
        <w:t>”</w:t>
      </w:r>
      <w:r w:rsidRPr="000714AE">
        <w:rPr>
          <w:rFonts w:cs="Arial"/>
          <w:lang w:val="en-GB"/>
        </w:rPr>
        <w:t xml:space="preserve"> approach, which is used to solve SDG 3 through the combination of prevention, mental health support, and access to primary care (The Health Foundation, 2025). Moreover, the dedication of SDG</w:t>
      </w:r>
      <w:r w:rsidR="00ED0298" w:rsidRPr="000714AE">
        <w:rPr>
          <w:rFonts w:cs="Arial"/>
          <w:lang w:val="en-GB"/>
        </w:rPr>
        <w:t>-</w:t>
      </w:r>
      <w:r w:rsidRPr="000714AE">
        <w:rPr>
          <w:rFonts w:cs="Arial"/>
          <w:lang w:val="en-GB"/>
        </w:rPr>
        <w:t xml:space="preserve">10 in Birmingham is demonstrated by the framework of the </w:t>
      </w:r>
      <w:r w:rsidR="00ED0298" w:rsidRPr="000714AE">
        <w:rPr>
          <w:rFonts w:cs="Arial"/>
          <w:i/>
          <w:iCs/>
          <w:lang w:val="en-GB"/>
        </w:rPr>
        <w:t>“</w:t>
      </w:r>
      <w:r w:rsidRPr="000714AE">
        <w:rPr>
          <w:rFonts w:cs="Arial"/>
          <w:i/>
          <w:iCs/>
          <w:lang w:val="en-GB"/>
        </w:rPr>
        <w:t>Creating a Fairer City</w:t>
      </w:r>
      <w:r w:rsidR="00ED0298" w:rsidRPr="000714AE">
        <w:rPr>
          <w:rFonts w:cs="Arial"/>
          <w:i/>
          <w:iCs/>
          <w:lang w:val="en-GB"/>
        </w:rPr>
        <w:t>”</w:t>
      </w:r>
      <w:r w:rsidRPr="000714AE">
        <w:rPr>
          <w:rFonts w:cs="Arial"/>
          <w:lang w:val="en-GB"/>
        </w:rPr>
        <w:t xml:space="preserve"> that focuses on minimising health disparities among ethnic minorities and low-income residents (JSNA, 2023). The advancements </w:t>
      </w:r>
      <w:r w:rsidRPr="000714AE">
        <w:rPr>
          <w:rFonts w:cs="Arial"/>
          <w:lang w:val="en-GB"/>
        </w:rPr>
        <w:lastRenderedPageBreak/>
        <w:t xml:space="preserve">can be </w:t>
      </w:r>
      <w:r w:rsidR="00ED0298" w:rsidRPr="000714AE">
        <w:rPr>
          <w:rFonts w:cs="Arial"/>
          <w:lang w:val="en-GB"/>
        </w:rPr>
        <w:t>estimated</w:t>
      </w:r>
      <w:r w:rsidRPr="000714AE">
        <w:rPr>
          <w:rFonts w:cs="Arial"/>
          <w:lang w:val="en-GB"/>
        </w:rPr>
        <w:t xml:space="preserve"> in the growth of community health centres and other specific outreach programs aimed at promoting COVID-19 vaccine adoption among deprived wards (NHS England, 2025). However, as Dwyer-Lindgren et al. (2022) </w:t>
      </w:r>
      <w:r w:rsidR="00F019D1" w:rsidRPr="000714AE">
        <w:rPr>
          <w:rFonts w:cs="Arial"/>
          <w:lang w:val="en-GB"/>
        </w:rPr>
        <w:t>claimed</w:t>
      </w:r>
      <w:r w:rsidR="00007B50" w:rsidRPr="000714AE">
        <w:rPr>
          <w:rFonts w:cs="Arial"/>
          <w:lang w:val="en-GB"/>
        </w:rPr>
        <w:t xml:space="preserve">, </w:t>
      </w:r>
      <w:r w:rsidRPr="000714AE">
        <w:rPr>
          <w:rFonts w:cs="Arial"/>
          <w:lang w:val="en-GB"/>
        </w:rPr>
        <w:t>the lack of a continuous workforce, specifically within the field of general practitioners and mental health nurses, restric</w:t>
      </w:r>
      <w:r w:rsidR="00AB2A7B" w:rsidRPr="000714AE">
        <w:rPr>
          <w:rFonts w:cs="Arial"/>
          <w:lang w:val="en-GB"/>
        </w:rPr>
        <w:t xml:space="preserve">ts access to healthcare, and 14% </w:t>
      </w:r>
      <w:r w:rsidRPr="000714AE">
        <w:rPr>
          <w:rFonts w:cs="Arial"/>
          <w:lang w:val="en-GB"/>
        </w:rPr>
        <w:t xml:space="preserve">of residents cannot find a prompt appointment. Therefore, long-term investment and human resource building are essential to minimise disparities. </w:t>
      </w:r>
    </w:p>
    <w:p w14:paraId="46DA6832" w14:textId="671C3B55" w:rsidR="00ED0298" w:rsidRPr="000714AE" w:rsidRDefault="008D2DE4" w:rsidP="0057788E">
      <w:pPr>
        <w:jc w:val="both"/>
        <w:rPr>
          <w:rFonts w:cs="Arial"/>
          <w:lang w:val="en-GB"/>
        </w:rPr>
      </w:pPr>
      <w:r w:rsidRPr="000714AE">
        <w:rPr>
          <w:rFonts w:cs="Arial"/>
          <w:lang w:val="en-GB"/>
        </w:rPr>
        <w:t>Sustainability efforts, including the Birmingham Clean Air Zone introduced in 2021, can also help to improve people's health by reducing the morbidity associated with pollution. Early measurements show</w:t>
      </w:r>
      <w:r w:rsidR="00C3460B" w:rsidRPr="000714AE">
        <w:rPr>
          <w:rFonts w:cs="Arial"/>
          <w:lang w:val="en-GB"/>
        </w:rPr>
        <w:t>ed</w:t>
      </w:r>
      <w:r w:rsidRPr="000714AE">
        <w:rPr>
          <w:rFonts w:cs="Arial"/>
          <w:lang w:val="en-GB"/>
        </w:rPr>
        <w:t xml:space="preserve"> that there is a decrease in nitrogen d</w:t>
      </w:r>
      <w:r w:rsidR="000C6FB3" w:rsidRPr="000714AE">
        <w:rPr>
          <w:rFonts w:cs="Arial"/>
          <w:lang w:val="en-GB"/>
        </w:rPr>
        <w:t>ioxide levels in the zone by 13</w:t>
      </w:r>
      <w:r w:rsidRPr="000714AE">
        <w:rPr>
          <w:rFonts w:cs="Arial"/>
          <w:lang w:val="en-GB"/>
        </w:rPr>
        <w:t>%.</w:t>
      </w:r>
      <w:r w:rsidR="00021C5B" w:rsidRPr="000714AE">
        <w:rPr>
          <w:rFonts w:cs="Arial"/>
          <w:lang w:val="en-GB"/>
        </w:rPr>
        <w:t xml:space="preserve"> This analysis significantly aligns with </w:t>
      </w:r>
      <w:r w:rsidR="00024D61" w:rsidRPr="000714AE">
        <w:rPr>
          <w:rFonts w:cs="Arial"/>
          <w:lang w:val="en-GB"/>
        </w:rPr>
        <w:t xml:space="preserve">the theory of </w:t>
      </w:r>
      <w:r w:rsidR="00A22F81" w:rsidRPr="000714AE">
        <w:rPr>
          <w:rFonts w:cs="Arial"/>
          <w:lang w:val="en-GB"/>
        </w:rPr>
        <w:t xml:space="preserve">the Health Belief Model which demonstrated that individuals are in a predisposition to change their behaviours when they feel a health threat and recognise the benefits of the changes (Alyafei and Easton-Carr, 2024). Similarly, to the situation with demographics across the Birmingham, the residents seem to be more aware of the problem of ambient air pollution, which has been linked to the resulting annual excess mortality of around 28,000-36,000 premature deaths throughout the United Kingdom (DEFRA, 2025). According to a report by Healthcare Leader (2025), adoption of a Clean Air Zone has also been accompanied by improved perceived benefits, as seen in a 13% decrease in the levels of nitrogen dioxide; the report supports the hypothesis that a change in behaviour, especially reduced use of motor vehicles, can improve respiratory health and also mitigate the negative impacts. </w:t>
      </w:r>
      <w:r w:rsidRPr="000714AE">
        <w:rPr>
          <w:rFonts w:cs="Arial"/>
          <w:lang w:val="en-GB"/>
        </w:rPr>
        <w:t>However, there are still issues, especially the problem of deep-rooted poverty: 42%</w:t>
      </w:r>
      <w:r w:rsidR="008A1120" w:rsidRPr="000714AE">
        <w:rPr>
          <w:rFonts w:cs="Arial"/>
          <w:lang w:val="en-GB"/>
        </w:rPr>
        <w:t xml:space="preserve"> </w:t>
      </w:r>
      <w:r w:rsidRPr="000714AE">
        <w:rPr>
          <w:rFonts w:cs="Arial"/>
          <w:lang w:val="en-GB"/>
        </w:rPr>
        <w:t>of children live in rather low-income families, which is the highest in the core cities of England (United Nations, 2025).</w:t>
      </w:r>
    </w:p>
    <w:p w14:paraId="43DC32A9" w14:textId="77777777" w:rsidR="00ED0298" w:rsidRPr="000714AE" w:rsidRDefault="00ED0298" w:rsidP="0057788E">
      <w:pPr>
        <w:jc w:val="both"/>
        <w:rPr>
          <w:rFonts w:cs="Arial"/>
          <w:lang w:val="en-GB"/>
        </w:rPr>
      </w:pPr>
    </w:p>
    <w:p w14:paraId="719057D5" w14:textId="77777777" w:rsidR="00AC32D3" w:rsidRPr="000714AE" w:rsidRDefault="008D2DE4" w:rsidP="0057788E">
      <w:pPr>
        <w:pStyle w:val="Heading1"/>
        <w:jc w:val="both"/>
        <w:rPr>
          <w:rFonts w:cs="Arial"/>
          <w:szCs w:val="22"/>
          <w:lang w:val="en-GB"/>
        </w:rPr>
      </w:pPr>
      <w:bookmarkStart w:id="4" w:name="_Toc213692732"/>
      <w:r w:rsidRPr="000714AE">
        <w:rPr>
          <w:rFonts w:cs="Arial"/>
          <w:szCs w:val="22"/>
          <w:lang w:val="en-GB"/>
        </w:rPr>
        <w:t>Recommendations</w:t>
      </w:r>
      <w:bookmarkEnd w:id="4"/>
    </w:p>
    <w:p w14:paraId="4986696F" w14:textId="77777777" w:rsidR="00E47E21" w:rsidRPr="000714AE" w:rsidRDefault="008D2DE4" w:rsidP="0057788E">
      <w:pPr>
        <w:jc w:val="both"/>
        <w:rPr>
          <w:rFonts w:cs="Arial"/>
          <w:lang w:val="en-GB"/>
        </w:rPr>
      </w:pPr>
      <w:r w:rsidRPr="000714AE">
        <w:rPr>
          <w:rFonts w:cs="Arial"/>
          <w:lang w:val="en-GB"/>
        </w:rPr>
        <w:t xml:space="preserve">In order to enhance the goal congruency of SDG 3 (Good Health and Well-being) and SDG 10 (Reduced Inequalities), the national and local strategies should implement evidence-based interventions based on the idea of equity (WHO, 2025). The UK government is recommended to increase investment in primary care services and staffing of primary care at the national level, especially to fill gaps in general practitioners and mental health nurses. It has been proven that some shortages do exist nowadays, causing delays in access, and 14% of patients were not able to get an appointment on time (DEFRA, 2025). By investing more in preventive healthcare, such as obesity-reduction programmes, the burden of chronic diseases and NHS spending on them might be decreased significantly in the long term (NHS England, 2025). Furthermore, by </w:t>
      </w:r>
      <w:r w:rsidRPr="000714AE">
        <w:rPr>
          <w:rFonts w:cs="Arial"/>
          <w:lang w:val="en-GB"/>
        </w:rPr>
        <w:lastRenderedPageBreak/>
        <w:t>incorporating sustainability into health policy,</w:t>
      </w:r>
      <w:r w:rsidR="00DA0FCF" w:rsidRPr="000714AE">
        <w:rPr>
          <w:rFonts w:cs="Arial"/>
          <w:lang w:val="en-GB"/>
        </w:rPr>
        <w:t xml:space="preserve"> such as</w:t>
      </w:r>
      <w:r w:rsidRPr="000714AE">
        <w:rPr>
          <w:rFonts w:cs="Arial"/>
          <w:lang w:val="en-GB"/>
        </w:rPr>
        <w:t xml:space="preserve"> by using a greener NHS, one </w:t>
      </w:r>
      <w:r w:rsidR="004505C7" w:rsidRPr="000714AE">
        <w:rPr>
          <w:rFonts w:cs="Arial"/>
          <w:lang w:val="en-GB"/>
        </w:rPr>
        <w:t>should</w:t>
      </w:r>
      <w:r w:rsidRPr="000714AE">
        <w:rPr>
          <w:rFonts w:cs="Arial"/>
          <w:lang w:val="en-GB"/>
        </w:rPr>
        <w:t xml:space="preserve"> be able to reduce environmental threats that lead to respiratory and cardiovascular disease (NHS Long Term Plan, 2024).</w:t>
      </w:r>
    </w:p>
    <w:p w14:paraId="4487A642" w14:textId="77777777" w:rsidR="00580257" w:rsidRPr="000714AE" w:rsidRDefault="008D2DE4" w:rsidP="0057788E">
      <w:pPr>
        <w:jc w:val="both"/>
        <w:rPr>
          <w:rFonts w:cs="Arial"/>
          <w:lang w:val="en-GB"/>
        </w:rPr>
      </w:pPr>
      <w:r w:rsidRPr="000714AE">
        <w:rPr>
          <w:rFonts w:cs="Arial"/>
          <w:lang w:val="en-GB"/>
        </w:rPr>
        <w:t xml:space="preserve">On the local level, Birmingham can improve the performance of the Health and Wellbeing Strategy (2022-2030) by incorporating measurable outcomes into its </w:t>
      </w:r>
      <w:r w:rsidRPr="000714AE">
        <w:rPr>
          <w:rFonts w:cs="Arial"/>
          <w:i/>
          <w:iCs/>
          <w:lang w:val="en-GB"/>
        </w:rPr>
        <w:t>“Health in All Policies”</w:t>
      </w:r>
      <w:r w:rsidRPr="000714AE">
        <w:rPr>
          <w:rFonts w:cs="Arial"/>
          <w:lang w:val="en-GB"/>
        </w:rPr>
        <w:t xml:space="preserve"> approach. As an example, community health hubs in wards with high deprivation have already led to more vaccine uptake; providing hubs with obesity-prevention, cardiovascular screening, and mental health services would tackle a range of inequalities </w:t>
      </w:r>
      <w:r w:rsidR="00432396" w:rsidRPr="000714AE">
        <w:rPr>
          <w:rFonts w:cs="Arial"/>
          <w:lang w:val="en-GB"/>
        </w:rPr>
        <w:t>simultaneously</w:t>
      </w:r>
      <w:r w:rsidRPr="000714AE">
        <w:rPr>
          <w:rFonts w:cs="Arial"/>
          <w:lang w:val="en-GB"/>
        </w:rPr>
        <w:t xml:space="preserve"> (JSNA, 2023). It is also important that the local authorities have an equal distribution of resources because existing evidence shows that the lack of resources is underfunded in impoverished regions, and this fact leads to a 20 % increase in premature mortality (UNDP, 2025). Increasing cross-sector working across councils, NHS trusts and voluntary organisations would also increase the coverage of services and minimise overlapping efforts. </w:t>
      </w:r>
      <w:r w:rsidR="00376369" w:rsidRPr="000714AE">
        <w:rPr>
          <w:rFonts w:cs="Arial"/>
          <w:lang w:val="en-GB"/>
        </w:rPr>
        <w:t xml:space="preserve">Therefore, it is essential that a coordinated national investment in workforce development and preventive interventions, in association with more focused, localised interventions, is required to enhance health equity, sustainability, and long-term well-being outcomes. </w:t>
      </w:r>
    </w:p>
    <w:p w14:paraId="23021123" w14:textId="77777777" w:rsidR="00432396" w:rsidRPr="000714AE" w:rsidRDefault="00432396" w:rsidP="0057788E">
      <w:pPr>
        <w:jc w:val="both"/>
        <w:rPr>
          <w:rFonts w:cs="Arial"/>
          <w:lang w:val="en-GB"/>
        </w:rPr>
      </w:pPr>
    </w:p>
    <w:p w14:paraId="2158396B" w14:textId="77777777" w:rsidR="00580257" w:rsidRPr="000714AE" w:rsidRDefault="008D2DE4" w:rsidP="0057788E">
      <w:pPr>
        <w:pStyle w:val="Heading1"/>
        <w:jc w:val="both"/>
        <w:rPr>
          <w:rFonts w:cs="Arial"/>
          <w:szCs w:val="22"/>
          <w:lang w:val="en-GB"/>
        </w:rPr>
      </w:pPr>
      <w:bookmarkStart w:id="5" w:name="_Toc213692733"/>
      <w:r w:rsidRPr="000714AE">
        <w:rPr>
          <w:rFonts w:cs="Arial"/>
          <w:szCs w:val="22"/>
          <w:lang w:val="en-GB"/>
        </w:rPr>
        <w:t>Conclusion</w:t>
      </w:r>
      <w:bookmarkEnd w:id="5"/>
    </w:p>
    <w:p w14:paraId="509F7F35" w14:textId="77777777" w:rsidR="00474263" w:rsidRPr="000714AE" w:rsidRDefault="008D2DE4" w:rsidP="0057788E">
      <w:pPr>
        <w:jc w:val="both"/>
        <w:rPr>
          <w:rFonts w:cs="Arial"/>
          <w:lang w:val="en-GB"/>
        </w:rPr>
      </w:pPr>
      <w:r w:rsidRPr="000714AE">
        <w:rPr>
          <w:rFonts w:cs="Arial"/>
          <w:lang w:val="en-GB"/>
        </w:rPr>
        <w:t>In conclusion, t</w:t>
      </w:r>
      <w:r w:rsidR="00830087" w:rsidRPr="000714AE">
        <w:rPr>
          <w:rFonts w:cs="Arial"/>
          <w:lang w:val="en-GB"/>
        </w:rPr>
        <w:t xml:space="preserve">his report has highlighted the continuity of health inequalities on a global, national, and local level, thus indicating the critical roles of </w:t>
      </w:r>
      <w:r w:rsidR="00645539" w:rsidRPr="000714AE">
        <w:rPr>
          <w:rFonts w:cs="Arial"/>
          <w:lang w:val="en-GB"/>
        </w:rPr>
        <w:t>SDG</w:t>
      </w:r>
      <w:r w:rsidR="00830087" w:rsidRPr="000714AE">
        <w:rPr>
          <w:rFonts w:cs="Arial"/>
          <w:lang w:val="en-GB"/>
        </w:rPr>
        <w:t xml:space="preserve"> 3 and 10 in promoting health and well-being. At the global level, billions of people continue to be denied access to basic health services, and low-income states are characterised by disproportionately high disease burden and avoidable mortality rates. At the national scale, the United Kingdom portrays the quantifiable improvement in the form of the NHS Long Term Plan and specific programmes; however, the issues of longer wait lists, labour shortage, and regional inequalities remain limiting in their ability to provide equal opportunity. Birmingham shows significant health disparities related to deprivation in the city, especially in the areas of childhood obesity, mental health, and life expectancy. The empirical data show that a combination of strategically oriented investments, strong prevention policies, and synergistic service provisions is an effective approach in alleviating disparities. The future policy of the health and care system should therefore focus on evidence-based, sustainable, and equitable interventions that incorporate the prevention, development of the working force, and cross-sectoral cooperation to improve the results and resiliency of the communities.  </w:t>
      </w:r>
      <w:r w:rsidRPr="000714AE">
        <w:rPr>
          <w:rFonts w:cs="Arial"/>
          <w:lang w:val="en-GB"/>
        </w:rPr>
        <w:br w:type="page"/>
      </w:r>
    </w:p>
    <w:p w14:paraId="11DFFD15" w14:textId="77777777" w:rsidR="00474263" w:rsidRPr="000714AE" w:rsidRDefault="008D2DE4" w:rsidP="0057788E">
      <w:pPr>
        <w:pStyle w:val="Heading1"/>
        <w:jc w:val="both"/>
        <w:rPr>
          <w:rFonts w:cs="Arial"/>
          <w:szCs w:val="22"/>
          <w:lang w:val="en-GB"/>
        </w:rPr>
      </w:pPr>
      <w:bookmarkStart w:id="6" w:name="_Toc213692734"/>
      <w:r w:rsidRPr="000714AE">
        <w:rPr>
          <w:rFonts w:cs="Arial"/>
          <w:szCs w:val="22"/>
          <w:lang w:val="en-GB"/>
        </w:rPr>
        <w:lastRenderedPageBreak/>
        <w:t>References</w:t>
      </w:r>
      <w:bookmarkEnd w:id="6"/>
    </w:p>
    <w:p w14:paraId="4B433ECC" w14:textId="77777777" w:rsidR="00AE18C4" w:rsidRPr="000714AE" w:rsidRDefault="00AE18C4" w:rsidP="0057788E">
      <w:pPr>
        <w:ind w:left="720" w:hanging="720"/>
        <w:jc w:val="both"/>
        <w:rPr>
          <w:rFonts w:cs="Arial"/>
          <w:lang w:val="en-GB"/>
        </w:rPr>
      </w:pPr>
      <w:r w:rsidRPr="000714AE">
        <w:rPr>
          <w:rFonts w:cs="Arial"/>
          <w:lang w:val="en-GB"/>
        </w:rPr>
        <w:t xml:space="preserve">Alexiou, A., Fahy, K., Mason, K., Bennett, D., Brown, H., Bambra, C., ... and Barr, B. (2021). Local government funding and life expectancy in England: a longitudinal ecological study. The Lancet Public Health, 6(9), e641-e647. </w:t>
      </w:r>
    </w:p>
    <w:p w14:paraId="6DCD05CD" w14:textId="77777777" w:rsidR="00AE18C4" w:rsidRPr="000714AE" w:rsidRDefault="00AE18C4" w:rsidP="0057788E">
      <w:pPr>
        <w:ind w:left="720" w:hanging="720"/>
        <w:jc w:val="both"/>
        <w:rPr>
          <w:rFonts w:cs="Arial"/>
          <w:lang w:val="en-GB"/>
        </w:rPr>
      </w:pPr>
      <w:r w:rsidRPr="000714AE">
        <w:rPr>
          <w:rFonts w:cs="Arial"/>
          <w:lang w:val="en-GB"/>
        </w:rPr>
        <w:t xml:space="preserve">Al-Shorbaji, N. (2022). Improving Healthcare Access through Digital Health: The Use of. Healthcare Access, 315. </w:t>
      </w:r>
    </w:p>
    <w:p w14:paraId="6D6486AD" w14:textId="77777777" w:rsidR="00AE18C4" w:rsidRPr="000714AE" w:rsidRDefault="00AE18C4" w:rsidP="0057788E">
      <w:pPr>
        <w:ind w:left="720" w:hanging="720"/>
        <w:jc w:val="both"/>
        <w:rPr>
          <w:rFonts w:cs="Arial"/>
          <w:lang w:val="en-GB"/>
        </w:rPr>
      </w:pPr>
      <w:r w:rsidRPr="000714AE">
        <w:rPr>
          <w:rFonts w:cs="Arial"/>
          <w:lang w:val="en-GB"/>
        </w:rPr>
        <w:t xml:space="preserve">Alyafei, A., and Easton-Carr, R. (2024). The health belief model of behavior change. StatPearls. </w:t>
      </w:r>
    </w:p>
    <w:p w14:paraId="448F88C4" w14:textId="77777777" w:rsidR="00AE18C4" w:rsidRPr="000714AE" w:rsidRDefault="00AE18C4" w:rsidP="0057788E">
      <w:pPr>
        <w:ind w:left="720" w:hanging="720"/>
        <w:jc w:val="both"/>
        <w:rPr>
          <w:rFonts w:cs="Arial"/>
          <w:lang w:val="en-GB"/>
        </w:rPr>
      </w:pPr>
      <w:r w:rsidRPr="000714AE">
        <w:rPr>
          <w:rFonts w:cs="Arial"/>
          <w:lang w:val="en-GB"/>
        </w:rPr>
        <w:t xml:space="preserve">Benoit, C., Jeffery, A., Cleary, S., Masood, A., Paton, A., and Burt, C. (2023). Health inequalities in Birmingham: barriers encountered in underserved wards in East and West Birmingham. In ESRC Festival of Social Sciences: Tackling Health Inequalities in Birmingham. </w:t>
      </w:r>
    </w:p>
    <w:p w14:paraId="517EB306" w14:textId="77777777" w:rsidR="00AE18C4" w:rsidRPr="000714AE" w:rsidRDefault="00AE18C4" w:rsidP="0057788E">
      <w:pPr>
        <w:ind w:left="720" w:hanging="720"/>
        <w:jc w:val="both"/>
        <w:rPr>
          <w:rFonts w:cs="Arial"/>
          <w:lang w:val="en-GB"/>
        </w:rPr>
      </w:pPr>
      <w:r w:rsidRPr="000714AE">
        <w:rPr>
          <w:rFonts w:cs="Arial"/>
          <w:lang w:val="en-GB"/>
        </w:rPr>
        <w:t xml:space="preserve">Bhandari, M. P. (2024). What is next for the sustainable development goals, what are the challenges concerning SDG 10—reduced inequalities?. Sustainable Earth Reviews, 7(1), 23. </w:t>
      </w:r>
    </w:p>
    <w:p w14:paraId="04A6D5A2" w14:textId="77777777" w:rsidR="00AE18C4" w:rsidRPr="000714AE" w:rsidRDefault="00AE18C4" w:rsidP="0057788E">
      <w:pPr>
        <w:ind w:left="720" w:hanging="720"/>
        <w:jc w:val="both"/>
        <w:rPr>
          <w:rFonts w:cs="Arial"/>
          <w:lang w:val="en-GB"/>
        </w:rPr>
      </w:pPr>
      <w:r w:rsidRPr="000714AE">
        <w:rPr>
          <w:rFonts w:cs="Arial"/>
          <w:lang w:val="en-GB"/>
        </w:rPr>
        <w:t xml:space="preserve">DEFRA (2025). Food and Rural Affairs (Defra) - Air Pollution- Defra, UK. [online] uk-air.defra.gov.uk. Available at: </w:t>
      </w:r>
      <w:hyperlink r:id="rId8" w:history="1">
        <w:r w:rsidRPr="000714AE">
          <w:rPr>
            <w:rStyle w:val="Hyperlink"/>
            <w:rFonts w:cs="Arial"/>
            <w:lang w:val="en-GB"/>
          </w:rPr>
          <w:t>https://uk-air.defra.gov.uk/air-pollution/</w:t>
        </w:r>
      </w:hyperlink>
      <w:r w:rsidRPr="000714AE">
        <w:rPr>
          <w:rFonts w:cs="Arial"/>
          <w:lang w:val="en-GB"/>
        </w:rPr>
        <w:t xml:space="preserve">. </w:t>
      </w:r>
    </w:p>
    <w:p w14:paraId="0F5E6346" w14:textId="77777777" w:rsidR="00AE18C4" w:rsidRPr="000714AE" w:rsidRDefault="00AE18C4" w:rsidP="0057788E">
      <w:pPr>
        <w:ind w:left="720" w:hanging="720"/>
        <w:jc w:val="both"/>
        <w:rPr>
          <w:rFonts w:cs="Arial"/>
          <w:lang w:val="en-GB"/>
        </w:rPr>
      </w:pPr>
      <w:r w:rsidRPr="000714AE">
        <w:rPr>
          <w:rFonts w:cs="Arial"/>
          <w:lang w:val="en-GB"/>
        </w:rPr>
        <w:t xml:space="preserve">Dwyer-Lindgren, L., Kendrick, P., Kelly, Y. O., Sylte, D. O., Schmidt, C., Blacker, B. F., ... and Mokdad, A. H. (2022). Life expectancy by county, race, and ethnicity in the USA, 2000–19: a systematic analysis of health disparities. The Lancet, 400(10345), 25-38. </w:t>
      </w:r>
    </w:p>
    <w:p w14:paraId="3313297B" w14:textId="77777777" w:rsidR="00AE18C4" w:rsidRPr="000714AE" w:rsidRDefault="00AE18C4" w:rsidP="0057788E">
      <w:pPr>
        <w:ind w:left="720" w:hanging="720"/>
        <w:jc w:val="both"/>
        <w:rPr>
          <w:rFonts w:cs="Arial"/>
          <w:lang w:val="en-GB"/>
        </w:rPr>
      </w:pPr>
      <w:r w:rsidRPr="000714AE">
        <w:rPr>
          <w:rFonts w:cs="Arial"/>
          <w:lang w:val="en-GB"/>
        </w:rPr>
        <w:t xml:space="preserve">Healthcare Leader (2025). Health inequalities in England are widening, ONS figures show. [online] Healthcare Leader. Available at: </w:t>
      </w:r>
      <w:hyperlink r:id="rId9" w:history="1">
        <w:r w:rsidRPr="000714AE">
          <w:rPr>
            <w:rStyle w:val="Hyperlink"/>
            <w:rFonts w:cs="Arial"/>
            <w:lang w:val="en-GB"/>
          </w:rPr>
          <w:t>https://healthcareleadernews.com/news/health-inequalities-in-england-are-widening-ons-figures-show/</w:t>
        </w:r>
      </w:hyperlink>
      <w:r w:rsidRPr="000714AE">
        <w:rPr>
          <w:rFonts w:cs="Arial"/>
          <w:lang w:val="en-GB"/>
        </w:rPr>
        <w:t xml:space="preserve"> </w:t>
      </w:r>
    </w:p>
    <w:p w14:paraId="012B1E3E" w14:textId="77777777" w:rsidR="00AE18C4" w:rsidRPr="000714AE" w:rsidRDefault="00AE18C4" w:rsidP="0057788E">
      <w:pPr>
        <w:ind w:left="720" w:hanging="720"/>
        <w:jc w:val="both"/>
        <w:rPr>
          <w:rFonts w:cs="Arial"/>
          <w:lang w:val="en-GB"/>
        </w:rPr>
      </w:pPr>
      <w:r w:rsidRPr="000714AE">
        <w:rPr>
          <w:rFonts w:cs="Arial"/>
          <w:lang w:val="en-GB"/>
        </w:rPr>
        <w:t xml:space="preserve">JSNA (2023). Childhood Obesity in Hammersmith &amp; Fulham, Kensington &amp; Chelsea and Westminster Joint Strategic Needs Assessment (JSNA) Report. [online] Available at: </w:t>
      </w:r>
      <w:hyperlink r:id="rId10" w:history="1">
        <w:r w:rsidRPr="000714AE">
          <w:rPr>
            <w:rStyle w:val="Hyperlink"/>
            <w:rFonts w:cs="Arial"/>
            <w:lang w:val="en-GB"/>
          </w:rPr>
          <w:t>https://www.jsna.info/sites/default/files/Childhood%20Obesity%20JSNA%20Feb%2016.pdf</w:t>
        </w:r>
      </w:hyperlink>
      <w:r w:rsidRPr="000714AE">
        <w:rPr>
          <w:rFonts w:cs="Arial"/>
          <w:lang w:val="en-GB"/>
        </w:rPr>
        <w:t xml:space="preserve">. </w:t>
      </w:r>
    </w:p>
    <w:p w14:paraId="6E33D9BB" w14:textId="77777777" w:rsidR="00AE18C4" w:rsidRPr="000714AE" w:rsidRDefault="00AE18C4" w:rsidP="0057788E">
      <w:pPr>
        <w:ind w:left="720" w:hanging="720"/>
        <w:jc w:val="both"/>
        <w:rPr>
          <w:rFonts w:cs="Arial"/>
          <w:lang w:val="en-GB"/>
        </w:rPr>
      </w:pPr>
      <w:r w:rsidRPr="000714AE">
        <w:rPr>
          <w:rFonts w:cs="Arial"/>
          <w:lang w:val="en-GB"/>
        </w:rPr>
        <w:t xml:space="preserve">Kaur, G. (2023). Routine vaccination coverage—worldwide, 2022. MMWR. Morbidity and mortality weekly report, 72. </w:t>
      </w:r>
    </w:p>
    <w:p w14:paraId="5634D764" w14:textId="77777777" w:rsidR="00AE18C4" w:rsidRPr="000714AE" w:rsidRDefault="00AE18C4" w:rsidP="0057788E">
      <w:pPr>
        <w:ind w:left="720" w:hanging="720"/>
        <w:jc w:val="both"/>
        <w:rPr>
          <w:rFonts w:cs="Arial"/>
          <w:lang w:val="en-GB"/>
        </w:rPr>
      </w:pPr>
      <w:r w:rsidRPr="000714AE">
        <w:rPr>
          <w:rFonts w:cs="Arial"/>
          <w:lang w:val="en-GB"/>
        </w:rPr>
        <w:t xml:space="preserve">Kehoe, K. (2021). Burden and causes of ongoing paediatric infectious disease morbidity and mortality in. Methods.  </w:t>
      </w:r>
    </w:p>
    <w:p w14:paraId="4437F178" w14:textId="77777777" w:rsidR="00AE18C4" w:rsidRPr="000714AE" w:rsidRDefault="00AE18C4" w:rsidP="0057788E">
      <w:pPr>
        <w:ind w:left="720" w:hanging="720"/>
        <w:jc w:val="both"/>
        <w:rPr>
          <w:rFonts w:cs="Arial"/>
          <w:lang w:val="en-GB"/>
        </w:rPr>
      </w:pPr>
      <w:r w:rsidRPr="000714AE">
        <w:rPr>
          <w:rFonts w:cs="Arial"/>
          <w:lang w:val="en-GB"/>
        </w:rPr>
        <w:lastRenderedPageBreak/>
        <w:t xml:space="preserve">NHS England (2025). Cardiovascular Disease (CVD). [online] England.nhs.uk. Available at: </w:t>
      </w:r>
      <w:hyperlink r:id="rId11" w:history="1">
        <w:r w:rsidRPr="000714AE">
          <w:rPr>
            <w:rStyle w:val="Hyperlink"/>
            <w:rFonts w:cs="Arial"/>
            <w:lang w:val="en-GB"/>
          </w:rPr>
          <w:t>https://www.england.nhs.uk/ourwork/clinical-policy/cvd/</w:t>
        </w:r>
      </w:hyperlink>
      <w:r w:rsidRPr="000714AE">
        <w:rPr>
          <w:rFonts w:cs="Arial"/>
          <w:lang w:val="en-GB"/>
        </w:rPr>
        <w:t xml:space="preserve">. </w:t>
      </w:r>
    </w:p>
    <w:p w14:paraId="31374FC7" w14:textId="77777777" w:rsidR="00AE18C4" w:rsidRPr="000714AE" w:rsidRDefault="00AE18C4" w:rsidP="0057788E">
      <w:pPr>
        <w:ind w:left="720" w:hanging="720"/>
        <w:jc w:val="both"/>
        <w:rPr>
          <w:rFonts w:cs="Arial"/>
          <w:lang w:val="en-GB"/>
        </w:rPr>
      </w:pPr>
      <w:r w:rsidRPr="000714AE">
        <w:rPr>
          <w:rFonts w:cs="Arial"/>
          <w:lang w:val="en-GB"/>
        </w:rPr>
        <w:t xml:space="preserve">NHS Long Term Plan (2024). NHS Long Term Plan. [online] NHS England. Available at: </w:t>
      </w:r>
      <w:hyperlink r:id="rId12" w:history="1">
        <w:r w:rsidRPr="000714AE">
          <w:rPr>
            <w:rStyle w:val="Hyperlink"/>
            <w:rFonts w:cs="Arial"/>
            <w:lang w:val="en-GB"/>
          </w:rPr>
          <w:t>https://www.longtermplan.nhs.uk/</w:t>
        </w:r>
      </w:hyperlink>
      <w:r w:rsidRPr="000714AE">
        <w:rPr>
          <w:rFonts w:cs="Arial"/>
          <w:lang w:val="en-GB"/>
        </w:rPr>
        <w:t xml:space="preserve">. </w:t>
      </w:r>
    </w:p>
    <w:p w14:paraId="31FC4E33" w14:textId="77777777" w:rsidR="00AE18C4" w:rsidRPr="000714AE" w:rsidRDefault="00AE18C4" w:rsidP="0057788E">
      <w:pPr>
        <w:ind w:left="720" w:hanging="720"/>
        <w:jc w:val="both"/>
        <w:rPr>
          <w:rFonts w:cs="Arial"/>
          <w:lang w:val="en-GB"/>
        </w:rPr>
      </w:pPr>
      <w:r w:rsidRPr="000714AE">
        <w:rPr>
          <w:rFonts w:cs="Arial"/>
          <w:lang w:val="en-GB"/>
        </w:rPr>
        <w:t xml:space="preserve">ONS (2022). Health state life expectancies by national deprivation deciles, England: 2018 to 2020. [online] www.ons.gov.uk. Available at: </w:t>
      </w:r>
      <w:hyperlink r:id="rId13" w:history="1">
        <w:r w:rsidRPr="000714AE">
          <w:rPr>
            <w:rStyle w:val="Hyperlink"/>
            <w:rFonts w:cs="Arial"/>
            <w:lang w:val="en-GB"/>
          </w:rPr>
          <w:t>https://www.ons.gov.uk/peoplepopulationandcommunity/healthandsocialcare/healthinequalities/bulletins/healthstatelifeexpectanciesbyindexofmultipledeprivationimd/2018to2020</w:t>
        </w:r>
      </w:hyperlink>
    </w:p>
    <w:p w14:paraId="3750CA40" w14:textId="77777777" w:rsidR="00AE18C4" w:rsidRPr="000714AE" w:rsidRDefault="00AE18C4" w:rsidP="0057788E">
      <w:pPr>
        <w:ind w:left="720" w:hanging="720"/>
        <w:jc w:val="both"/>
        <w:rPr>
          <w:rFonts w:cs="Arial"/>
          <w:lang w:val="en-GB"/>
        </w:rPr>
      </w:pPr>
      <w:r w:rsidRPr="000714AE">
        <w:rPr>
          <w:rFonts w:cs="Arial"/>
          <w:lang w:val="en-GB"/>
        </w:rPr>
        <w:t xml:space="preserve">People’s Health Trust. (2025). Sharp rise in gap in life expectancy between most and least deprived…. [online] Available at: </w:t>
      </w:r>
      <w:hyperlink r:id="rId14" w:history="1">
        <w:r w:rsidRPr="000714AE">
          <w:rPr>
            <w:rStyle w:val="Hyperlink"/>
            <w:rFonts w:cs="Arial"/>
            <w:lang w:val="en-GB"/>
          </w:rPr>
          <w:t>https://www.peopleshealthtrust.org.uk/news/stories/sharp-rise-in-gap-in-life-expectancy-between-most-and-least-deprived-areas</w:t>
        </w:r>
      </w:hyperlink>
      <w:r w:rsidRPr="000714AE">
        <w:rPr>
          <w:rFonts w:cs="Arial"/>
          <w:lang w:val="en-GB"/>
        </w:rPr>
        <w:t xml:space="preserve"> </w:t>
      </w:r>
    </w:p>
    <w:p w14:paraId="316BDD48" w14:textId="77777777" w:rsidR="00AE18C4" w:rsidRPr="000714AE" w:rsidRDefault="00AE18C4" w:rsidP="0057788E">
      <w:pPr>
        <w:ind w:left="720" w:hanging="720"/>
        <w:jc w:val="both"/>
        <w:rPr>
          <w:rFonts w:cs="Arial"/>
          <w:lang w:val="en-GB"/>
        </w:rPr>
      </w:pPr>
      <w:r w:rsidRPr="000714AE">
        <w:rPr>
          <w:rFonts w:cs="Arial"/>
          <w:lang w:val="en-GB"/>
        </w:rPr>
        <w:t xml:space="preserve">The Health Foundation (2025). Inequalities in Life Expectancy and Healthy Life Expectancy. [online] The Health Foundation. Available at: </w:t>
      </w:r>
      <w:hyperlink r:id="rId15" w:history="1">
        <w:r w:rsidRPr="000714AE">
          <w:rPr>
            <w:rStyle w:val="Hyperlink"/>
            <w:rFonts w:cs="Arial"/>
            <w:lang w:val="en-GB"/>
          </w:rPr>
          <w:t>https://www.health.org.uk/evidence-hub/health-inequalities/inequalities-in-life-expectancy-and-healthy-life-expectancy</w:t>
        </w:r>
      </w:hyperlink>
      <w:r w:rsidRPr="000714AE">
        <w:rPr>
          <w:rFonts w:cs="Arial"/>
          <w:lang w:val="en-GB"/>
        </w:rPr>
        <w:t xml:space="preserve">. </w:t>
      </w:r>
    </w:p>
    <w:p w14:paraId="1214D971" w14:textId="77777777" w:rsidR="00AE18C4" w:rsidRPr="000714AE" w:rsidRDefault="00AE18C4" w:rsidP="0057788E">
      <w:pPr>
        <w:ind w:left="720" w:hanging="720"/>
        <w:jc w:val="both"/>
        <w:rPr>
          <w:rFonts w:cs="Arial"/>
          <w:lang w:val="en-GB"/>
        </w:rPr>
      </w:pPr>
      <w:r w:rsidRPr="000714AE">
        <w:rPr>
          <w:rFonts w:cs="Arial"/>
          <w:lang w:val="en-GB"/>
        </w:rPr>
        <w:t xml:space="preserve">UNDP (2025). Inequality in Access to Essential Health and Medicine: COVID-19 Vaccines. [online] Available at: </w:t>
      </w:r>
      <w:hyperlink r:id="rId16" w:history="1">
        <w:r w:rsidRPr="000714AE">
          <w:rPr>
            <w:rStyle w:val="Hyperlink"/>
            <w:rFonts w:cs="Arial"/>
            <w:lang w:val="en-GB"/>
          </w:rPr>
          <w:t>https://www.undp.org/sites/g/files/zskgke326/files/2023-02/UNDP-Inequality-in-Access-to-Essential-Health-and-Medicine-COVID19-Vaccines-2021.pdf</w:t>
        </w:r>
      </w:hyperlink>
      <w:r w:rsidRPr="000714AE">
        <w:rPr>
          <w:rFonts w:cs="Arial"/>
          <w:lang w:val="en-GB"/>
        </w:rPr>
        <w:t xml:space="preserve">. </w:t>
      </w:r>
    </w:p>
    <w:p w14:paraId="44E68610" w14:textId="77777777" w:rsidR="00AE18C4" w:rsidRPr="000714AE" w:rsidRDefault="00AE18C4" w:rsidP="0057788E">
      <w:pPr>
        <w:ind w:left="720" w:hanging="720"/>
        <w:jc w:val="both"/>
        <w:rPr>
          <w:rFonts w:cs="Arial"/>
          <w:lang w:val="en-GB"/>
        </w:rPr>
      </w:pPr>
      <w:r w:rsidRPr="000714AE">
        <w:rPr>
          <w:rFonts w:cs="Arial"/>
          <w:lang w:val="en-GB"/>
        </w:rPr>
        <w:t xml:space="preserve">United Nations (2025). Goal 3: Ensure healthy lives and promote well-being for all at all ages. [online] United Nations Sustainable Development Goals. Available at: </w:t>
      </w:r>
      <w:hyperlink r:id="rId17" w:history="1">
        <w:r w:rsidRPr="000714AE">
          <w:rPr>
            <w:rStyle w:val="Hyperlink"/>
            <w:rFonts w:cs="Arial"/>
            <w:lang w:val="en-GB"/>
          </w:rPr>
          <w:t>https://www.un.org/sustainabledevelopment/health/</w:t>
        </w:r>
      </w:hyperlink>
      <w:r w:rsidRPr="000714AE">
        <w:rPr>
          <w:rFonts w:cs="Arial"/>
          <w:lang w:val="en-GB"/>
        </w:rPr>
        <w:t>.</w:t>
      </w:r>
    </w:p>
    <w:p w14:paraId="5AB1EEA0" w14:textId="77777777" w:rsidR="00AE18C4" w:rsidRPr="000714AE" w:rsidRDefault="00AE18C4" w:rsidP="0057788E">
      <w:pPr>
        <w:ind w:left="720" w:hanging="720"/>
        <w:jc w:val="both"/>
        <w:rPr>
          <w:rFonts w:cs="Arial"/>
          <w:lang w:val="en-GB"/>
        </w:rPr>
      </w:pPr>
      <w:r w:rsidRPr="000714AE">
        <w:rPr>
          <w:rFonts w:cs="Arial"/>
          <w:lang w:val="en-GB"/>
        </w:rPr>
        <w:t xml:space="preserve">WHO (2025). Universal Health Coverage (UHC) - World Health Organization. [online] World Health Organization. Available at: </w:t>
      </w:r>
      <w:hyperlink r:id="rId18" w:history="1">
        <w:r w:rsidRPr="000714AE">
          <w:rPr>
            <w:rStyle w:val="Hyperlink"/>
            <w:rFonts w:cs="Arial"/>
            <w:lang w:val="en-GB"/>
          </w:rPr>
          <w:t>https://www.who.int/news-room/fact-sheets/detail/universal-health-coverage-(uhc)</w:t>
        </w:r>
      </w:hyperlink>
      <w:r w:rsidRPr="000714AE">
        <w:rPr>
          <w:rFonts w:cs="Arial"/>
          <w:lang w:val="en-GB"/>
        </w:rPr>
        <w:t>.</w:t>
      </w:r>
    </w:p>
    <w:p w14:paraId="771C4FA8" w14:textId="77777777" w:rsidR="00AE18C4" w:rsidRPr="000714AE" w:rsidRDefault="00AE18C4" w:rsidP="0057788E">
      <w:pPr>
        <w:ind w:left="720" w:hanging="720"/>
        <w:jc w:val="both"/>
        <w:rPr>
          <w:rFonts w:cs="Arial"/>
          <w:lang w:val="en-GB"/>
        </w:rPr>
      </w:pPr>
      <w:r w:rsidRPr="000714AE">
        <w:rPr>
          <w:rFonts w:cs="Arial"/>
          <w:lang w:val="en-GB"/>
        </w:rPr>
        <w:t xml:space="preserve">Wu, Q. I. (2025). Economic inequality of the PRC as an imperative for the formation of social stratification of the population. </w:t>
      </w:r>
    </w:p>
    <w:p w14:paraId="49348D30" w14:textId="77777777" w:rsidR="00474263" w:rsidRPr="000714AE" w:rsidRDefault="00474263" w:rsidP="0057788E">
      <w:pPr>
        <w:jc w:val="both"/>
        <w:rPr>
          <w:rFonts w:cs="Arial"/>
          <w:lang w:val="en-GB"/>
        </w:rPr>
      </w:pPr>
    </w:p>
    <w:sectPr w:rsidR="00474263" w:rsidRPr="000714A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42B39" w14:textId="77777777" w:rsidR="004B4256" w:rsidRDefault="004B4256">
      <w:pPr>
        <w:spacing w:after="0" w:line="240" w:lineRule="auto"/>
      </w:pPr>
      <w:r>
        <w:separator/>
      </w:r>
    </w:p>
  </w:endnote>
  <w:endnote w:type="continuationSeparator" w:id="0">
    <w:p w14:paraId="7F2C97F2" w14:textId="77777777" w:rsidR="004B4256" w:rsidRDefault="004B4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7870322"/>
      <w:docPartObj>
        <w:docPartGallery w:val="Page Numbers (Bottom of Page)"/>
        <w:docPartUnique/>
      </w:docPartObj>
    </w:sdtPr>
    <w:sdtEndPr>
      <w:rPr>
        <w:noProof/>
      </w:rPr>
    </w:sdtEndPr>
    <w:sdtContent>
      <w:p w14:paraId="521151DB" w14:textId="77777777" w:rsidR="001B4C2E" w:rsidRDefault="008D2DE4">
        <w:pPr>
          <w:pStyle w:val="Footer"/>
          <w:jc w:val="right"/>
        </w:pPr>
        <w:r>
          <w:fldChar w:fldCharType="begin"/>
        </w:r>
        <w:r>
          <w:instrText xml:space="preserve"> PAGE   \* MERGEFORMAT </w:instrText>
        </w:r>
        <w:r>
          <w:fldChar w:fldCharType="separate"/>
        </w:r>
        <w:r w:rsidR="006942BB">
          <w:rPr>
            <w:noProof/>
          </w:rPr>
          <w:t>8</w:t>
        </w:r>
        <w:r>
          <w:rPr>
            <w:noProof/>
          </w:rPr>
          <w:fldChar w:fldCharType="end"/>
        </w:r>
      </w:p>
    </w:sdtContent>
  </w:sdt>
  <w:p w14:paraId="7D7E128D" w14:textId="77777777" w:rsidR="001B2CC4" w:rsidRDefault="001B2CC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9FD6D" w14:textId="77777777" w:rsidR="004B4256" w:rsidRDefault="004B4256">
      <w:pPr>
        <w:spacing w:after="0" w:line="240" w:lineRule="auto"/>
      </w:pPr>
      <w:r>
        <w:separator/>
      </w:r>
    </w:p>
  </w:footnote>
  <w:footnote w:type="continuationSeparator" w:id="0">
    <w:p w14:paraId="6879C34D" w14:textId="77777777" w:rsidR="004B4256" w:rsidRDefault="004B4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1304"/>
    <w:multiLevelType w:val="hybridMultilevel"/>
    <w:tmpl w:val="E94804BE"/>
    <w:lvl w:ilvl="0" w:tplc="171A8E5C">
      <w:start w:val="1"/>
      <w:numFmt w:val="bullet"/>
      <w:lvlText w:val=""/>
      <w:lvlJc w:val="left"/>
      <w:pPr>
        <w:ind w:left="720" w:hanging="360"/>
      </w:pPr>
      <w:rPr>
        <w:rFonts w:ascii="Wingdings" w:hAnsi="Wingdings" w:hint="default"/>
      </w:rPr>
    </w:lvl>
    <w:lvl w:ilvl="1" w:tplc="01323FD4" w:tentative="1">
      <w:start w:val="1"/>
      <w:numFmt w:val="bullet"/>
      <w:lvlText w:val="o"/>
      <w:lvlJc w:val="left"/>
      <w:pPr>
        <w:ind w:left="1440" w:hanging="360"/>
      </w:pPr>
      <w:rPr>
        <w:rFonts w:ascii="Courier New" w:hAnsi="Courier New" w:cs="Courier New" w:hint="default"/>
      </w:rPr>
    </w:lvl>
    <w:lvl w:ilvl="2" w:tplc="196A4838" w:tentative="1">
      <w:start w:val="1"/>
      <w:numFmt w:val="bullet"/>
      <w:lvlText w:val=""/>
      <w:lvlJc w:val="left"/>
      <w:pPr>
        <w:ind w:left="2160" w:hanging="360"/>
      </w:pPr>
      <w:rPr>
        <w:rFonts w:ascii="Wingdings" w:hAnsi="Wingdings" w:hint="default"/>
      </w:rPr>
    </w:lvl>
    <w:lvl w:ilvl="3" w:tplc="DF927C56" w:tentative="1">
      <w:start w:val="1"/>
      <w:numFmt w:val="bullet"/>
      <w:lvlText w:val=""/>
      <w:lvlJc w:val="left"/>
      <w:pPr>
        <w:ind w:left="2880" w:hanging="360"/>
      </w:pPr>
      <w:rPr>
        <w:rFonts w:ascii="Symbol" w:hAnsi="Symbol" w:hint="default"/>
      </w:rPr>
    </w:lvl>
    <w:lvl w:ilvl="4" w:tplc="8B70AB5A" w:tentative="1">
      <w:start w:val="1"/>
      <w:numFmt w:val="bullet"/>
      <w:lvlText w:val="o"/>
      <w:lvlJc w:val="left"/>
      <w:pPr>
        <w:ind w:left="3600" w:hanging="360"/>
      </w:pPr>
      <w:rPr>
        <w:rFonts w:ascii="Courier New" w:hAnsi="Courier New" w:cs="Courier New" w:hint="default"/>
      </w:rPr>
    </w:lvl>
    <w:lvl w:ilvl="5" w:tplc="34121B14" w:tentative="1">
      <w:start w:val="1"/>
      <w:numFmt w:val="bullet"/>
      <w:lvlText w:val=""/>
      <w:lvlJc w:val="left"/>
      <w:pPr>
        <w:ind w:left="4320" w:hanging="360"/>
      </w:pPr>
      <w:rPr>
        <w:rFonts w:ascii="Wingdings" w:hAnsi="Wingdings" w:hint="default"/>
      </w:rPr>
    </w:lvl>
    <w:lvl w:ilvl="6" w:tplc="1BA2701E" w:tentative="1">
      <w:start w:val="1"/>
      <w:numFmt w:val="bullet"/>
      <w:lvlText w:val=""/>
      <w:lvlJc w:val="left"/>
      <w:pPr>
        <w:ind w:left="5040" w:hanging="360"/>
      </w:pPr>
      <w:rPr>
        <w:rFonts w:ascii="Symbol" w:hAnsi="Symbol" w:hint="default"/>
      </w:rPr>
    </w:lvl>
    <w:lvl w:ilvl="7" w:tplc="C7988C68" w:tentative="1">
      <w:start w:val="1"/>
      <w:numFmt w:val="bullet"/>
      <w:lvlText w:val="o"/>
      <w:lvlJc w:val="left"/>
      <w:pPr>
        <w:ind w:left="5760" w:hanging="360"/>
      </w:pPr>
      <w:rPr>
        <w:rFonts w:ascii="Courier New" w:hAnsi="Courier New" w:cs="Courier New" w:hint="default"/>
      </w:rPr>
    </w:lvl>
    <w:lvl w:ilvl="8" w:tplc="0956713E" w:tentative="1">
      <w:start w:val="1"/>
      <w:numFmt w:val="bullet"/>
      <w:lvlText w:val=""/>
      <w:lvlJc w:val="left"/>
      <w:pPr>
        <w:ind w:left="6480" w:hanging="360"/>
      </w:pPr>
      <w:rPr>
        <w:rFonts w:ascii="Wingdings" w:hAnsi="Wingdings" w:hint="default"/>
      </w:rPr>
    </w:lvl>
  </w:abstractNum>
  <w:abstractNum w:abstractNumId="1" w15:restartNumberingAfterBreak="0">
    <w:nsid w:val="4D904C5F"/>
    <w:multiLevelType w:val="hybridMultilevel"/>
    <w:tmpl w:val="18C4754C"/>
    <w:lvl w:ilvl="0" w:tplc="2BC8F306">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EA707998">
      <w:numFmt w:val="bullet"/>
      <w:lvlText w:val="o"/>
      <w:lvlJc w:val="left"/>
      <w:pPr>
        <w:ind w:left="1447" w:hanging="360"/>
      </w:pPr>
      <w:rPr>
        <w:rFonts w:ascii="Courier New" w:eastAsia="Courier New" w:hAnsi="Courier New" w:cs="Courier New" w:hint="default"/>
        <w:b w:val="0"/>
        <w:bCs w:val="0"/>
        <w:i w:val="0"/>
        <w:iCs w:val="0"/>
        <w:spacing w:val="0"/>
        <w:w w:val="100"/>
        <w:sz w:val="22"/>
        <w:szCs w:val="22"/>
        <w:lang w:val="en-US" w:eastAsia="en-US" w:bidi="ar-SA"/>
      </w:rPr>
    </w:lvl>
    <w:lvl w:ilvl="2" w:tplc="2FD68DC2">
      <w:numFmt w:val="bullet"/>
      <w:lvlText w:val="•"/>
      <w:lvlJc w:val="left"/>
      <w:pPr>
        <w:ind w:left="2994" w:hanging="360"/>
      </w:pPr>
      <w:rPr>
        <w:rFonts w:hint="default"/>
        <w:lang w:val="en-US" w:eastAsia="en-US" w:bidi="ar-SA"/>
      </w:rPr>
    </w:lvl>
    <w:lvl w:ilvl="3" w:tplc="CCC8A978">
      <w:numFmt w:val="bullet"/>
      <w:lvlText w:val="•"/>
      <w:lvlJc w:val="left"/>
      <w:pPr>
        <w:ind w:left="4549" w:hanging="360"/>
      </w:pPr>
      <w:rPr>
        <w:rFonts w:hint="default"/>
        <w:lang w:val="en-US" w:eastAsia="en-US" w:bidi="ar-SA"/>
      </w:rPr>
    </w:lvl>
    <w:lvl w:ilvl="4" w:tplc="D42AEDFA">
      <w:numFmt w:val="bullet"/>
      <w:lvlText w:val="•"/>
      <w:lvlJc w:val="left"/>
      <w:pPr>
        <w:ind w:left="6103" w:hanging="360"/>
      </w:pPr>
      <w:rPr>
        <w:rFonts w:hint="default"/>
        <w:lang w:val="en-US" w:eastAsia="en-US" w:bidi="ar-SA"/>
      </w:rPr>
    </w:lvl>
    <w:lvl w:ilvl="5" w:tplc="42D44B66">
      <w:numFmt w:val="bullet"/>
      <w:lvlText w:val="•"/>
      <w:lvlJc w:val="left"/>
      <w:pPr>
        <w:ind w:left="7658" w:hanging="360"/>
      </w:pPr>
      <w:rPr>
        <w:rFonts w:hint="default"/>
        <w:lang w:val="en-US" w:eastAsia="en-US" w:bidi="ar-SA"/>
      </w:rPr>
    </w:lvl>
    <w:lvl w:ilvl="6" w:tplc="F48C34A0">
      <w:numFmt w:val="bullet"/>
      <w:lvlText w:val="•"/>
      <w:lvlJc w:val="left"/>
      <w:pPr>
        <w:ind w:left="9212" w:hanging="360"/>
      </w:pPr>
      <w:rPr>
        <w:rFonts w:hint="default"/>
        <w:lang w:val="en-US" w:eastAsia="en-US" w:bidi="ar-SA"/>
      </w:rPr>
    </w:lvl>
    <w:lvl w:ilvl="7" w:tplc="373EA2F6">
      <w:numFmt w:val="bullet"/>
      <w:lvlText w:val="•"/>
      <w:lvlJc w:val="left"/>
      <w:pPr>
        <w:ind w:left="10767" w:hanging="360"/>
      </w:pPr>
      <w:rPr>
        <w:rFonts w:hint="default"/>
        <w:lang w:val="en-US" w:eastAsia="en-US" w:bidi="ar-SA"/>
      </w:rPr>
    </w:lvl>
    <w:lvl w:ilvl="8" w:tplc="2C24B90C">
      <w:numFmt w:val="bullet"/>
      <w:lvlText w:val="•"/>
      <w:lvlJc w:val="left"/>
      <w:pPr>
        <w:ind w:left="12321" w:hanging="360"/>
      </w:pPr>
      <w:rPr>
        <w:rFonts w:hint="default"/>
        <w:lang w:val="en-US" w:eastAsia="en-US" w:bidi="ar-SA"/>
      </w:rPr>
    </w:lvl>
  </w:abstractNum>
  <w:abstractNum w:abstractNumId="2" w15:restartNumberingAfterBreak="0">
    <w:nsid w:val="6EA75EBF"/>
    <w:multiLevelType w:val="hybridMultilevel"/>
    <w:tmpl w:val="1666B046"/>
    <w:lvl w:ilvl="0" w:tplc="892823AC">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D09ED3B0">
      <w:numFmt w:val="bullet"/>
      <w:lvlText w:val="•"/>
      <w:lvlJc w:val="left"/>
      <w:pPr>
        <w:ind w:left="2191" w:hanging="361"/>
      </w:pPr>
      <w:rPr>
        <w:rFonts w:hint="default"/>
        <w:lang w:val="en-US" w:eastAsia="en-US" w:bidi="ar-SA"/>
      </w:rPr>
    </w:lvl>
    <w:lvl w:ilvl="2" w:tplc="BBA64D28">
      <w:numFmt w:val="bullet"/>
      <w:lvlText w:val="•"/>
      <w:lvlJc w:val="left"/>
      <w:pPr>
        <w:ind w:left="3662" w:hanging="361"/>
      </w:pPr>
      <w:rPr>
        <w:rFonts w:hint="default"/>
        <w:lang w:val="en-US" w:eastAsia="en-US" w:bidi="ar-SA"/>
      </w:rPr>
    </w:lvl>
    <w:lvl w:ilvl="3" w:tplc="8EF4BD36">
      <w:numFmt w:val="bullet"/>
      <w:lvlText w:val="•"/>
      <w:lvlJc w:val="left"/>
      <w:pPr>
        <w:ind w:left="5133" w:hanging="361"/>
      </w:pPr>
      <w:rPr>
        <w:rFonts w:hint="default"/>
        <w:lang w:val="en-US" w:eastAsia="en-US" w:bidi="ar-SA"/>
      </w:rPr>
    </w:lvl>
    <w:lvl w:ilvl="4" w:tplc="543C07FC">
      <w:numFmt w:val="bullet"/>
      <w:lvlText w:val="•"/>
      <w:lvlJc w:val="left"/>
      <w:pPr>
        <w:ind w:left="6604" w:hanging="361"/>
      </w:pPr>
      <w:rPr>
        <w:rFonts w:hint="default"/>
        <w:lang w:val="en-US" w:eastAsia="en-US" w:bidi="ar-SA"/>
      </w:rPr>
    </w:lvl>
    <w:lvl w:ilvl="5" w:tplc="C97A0A8E">
      <w:numFmt w:val="bullet"/>
      <w:lvlText w:val="•"/>
      <w:lvlJc w:val="left"/>
      <w:pPr>
        <w:ind w:left="8075" w:hanging="361"/>
      </w:pPr>
      <w:rPr>
        <w:rFonts w:hint="default"/>
        <w:lang w:val="en-US" w:eastAsia="en-US" w:bidi="ar-SA"/>
      </w:rPr>
    </w:lvl>
    <w:lvl w:ilvl="6" w:tplc="4A341BCC">
      <w:numFmt w:val="bullet"/>
      <w:lvlText w:val="•"/>
      <w:lvlJc w:val="left"/>
      <w:pPr>
        <w:ind w:left="9546" w:hanging="361"/>
      </w:pPr>
      <w:rPr>
        <w:rFonts w:hint="default"/>
        <w:lang w:val="en-US" w:eastAsia="en-US" w:bidi="ar-SA"/>
      </w:rPr>
    </w:lvl>
    <w:lvl w:ilvl="7" w:tplc="A7F85026">
      <w:numFmt w:val="bullet"/>
      <w:lvlText w:val="•"/>
      <w:lvlJc w:val="left"/>
      <w:pPr>
        <w:ind w:left="11017" w:hanging="361"/>
      </w:pPr>
      <w:rPr>
        <w:rFonts w:hint="default"/>
        <w:lang w:val="en-US" w:eastAsia="en-US" w:bidi="ar-SA"/>
      </w:rPr>
    </w:lvl>
    <w:lvl w:ilvl="8" w:tplc="5BC4E606">
      <w:numFmt w:val="bullet"/>
      <w:lvlText w:val="•"/>
      <w:lvlJc w:val="left"/>
      <w:pPr>
        <w:ind w:left="12488" w:hanging="361"/>
      </w:pPr>
      <w:rPr>
        <w:rFonts w:hint="default"/>
        <w:lang w:val="en-US" w:eastAsia="en-US" w:bidi="ar-SA"/>
      </w:rPr>
    </w:lvl>
  </w:abstractNum>
  <w:num w:numId="1" w16cid:durableId="669455135">
    <w:abstractNumId w:val="2"/>
  </w:num>
  <w:num w:numId="2" w16cid:durableId="1385106368">
    <w:abstractNumId w:val="1"/>
  </w:num>
  <w:num w:numId="3" w16cid:durableId="962266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7CB"/>
    <w:rsid w:val="000004E2"/>
    <w:rsid w:val="00007B50"/>
    <w:rsid w:val="000150DB"/>
    <w:rsid w:val="00020F77"/>
    <w:rsid w:val="00021C5B"/>
    <w:rsid w:val="00024D61"/>
    <w:rsid w:val="00036BEA"/>
    <w:rsid w:val="000448A4"/>
    <w:rsid w:val="00045DCE"/>
    <w:rsid w:val="00070329"/>
    <w:rsid w:val="000714AE"/>
    <w:rsid w:val="00073635"/>
    <w:rsid w:val="000748DC"/>
    <w:rsid w:val="000932E2"/>
    <w:rsid w:val="000A7927"/>
    <w:rsid w:val="000C0306"/>
    <w:rsid w:val="000C6FB3"/>
    <w:rsid w:val="00116328"/>
    <w:rsid w:val="00125661"/>
    <w:rsid w:val="001B2931"/>
    <w:rsid w:val="001B2CC4"/>
    <w:rsid w:val="001B4C2E"/>
    <w:rsid w:val="001B686B"/>
    <w:rsid w:val="001C3D3C"/>
    <w:rsid w:val="001D2071"/>
    <w:rsid w:val="001F0577"/>
    <w:rsid w:val="001F63BE"/>
    <w:rsid w:val="002202C1"/>
    <w:rsid w:val="00221A61"/>
    <w:rsid w:val="00251C26"/>
    <w:rsid w:val="002C00CC"/>
    <w:rsid w:val="002C3B8C"/>
    <w:rsid w:val="002F027F"/>
    <w:rsid w:val="002F67A9"/>
    <w:rsid w:val="00324F28"/>
    <w:rsid w:val="003331BB"/>
    <w:rsid w:val="00376369"/>
    <w:rsid w:val="00381C88"/>
    <w:rsid w:val="003A0876"/>
    <w:rsid w:val="003A0F0F"/>
    <w:rsid w:val="003A135F"/>
    <w:rsid w:val="003A1CCB"/>
    <w:rsid w:val="003C4F93"/>
    <w:rsid w:val="003D1136"/>
    <w:rsid w:val="003D22B1"/>
    <w:rsid w:val="003D66D9"/>
    <w:rsid w:val="003E1FB5"/>
    <w:rsid w:val="003E6724"/>
    <w:rsid w:val="0040526F"/>
    <w:rsid w:val="004067CB"/>
    <w:rsid w:val="00420ADD"/>
    <w:rsid w:val="00422327"/>
    <w:rsid w:val="00432396"/>
    <w:rsid w:val="004324AA"/>
    <w:rsid w:val="004408FD"/>
    <w:rsid w:val="004505C7"/>
    <w:rsid w:val="004536E0"/>
    <w:rsid w:val="00472CC0"/>
    <w:rsid w:val="00474263"/>
    <w:rsid w:val="00497B13"/>
    <w:rsid w:val="004A1D34"/>
    <w:rsid w:val="004A2C54"/>
    <w:rsid w:val="004A36D3"/>
    <w:rsid w:val="004B4256"/>
    <w:rsid w:val="004D3E9B"/>
    <w:rsid w:val="004D510D"/>
    <w:rsid w:val="0052210B"/>
    <w:rsid w:val="00527349"/>
    <w:rsid w:val="00560EBD"/>
    <w:rsid w:val="0057788E"/>
    <w:rsid w:val="00580257"/>
    <w:rsid w:val="0058679E"/>
    <w:rsid w:val="0059065E"/>
    <w:rsid w:val="00591771"/>
    <w:rsid w:val="005A151E"/>
    <w:rsid w:val="005B0E3A"/>
    <w:rsid w:val="005C3CE2"/>
    <w:rsid w:val="005D12A7"/>
    <w:rsid w:val="005E23AF"/>
    <w:rsid w:val="005E4830"/>
    <w:rsid w:val="00606D0D"/>
    <w:rsid w:val="006135D1"/>
    <w:rsid w:val="00645539"/>
    <w:rsid w:val="006705D1"/>
    <w:rsid w:val="0067669D"/>
    <w:rsid w:val="00682B0B"/>
    <w:rsid w:val="006942BB"/>
    <w:rsid w:val="006F45AF"/>
    <w:rsid w:val="00731F57"/>
    <w:rsid w:val="00734535"/>
    <w:rsid w:val="00741EA6"/>
    <w:rsid w:val="007454CF"/>
    <w:rsid w:val="00764ED4"/>
    <w:rsid w:val="00787C94"/>
    <w:rsid w:val="007A4DD3"/>
    <w:rsid w:val="007A61AE"/>
    <w:rsid w:val="007C4D00"/>
    <w:rsid w:val="007D4506"/>
    <w:rsid w:val="007F393A"/>
    <w:rsid w:val="00830087"/>
    <w:rsid w:val="00832225"/>
    <w:rsid w:val="008641BC"/>
    <w:rsid w:val="00870FC9"/>
    <w:rsid w:val="008A1120"/>
    <w:rsid w:val="008C01AE"/>
    <w:rsid w:val="008C682C"/>
    <w:rsid w:val="008D1C34"/>
    <w:rsid w:val="008D2DE4"/>
    <w:rsid w:val="008D6D24"/>
    <w:rsid w:val="008F0A54"/>
    <w:rsid w:val="00930870"/>
    <w:rsid w:val="0094191B"/>
    <w:rsid w:val="00953628"/>
    <w:rsid w:val="00966D50"/>
    <w:rsid w:val="009903F4"/>
    <w:rsid w:val="00990E28"/>
    <w:rsid w:val="009A6BDF"/>
    <w:rsid w:val="009C35B4"/>
    <w:rsid w:val="009E5061"/>
    <w:rsid w:val="009E552B"/>
    <w:rsid w:val="00A10EC1"/>
    <w:rsid w:val="00A22F81"/>
    <w:rsid w:val="00A40DD0"/>
    <w:rsid w:val="00A42408"/>
    <w:rsid w:val="00A45860"/>
    <w:rsid w:val="00A73EC9"/>
    <w:rsid w:val="00A75C91"/>
    <w:rsid w:val="00A86106"/>
    <w:rsid w:val="00A87F24"/>
    <w:rsid w:val="00AB2A7B"/>
    <w:rsid w:val="00AC32D3"/>
    <w:rsid w:val="00AC4E7C"/>
    <w:rsid w:val="00AE18C4"/>
    <w:rsid w:val="00B37AD6"/>
    <w:rsid w:val="00B54C87"/>
    <w:rsid w:val="00B70086"/>
    <w:rsid w:val="00B849BA"/>
    <w:rsid w:val="00B86986"/>
    <w:rsid w:val="00B92386"/>
    <w:rsid w:val="00BB129D"/>
    <w:rsid w:val="00BD4415"/>
    <w:rsid w:val="00BE7D1C"/>
    <w:rsid w:val="00C07601"/>
    <w:rsid w:val="00C10E0B"/>
    <w:rsid w:val="00C1148D"/>
    <w:rsid w:val="00C11F05"/>
    <w:rsid w:val="00C3460B"/>
    <w:rsid w:val="00C40A9C"/>
    <w:rsid w:val="00C42CA7"/>
    <w:rsid w:val="00C448FB"/>
    <w:rsid w:val="00C92423"/>
    <w:rsid w:val="00CA1D1D"/>
    <w:rsid w:val="00CB5388"/>
    <w:rsid w:val="00CD436A"/>
    <w:rsid w:val="00CF372E"/>
    <w:rsid w:val="00CF5C79"/>
    <w:rsid w:val="00CF6147"/>
    <w:rsid w:val="00CF6DDF"/>
    <w:rsid w:val="00D0344B"/>
    <w:rsid w:val="00D21196"/>
    <w:rsid w:val="00D41B51"/>
    <w:rsid w:val="00D534B2"/>
    <w:rsid w:val="00D53FA4"/>
    <w:rsid w:val="00D60CD7"/>
    <w:rsid w:val="00D81F0D"/>
    <w:rsid w:val="00D963AA"/>
    <w:rsid w:val="00DA0FCF"/>
    <w:rsid w:val="00DB48D0"/>
    <w:rsid w:val="00DC7FFD"/>
    <w:rsid w:val="00E02F29"/>
    <w:rsid w:val="00E111E9"/>
    <w:rsid w:val="00E2725F"/>
    <w:rsid w:val="00E34A96"/>
    <w:rsid w:val="00E471CD"/>
    <w:rsid w:val="00E47E21"/>
    <w:rsid w:val="00E70257"/>
    <w:rsid w:val="00E75E5E"/>
    <w:rsid w:val="00EA32FC"/>
    <w:rsid w:val="00ED0298"/>
    <w:rsid w:val="00ED1B86"/>
    <w:rsid w:val="00ED3381"/>
    <w:rsid w:val="00EE202B"/>
    <w:rsid w:val="00F019D1"/>
    <w:rsid w:val="00F16952"/>
    <w:rsid w:val="00F22690"/>
    <w:rsid w:val="00F42A39"/>
    <w:rsid w:val="00F43B3F"/>
    <w:rsid w:val="00F4423D"/>
    <w:rsid w:val="00F46AE8"/>
    <w:rsid w:val="00F54B38"/>
    <w:rsid w:val="00F67E79"/>
    <w:rsid w:val="00FB5411"/>
    <w:rsid w:val="00FF11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5A531"/>
  <w15:chartTrackingRefBased/>
  <w15:docId w15:val="{885D0CCC-A9D5-4FF8-8A85-760BD452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1AE"/>
    <w:pPr>
      <w:spacing w:line="360" w:lineRule="auto"/>
    </w:pPr>
    <w:rPr>
      <w:rFonts w:ascii="Arial" w:hAnsi="Arial"/>
    </w:rPr>
  </w:style>
  <w:style w:type="paragraph" w:styleId="Heading1">
    <w:name w:val="heading 1"/>
    <w:basedOn w:val="Normal"/>
    <w:next w:val="Normal"/>
    <w:link w:val="Heading1Char"/>
    <w:uiPriority w:val="9"/>
    <w:qFormat/>
    <w:rsid w:val="007A61AE"/>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A61AE"/>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9A6BDF"/>
    <w:pPr>
      <w:keepNext/>
      <w:keepLines/>
      <w:spacing w:before="40" w:after="0"/>
      <w:jc w:val="center"/>
      <w:outlineLvl w:val="2"/>
    </w:pPr>
    <w:rPr>
      <w:rFonts w:eastAsiaTheme="majorEastAsia" w:cstheme="majorBidi"/>
      <w:szCs w:val="24"/>
    </w:rPr>
  </w:style>
  <w:style w:type="paragraph" w:styleId="Heading6">
    <w:name w:val="heading 6"/>
    <w:basedOn w:val="Normal"/>
    <w:next w:val="Normal"/>
    <w:link w:val="Heading6Char"/>
    <w:uiPriority w:val="9"/>
    <w:semiHidden/>
    <w:unhideWhenUsed/>
    <w:qFormat/>
    <w:rsid w:val="00F43B3F"/>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A61AE"/>
    <w:pPr>
      <w:spacing w:after="0" w:line="360" w:lineRule="auto"/>
    </w:pPr>
    <w:rPr>
      <w:rFonts w:ascii="Arial" w:hAnsi="Arial"/>
    </w:rPr>
  </w:style>
  <w:style w:type="character" w:customStyle="1" w:styleId="Heading1Char">
    <w:name w:val="Heading 1 Char"/>
    <w:basedOn w:val="DefaultParagraphFont"/>
    <w:link w:val="Heading1"/>
    <w:uiPriority w:val="9"/>
    <w:rsid w:val="007A61AE"/>
    <w:rPr>
      <w:rFonts w:ascii="Arial" w:eastAsiaTheme="majorEastAsia" w:hAnsi="Arial" w:cstheme="majorBidi"/>
      <w:b/>
      <w:i/>
      <w:szCs w:val="32"/>
    </w:rPr>
  </w:style>
  <w:style w:type="character" w:customStyle="1" w:styleId="Heading2Char">
    <w:name w:val="Heading 2 Char"/>
    <w:basedOn w:val="DefaultParagraphFont"/>
    <w:link w:val="Heading2"/>
    <w:uiPriority w:val="9"/>
    <w:rsid w:val="007A61AE"/>
    <w:rPr>
      <w:rFonts w:ascii="Arial" w:eastAsiaTheme="majorEastAsia" w:hAnsi="Arial" w:cstheme="majorBidi"/>
      <w:i/>
      <w:szCs w:val="26"/>
    </w:rPr>
  </w:style>
  <w:style w:type="character" w:customStyle="1" w:styleId="Heading3Char">
    <w:name w:val="Heading 3 Char"/>
    <w:basedOn w:val="DefaultParagraphFont"/>
    <w:link w:val="Heading3"/>
    <w:uiPriority w:val="9"/>
    <w:semiHidden/>
    <w:rsid w:val="009A6BDF"/>
    <w:rPr>
      <w:rFonts w:eastAsiaTheme="majorEastAsia" w:cstheme="majorBidi"/>
      <w:szCs w:val="24"/>
    </w:rPr>
  </w:style>
  <w:style w:type="paragraph" w:styleId="Header">
    <w:name w:val="header"/>
    <w:basedOn w:val="Normal"/>
    <w:link w:val="HeaderChar"/>
    <w:uiPriority w:val="99"/>
    <w:unhideWhenUsed/>
    <w:rsid w:val="004A2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C54"/>
    <w:rPr>
      <w:rFonts w:ascii="Times New Roman" w:hAnsi="Times New Roman"/>
      <w:sz w:val="24"/>
    </w:rPr>
  </w:style>
  <w:style w:type="paragraph" w:styleId="Footer">
    <w:name w:val="footer"/>
    <w:basedOn w:val="Normal"/>
    <w:link w:val="FooterChar"/>
    <w:uiPriority w:val="99"/>
    <w:unhideWhenUsed/>
    <w:rsid w:val="004A2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C54"/>
    <w:rPr>
      <w:rFonts w:ascii="Times New Roman" w:hAnsi="Times New Roman"/>
      <w:sz w:val="24"/>
    </w:rPr>
  </w:style>
  <w:style w:type="character" w:styleId="Hyperlink">
    <w:name w:val="Hyperlink"/>
    <w:basedOn w:val="DefaultParagraphFont"/>
    <w:uiPriority w:val="99"/>
    <w:unhideWhenUsed/>
    <w:rsid w:val="003D22B1"/>
    <w:rPr>
      <w:color w:val="0563C1" w:themeColor="hyperlink"/>
      <w:u w:val="single"/>
    </w:rPr>
  </w:style>
  <w:style w:type="paragraph" w:styleId="BodyText">
    <w:name w:val="Body Text"/>
    <w:basedOn w:val="Normal"/>
    <w:link w:val="BodyTextChar"/>
    <w:uiPriority w:val="99"/>
    <w:semiHidden/>
    <w:unhideWhenUsed/>
    <w:rsid w:val="009A6BDF"/>
    <w:pPr>
      <w:spacing w:after="120"/>
    </w:pPr>
  </w:style>
  <w:style w:type="character" w:customStyle="1" w:styleId="BodyTextChar">
    <w:name w:val="Body Text Char"/>
    <w:basedOn w:val="DefaultParagraphFont"/>
    <w:link w:val="BodyText"/>
    <w:uiPriority w:val="99"/>
    <w:semiHidden/>
    <w:rsid w:val="009A6BDF"/>
    <w:rPr>
      <w:rFonts w:ascii="Times New Roman" w:hAnsi="Times New Roman"/>
      <w:sz w:val="24"/>
    </w:rPr>
  </w:style>
  <w:style w:type="paragraph" w:styleId="ListParagraph">
    <w:name w:val="List Paragraph"/>
    <w:basedOn w:val="Normal"/>
    <w:uiPriority w:val="34"/>
    <w:qFormat/>
    <w:rsid w:val="009A6BDF"/>
    <w:pPr>
      <w:ind w:left="720"/>
      <w:contextualSpacing/>
    </w:pPr>
  </w:style>
  <w:style w:type="character" w:customStyle="1" w:styleId="Heading6Char">
    <w:name w:val="Heading 6 Char"/>
    <w:basedOn w:val="DefaultParagraphFont"/>
    <w:link w:val="Heading6"/>
    <w:uiPriority w:val="9"/>
    <w:semiHidden/>
    <w:rsid w:val="00F43B3F"/>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5D12A7"/>
    <w:pPr>
      <w:spacing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5D12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air.defra.gov.uk/air-pollution/" TargetMode="External"/><Relationship Id="rId13" Type="http://schemas.openxmlformats.org/officeDocument/2006/relationships/hyperlink" Target="https://www.ons.gov.uk/peoplepopulationandcommunity/healthandsocialcare/healthinequalities/bulletins/healthstatelifeexpectanciesbyindexofmultipledeprivationimd/2018to2020" TargetMode="External"/><Relationship Id="rId18" Type="http://schemas.openxmlformats.org/officeDocument/2006/relationships/hyperlink" Target="https://www.who.int/news-room/fact-sheets/detail/universal-health-coverage-(uhc)"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ongtermplan.nhs.uk/" TargetMode="External"/><Relationship Id="rId17" Type="http://schemas.openxmlformats.org/officeDocument/2006/relationships/hyperlink" Target="https://www.un.org/sustainabledevelopment/health/" TargetMode="External"/><Relationship Id="rId2" Type="http://schemas.openxmlformats.org/officeDocument/2006/relationships/numbering" Target="numbering.xml"/><Relationship Id="rId16" Type="http://schemas.openxmlformats.org/officeDocument/2006/relationships/hyperlink" Target="https://www.undp.org/sites/g/files/zskgke326/files/2023-02/UNDP-Inequality-in-Access-to-Essential-Health-and-Medicine-COVID19-Vaccines-202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ourwork/clinical-policy/cvd/" TargetMode="External"/><Relationship Id="rId5" Type="http://schemas.openxmlformats.org/officeDocument/2006/relationships/webSettings" Target="webSettings.xml"/><Relationship Id="rId15" Type="http://schemas.openxmlformats.org/officeDocument/2006/relationships/hyperlink" Target="https://www.health.org.uk/evidence-hub/health-inequalities/inequalities-in-life-expectancy-and-healthy-life-expectancy" TargetMode="External"/><Relationship Id="rId10" Type="http://schemas.openxmlformats.org/officeDocument/2006/relationships/hyperlink" Target="https://www.jsna.info/sites/default/files/Childhood%20Obesity%20JSNA%20Feb%2016.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ealthcareleadernews.com/news/health-inequalities-in-england-are-widening-ons-figures-show/" TargetMode="External"/><Relationship Id="rId14" Type="http://schemas.openxmlformats.org/officeDocument/2006/relationships/hyperlink" Target="https://www.peopleshealthtrust.org.uk/news/stories/sharp-rise-in-gap-in-life-expectancy-between-most-and-least-deprived-ar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1B405-A0CA-42A0-8CDF-BBEACD05E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9</Pages>
  <Words>2965</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Aqila Khan (2224595)</cp:lastModifiedBy>
  <cp:revision>2</cp:revision>
  <dcterms:created xsi:type="dcterms:W3CDTF">2025-09-30T09:07:00Z</dcterms:created>
  <dcterms:modified xsi:type="dcterms:W3CDTF">2025-11-15T23:43:00Z</dcterms:modified>
</cp:coreProperties>
</file>