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A52DB2"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r w:rsidRPr="00051888">
        <w:rPr>
          <w:rFonts w:ascii="Calibri" w:eastAsia="Times New Roman" w:hAnsi="Calibri" w:cs="Calibri"/>
          <w:lang w:eastAsia="en-GB"/>
        </w:rPr>
        <w:t>Essay One: How have past instances of police malpractice and misconduct influenced modern professional policing?</w:t>
      </w:r>
    </w:p>
    <w:p w14:paraId="13D6CBE0"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32580B6B"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r w:rsidRPr="00051888">
        <w:rPr>
          <w:rFonts w:ascii="Calibri" w:eastAsia="Times New Roman" w:hAnsi="Calibri" w:cs="Calibri"/>
          <w:lang w:eastAsia="en-GB"/>
        </w:rPr>
        <w:t xml:space="preserve">Past instances of police malpractice and misconduct have had a significant impact on modern professional policing in the United Kingdom as well. Just like in other countries, these incidents have led to increased scrutiny and accountability for police officers, as well as changes in training and protocols aimed at preventing future misconduct. </w:t>
      </w:r>
    </w:p>
    <w:p w14:paraId="76BAE6CD"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7B354BFE"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r w:rsidRPr="00051888">
        <w:rPr>
          <w:rFonts w:ascii="Calibri" w:eastAsia="Times New Roman" w:hAnsi="Calibri" w:cs="Calibri"/>
          <w:lang w:eastAsia="en-GB"/>
        </w:rPr>
        <w:t xml:space="preserve">One example of police malpractice and misconduct in the UK is the Hillsborough disaster. This was a tragic incident that occurred in 1989 when 96 men, women, and children ages between 10 – 67 Liverpool Football Club supporters were crushed to death during an FA Cup semi-final match at Hillsborough stadium in Sheffield. </w:t>
      </w:r>
    </w:p>
    <w:p w14:paraId="46B1437D"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1976E1C3"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00BFB708"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r w:rsidRPr="00051888">
        <w:rPr>
          <w:rFonts w:ascii="Calibri" w:eastAsia="Times New Roman" w:hAnsi="Calibri" w:cs="Calibri"/>
          <w:lang w:eastAsia="en-GB"/>
        </w:rPr>
        <w:t>The official inquiry into the disaster found that the police had made serious errors in crowd management, and that these errors had contributed to the deaths of the supporters. The inquiry also found that the police had attempted to cover up their mistakes.</w:t>
      </w:r>
    </w:p>
    <w:p w14:paraId="55DD626E"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2915FC77"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r w:rsidRPr="00051888">
        <w:rPr>
          <w:rFonts w:ascii="Calibri" w:eastAsia="Times New Roman" w:hAnsi="Calibri" w:cs="Calibri"/>
          <w:lang w:eastAsia="en-GB"/>
        </w:rPr>
        <w:t>It also led to changes in the way that the police investigate themselves, with more independent oversight and scrutiny of police conduct. The Hillsborough disaster is a clear example of how past incidents of police malpractice and misconduct can lead to positive changes in policing standards and procedures.</w:t>
      </w:r>
    </w:p>
    <w:p w14:paraId="4B8332C1"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033EE192"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1E604E25"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r w:rsidRPr="00051888">
        <w:rPr>
          <w:rFonts w:ascii="Calibri" w:eastAsia="Times New Roman" w:hAnsi="Calibri" w:cs="Calibri"/>
          <w:lang w:eastAsia="en-GB"/>
        </w:rPr>
        <w:t xml:space="preserve">There has been many of reforms since the Hillsborough disaster, one of them being ‘Charter for families bereaved though public tragedy’ “By signing the charter, policing is making a public commitment to learn the lessons of the Hillsborough disaster and its aftermath.” (College of Policing, n.d.). This reform is all about how the police deal with tragic public events and how they support the activation of emergency plans and help rescue any injured and support the families. This reform is all about the police being open and honest with the public “Approach forms of public scrutiny – including public inquiries and inquests – with candour, in an open, honest and transparent way, making full disclosure of relevant </w:t>
      </w:r>
    </w:p>
    <w:p w14:paraId="6FA2AC72"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r w:rsidRPr="00051888">
        <w:rPr>
          <w:rFonts w:ascii="Calibri" w:eastAsia="Times New Roman" w:hAnsi="Calibri" w:cs="Calibri"/>
          <w:lang w:eastAsia="en-GB"/>
        </w:rPr>
        <w:t>documents, material and facts”</w:t>
      </w:r>
    </w:p>
    <w:p w14:paraId="4EBE7B70"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7C92526C"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r w:rsidRPr="00051888">
        <w:rPr>
          <w:rFonts w:ascii="Calibri" w:eastAsia="Times New Roman" w:hAnsi="Calibri" w:cs="Calibri"/>
          <w:lang w:eastAsia="en-GB"/>
        </w:rPr>
        <w:t xml:space="preserve">Another one of the reforms is a new guidance for family liaison officers and how they deal with the families. Which would not have changed until lesson were learnt “from the Hillsborough Families Report, the Grenfell Tower tragedy and the 2017 terrorist attacks.” (College of Policing, n.d.) This reform commits to embedding ethical values, avoid any failures that were made during and after Hillsborough and ensuring that humanity and humility in the police response. </w:t>
      </w:r>
    </w:p>
    <w:p w14:paraId="1470F82A"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4CED31B5"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r w:rsidRPr="00051888">
        <w:rPr>
          <w:rFonts w:ascii="Calibri" w:eastAsia="Times New Roman" w:hAnsi="Calibri" w:cs="Calibri"/>
          <w:lang w:eastAsia="en-GB"/>
        </w:rPr>
        <w:t>The reports and reforms so how long term and more recent developments in how the police must respond to mass fatality incidents. “Hillsborough is a touchstone for long-lasting change in policing and there is a commitment from the leadership in policing to create a modern, dynamic police service which acts without fear or favour, and with integrity and empathy.” (College of Policing, n.d.)</w:t>
      </w:r>
    </w:p>
    <w:p w14:paraId="4298CD69"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7B0D1B1E"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40D65645"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79B85F04"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3122275F"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064D385D"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5B77FAE3"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24E0ABA9"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5A263A06"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078CEAE6"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441C308D"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r w:rsidRPr="00051888">
        <w:rPr>
          <w:rFonts w:ascii="Calibri" w:eastAsia="Times New Roman" w:hAnsi="Calibri" w:cs="Calibri"/>
          <w:lang w:eastAsia="en-GB"/>
        </w:rPr>
        <w:t xml:space="preserve">Another example of police malpractice and misconduct in the UK is the Stephen Lawrence case. Stephen Lawrence was a black teenager who was murdered in a racist attack in London in 1993. The case became a cause celebre because of the failures of the police investigation, which many believed were due to institutional racism within the police force. No arrests were made for two weeks after Mr Lawrence death, although the police were given 5 names of suspects. The investigation was widely criticized for being slow and inadequate, and for failing to bring the perpetrators to justice. It was not until 2012 when two males were finally convicted of the murder that happened. </w:t>
      </w:r>
    </w:p>
    <w:p w14:paraId="087F7781"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1D184105"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46831649" w14:textId="77777777" w:rsidR="00051888" w:rsidRPr="00051888" w:rsidRDefault="00051888" w:rsidP="00051888">
      <w:pPr>
        <w:suppressAutoHyphens/>
        <w:autoSpaceDN w:val="0"/>
        <w:spacing w:after="0" w:line="240" w:lineRule="auto"/>
        <w:rPr>
          <w:rFonts w:eastAsia="Times New Roman" w:cs="Calibri"/>
          <w:color w:val="000000"/>
          <w:spacing w:val="3"/>
        </w:rPr>
      </w:pPr>
      <w:r w:rsidRPr="00051888">
        <w:rPr>
          <w:rFonts w:ascii="Calibri" w:eastAsia="Times New Roman" w:hAnsi="Calibri" w:cs="Calibri"/>
          <w:lang w:eastAsia="en-GB"/>
        </w:rPr>
        <w:t xml:space="preserve">Since the Stephen Lawrence case the police have introduced the Code of Ethics. The Code of Ethics was produced by the college of police in 2014 for the professional body for policing. </w:t>
      </w:r>
      <w:r w:rsidRPr="00051888">
        <w:rPr>
          <w:rFonts w:eastAsia="Times New Roman" w:cs="Calibri"/>
          <w:lang w:eastAsia="en-GB"/>
        </w:rPr>
        <w:t>“</w:t>
      </w:r>
      <w:r w:rsidRPr="00051888">
        <w:rPr>
          <w:rFonts w:eastAsia="Times New Roman" w:cs="Calibri"/>
          <w:color w:val="000000"/>
          <w:spacing w:val="3"/>
        </w:rPr>
        <w:t>It is a supportive, positive, everyday decision-making framework and is a constant reinforcement of the values and standards that policing is proud of.”</w:t>
      </w:r>
      <w:r w:rsidRPr="00051888">
        <w:rPr>
          <w:rFonts w:ascii="Calibri" w:eastAsia="Times New Roman" w:hAnsi="Calibri" w:cs="Times New Roman"/>
        </w:rPr>
        <w:t xml:space="preserve"> </w:t>
      </w:r>
      <w:r w:rsidRPr="00051888">
        <w:rPr>
          <w:rFonts w:eastAsia="Times New Roman" w:cs="Calibri"/>
          <w:color w:val="000000"/>
          <w:spacing w:val="3"/>
        </w:rPr>
        <w:t>(College of Policing, 2014)</w:t>
      </w:r>
    </w:p>
    <w:p w14:paraId="2DFAD493" w14:textId="77777777" w:rsidR="00051888" w:rsidRPr="00051888" w:rsidRDefault="00051888" w:rsidP="00051888">
      <w:pPr>
        <w:suppressAutoHyphens/>
        <w:autoSpaceDN w:val="0"/>
        <w:spacing w:after="0" w:line="240" w:lineRule="auto"/>
        <w:rPr>
          <w:rFonts w:eastAsia="Times New Roman" w:cs="Calibri"/>
          <w:color w:val="000000"/>
          <w:spacing w:val="3"/>
        </w:rPr>
      </w:pPr>
    </w:p>
    <w:p w14:paraId="0AB9CE04"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r w:rsidRPr="00051888">
        <w:rPr>
          <w:rFonts w:eastAsia="Times New Roman" w:cs="Calibri"/>
          <w:color w:val="000000"/>
          <w:spacing w:val="3"/>
        </w:rPr>
        <w:t xml:space="preserve">The code of ethics is there to set out the principles and standards of professional policing. This would include all officers being accountable for their actions, having honesty and integrity about where they have gone wrong. It’s also about having respect for all, wither this be towards other members of staff or members of the public, this would also include members of the public with other ethnical back grounds like Stephen Lawrence. One of the main codes of ethics is to challenge and report improper conduct, so like in the Stephen Lawrence case this would be to challenge your college if you believed that they were treating the bereaved families and the case of Lawrence differently due to him being a young black teenager. </w:t>
      </w:r>
    </w:p>
    <w:p w14:paraId="1521354A"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36061673"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229806F5" w14:textId="77777777" w:rsidR="00051888" w:rsidRPr="00051888" w:rsidRDefault="00051888" w:rsidP="00051888">
      <w:pPr>
        <w:suppressAutoHyphens/>
        <w:autoSpaceDN w:val="0"/>
        <w:spacing w:after="0" w:line="240" w:lineRule="auto"/>
        <w:rPr>
          <w:rFonts w:ascii="Calibri" w:eastAsia="Times New Roman" w:hAnsi="Calibri" w:cs="Calibri"/>
          <w:b/>
          <w:bCs/>
          <w:lang w:eastAsia="en-GB"/>
        </w:rPr>
      </w:pPr>
      <w:r w:rsidRPr="00051888">
        <w:rPr>
          <w:rFonts w:ascii="Calibri" w:eastAsia="Times New Roman" w:hAnsi="Calibri" w:cs="Calibri"/>
          <w:lang w:eastAsia="en-GB"/>
        </w:rPr>
        <w:t>Unfortunately, there is evidence that’s tells us</w:t>
      </w:r>
      <w:r w:rsidRPr="00051888">
        <w:rPr>
          <w:rFonts w:ascii="Arial" w:eastAsia="Times New Roman" w:hAnsi="Arial" w:cs="Arial"/>
          <w:color w:val="000000"/>
          <w:spacing w:val="3"/>
          <w:sz w:val="27"/>
          <w:szCs w:val="27"/>
        </w:rPr>
        <w:t xml:space="preserve"> </w:t>
      </w:r>
      <w:r w:rsidRPr="00051888">
        <w:rPr>
          <w:rFonts w:eastAsia="Times New Roman" w:cs="Calibri"/>
          <w:color w:val="000000"/>
          <w:spacing w:val="3"/>
        </w:rPr>
        <w:t>“That simply having a Code of Ethics is not enough to reduce unprofessional behaviour – it needs to be talked about as an everyday business consideration” (College of Policing, 2014b)</w:t>
      </w:r>
    </w:p>
    <w:p w14:paraId="3D4F9BED"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321DB268" w14:textId="77777777" w:rsidR="00051888" w:rsidRPr="00051888" w:rsidRDefault="00051888" w:rsidP="00051888">
      <w:pPr>
        <w:spacing w:after="360" w:line="240" w:lineRule="auto"/>
        <w:rPr>
          <w:rFonts w:eastAsia="Times New Roman" w:cs="Calibri"/>
          <w:color w:val="000000"/>
          <w:spacing w:val="3"/>
          <w:lang w:eastAsia="en-GB"/>
        </w:rPr>
      </w:pPr>
      <w:r w:rsidRPr="00051888">
        <w:rPr>
          <w:rFonts w:eastAsia="Times New Roman" w:cs="Calibri"/>
          <w:color w:val="000000"/>
          <w:spacing w:val="3"/>
          <w:lang w:eastAsia="en-GB"/>
        </w:rPr>
        <w:t>If the public don't have the confidence to trust the police to be fair, acting ethically and in their best interests, they are less likely to assist the police in upholding the law. The Code of Ethics is about self-awareness, ensuring that everyone in policing feels able to always do the right thing and is confident to challenge colleagues irrespective of their rank, role, or position.</w:t>
      </w:r>
    </w:p>
    <w:p w14:paraId="38521B6B"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40F2B754"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3A6FFB17"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r w:rsidRPr="00051888">
        <w:rPr>
          <w:rFonts w:ascii="Calibri" w:eastAsia="Times New Roman" w:hAnsi="Calibri" w:cs="Calibri"/>
          <w:lang w:eastAsia="en-GB"/>
        </w:rPr>
        <w:t>In conclusion, past instances of police malpractice and misconduct have had a significant impact on modern professional policing in the UK. These incidents have led to increased accountability for police officers, changes in training and protocols, and increased community involvement in policing. While there is still much work to be done to address police misconduct and build trust between police officers and the communities they serve, the positive changes that have resulted from past incidents of police malpractice and misconduct represent important steps towards creating a more just and equitable society in the UK.</w:t>
      </w:r>
    </w:p>
    <w:p w14:paraId="75007892"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2E1E635D"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5ED6B708"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6E389C59"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0CD2F87F"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1493E4D9"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08BF21F7"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r w:rsidRPr="00051888">
        <w:rPr>
          <w:rFonts w:ascii="Calibri" w:eastAsia="Times New Roman" w:hAnsi="Calibri" w:cs="Calibri"/>
          <w:lang w:eastAsia="en-GB"/>
        </w:rPr>
        <w:t>References –</w:t>
      </w:r>
    </w:p>
    <w:p w14:paraId="2786BEFF"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775A144D" w14:textId="77777777" w:rsidR="00051888" w:rsidRPr="00051888" w:rsidRDefault="00051888" w:rsidP="00051888">
      <w:pPr>
        <w:suppressAutoHyphens/>
        <w:autoSpaceDN w:val="0"/>
        <w:spacing w:line="254" w:lineRule="auto"/>
        <w:rPr>
          <w:rFonts w:ascii="Calibri" w:eastAsia="Times New Roman" w:hAnsi="Calibri" w:cs="Times New Roman"/>
        </w:rPr>
      </w:pPr>
      <w:r w:rsidRPr="00051888">
        <w:rPr>
          <w:rFonts w:ascii="Calibri" w:eastAsia="Times New Roman" w:hAnsi="Calibri" w:cs="Times New Roman"/>
        </w:rPr>
        <w:t>College of Policing. (n.d.). Bereaved families supported by new charter. [online] Available at: https://www.college.police.uk/article/bereaved-families-supported-new-charter [Accessed 11 Jun. 2023].</w:t>
      </w:r>
    </w:p>
    <w:p w14:paraId="55C9BBBE" w14:textId="77777777" w:rsidR="00051888" w:rsidRPr="00051888" w:rsidRDefault="00051888" w:rsidP="00051888">
      <w:pPr>
        <w:suppressAutoHyphens/>
        <w:autoSpaceDN w:val="0"/>
        <w:spacing w:line="254" w:lineRule="auto"/>
        <w:rPr>
          <w:rFonts w:ascii="Calibri" w:eastAsia="Times New Roman" w:hAnsi="Calibri" w:cs="Times New Roman"/>
        </w:rPr>
      </w:pPr>
    </w:p>
    <w:p w14:paraId="373445E9" w14:textId="77777777" w:rsidR="00051888" w:rsidRPr="00051888" w:rsidRDefault="00051888" w:rsidP="00051888">
      <w:pPr>
        <w:suppressAutoHyphens/>
        <w:autoSpaceDN w:val="0"/>
        <w:spacing w:line="254" w:lineRule="auto"/>
        <w:rPr>
          <w:rFonts w:ascii="Calibri" w:eastAsia="Times New Roman" w:hAnsi="Calibri" w:cs="Times New Roman"/>
        </w:rPr>
      </w:pPr>
      <w:r w:rsidRPr="00051888">
        <w:rPr>
          <w:rFonts w:ascii="Calibri" w:eastAsia="Times New Roman" w:hAnsi="Calibri" w:cs="Times New Roman"/>
        </w:rPr>
        <w:t xml:space="preserve">College of Policing. (n.d.). National police response to the Hillsborough Families Report. [online] Available at: </w:t>
      </w:r>
      <w:hyperlink r:id="rId7" w:history="1">
        <w:r w:rsidRPr="00051888">
          <w:rPr>
            <w:rFonts w:ascii="Calibri" w:eastAsia="Times New Roman" w:hAnsi="Calibri" w:cs="Times New Roman"/>
            <w:color w:val="0000FF"/>
            <w:u w:val="single"/>
          </w:rPr>
          <w:t>https://www.college.police.uk/article/national-police-response-hillsborough-families-report</w:t>
        </w:r>
      </w:hyperlink>
      <w:r w:rsidRPr="00051888">
        <w:rPr>
          <w:rFonts w:ascii="Calibri" w:eastAsia="Times New Roman" w:hAnsi="Calibri" w:cs="Times New Roman"/>
        </w:rPr>
        <w:t>.</w:t>
      </w:r>
    </w:p>
    <w:p w14:paraId="6B6AC5F9" w14:textId="77777777" w:rsidR="00051888" w:rsidRPr="00051888" w:rsidRDefault="00051888" w:rsidP="00051888">
      <w:pPr>
        <w:suppressAutoHyphens/>
        <w:autoSpaceDN w:val="0"/>
        <w:spacing w:line="254" w:lineRule="auto"/>
        <w:rPr>
          <w:rFonts w:ascii="Calibri" w:eastAsia="Times New Roman" w:hAnsi="Calibri" w:cs="Times New Roman"/>
        </w:rPr>
      </w:pPr>
    </w:p>
    <w:p w14:paraId="7A39C27C" w14:textId="77777777" w:rsidR="00051888" w:rsidRPr="00051888" w:rsidRDefault="00051888" w:rsidP="00051888">
      <w:pPr>
        <w:spacing w:after="240" w:line="360" w:lineRule="auto"/>
        <w:rPr>
          <w:rFonts w:ascii="Times New Roman" w:eastAsia="Times New Roman" w:hAnsi="Times New Roman" w:cs="Times New Roman"/>
          <w:sz w:val="24"/>
          <w:szCs w:val="24"/>
          <w:lang w:eastAsia="en-GB"/>
        </w:rPr>
      </w:pPr>
      <w:r w:rsidRPr="00051888">
        <w:rPr>
          <w:rFonts w:ascii="Times New Roman" w:eastAsia="Times New Roman" w:hAnsi="Times New Roman" w:cs="Times New Roman"/>
          <w:sz w:val="24"/>
          <w:szCs w:val="24"/>
          <w:lang w:eastAsia="en-GB"/>
        </w:rPr>
        <w:t xml:space="preserve">College of Policing (2014). </w:t>
      </w:r>
      <w:r w:rsidRPr="00051888">
        <w:rPr>
          <w:rFonts w:ascii="Times New Roman" w:eastAsia="Times New Roman" w:hAnsi="Times New Roman" w:cs="Times New Roman"/>
          <w:i/>
          <w:iCs/>
          <w:sz w:val="24"/>
          <w:szCs w:val="24"/>
          <w:lang w:eastAsia="en-GB"/>
        </w:rPr>
        <w:t>Code of Ethics</w:t>
      </w:r>
      <w:r w:rsidRPr="00051888">
        <w:rPr>
          <w:rFonts w:ascii="Times New Roman" w:eastAsia="Times New Roman" w:hAnsi="Times New Roman" w:cs="Times New Roman"/>
          <w:sz w:val="24"/>
          <w:szCs w:val="24"/>
          <w:lang w:eastAsia="en-GB"/>
        </w:rPr>
        <w:t>. [online] College of Policing. Available at: https://www.college.police.uk/ethics/code-of-ethics.</w:t>
      </w:r>
    </w:p>
    <w:p w14:paraId="14E717F2" w14:textId="77777777" w:rsidR="00051888" w:rsidRPr="00051888" w:rsidRDefault="00051888" w:rsidP="00051888">
      <w:pPr>
        <w:suppressAutoHyphens/>
        <w:autoSpaceDN w:val="0"/>
        <w:spacing w:line="254" w:lineRule="auto"/>
        <w:rPr>
          <w:rFonts w:ascii="Calibri" w:eastAsia="Times New Roman" w:hAnsi="Calibri" w:cs="Times New Roman"/>
        </w:rPr>
      </w:pPr>
    </w:p>
    <w:p w14:paraId="008E4D00" w14:textId="77777777" w:rsidR="00051888" w:rsidRPr="00051888" w:rsidRDefault="00051888" w:rsidP="00051888">
      <w:pPr>
        <w:spacing w:after="240" w:line="360" w:lineRule="auto"/>
        <w:rPr>
          <w:rFonts w:ascii="Times New Roman" w:eastAsia="Times New Roman" w:hAnsi="Times New Roman" w:cs="Times New Roman"/>
          <w:sz w:val="24"/>
          <w:szCs w:val="24"/>
          <w:lang w:eastAsia="en-GB"/>
        </w:rPr>
      </w:pPr>
      <w:r w:rsidRPr="00051888">
        <w:rPr>
          <w:rFonts w:ascii="Times New Roman" w:eastAsia="Times New Roman" w:hAnsi="Times New Roman" w:cs="Times New Roman"/>
          <w:sz w:val="24"/>
          <w:szCs w:val="24"/>
          <w:lang w:eastAsia="en-GB"/>
        </w:rPr>
        <w:t xml:space="preserve">College of Policing (2014b). </w:t>
      </w:r>
      <w:r w:rsidRPr="00051888">
        <w:rPr>
          <w:rFonts w:ascii="Times New Roman" w:eastAsia="Times New Roman" w:hAnsi="Times New Roman" w:cs="Times New Roman"/>
          <w:i/>
          <w:iCs/>
          <w:sz w:val="24"/>
          <w:szCs w:val="24"/>
          <w:lang w:eastAsia="en-GB"/>
        </w:rPr>
        <w:t>Code of Ethics</w:t>
      </w:r>
      <w:r w:rsidRPr="00051888">
        <w:rPr>
          <w:rFonts w:ascii="Times New Roman" w:eastAsia="Times New Roman" w:hAnsi="Times New Roman" w:cs="Times New Roman"/>
          <w:sz w:val="24"/>
          <w:szCs w:val="24"/>
          <w:lang w:eastAsia="en-GB"/>
        </w:rPr>
        <w:t>. [online] College of Policing. Available at: https://www.college.police.uk/ethics/code-of-ethics.</w:t>
      </w:r>
    </w:p>
    <w:p w14:paraId="089D69A5" w14:textId="535C8389" w:rsidR="00051888" w:rsidRDefault="00051888"/>
    <w:p w14:paraId="1F2F0367" w14:textId="69A237B8" w:rsidR="00051888" w:rsidRDefault="00051888"/>
    <w:p w14:paraId="0F407B9E" w14:textId="37D313D9" w:rsidR="00051888" w:rsidRDefault="00051888"/>
    <w:p w14:paraId="37AD2F32" w14:textId="09F84FF5" w:rsidR="00051888" w:rsidRDefault="00051888"/>
    <w:p w14:paraId="162025BA" w14:textId="6A53FB21" w:rsidR="00051888" w:rsidRDefault="00051888"/>
    <w:p w14:paraId="32D6016C" w14:textId="57015D4E" w:rsidR="00051888" w:rsidRDefault="00051888"/>
    <w:p w14:paraId="6A6567B4" w14:textId="4F485395" w:rsidR="00051888" w:rsidRDefault="00051888"/>
    <w:p w14:paraId="24BB6A40" w14:textId="44E7DB09" w:rsidR="00051888" w:rsidRDefault="00051888"/>
    <w:p w14:paraId="0DCAD48B" w14:textId="39489E08" w:rsidR="00051888" w:rsidRDefault="00051888"/>
    <w:p w14:paraId="31E361F6" w14:textId="7B31F806" w:rsidR="00051888" w:rsidRDefault="00051888"/>
    <w:p w14:paraId="47050054" w14:textId="25EA83FD" w:rsidR="00051888" w:rsidRDefault="00051888"/>
    <w:p w14:paraId="30D642D9" w14:textId="26CF52AE" w:rsidR="00051888" w:rsidRDefault="00051888"/>
    <w:p w14:paraId="168ABAEC" w14:textId="77777777" w:rsidR="00051888" w:rsidRPr="002D513C" w:rsidRDefault="00051888" w:rsidP="00051888">
      <w:r w:rsidRPr="002D513C">
        <w:lastRenderedPageBreak/>
        <w:t xml:space="preserve">Essay Two: How does media coverage affect policing strategies in relation to public protection incidents? </w:t>
      </w:r>
    </w:p>
    <w:p w14:paraId="6331BB43" w14:textId="77777777" w:rsidR="00051888" w:rsidRPr="002D513C" w:rsidRDefault="00051888" w:rsidP="00051888"/>
    <w:p w14:paraId="05E9D6C7" w14:textId="77777777" w:rsidR="00051888" w:rsidRPr="002D513C" w:rsidRDefault="00051888" w:rsidP="00051888">
      <w:r w:rsidRPr="002D513C">
        <w:t>Media coverage can have a significant impact on policing strategies in relation to public protection incidents. In some cases, media coverage can help to bring attention to important issues and can lead to positive changes in policing, as this can give an insight to the public what the police are doing and why they are doing it. However, media coverage can also be misleading and can create unnecessary panic or fear among the public, which can lead to ineffective or even harmful policing strategies.</w:t>
      </w:r>
    </w:p>
    <w:p w14:paraId="76E1572C" w14:textId="77777777" w:rsidR="00051888" w:rsidRPr="002D513C" w:rsidRDefault="00051888" w:rsidP="00051888"/>
    <w:p w14:paraId="3DDA2CBE" w14:textId="77777777" w:rsidR="00051888" w:rsidRPr="002D513C" w:rsidRDefault="00051888" w:rsidP="00051888">
      <w:r w:rsidRPr="002D513C">
        <w:t xml:space="preserve">Media coverage of public protection incidents can influence public opinion and perception of crime, leading to increased fear and anxiety. This can put pressure on police forces to respond quickly and forcefully, even when such a response may not be necessary or effective. </w:t>
      </w:r>
    </w:p>
    <w:p w14:paraId="75F3554E" w14:textId="77777777" w:rsidR="00051888" w:rsidRPr="002D513C" w:rsidRDefault="00051888" w:rsidP="00051888"/>
    <w:p w14:paraId="131C7AD7" w14:textId="77777777" w:rsidR="00051888" w:rsidRPr="002D513C" w:rsidRDefault="00051888" w:rsidP="00051888">
      <w:r w:rsidRPr="002D513C">
        <w:t>This can put pressure on police forces to respond quickly and forcefully, even when such a response may not be necessary or effective. For example, in the wake of the 7/7 bombings in London, there was a surge in stop and search operations, which many argued were racially motivated and ineffective in preventing further attacks. (Bowling, B. (2009)</w:t>
      </w:r>
    </w:p>
    <w:p w14:paraId="46A133FE" w14:textId="77777777" w:rsidR="00051888" w:rsidRPr="002D513C" w:rsidRDefault="00051888" w:rsidP="00051888"/>
    <w:p w14:paraId="31545F5B" w14:textId="77777777" w:rsidR="00051888" w:rsidRPr="002D513C" w:rsidRDefault="00051888" w:rsidP="00051888">
      <w:r w:rsidRPr="002D513C">
        <w:t>In addition to influencing public opinion, media coverage can also impact the way that police forces prioritize and allocate resources. In some cases, high-profile incidents may receive disproportionate attention and resources, while other, less visible issues may be neglected.  (Scott, J., &amp; Stott, C. (2013).</w:t>
      </w:r>
    </w:p>
    <w:p w14:paraId="0CDAF5DC" w14:textId="77777777" w:rsidR="00051888" w:rsidRPr="002D513C" w:rsidRDefault="00051888" w:rsidP="00051888"/>
    <w:p w14:paraId="4716BD8E" w14:textId="77777777" w:rsidR="00051888" w:rsidRPr="002D513C" w:rsidRDefault="00051888" w:rsidP="00051888">
      <w:r w:rsidRPr="002D513C">
        <w:t>This can lead to a lack of resources for important issues such as domestic violence or child protection, which may not receive the same media attention as other incidents.</w:t>
      </w:r>
    </w:p>
    <w:p w14:paraId="4E72D91C" w14:textId="77777777" w:rsidR="00051888" w:rsidRPr="002D513C" w:rsidRDefault="00051888" w:rsidP="00051888"/>
    <w:p w14:paraId="26FFEFEC" w14:textId="77777777" w:rsidR="00051888" w:rsidRPr="002D513C" w:rsidRDefault="00051888" w:rsidP="00051888"/>
    <w:p w14:paraId="43A40807" w14:textId="77777777" w:rsidR="00051888" w:rsidRPr="002D513C" w:rsidRDefault="00051888" w:rsidP="00051888">
      <w:r w:rsidRPr="002D513C">
        <w:t xml:space="preserve">The media will protect the victim one most cases but there are some cases were the protect the suspect too. One case is the killing of Peter Connelly or mainly known as Baby P. The media didn’t release the name of Baby P until the suspects were convicted in august 2009. This was done by the media to protect the identity of the victim due to how young he was and the brutality of the murder. </w:t>
      </w:r>
    </w:p>
    <w:p w14:paraId="06D4BF7A" w14:textId="77777777" w:rsidR="00051888" w:rsidRPr="002D513C" w:rsidRDefault="00051888" w:rsidP="00051888">
      <w:r w:rsidRPr="002D513C">
        <w:t>Some research shows "extent to which recent ULK media coverage has influenced policy on child death cases due to abuse and neglect.” (Edinburgh Research Explorer Media coverage of child deaths in the UK: The impact of Baby P, n.d.)</w:t>
      </w:r>
    </w:p>
    <w:p w14:paraId="2AC25103" w14:textId="77777777" w:rsidR="00051888" w:rsidRPr="002D513C" w:rsidRDefault="00051888" w:rsidP="00051888"/>
    <w:p w14:paraId="7BAAA193" w14:textId="77777777" w:rsidR="00051888" w:rsidRPr="002D513C" w:rsidRDefault="00051888" w:rsidP="00051888">
      <w:r w:rsidRPr="002D513C">
        <w:t>In majority of cases the media usually protects the victim on a story but there are occasions where the media will protect the suspect.</w:t>
      </w:r>
    </w:p>
    <w:p w14:paraId="5C057B2A" w14:textId="77777777" w:rsidR="00051888" w:rsidRPr="002D513C" w:rsidRDefault="00051888" w:rsidP="00051888"/>
    <w:p w14:paraId="5952D059" w14:textId="77777777" w:rsidR="00051888" w:rsidRPr="002D513C" w:rsidRDefault="00051888" w:rsidP="00051888">
      <w:pPr>
        <w:rPr>
          <w:spacing w:val="3"/>
        </w:rPr>
      </w:pPr>
      <w:r w:rsidRPr="002D513C">
        <w:t>In other cases, although the media may announce the names of sex offenders, but they shouldn’t release the whereabouts and location of the sex offender this can only be done “</w:t>
      </w:r>
      <w:r w:rsidRPr="002D513C">
        <w:rPr>
          <w:spacing w:val="3"/>
        </w:rPr>
        <w:t>with the authorisation of the relevant multi-agency public protection panel.”</w:t>
      </w:r>
      <w:r w:rsidRPr="002D513C">
        <w:t xml:space="preserve"> </w:t>
      </w:r>
      <w:r w:rsidRPr="002D513C">
        <w:rPr>
          <w:spacing w:val="3"/>
        </w:rPr>
        <w:t>(College of Policing, 2022)</w:t>
      </w:r>
    </w:p>
    <w:p w14:paraId="590FDB38" w14:textId="77777777" w:rsidR="00051888" w:rsidRPr="002D513C" w:rsidRDefault="00051888" w:rsidP="00051888">
      <w:pPr>
        <w:rPr>
          <w:spacing w:val="3"/>
        </w:rPr>
      </w:pPr>
    </w:p>
    <w:p w14:paraId="5059DAF8" w14:textId="77777777" w:rsidR="00051888" w:rsidRPr="002D513C" w:rsidRDefault="00051888" w:rsidP="00051888">
      <w:pPr>
        <w:rPr>
          <w:spacing w:val="3"/>
        </w:rPr>
      </w:pPr>
      <w:r w:rsidRPr="002D513C">
        <w:rPr>
          <w:spacing w:val="3"/>
        </w:rPr>
        <w:t xml:space="preserve">Another case where the media has protected the public is in the Grooming Gang in Rotherham, when this case was released to the media the media didn’t use the names of the members of the gang they were known as Grooming Gang of Rotherham or Asian Grooming Gangs. </w:t>
      </w:r>
    </w:p>
    <w:p w14:paraId="22323DF4" w14:textId="77777777" w:rsidR="00051888" w:rsidRPr="002D513C" w:rsidRDefault="00051888" w:rsidP="00051888"/>
    <w:p w14:paraId="7C7F75A8" w14:textId="77777777" w:rsidR="00051888" w:rsidRPr="002D513C" w:rsidRDefault="00051888" w:rsidP="00051888"/>
    <w:p w14:paraId="40D19AD4" w14:textId="77777777" w:rsidR="00051888" w:rsidRPr="002D513C" w:rsidRDefault="00051888" w:rsidP="00051888"/>
    <w:p w14:paraId="442D86F7" w14:textId="77777777" w:rsidR="00051888" w:rsidRPr="002D513C" w:rsidRDefault="00051888" w:rsidP="00051888"/>
    <w:p w14:paraId="219F844E" w14:textId="77777777" w:rsidR="00051888" w:rsidRPr="002D513C" w:rsidRDefault="00051888" w:rsidP="00051888"/>
    <w:p w14:paraId="7FA35E40" w14:textId="77777777" w:rsidR="00051888" w:rsidRPr="002D513C" w:rsidRDefault="00051888" w:rsidP="00051888">
      <w:r w:rsidRPr="002D513C">
        <w:t>However, media coverage can also be a powerful tool for bringing attention to important issues and holding police forces accountable for their actions. For example, media coverage of police brutality or misconduct can lead to increased public scrutiny and pressure for reforms. (</w:t>
      </w:r>
      <w:proofErr w:type="spellStart"/>
      <w:r w:rsidRPr="002D513C">
        <w:t>Skogan</w:t>
      </w:r>
      <w:proofErr w:type="spellEnd"/>
      <w:r w:rsidRPr="002D513C">
        <w:t xml:space="preserve">, W. G. (2006). </w:t>
      </w:r>
    </w:p>
    <w:p w14:paraId="3963CD1D" w14:textId="77777777" w:rsidR="00051888" w:rsidRPr="002D513C" w:rsidRDefault="00051888" w:rsidP="00051888"/>
    <w:p w14:paraId="44C0A1C9" w14:textId="77777777" w:rsidR="00051888" w:rsidRPr="002D513C" w:rsidRDefault="00051888" w:rsidP="00051888">
      <w:r w:rsidRPr="002D513C">
        <w:t xml:space="preserve">This was the case in the aftermath of the death of George Floyd in the United States, which led to a global movement for police reform and racial justice. This case involves a white police officer knelt on the neck of George Floyd for 9 minutes 29 seconds. Although the George Floyd case happened in United States of America it also affected policing in the United Kingdom due to how much the media covered it. Not only did the media cover the incident itself, but it also covered all the protests that happened and the trial. </w:t>
      </w:r>
    </w:p>
    <w:p w14:paraId="2D0B641A" w14:textId="77777777" w:rsidR="00051888" w:rsidRPr="002D513C" w:rsidRDefault="00051888" w:rsidP="00051888"/>
    <w:p w14:paraId="290C093F" w14:textId="77777777" w:rsidR="00051888" w:rsidRPr="002D513C" w:rsidRDefault="00051888" w:rsidP="00051888">
      <w:r w:rsidRPr="002D513C">
        <w:t xml:space="preserve">This mainly affected policing due to public protesting against the police on what happened in that case. Although this happened in </w:t>
      </w:r>
      <w:r w:rsidRPr="002D513C">
        <w:rPr>
          <w:shd w:val="clear" w:color="auto" w:fill="FFFFFF"/>
        </w:rPr>
        <w:t>the year following Floyd's death (2021), </w:t>
      </w:r>
      <w:hyperlink r:id="rId8" w:tgtFrame="_blank" w:history="1">
        <w:r w:rsidRPr="002D513C">
          <w:rPr>
            <w:rStyle w:val="Hyperlink"/>
            <w:rFonts w:cs="Calibri"/>
            <w:color w:val="auto"/>
          </w:rPr>
          <w:t>US police killed 18 more people than they had the year before</w:t>
        </w:r>
      </w:hyperlink>
      <w:r w:rsidRPr="002D513C">
        <w:rPr>
          <w:shd w:val="clear" w:color="auto" w:fill="FFFFFF"/>
        </w:rPr>
        <w:t xml:space="preserve">. In 2022, it was 75 more people than 2021. This suggests that, at the very least, Floyd's death has had little effect on violence levels in the US. </w:t>
      </w:r>
    </w:p>
    <w:p w14:paraId="4DCB7A85" w14:textId="77777777" w:rsidR="00051888" w:rsidRPr="002D513C" w:rsidRDefault="00051888" w:rsidP="00051888"/>
    <w:p w14:paraId="122828D8" w14:textId="77777777" w:rsidR="00051888" w:rsidRPr="002D513C" w:rsidRDefault="00051888" w:rsidP="00051888"/>
    <w:p w14:paraId="29B3A8DB" w14:textId="77777777" w:rsidR="00051888" w:rsidRPr="002D513C" w:rsidRDefault="00051888" w:rsidP="00051888">
      <w:r w:rsidRPr="002D513C">
        <w:t xml:space="preserve">One thing that can be used is MAPPA, (Multi-Agency Public Protection Arrangements. This is something that requires local authorities, police, and other sectors to work together to protect the public. Their main priority for MAPPA is to always protect the public. There are different levels that MAPPA have depending on the factors. As they work to protect the public, they are appropriate relevant information. MAPPA will work with the individual until they feel is necessary. </w:t>
      </w:r>
    </w:p>
    <w:p w14:paraId="6C61B0D9" w14:textId="77777777" w:rsidR="00051888" w:rsidRPr="002D513C" w:rsidRDefault="00051888" w:rsidP="00051888"/>
    <w:p w14:paraId="7ACA661F" w14:textId="77777777" w:rsidR="00051888" w:rsidRPr="002D513C" w:rsidRDefault="00051888" w:rsidP="00051888"/>
    <w:p w14:paraId="41BCA5AD" w14:textId="77777777" w:rsidR="00051888" w:rsidRPr="002D513C" w:rsidRDefault="00051888" w:rsidP="00051888">
      <w:r w:rsidRPr="002D513C">
        <w:t xml:space="preserve">MAPPA Guidance requires to have a communication and media strategy plan for managing the publication of reports. </w:t>
      </w:r>
    </w:p>
    <w:p w14:paraId="7D2CC5C5" w14:textId="77777777" w:rsidR="00051888" w:rsidRPr="002D513C" w:rsidRDefault="00051888" w:rsidP="00051888"/>
    <w:p w14:paraId="39AC144C" w14:textId="77777777" w:rsidR="00051888" w:rsidRPr="002D513C" w:rsidRDefault="00051888" w:rsidP="00051888">
      <w:r w:rsidRPr="002D513C">
        <w:t>“</w:t>
      </w:r>
      <w:r w:rsidRPr="002D513C">
        <w:rPr>
          <w:spacing w:val="3"/>
        </w:rPr>
        <w:t>Public protection, particularly in relation to sexual offenders, attracts media attention. This can cause public alarm and distress and lead to public disorder. Forces should implement a communications strategy and protocols as appropriate in consultation with the lead agency.”</w:t>
      </w:r>
      <w:r w:rsidRPr="002D513C">
        <w:t xml:space="preserve"> </w:t>
      </w:r>
      <w:r w:rsidRPr="002D513C">
        <w:rPr>
          <w:spacing w:val="3"/>
        </w:rPr>
        <w:t>(College of Policing, n.d.)</w:t>
      </w:r>
    </w:p>
    <w:p w14:paraId="199379A9" w14:textId="77777777" w:rsidR="00051888" w:rsidRPr="002D513C" w:rsidRDefault="00051888" w:rsidP="00051888"/>
    <w:p w14:paraId="49AEF7E6" w14:textId="77777777" w:rsidR="00051888" w:rsidRPr="002D513C" w:rsidRDefault="00051888" w:rsidP="00051888"/>
    <w:p w14:paraId="58691289" w14:textId="77777777" w:rsidR="00051888" w:rsidRPr="002D513C" w:rsidRDefault="00051888" w:rsidP="00051888"/>
    <w:p w14:paraId="51F905C2" w14:textId="77777777" w:rsidR="00051888" w:rsidRPr="002D513C" w:rsidRDefault="00051888" w:rsidP="00051888">
      <w:r w:rsidRPr="002D513C">
        <w:t xml:space="preserve">In conclusion, media coverage can have both positive and negative effects on policing strategies in relation to public protection incidents. While media coverage can help to bring attention to important issues and hold police forces accountable, as it did in the George Floyd case and highlighted all the things that was done wrongly of the police. This then helped change things worldwide and made all forces investigate how they handle certain situations. On the flip side it can also create unnecessary fear and panic and lead to ineffective or harmful policing strategies. </w:t>
      </w:r>
    </w:p>
    <w:p w14:paraId="595EC435" w14:textId="77777777" w:rsidR="00051888" w:rsidRPr="002D513C" w:rsidRDefault="00051888" w:rsidP="00051888"/>
    <w:p w14:paraId="239A1234" w14:textId="77777777" w:rsidR="00051888" w:rsidRPr="002D513C" w:rsidRDefault="00051888" w:rsidP="00051888"/>
    <w:p w14:paraId="68B90C69" w14:textId="77777777" w:rsidR="00051888" w:rsidRPr="002D513C" w:rsidRDefault="00051888" w:rsidP="00051888"/>
    <w:p w14:paraId="1E1E08D7" w14:textId="77777777" w:rsidR="00051888" w:rsidRPr="002D513C" w:rsidRDefault="00051888" w:rsidP="00051888"/>
    <w:p w14:paraId="0145DAC7" w14:textId="77777777" w:rsidR="00051888" w:rsidRPr="002D513C" w:rsidRDefault="00051888" w:rsidP="00051888"/>
    <w:p w14:paraId="6FE6C062" w14:textId="77777777" w:rsidR="00051888" w:rsidRPr="002D513C" w:rsidRDefault="00051888" w:rsidP="00051888"/>
    <w:p w14:paraId="026F635F" w14:textId="77777777" w:rsidR="00051888" w:rsidRPr="002D513C" w:rsidRDefault="00051888" w:rsidP="00051888"/>
    <w:p w14:paraId="0643E498" w14:textId="77777777" w:rsidR="00051888" w:rsidRPr="002D513C" w:rsidRDefault="00051888" w:rsidP="00051888"/>
    <w:p w14:paraId="75A54DB8" w14:textId="77777777" w:rsidR="00051888" w:rsidRPr="002D513C" w:rsidRDefault="00051888" w:rsidP="00051888"/>
    <w:p w14:paraId="61A38D02" w14:textId="77777777" w:rsidR="00051888" w:rsidRPr="002D513C" w:rsidRDefault="00051888" w:rsidP="00051888"/>
    <w:p w14:paraId="5A657C7D" w14:textId="430922D4" w:rsidR="00051888" w:rsidRDefault="00051888" w:rsidP="00051888"/>
    <w:p w14:paraId="5089E453" w14:textId="55091EAA" w:rsidR="00051888" w:rsidRDefault="00051888" w:rsidP="00051888"/>
    <w:p w14:paraId="59EA49C8" w14:textId="0C1D5853" w:rsidR="00051888" w:rsidRDefault="00051888" w:rsidP="00051888"/>
    <w:p w14:paraId="5CD21362" w14:textId="77777777" w:rsidR="00051888" w:rsidRPr="002D513C" w:rsidRDefault="00051888" w:rsidP="00051888"/>
    <w:p w14:paraId="02659D6F" w14:textId="77777777" w:rsidR="00051888" w:rsidRPr="002D513C" w:rsidRDefault="00051888" w:rsidP="00051888"/>
    <w:p w14:paraId="0F554C85" w14:textId="77777777" w:rsidR="00051888" w:rsidRPr="002D513C" w:rsidRDefault="00051888" w:rsidP="00051888">
      <w:r w:rsidRPr="002D513C">
        <w:t>References:</w:t>
      </w:r>
    </w:p>
    <w:p w14:paraId="56654FB4" w14:textId="77777777" w:rsidR="00051888" w:rsidRPr="002D513C" w:rsidRDefault="00051888" w:rsidP="00051888"/>
    <w:p w14:paraId="07AF7E84" w14:textId="77777777" w:rsidR="00051888" w:rsidRPr="002D513C" w:rsidRDefault="00051888" w:rsidP="00051888">
      <w:r w:rsidRPr="002D513C">
        <w:t>(Edinburgh Research Explorer Media coverage of child deaths in the UK: The impact of Baby P, n.d.)</w:t>
      </w:r>
    </w:p>
    <w:p w14:paraId="7295446C" w14:textId="77777777" w:rsidR="00051888" w:rsidRPr="002D513C" w:rsidRDefault="00051888" w:rsidP="00051888"/>
    <w:p w14:paraId="636EE575" w14:textId="77777777" w:rsidR="00051888" w:rsidRPr="00B057DB" w:rsidRDefault="00051888" w:rsidP="00051888">
      <w:pPr>
        <w:spacing w:after="240" w:line="360" w:lineRule="auto"/>
      </w:pPr>
      <w:r w:rsidRPr="00B057DB">
        <w:t xml:space="preserve">College of Policing (2022). </w:t>
      </w:r>
      <w:r w:rsidRPr="00B057DB">
        <w:rPr>
          <w:i/>
          <w:iCs/>
        </w:rPr>
        <w:t>Media relations</w:t>
      </w:r>
      <w:r w:rsidRPr="00B057DB">
        <w:t>. [online] College of Policing. Available at: https://www.college.police.uk/app/engagement-and-communication/media-relations.</w:t>
      </w:r>
    </w:p>
    <w:p w14:paraId="3065AE05" w14:textId="77777777" w:rsidR="00051888" w:rsidRPr="001B1839" w:rsidRDefault="00051888" w:rsidP="00051888">
      <w:pPr>
        <w:spacing w:after="240" w:line="360" w:lineRule="auto"/>
      </w:pPr>
      <w:r w:rsidRPr="001B1839">
        <w:t xml:space="preserve">College of Policing. (n.d.). </w:t>
      </w:r>
      <w:r w:rsidRPr="001B1839">
        <w:rPr>
          <w:i/>
          <w:iCs/>
        </w:rPr>
        <w:t>Communication and media considerations</w:t>
      </w:r>
      <w:r w:rsidRPr="001B1839">
        <w:t>. [online] Available at: https://www.college.police.uk/app/major-investigation-and-public-protection/managing-sexual-offenders-and-violent-offenders/communication-and-media-considerations.</w:t>
      </w:r>
    </w:p>
    <w:p w14:paraId="47D1BA9A" w14:textId="77777777" w:rsidR="00051888" w:rsidRPr="002D513C" w:rsidRDefault="00051888" w:rsidP="00051888">
      <w:r w:rsidRPr="002D513C">
        <w:t>Bowling, B. (2009). Policing ethnic minority communities. Oxford University Press.</w:t>
      </w:r>
    </w:p>
    <w:p w14:paraId="53F0760B" w14:textId="77777777" w:rsidR="00051888" w:rsidRPr="002D513C" w:rsidRDefault="00051888" w:rsidP="00051888"/>
    <w:p w14:paraId="4AED6481" w14:textId="77777777" w:rsidR="00051888" w:rsidRPr="002D513C" w:rsidRDefault="00051888" w:rsidP="00051888">
      <w:r w:rsidRPr="002D513C">
        <w:t>Scott, J., &amp; Stott, C. (2013). Policing and the media. SAGE Publications.</w:t>
      </w:r>
    </w:p>
    <w:p w14:paraId="103580E8" w14:textId="77777777" w:rsidR="00051888" w:rsidRPr="002D513C" w:rsidRDefault="00051888" w:rsidP="00051888"/>
    <w:p w14:paraId="6F9F082A" w14:textId="77777777" w:rsidR="00051888" w:rsidRPr="002D513C" w:rsidRDefault="00051888" w:rsidP="00051888">
      <w:proofErr w:type="spellStart"/>
      <w:r w:rsidRPr="002D513C">
        <w:t>Skogan</w:t>
      </w:r>
      <w:proofErr w:type="spellEnd"/>
      <w:r w:rsidRPr="002D513C">
        <w:t>, W. G. (2006). Asymmetry in the impact of news and experience on public perceptions of policing. Journal of Criminal Justice, 34(6), 599-607</w:t>
      </w:r>
    </w:p>
    <w:p w14:paraId="7AA39A80" w14:textId="023E8F64" w:rsidR="00051888" w:rsidRDefault="00051888"/>
    <w:p w14:paraId="350F9B50" w14:textId="32C61772" w:rsidR="00051888" w:rsidRDefault="00051888"/>
    <w:p w14:paraId="747E308D" w14:textId="28197DA5" w:rsidR="00051888" w:rsidRDefault="00051888"/>
    <w:p w14:paraId="74F5F67C" w14:textId="1AFDE132" w:rsidR="00051888" w:rsidRDefault="00051888"/>
    <w:p w14:paraId="18B4EF3E" w14:textId="704ADA36" w:rsidR="00051888" w:rsidRDefault="00051888"/>
    <w:p w14:paraId="02A24EC5" w14:textId="27B48681" w:rsidR="00051888" w:rsidRDefault="00051888"/>
    <w:p w14:paraId="5398B96A" w14:textId="250DEAFB" w:rsidR="00051888" w:rsidRDefault="00051888"/>
    <w:p w14:paraId="21FC6000" w14:textId="69FB980B" w:rsidR="00051888" w:rsidRDefault="00051888"/>
    <w:p w14:paraId="7404D91A" w14:textId="7909A4FD" w:rsidR="00051888" w:rsidRDefault="00051888"/>
    <w:p w14:paraId="020B8981" w14:textId="0FA6DCA1" w:rsidR="00051888" w:rsidRDefault="00051888"/>
    <w:p w14:paraId="0F6AB9E7" w14:textId="0C6A79E2" w:rsidR="00051888" w:rsidRDefault="00051888"/>
    <w:p w14:paraId="6BD297F5" w14:textId="091C8F70" w:rsidR="00051888" w:rsidRDefault="00051888"/>
    <w:p w14:paraId="27B771DD" w14:textId="4397EB46" w:rsidR="00051888" w:rsidRDefault="00051888"/>
    <w:p w14:paraId="1D107751" w14:textId="77777777" w:rsidR="00051888" w:rsidRDefault="00051888" w:rsidP="00051888">
      <w:pPr>
        <w:suppressAutoHyphens/>
        <w:autoSpaceDN w:val="0"/>
        <w:spacing w:after="0" w:line="240" w:lineRule="auto"/>
        <w:rPr>
          <w:rFonts w:ascii="Calibri" w:eastAsia="Times New Roman" w:hAnsi="Calibri" w:cs="Calibri"/>
          <w:lang w:eastAsia="en-GB"/>
        </w:rPr>
      </w:pPr>
      <w:r w:rsidRPr="00CB28D1">
        <w:rPr>
          <w:rFonts w:ascii="Calibri" w:eastAsia="Times New Roman" w:hAnsi="Calibri" w:cs="Calibri"/>
          <w:lang w:eastAsia="en-GB"/>
        </w:rPr>
        <w:lastRenderedPageBreak/>
        <w:t xml:space="preserve">Essay three: How effective is early intervention in preventing young people from offending, or re-offending? </w:t>
      </w:r>
    </w:p>
    <w:p w14:paraId="1BBE2F6D" w14:textId="77777777" w:rsidR="00051888" w:rsidRPr="00CB28D1" w:rsidRDefault="00051888" w:rsidP="00051888">
      <w:pPr>
        <w:suppressAutoHyphens/>
        <w:autoSpaceDN w:val="0"/>
        <w:spacing w:after="0" w:line="240" w:lineRule="auto"/>
        <w:rPr>
          <w:rFonts w:ascii="Calibri" w:eastAsia="Times New Roman" w:hAnsi="Calibri" w:cs="Calibri"/>
          <w:lang w:eastAsia="en-GB"/>
        </w:rPr>
      </w:pPr>
    </w:p>
    <w:p w14:paraId="6A2E29A2" w14:textId="77777777" w:rsidR="00051888" w:rsidRPr="00CB28D1" w:rsidRDefault="00051888" w:rsidP="00051888">
      <w:pPr>
        <w:shd w:val="clear" w:color="auto" w:fill="FFFFFF"/>
        <w:suppressAutoHyphens/>
        <w:autoSpaceDN w:val="0"/>
        <w:spacing w:after="300" w:line="360" w:lineRule="atLeast"/>
        <w:rPr>
          <w:rFonts w:ascii="Calibri" w:eastAsia="Times New Roman" w:hAnsi="Calibri" w:cs="Calibri"/>
          <w:lang w:eastAsia="en-GB"/>
        </w:rPr>
      </w:pPr>
      <w:r w:rsidRPr="00CB28D1">
        <w:rPr>
          <w:rFonts w:ascii="Calibri" w:eastAsia="Times New Roman" w:hAnsi="Calibri" w:cs="Calibri"/>
          <w:lang w:eastAsia="en-GB"/>
        </w:rPr>
        <w:t xml:space="preserve">According to study, young people who receive early intervention have a significant positive influence on children's behaviour. One of the most effective ways to reduce crime is early intervention. This may entail anything from the involvement of the police, social services, and health services to local community input through schools or a multi-agency strategy to help provide additional support. </w:t>
      </w:r>
    </w:p>
    <w:p w14:paraId="08001F2C" w14:textId="77777777" w:rsidR="00051888" w:rsidRPr="00CB28D1" w:rsidRDefault="00051888" w:rsidP="00051888">
      <w:pPr>
        <w:shd w:val="clear" w:color="auto" w:fill="FFFFFF"/>
        <w:suppressAutoHyphens/>
        <w:autoSpaceDN w:val="0"/>
        <w:spacing w:after="300" w:line="360" w:lineRule="atLeast"/>
        <w:rPr>
          <w:rFonts w:ascii="Calibri" w:eastAsia="Times New Roman" w:hAnsi="Calibri" w:cs="Calibri"/>
          <w:color w:val="000000"/>
          <w:spacing w:val="-1"/>
          <w:lang w:eastAsia="en-GB"/>
        </w:rPr>
      </w:pPr>
      <w:r w:rsidRPr="00CB28D1">
        <w:rPr>
          <w:rFonts w:ascii="Calibri" w:eastAsia="Times New Roman" w:hAnsi="Calibri" w:cs="Calibri"/>
          <w:color w:val="000000"/>
          <w:spacing w:val="-1"/>
          <w:lang w:eastAsia="en-GB"/>
        </w:rPr>
        <w:t>Early help can offer children the support needed to reach their full potential (EIF, 2021). It can improve the quality of a child’s home and family life, enable them to perform better at school and support their mental health (EIF, 2021).</w:t>
      </w:r>
    </w:p>
    <w:p w14:paraId="07B87D01" w14:textId="77777777" w:rsidR="00051888" w:rsidRPr="00CB28D1" w:rsidRDefault="00051888" w:rsidP="00051888">
      <w:pPr>
        <w:shd w:val="clear" w:color="auto" w:fill="FFFFFF"/>
        <w:suppressAutoHyphens/>
        <w:autoSpaceDN w:val="0"/>
        <w:spacing w:after="300" w:line="360" w:lineRule="atLeast"/>
        <w:rPr>
          <w:rFonts w:ascii="Calibri" w:eastAsia="Times New Roman" w:hAnsi="Calibri" w:cs="Calibri"/>
          <w:color w:val="000000"/>
          <w:spacing w:val="-1"/>
          <w:lang w:eastAsia="en-GB"/>
        </w:rPr>
      </w:pPr>
      <w:r w:rsidRPr="00CB28D1">
        <w:rPr>
          <w:rFonts w:ascii="Calibri" w:eastAsia="Times New Roman" w:hAnsi="Calibri" w:cs="Calibri"/>
          <w:color w:val="000000"/>
          <w:spacing w:val="-1"/>
          <w:lang w:eastAsia="en-GB"/>
        </w:rPr>
        <w:t>Research suggests that early help can:</w:t>
      </w:r>
    </w:p>
    <w:p w14:paraId="4BA054AC" w14:textId="77777777" w:rsidR="00051888" w:rsidRPr="00CB28D1" w:rsidRDefault="00051888" w:rsidP="00051888">
      <w:pPr>
        <w:numPr>
          <w:ilvl w:val="0"/>
          <w:numId w:val="1"/>
        </w:numPr>
        <w:shd w:val="clear" w:color="auto" w:fill="FFFFFF"/>
        <w:tabs>
          <w:tab w:val="left" w:pos="720"/>
        </w:tabs>
        <w:autoSpaceDN w:val="0"/>
        <w:spacing w:before="100" w:after="150" w:line="312" w:lineRule="atLeast"/>
        <w:ind w:left="1020"/>
        <w:rPr>
          <w:rFonts w:ascii="Calibri" w:eastAsia="Times New Roman" w:hAnsi="Calibri" w:cs="Calibri"/>
          <w:color w:val="000000"/>
          <w:spacing w:val="-1"/>
          <w:lang w:eastAsia="en-GB"/>
        </w:rPr>
      </w:pPr>
      <w:r w:rsidRPr="00CB28D1">
        <w:rPr>
          <w:rFonts w:ascii="Calibri" w:eastAsia="Times New Roman" w:hAnsi="Calibri" w:cs="Calibri"/>
          <w:color w:val="000000"/>
          <w:spacing w:val="-1"/>
          <w:lang w:eastAsia="en-GB"/>
        </w:rPr>
        <w:t>protect children from harm.</w:t>
      </w:r>
    </w:p>
    <w:p w14:paraId="60DD24FF" w14:textId="77777777" w:rsidR="00051888" w:rsidRPr="00CB28D1" w:rsidRDefault="00051888" w:rsidP="00051888">
      <w:pPr>
        <w:numPr>
          <w:ilvl w:val="0"/>
          <w:numId w:val="1"/>
        </w:numPr>
        <w:shd w:val="clear" w:color="auto" w:fill="FFFFFF"/>
        <w:tabs>
          <w:tab w:val="left" w:pos="720"/>
        </w:tabs>
        <w:autoSpaceDN w:val="0"/>
        <w:spacing w:before="100" w:after="150" w:line="312" w:lineRule="atLeast"/>
        <w:ind w:left="1020"/>
        <w:rPr>
          <w:rFonts w:ascii="Calibri" w:eastAsia="Times New Roman" w:hAnsi="Calibri" w:cs="Calibri"/>
          <w:color w:val="000000"/>
          <w:spacing w:val="-1"/>
          <w:lang w:eastAsia="en-GB"/>
        </w:rPr>
      </w:pPr>
      <w:r w:rsidRPr="00CB28D1">
        <w:rPr>
          <w:rFonts w:ascii="Calibri" w:eastAsia="Times New Roman" w:hAnsi="Calibri" w:cs="Calibri"/>
          <w:color w:val="000000"/>
          <w:spacing w:val="-1"/>
          <w:lang w:eastAsia="en-GB"/>
        </w:rPr>
        <w:t>reduce the need for a referral to child protection services.</w:t>
      </w:r>
    </w:p>
    <w:p w14:paraId="1EE134AA" w14:textId="77777777" w:rsidR="00051888" w:rsidRPr="00CB28D1" w:rsidRDefault="00051888" w:rsidP="00051888">
      <w:pPr>
        <w:numPr>
          <w:ilvl w:val="0"/>
          <w:numId w:val="1"/>
        </w:numPr>
        <w:shd w:val="clear" w:color="auto" w:fill="FFFFFF"/>
        <w:tabs>
          <w:tab w:val="left" w:pos="720"/>
        </w:tabs>
        <w:autoSpaceDN w:val="0"/>
        <w:spacing w:before="100" w:after="150" w:line="312" w:lineRule="atLeast"/>
        <w:ind w:left="1020"/>
        <w:rPr>
          <w:rFonts w:ascii="Calibri" w:eastAsia="Times New Roman" w:hAnsi="Calibri" w:cs="Calibri"/>
          <w:color w:val="000000"/>
          <w:spacing w:val="-1"/>
          <w:lang w:eastAsia="en-GB"/>
        </w:rPr>
      </w:pPr>
      <w:r w:rsidRPr="00CB28D1">
        <w:rPr>
          <w:rFonts w:ascii="Calibri" w:eastAsia="Times New Roman" w:hAnsi="Calibri" w:cs="Calibri"/>
          <w:color w:val="000000"/>
          <w:spacing w:val="-1"/>
          <w:lang w:eastAsia="en-GB"/>
        </w:rPr>
        <w:t>improve children's long-term outcomes.</w:t>
      </w:r>
    </w:p>
    <w:p w14:paraId="40AE120F" w14:textId="77777777" w:rsidR="00051888" w:rsidRPr="00CB28D1" w:rsidRDefault="00051888" w:rsidP="00051888">
      <w:pPr>
        <w:shd w:val="clear" w:color="auto" w:fill="FFFFFF"/>
        <w:suppressAutoHyphens/>
        <w:autoSpaceDN w:val="0"/>
        <w:spacing w:after="300" w:line="360" w:lineRule="atLeast"/>
        <w:rPr>
          <w:rFonts w:ascii="Calibri" w:eastAsia="Times New Roman" w:hAnsi="Calibri" w:cs="Calibri"/>
          <w:color w:val="000000"/>
          <w:spacing w:val="-1"/>
          <w:lang w:eastAsia="en-GB"/>
        </w:rPr>
      </w:pPr>
      <w:r w:rsidRPr="00CB28D1">
        <w:rPr>
          <w:rFonts w:ascii="Calibri" w:eastAsia="Times New Roman" w:hAnsi="Calibri" w:cs="Calibri"/>
          <w:color w:val="000000"/>
          <w:spacing w:val="-1"/>
          <w:lang w:eastAsia="en-GB"/>
        </w:rPr>
        <w:t>(Haynes et al, 2015).</w:t>
      </w:r>
    </w:p>
    <w:p w14:paraId="70F79B0B" w14:textId="77777777" w:rsidR="00051888" w:rsidRPr="00CB28D1" w:rsidRDefault="00051888" w:rsidP="00051888">
      <w:pPr>
        <w:shd w:val="clear" w:color="auto" w:fill="FFFFFF"/>
        <w:suppressAutoHyphens/>
        <w:autoSpaceDN w:val="0"/>
        <w:spacing w:after="300" w:line="360" w:lineRule="atLeast"/>
        <w:rPr>
          <w:rFonts w:ascii="Calibri" w:eastAsia="Times New Roman" w:hAnsi="Calibri" w:cs="Calibri"/>
          <w:color w:val="000000"/>
          <w:spacing w:val="-1"/>
          <w:lang w:eastAsia="en-GB"/>
        </w:rPr>
      </w:pPr>
      <w:r w:rsidRPr="00CB28D1">
        <w:rPr>
          <w:rFonts w:ascii="Calibri" w:eastAsia="Times New Roman" w:hAnsi="Calibri" w:cs="Calibri"/>
          <w:color w:val="000000"/>
          <w:spacing w:val="-1"/>
          <w:lang w:eastAsia="en-GB"/>
        </w:rPr>
        <w:t>Early help can also support a child to develop strengths and skills that can prepare them for adult life (EIF, 2021).</w:t>
      </w:r>
    </w:p>
    <w:p w14:paraId="6603EDC7" w14:textId="77777777" w:rsidR="00051888" w:rsidRPr="00CB28D1" w:rsidRDefault="00051888" w:rsidP="00051888">
      <w:pPr>
        <w:shd w:val="clear" w:color="auto" w:fill="FFFFFF"/>
        <w:suppressAutoHyphens/>
        <w:autoSpaceDN w:val="0"/>
        <w:spacing w:after="300" w:line="360" w:lineRule="atLeast"/>
        <w:rPr>
          <w:rFonts w:ascii="Calibri" w:eastAsia="Times New Roman" w:hAnsi="Calibri" w:cs="Calibri"/>
          <w:color w:val="000000"/>
          <w:spacing w:val="-1"/>
          <w:shd w:val="clear" w:color="auto" w:fill="FFFFFF"/>
          <w:lang w:eastAsia="en-GB"/>
        </w:rPr>
      </w:pPr>
      <w:r w:rsidRPr="00CB28D1">
        <w:rPr>
          <w:rFonts w:ascii="Calibri" w:eastAsia="Times New Roman" w:hAnsi="Calibri" w:cs="Calibri"/>
          <w:color w:val="000000"/>
          <w:spacing w:val="-1"/>
          <w:shd w:val="clear" w:color="auto" w:fill="FFFFFF"/>
          <w:lang w:eastAsia="en-GB"/>
        </w:rPr>
        <w:t>Early help services should be part of a continuum of support which enables practitioners to respond to the different levels of need children and families may experience (DfE, 2018).</w:t>
      </w:r>
    </w:p>
    <w:p w14:paraId="3FC5E401" w14:textId="77777777" w:rsidR="00051888" w:rsidRPr="00CB28D1" w:rsidRDefault="00051888" w:rsidP="00051888">
      <w:pPr>
        <w:shd w:val="clear" w:color="auto" w:fill="FFFFFF"/>
        <w:suppressAutoHyphens/>
        <w:autoSpaceDN w:val="0"/>
        <w:spacing w:after="300" w:line="360" w:lineRule="atLeast"/>
        <w:rPr>
          <w:rFonts w:ascii="Calibri" w:eastAsia="Times New Roman" w:hAnsi="Calibri" w:cs="Calibri"/>
          <w:lang w:eastAsia="en-GB"/>
        </w:rPr>
      </w:pPr>
      <w:r w:rsidRPr="00CB28D1">
        <w:rPr>
          <w:rFonts w:ascii="Calibri" w:eastAsia="Times New Roman" w:hAnsi="Calibri" w:cs="Calibri"/>
          <w:noProof/>
          <w:lang w:eastAsia="en-GB"/>
        </w:rPr>
        <w:drawing>
          <wp:anchor distT="0" distB="0" distL="114300" distR="114300" simplePos="0" relativeHeight="251659264" behindDoc="0" locked="0" layoutInCell="1" allowOverlap="1" wp14:anchorId="6ACAC695" wp14:editId="003139CB">
            <wp:simplePos x="0" y="0"/>
            <wp:positionH relativeFrom="margin">
              <wp:align>left</wp:align>
            </wp:positionH>
            <wp:positionV relativeFrom="page">
              <wp:posOffset>6346190</wp:posOffset>
            </wp:positionV>
            <wp:extent cx="5377180" cy="3889375"/>
            <wp:effectExtent l="0" t="0" r="0" b="0"/>
            <wp:wrapTight wrapText="bothSides">
              <wp:wrapPolygon edited="0">
                <wp:start x="0" y="0"/>
                <wp:lineTo x="0" y="21477"/>
                <wp:lineTo x="21503" y="21477"/>
                <wp:lineTo x="21503" y="0"/>
                <wp:lineTo x="0" y="0"/>
              </wp:wrapPolygon>
            </wp:wrapTight>
            <wp:docPr id="1" name="Picture 1" descr="Timeline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imeline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l="5872" r="1573" b="4485"/>
                    <a:stretch>
                      <a:fillRect/>
                    </a:stretch>
                  </pic:blipFill>
                  <pic:spPr bwMode="auto">
                    <a:xfrm>
                      <a:off x="0" y="0"/>
                      <a:ext cx="5377180" cy="38893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5C8C5BE" w14:textId="77777777" w:rsidR="00051888" w:rsidRPr="00CB28D1" w:rsidRDefault="00051888" w:rsidP="00051888">
      <w:pPr>
        <w:shd w:val="clear" w:color="auto" w:fill="FFFFFF"/>
        <w:suppressAutoHyphens/>
        <w:autoSpaceDN w:val="0"/>
        <w:spacing w:after="300" w:line="360" w:lineRule="atLeast"/>
        <w:rPr>
          <w:rFonts w:ascii="Calibri" w:eastAsia="Times New Roman" w:hAnsi="Calibri" w:cs="Calibri"/>
          <w:lang w:eastAsia="en-GB"/>
        </w:rPr>
      </w:pPr>
    </w:p>
    <w:p w14:paraId="2256D986" w14:textId="77777777" w:rsidR="00051888" w:rsidRPr="00CB28D1" w:rsidRDefault="00051888" w:rsidP="00051888">
      <w:pPr>
        <w:shd w:val="clear" w:color="auto" w:fill="FFFFFF"/>
        <w:suppressAutoHyphens/>
        <w:autoSpaceDN w:val="0"/>
        <w:spacing w:after="300" w:line="360" w:lineRule="atLeast"/>
        <w:rPr>
          <w:rFonts w:ascii="Calibri" w:eastAsia="Times New Roman" w:hAnsi="Calibri" w:cs="Calibri"/>
          <w:lang w:eastAsia="en-GB"/>
        </w:rPr>
      </w:pPr>
    </w:p>
    <w:p w14:paraId="78E3B8CD" w14:textId="77777777" w:rsidR="00051888" w:rsidRPr="00CB28D1" w:rsidRDefault="00051888" w:rsidP="00051888">
      <w:pPr>
        <w:shd w:val="clear" w:color="auto" w:fill="FFFFFF"/>
        <w:suppressAutoHyphens/>
        <w:autoSpaceDN w:val="0"/>
        <w:spacing w:after="300" w:line="360" w:lineRule="atLeast"/>
        <w:rPr>
          <w:rFonts w:ascii="Calibri" w:eastAsia="Times New Roman" w:hAnsi="Calibri" w:cs="Calibri"/>
          <w:lang w:eastAsia="en-GB"/>
        </w:rPr>
      </w:pPr>
    </w:p>
    <w:p w14:paraId="5335897B" w14:textId="77777777" w:rsidR="00051888" w:rsidRPr="00CB28D1" w:rsidRDefault="00051888" w:rsidP="00051888">
      <w:pPr>
        <w:shd w:val="clear" w:color="auto" w:fill="FFFFFF"/>
        <w:suppressAutoHyphens/>
        <w:autoSpaceDN w:val="0"/>
        <w:spacing w:after="300" w:line="360" w:lineRule="atLeast"/>
        <w:rPr>
          <w:rFonts w:ascii="Calibri" w:eastAsia="Times New Roman" w:hAnsi="Calibri" w:cs="Calibri"/>
          <w:lang w:eastAsia="en-GB"/>
        </w:rPr>
      </w:pPr>
    </w:p>
    <w:p w14:paraId="47E81B02" w14:textId="77777777" w:rsidR="00051888" w:rsidRPr="00CB28D1" w:rsidRDefault="00051888" w:rsidP="00051888">
      <w:pPr>
        <w:shd w:val="clear" w:color="auto" w:fill="FFFFFF"/>
        <w:suppressAutoHyphens/>
        <w:autoSpaceDN w:val="0"/>
        <w:spacing w:after="300" w:line="360" w:lineRule="atLeast"/>
        <w:rPr>
          <w:rFonts w:ascii="Calibri" w:eastAsia="Times New Roman" w:hAnsi="Calibri" w:cs="Calibri"/>
          <w:lang w:eastAsia="en-GB"/>
        </w:rPr>
      </w:pPr>
    </w:p>
    <w:p w14:paraId="2E610813" w14:textId="77777777" w:rsidR="00051888" w:rsidRPr="00CB28D1" w:rsidRDefault="00051888" w:rsidP="00051888">
      <w:pPr>
        <w:shd w:val="clear" w:color="auto" w:fill="FFFFFF"/>
        <w:suppressAutoHyphens/>
        <w:autoSpaceDN w:val="0"/>
        <w:spacing w:after="300" w:line="360" w:lineRule="atLeast"/>
        <w:rPr>
          <w:rFonts w:ascii="Calibri" w:eastAsia="Times New Roman" w:hAnsi="Calibri" w:cs="Calibri"/>
          <w:lang w:eastAsia="en-GB"/>
        </w:rPr>
      </w:pPr>
      <w:r w:rsidRPr="00CB28D1">
        <w:rPr>
          <w:rFonts w:ascii="Calibri" w:eastAsia="Times New Roman" w:hAnsi="Calibri" w:cs="Calibri"/>
          <w:lang w:eastAsia="en-GB"/>
        </w:rPr>
        <w:lastRenderedPageBreak/>
        <w:t>(Public Health England, 2019)</w:t>
      </w:r>
    </w:p>
    <w:p w14:paraId="5B7F8D67" w14:textId="77777777" w:rsidR="00051888" w:rsidRPr="00CB28D1" w:rsidRDefault="00051888" w:rsidP="00051888">
      <w:pPr>
        <w:shd w:val="clear" w:color="auto" w:fill="FFFFFF"/>
        <w:suppressAutoHyphens/>
        <w:autoSpaceDN w:val="0"/>
        <w:spacing w:after="300" w:line="360" w:lineRule="atLeast"/>
        <w:rPr>
          <w:rFonts w:ascii="Calibri" w:eastAsia="Times New Roman" w:hAnsi="Calibri" w:cs="Calibri"/>
          <w:lang w:eastAsia="en-GB"/>
        </w:rPr>
      </w:pPr>
    </w:p>
    <w:p w14:paraId="476093B7" w14:textId="77777777" w:rsidR="00051888" w:rsidRPr="00CB28D1" w:rsidRDefault="00051888" w:rsidP="00051888">
      <w:pPr>
        <w:suppressAutoHyphens/>
        <w:autoSpaceDN w:val="0"/>
        <w:spacing w:after="0" w:line="240" w:lineRule="auto"/>
        <w:rPr>
          <w:rFonts w:ascii="Calibri" w:eastAsia="Times New Roman" w:hAnsi="Calibri" w:cs="Calibri"/>
          <w:lang w:eastAsia="en-GB"/>
        </w:rPr>
      </w:pPr>
      <w:r w:rsidRPr="00CB28D1">
        <w:rPr>
          <w:rFonts w:ascii="Calibri" w:eastAsia="Times New Roman" w:hAnsi="Calibri" w:cs="Calibri"/>
          <w:lang w:eastAsia="en-GB"/>
        </w:rPr>
        <w:t>Early prevention programmes have been funded by the UK government for several years, and the 2019 parliament briefing provides some evidence of how effective some of these initiatives have been in lowering violent crime.</w:t>
      </w:r>
    </w:p>
    <w:p w14:paraId="5F0FB184" w14:textId="77777777" w:rsidR="00051888" w:rsidRPr="00CB28D1" w:rsidRDefault="00051888" w:rsidP="00051888">
      <w:pPr>
        <w:suppressAutoHyphens/>
        <w:autoSpaceDN w:val="0"/>
        <w:spacing w:after="0" w:line="240" w:lineRule="auto"/>
        <w:rPr>
          <w:rFonts w:ascii="Calibri" w:eastAsia="Times New Roman" w:hAnsi="Calibri" w:cs="Calibri"/>
          <w:lang w:eastAsia="en-GB"/>
        </w:rPr>
      </w:pPr>
    </w:p>
    <w:p w14:paraId="7819ED37" w14:textId="77777777" w:rsidR="00051888" w:rsidRDefault="00051888" w:rsidP="00051888">
      <w:pPr>
        <w:suppressAutoHyphens/>
        <w:autoSpaceDN w:val="0"/>
        <w:spacing w:after="0" w:line="240" w:lineRule="auto"/>
        <w:rPr>
          <w:rFonts w:ascii="Calibri" w:eastAsia="Times New Roman" w:hAnsi="Calibri" w:cs="Calibri"/>
          <w:lang w:eastAsia="en-GB"/>
        </w:rPr>
      </w:pPr>
      <w:r w:rsidRPr="00CB28D1">
        <w:rPr>
          <w:rFonts w:ascii="Calibri" w:eastAsia="Times New Roman" w:hAnsi="Calibri" w:cs="Calibri"/>
          <w:lang w:eastAsia="en-GB"/>
        </w:rPr>
        <w:t xml:space="preserve">Even though youth gangs and criminal exploitation are nothing new, violence rates have reached record highs, and experts are learning about organised crime types in which the targeting and exploitation of weak children and adults is at the core. </w:t>
      </w:r>
    </w:p>
    <w:p w14:paraId="15AE5623" w14:textId="77777777" w:rsidR="00051888" w:rsidRPr="00CB28D1" w:rsidRDefault="00051888" w:rsidP="00051888">
      <w:pPr>
        <w:suppressAutoHyphens/>
        <w:autoSpaceDN w:val="0"/>
        <w:spacing w:after="0" w:line="240" w:lineRule="auto"/>
        <w:rPr>
          <w:rFonts w:ascii="Calibri" w:eastAsia="Times New Roman" w:hAnsi="Calibri" w:cs="Calibri"/>
          <w:lang w:eastAsia="en-GB"/>
        </w:rPr>
      </w:pPr>
    </w:p>
    <w:p w14:paraId="5C2B39A1" w14:textId="77777777" w:rsidR="00051888" w:rsidRPr="00CB28D1" w:rsidRDefault="00051888" w:rsidP="00051888">
      <w:pPr>
        <w:suppressAutoHyphens/>
        <w:autoSpaceDN w:val="0"/>
        <w:spacing w:after="0" w:line="240" w:lineRule="auto"/>
        <w:rPr>
          <w:rFonts w:ascii="Calibri" w:eastAsia="Times New Roman" w:hAnsi="Calibri" w:cs="Calibri"/>
          <w:lang w:eastAsia="en-GB"/>
        </w:rPr>
      </w:pPr>
      <w:r w:rsidRPr="00CB28D1">
        <w:rPr>
          <w:rFonts w:ascii="Calibri" w:eastAsia="Times New Roman" w:hAnsi="Calibri" w:cs="Calibri"/>
          <w:lang w:eastAsia="en-GB"/>
        </w:rPr>
        <w:t xml:space="preserve">When support and interaction are not maintained, older children and young adults may be singled out for exploitation and cuckooing. Although local governments and non-profit organisations can offer float support, budget cuts and other factors frequently prevent them from doing so. </w:t>
      </w:r>
    </w:p>
    <w:p w14:paraId="014EC92F" w14:textId="77777777" w:rsidR="00051888" w:rsidRPr="00CB28D1" w:rsidRDefault="00051888" w:rsidP="00051888">
      <w:pPr>
        <w:suppressAutoHyphens/>
        <w:autoSpaceDN w:val="0"/>
        <w:spacing w:after="0" w:line="240" w:lineRule="auto"/>
        <w:rPr>
          <w:rFonts w:ascii="Calibri" w:eastAsia="Times New Roman" w:hAnsi="Calibri" w:cs="Calibri"/>
          <w:lang w:eastAsia="en-GB"/>
        </w:rPr>
      </w:pPr>
      <w:r w:rsidRPr="00CB28D1">
        <w:rPr>
          <w:rFonts w:ascii="Calibri" w:eastAsia="Times New Roman" w:hAnsi="Calibri" w:cs="Calibri"/>
          <w:lang w:eastAsia="en-GB"/>
        </w:rPr>
        <w:t>While all young people run the risk of being taken advantage of or drawn into criminal activity, the risks are significantly higher for those without a secure place to live.</w:t>
      </w:r>
    </w:p>
    <w:p w14:paraId="4688AE92" w14:textId="77777777" w:rsidR="00051888" w:rsidRPr="00CB28D1" w:rsidRDefault="00051888" w:rsidP="00051888">
      <w:pPr>
        <w:suppressAutoHyphens/>
        <w:autoSpaceDN w:val="0"/>
        <w:spacing w:after="0" w:line="240" w:lineRule="auto"/>
        <w:rPr>
          <w:rFonts w:ascii="Calibri" w:eastAsia="Times New Roman" w:hAnsi="Calibri" w:cs="Calibri"/>
          <w:lang w:eastAsia="en-GB"/>
        </w:rPr>
      </w:pPr>
    </w:p>
    <w:p w14:paraId="049DEE1C" w14:textId="77777777" w:rsidR="00051888" w:rsidRPr="00CB28D1" w:rsidRDefault="00051888" w:rsidP="00051888">
      <w:pPr>
        <w:suppressAutoHyphens/>
        <w:autoSpaceDN w:val="0"/>
        <w:spacing w:after="0" w:line="240" w:lineRule="auto"/>
        <w:rPr>
          <w:rFonts w:ascii="Calibri" w:eastAsia="Times New Roman" w:hAnsi="Calibri" w:cs="Calibri"/>
          <w:lang w:eastAsia="en-GB"/>
        </w:rPr>
      </w:pPr>
      <w:r w:rsidRPr="00CB28D1">
        <w:rPr>
          <w:rFonts w:ascii="Calibri" w:eastAsia="Times New Roman" w:hAnsi="Calibri" w:cs="Calibri"/>
          <w:lang w:eastAsia="en-GB"/>
        </w:rPr>
        <w:t>Some of these programmes are:</w:t>
      </w:r>
    </w:p>
    <w:p w14:paraId="39C469A9" w14:textId="77777777" w:rsidR="00051888" w:rsidRPr="00CB28D1" w:rsidRDefault="00051888" w:rsidP="00051888">
      <w:pPr>
        <w:suppressAutoHyphens/>
        <w:autoSpaceDN w:val="0"/>
        <w:spacing w:after="0" w:line="240" w:lineRule="auto"/>
        <w:rPr>
          <w:rFonts w:ascii="Calibri" w:eastAsia="Times New Roman" w:hAnsi="Calibri" w:cs="Calibri"/>
          <w:lang w:eastAsia="en-GB"/>
        </w:rPr>
      </w:pPr>
      <w:r w:rsidRPr="00CB28D1">
        <w:rPr>
          <w:rFonts w:ascii="Calibri" w:eastAsia="Times New Roman" w:hAnsi="Calibri" w:cs="Calibri"/>
          <w:lang w:eastAsia="en-GB"/>
        </w:rPr>
        <w:t>Mentoring: This is the process of enlisting a reliable adult to help the next generation navigate the formative years of their lives and the nuances of right and wrong. According to one of the 350 programmes, if the mentors are well-trained and committed to the job long-term, it can be very successful in the support systems.</w:t>
      </w:r>
    </w:p>
    <w:p w14:paraId="3F1648CB" w14:textId="77777777" w:rsidR="00051888" w:rsidRPr="00CB28D1" w:rsidRDefault="00051888" w:rsidP="00051888">
      <w:pPr>
        <w:suppressAutoHyphens/>
        <w:autoSpaceDN w:val="0"/>
        <w:spacing w:after="0" w:line="240" w:lineRule="auto"/>
        <w:rPr>
          <w:rFonts w:ascii="Calibri" w:eastAsia="Times New Roman" w:hAnsi="Calibri" w:cs="Calibri"/>
          <w:lang w:eastAsia="en-GB"/>
        </w:rPr>
      </w:pPr>
    </w:p>
    <w:p w14:paraId="54F369C3" w14:textId="77777777" w:rsidR="00051888" w:rsidRPr="00CB28D1" w:rsidRDefault="00051888" w:rsidP="00051888">
      <w:pPr>
        <w:suppressAutoHyphens/>
        <w:autoSpaceDN w:val="0"/>
        <w:spacing w:after="0" w:line="240" w:lineRule="auto"/>
        <w:rPr>
          <w:rFonts w:ascii="Calibri" w:eastAsia="Times New Roman" w:hAnsi="Calibri" w:cs="Calibri"/>
          <w:lang w:eastAsia="en-GB"/>
        </w:rPr>
      </w:pPr>
      <w:r w:rsidRPr="00CB28D1">
        <w:rPr>
          <w:rFonts w:ascii="Calibri" w:eastAsia="Times New Roman" w:hAnsi="Calibri" w:cs="Calibri"/>
          <w:lang w:eastAsia="en-GB"/>
        </w:rPr>
        <w:t>Specialized Children's Service - An illustration of this would be where child support agencies would find some additional financial support to the families of the young people who had been domestic abuse victims. In one of their types of research, they discovered that this resulted in an enormous decline in the number of crimes committed, from 25% to 7%.</w:t>
      </w:r>
    </w:p>
    <w:p w14:paraId="192D4BC3" w14:textId="77777777" w:rsidR="00051888" w:rsidRPr="00CB28D1" w:rsidRDefault="00051888" w:rsidP="00051888">
      <w:pPr>
        <w:suppressAutoHyphens/>
        <w:autoSpaceDN w:val="0"/>
        <w:spacing w:after="0" w:line="240" w:lineRule="auto"/>
        <w:rPr>
          <w:rFonts w:ascii="Calibri" w:eastAsia="Times New Roman" w:hAnsi="Calibri" w:cs="Calibri"/>
          <w:lang w:eastAsia="en-GB"/>
        </w:rPr>
      </w:pPr>
    </w:p>
    <w:p w14:paraId="79C03D38" w14:textId="77777777" w:rsidR="00051888" w:rsidRPr="00CB28D1" w:rsidRDefault="00051888" w:rsidP="00051888">
      <w:pPr>
        <w:suppressAutoHyphens/>
        <w:autoSpaceDN w:val="0"/>
        <w:spacing w:after="0" w:line="240" w:lineRule="auto"/>
        <w:rPr>
          <w:rFonts w:ascii="Calibri" w:eastAsia="Times New Roman" w:hAnsi="Calibri" w:cs="Calibri"/>
          <w:lang w:eastAsia="en-GB"/>
        </w:rPr>
      </w:pPr>
      <w:r w:rsidRPr="00CB28D1">
        <w:rPr>
          <w:rFonts w:ascii="Calibri" w:eastAsia="Times New Roman" w:hAnsi="Calibri" w:cs="Calibri"/>
          <w:lang w:eastAsia="en-GB"/>
        </w:rPr>
        <w:t>The Troubled Families Programme – Under this scheme, a support worker would be assigned to the households of children who were at risk of reoffending. The purpose of this programme is to provide kids the best chance to take advantage of job and community possibilities in their area.</w:t>
      </w:r>
    </w:p>
    <w:p w14:paraId="5EF99530" w14:textId="77777777" w:rsidR="00051888" w:rsidRPr="00CB28D1" w:rsidRDefault="00051888" w:rsidP="00051888">
      <w:pPr>
        <w:suppressAutoHyphens/>
        <w:autoSpaceDN w:val="0"/>
        <w:spacing w:after="0" w:line="240" w:lineRule="auto"/>
        <w:rPr>
          <w:rFonts w:ascii="Calibri" w:eastAsia="Times New Roman" w:hAnsi="Calibri" w:cs="Calibri"/>
          <w:lang w:eastAsia="en-GB"/>
        </w:rPr>
      </w:pPr>
    </w:p>
    <w:p w14:paraId="27DD386B" w14:textId="77777777" w:rsidR="00051888" w:rsidRDefault="00051888" w:rsidP="00051888">
      <w:pPr>
        <w:suppressAutoHyphens/>
        <w:autoSpaceDN w:val="0"/>
        <w:spacing w:after="0" w:line="240" w:lineRule="auto"/>
        <w:rPr>
          <w:rFonts w:ascii="Calibri" w:eastAsia="Times New Roman" w:hAnsi="Calibri" w:cs="Calibri"/>
          <w:lang w:eastAsia="en-GB"/>
        </w:rPr>
      </w:pPr>
      <w:r w:rsidRPr="00CB28D1">
        <w:rPr>
          <w:rFonts w:ascii="Calibri" w:eastAsia="Times New Roman" w:hAnsi="Calibri" w:cs="Calibri"/>
          <w:lang w:eastAsia="en-GB"/>
        </w:rPr>
        <w:t xml:space="preserve">Our Serious Organised Crime Intervention Service – It is the first of its type, making this programme historic. This programme uses peer mentors to assist young people who run the danger of joining organised crime. One youngster who received support from the programme had committed nearly 600 offences and has not committed another offence since receiving that support. </w:t>
      </w:r>
    </w:p>
    <w:p w14:paraId="6CCA1C83" w14:textId="77777777" w:rsidR="00051888" w:rsidRDefault="00051888" w:rsidP="00051888">
      <w:pPr>
        <w:suppressAutoHyphens/>
        <w:autoSpaceDN w:val="0"/>
        <w:spacing w:after="0" w:line="240" w:lineRule="auto"/>
        <w:rPr>
          <w:rFonts w:ascii="Calibri" w:eastAsia="Times New Roman" w:hAnsi="Calibri" w:cs="Calibri"/>
          <w:lang w:eastAsia="en-GB"/>
        </w:rPr>
      </w:pPr>
    </w:p>
    <w:p w14:paraId="20B4BDE9" w14:textId="77777777" w:rsidR="00051888" w:rsidRPr="00CB28D1" w:rsidRDefault="00051888" w:rsidP="00051888">
      <w:pPr>
        <w:suppressAutoHyphens/>
        <w:autoSpaceDN w:val="0"/>
        <w:spacing w:after="0" w:line="240" w:lineRule="auto"/>
        <w:rPr>
          <w:rFonts w:ascii="Calibri" w:eastAsia="Times New Roman" w:hAnsi="Calibri" w:cs="Calibri"/>
          <w:lang w:eastAsia="en-GB"/>
        </w:rPr>
      </w:pPr>
      <w:r w:rsidRPr="00CB28D1">
        <w:rPr>
          <w:rFonts w:ascii="Calibri" w:eastAsia="Times New Roman" w:hAnsi="Calibri" w:cs="Calibri"/>
          <w:lang w:eastAsia="en-GB"/>
        </w:rPr>
        <w:t>They also offered these programmes to high-risk 11 to 18-year-olds in Glasgow, Edinburgh, Newcastle, and Cardiff. For young people who believe that they are being overlooked by conventional support, early intervention can drastically transform their life. This initiative has the potential to change communities as well. For instance, over the course of just six months in Glasgow, this programme managed to save the city council more than half a million pounds. Only four of the 49 young people who received assistance from the agency in the six months continued to commit crimes, which is a remarkable success rate.</w:t>
      </w:r>
    </w:p>
    <w:p w14:paraId="50E651E9" w14:textId="77777777" w:rsidR="00051888" w:rsidRPr="00CB28D1" w:rsidRDefault="00051888" w:rsidP="00051888">
      <w:pPr>
        <w:suppressAutoHyphens/>
        <w:autoSpaceDN w:val="0"/>
        <w:spacing w:after="0" w:line="240" w:lineRule="auto"/>
        <w:rPr>
          <w:rFonts w:ascii="Calibri" w:eastAsia="Times New Roman" w:hAnsi="Calibri" w:cs="Calibri"/>
          <w:lang w:eastAsia="en-GB"/>
        </w:rPr>
      </w:pPr>
    </w:p>
    <w:p w14:paraId="2EE12F50" w14:textId="77777777" w:rsidR="00051888" w:rsidRPr="00CB28D1" w:rsidRDefault="00051888" w:rsidP="00051888">
      <w:pPr>
        <w:suppressAutoHyphens/>
        <w:autoSpaceDN w:val="0"/>
        <w:spacing w:after="0" w:line="240" w:lineRule="auto"/>
        <w:rPr>
          <w:rFonts w:ascii="Calibri" w:eastAsia="Times New Roman" w:hAnsi="Calibri" w:cs="Calibri"/>
          <w:lang w:eastAsia="en-GB"/>
        </w:rPr>
      </w:pPr>
      <w:r w:rsidRPr="00CB28D1">
        <w:rPr>
          <w:rFonts w:ascii="Calibri" w:eastAsia="Times New Roman" w:hAnsi="Calibri" w:cs="Calibri"/>
          <w:lang w:eastAsia="en-GB"/>
        </w:rPr>
        <w:lastRenderedPageBreak/>
        <w:t>Police – All police officers are responsible for early crime prevention for children, but we also have specialised Crime Prevention Officers (CPO) who may offer further guidance to families and children. Victim, offender, and the scene of the crime should always be taken into consideration while analysing a crime.</w:t>
      </w:r>
    </w:p>
    <w:p w14:paraId="0FE0D779" w14:textId="77777777" w:rsidR="00051888" w:rsidRPr="00CB28D1" w:rsidRDefault="00051888" w:rsidP="00051888">
      <w:pPr>
        <w:suppressAutoHyphens/>
        <w:autoSpaceDN w:val="0"/>
        <w:spacing w:after="0" w:line="240" w:lineRule="auto"/>
        <w:rPr>
          <w:rFonts w:ascii="Calibri" w:eastAsia="Times New Roman" w:hAnsi="Calibri" w:cs="Calibri"/>
          <w:lang w:eastAsia="en-GB"/>
        </w:rPr>
      </w:pPr>
    </w:p>
    <w:p w14:paraId="3FB6F468" w14:textId="77777777" w:rsidR="00051888" w:rsidRPr="00CB28D1" w:rsidRDefault="00051888" w:rsidP="00051888">
      <w:pPr>
        <w:suppressAutoHyphens/>
        <w:autoSpaceDN w:val="0"/>
        <w:spacing w:after="0" w:line="240" w:lineRule="auto"/>
        <w:rPr>
          <w:rFonts w:ascii="Calibri" w:eastAsia="Times New Roman" w:hAnsi="Calibri" w:cs="Calibri"/>
          <w:lang w:eastAsia="en-GB"/>
        </w:rPr>
      </w:pPr>
    </w:p>
    <w:p w14:paraId="68CAFD24" w14:textId="77777777" w:rsidR="00051888" w:rsidRDefault="00051888" w:rsidP="00051888">
      <w:pPr>
        <w:suppressAutoHyphens/>
        <w:autoSpaceDN w:val="0"/>
        <w:spacing w:after="0" w:line="240" w:lineRule="auto"/>
        <w:rPr>
          <w:rFonts w:ascii="Calibri" w:eastAsia="Times New Roman" w:hAnsi="Calibri" w:cs="Calibri"/>
          <w:lang w:eastAsia="en-GB"/>
        </w:rPr>
      </w:pPr>
      <w:r w:rsidRPr="00CB28D1">
        <w:rPr>
          <w:rFonts w:ascii="Calibri" w:eastAsia="Times New Roman" w:hAnsi="Calibri" w:cs="Calibri"/>
          <w:lang w:eastAsia="en-GB"/>
        </w:rPr>
        <w:t>There are numerous elements where the police can get in involved and give early intervention to the younger people one of them would be Child Sexual Exploitation (CSE).  According to the NSPCC “there are key ‘sensitive periods’ during early childhood and adolescence where children and young people’s where children and young people’s brains are mor affected by positive or negative experiences (NSPCC, 2019)</w:t>
      </w:r>
      <w:r>
        <w:rPr>
          <w:rFonts w:ascii="Calibri" w:eastAsia="Times New Roman" w:hAnsi="Calibri" w:cs="Calibri"/>
          <w:lang w:eastAsia="en-GB"/>
        </w:rPr>
        <w:t xml:space="preserve">. </w:t>
      </w:r>
    </w:p>
    <w:p w14:paraId="4E5E333B" w14:textId="77777777" w:rsidR="00051888" w:rsidRDefault="00051888" w:rsidP="00051888">
      <w:pPr>
        <w:suppressAutoHyphens/>
        <w:autoSpaceDN w:val="0"/>
        <w:spacing w:after="0" w:line="240" w:lineRule="auto"/>
        <w:rPr>
          <w:rFonts w:ascii="Calibri" w:eastAsia="Times New Roman" w:hAnsi="Calibri" w:cs="Calibri"/>
          <w:lang w:eastAsia="en-GB"/>
        </w:rPr>
      </w:pPr>
    </w:p>
    <w:p w14:paraId="0EE04085" w14:textId="77777777" w:rsidR="00051888" w:rsidRPr="00CB28D1" w:rsidRDefault="00051888" w:rsidP="00051888">
      <w:pPr>
        <w:suppressAutoHyphens/>
        <w:autoSpaceDN w:val="0"/>
        <w:spacing w:after="0" w:line="240" w:lineRule="auto"/>
        <w:rPr>
          <w:rFonts w:ascii="Calibri" w:eastAsia="Times New Roman" w:hAnsi="Calibri" w:cs="Calibri"/>
          <w:lang w:eastAsia="en-GB"/>
        </w:rPr>
      </w:pPr>
      <w:r w:rsidRPr="00CB28D1">
        <w:rPr>
          <w:rFonts w:ascii="Calibri" w:eastAsia="Times New Roman" w:hAnsi="Calibri" w:cs="Calibri"/>
          <w:lang w:eastAsia="en-GB"/>
        </w:rPr>
        <w:t xml:space="preserve">What happens in a child or young person’s life during these periods can have a significant effect on their brain development. Positive experiences throughout childhood help to build healthy brains, while experiencing childhood trauma and abuse can harm a child’s brain development (Shonkoff et al, 2015)” </w:t>
      </w:r>
    </w:p>
    <w:p w14:paraId="4C17D8E0" w14:textId="77777777" w:rsidR="00051888" w:rsidRPr="00CB28D1" w:rsidRDefault="00051888" w:rsidP="00051888">
      <w:pPr>
        <w:suppressAutoHyphens/>
        <w:autoSpaceDN w:val="0"/>
        <w:spacing w:after="0" w:line="240" w:lineRule="auto"/>
        <w:rPr>
          <w:rFonts w:ascii="Calibri" w:eastAsia="Times New Roman" w:hAnsi="Calibri" w:cs="Calibri"/>
          <w:lang w:eastAsia="en-GB"/>
        </w:rPr>
      </w:pPr>
      <w:r w:rsidRPr="00CB28D1">
        <w:rPr>
          <w:rFonts w:ascii="Calibri" w:eastAsia="Times New Roman" w:hAnsi="Calibri" w:cs="Calibri"/>
          <w:lang w:eastAsia="en-GB"/>
        </w:rPr>
        <w:t>Children who experience traumatic events as a result—such as sexual assaults, domestic violence, or drug abuse—may grow up to be vulnerable to exploitation or even to act as a perpetrator of exploitation.</w:t>
      </w:r>
    </w:p>
    <w:p w14:paraId="49E7E9CF" w14:textId="77777777" w:rsidR="00051888" w:rsidRPr="00CB28D1" w:rsidRDefault="00051888" w:rsidP="00051888">
      <w:pPr>
        <w:suppressAutoHyphens/>
        <w:autoSpaceDN w:val="0"/>
        <w:spacing w:after="0" w:line="240" w:lineRule="auto"/>
        <w:rPr>
          <w:rFonts w:ascii="Calibri" w:eastAsia="Times New Roman" w:hAnsi="Calibri" w:cs="Calibri"/>
          <w:lang w:eastAsia="en-GB"/>
        </w:rPr>
      </w:pPr>
    </w:p>
    <w:p w14:paraId="61017B45" w14:textId="77777777" w:rsidR="00051888" w:rsidRPr="00CB28D1" w:rsidRDefault="00051888" w:rsidP="00051888">
      <w:pPr>
        <w:suppressAutoHyphens/>
        <w:autoSpaceDN w:val="0"/>
        <w:spacing w:after="0" w:line="240" w:lineRule="auto"/>
        <w:rPr>
          <w:rFonts w:ascii="Calibri" w:eastAsia="Times New Roman" w:hAnsi="Calibri" w:cs="Calibri"/>
          <w:lang w:eastAsia="en-GB"/>
        </w:rPr>
      </w:pPr>
    </w:p>
    <w:p w14:paraId="10E2F470" w14:textId="77777777" w:rsidR="00051888" w:rsidRPr="00CB28D1" w:rsidRDefault="00051888" w:rsidP="00051888">
      <w:pPr>
        <w:suppressAutoHyphens/>
        <w:autoSpaceDN w:val="0"/>
        <w:spacing w:after="0" w:line="240" w:lineRule="auto"/>
        <w:rPr>
          <w:rFonts w:ascii="Calibri" w:eastAsia="Times New Roman" w:hAnsi="Calibri" w:cs="Calibri"/>
          <w:lang w:eastAsia="en-GB"/>
        </w:rPr>
      </w:pPr>
      <w:r w:rsidRPr="004755A1">
        <w:rPr>
          <w:rFonts w:ascii="Calibri" w:eastAsia="Times New Roman" w:hAnsi="Calibri" w:cs="Calibri"/>
          <w:lang w:eastAsia="en-GB"/>
        </w:rPr>
        <w:t>A growing body of evidence demonstrates that early intervention can be effective in achieving significant reductions in crime involvement, child maltreatment and substance abuse, and improvements in educational performance, employment, child and youth behaviour, and income (</w:t>
      </w:r>
      <w:proofErr w:type="spellStart"/>
      <w:r w:rsidRPr="004755A1">
        <w:rPr>
          <w:rFonts w:ascii="Calibri" w:eastAsia="Times New Roman" w:hAnsi="Calibri" w:cs="Calibri"/>
          <w:lang w:eastAsia="en-GB"/>
        </w:rPr>
        <w:t>Homel</w:t>
      </w:r>
      <w:proofErr w:type="spellEnd"/>
      <w:r w:rsidRPr="004755A1">
        <w:rPr>
          <w:rFonts w:ascii="Calibri" w:eastAsia="Times New Roman" w:hAnsi="Calibri" w:cs="Calibri"/>
          <w:lang w:eastAsia="en-GB"/>
        </w:rPr>
        <w:t xml:space="preserve"> 2005)</w:t>
      </w:r>
    </w:p>
    <w:p w14:paraId="6DC83584" w14:textId="77777777" w:rsidR="00051888" w:rsidRDefault="00051888" w:rsidP="00051888">
      <w:pPr>
        <w:suppressAutoHyphens/>
        <w:autoSpaceDN w:val="0"/>
        <w:spacing w:after="0" w:line="240" w:lineRule="auto"/>
        <w:rPr>
          <w:rFonts w:ascii="Calibri" w:eastAsia="Times New Roman" w:hAnsi="Calibri" w:cs="Calibri"/>
          <w:lang w:eastAsia="en-GB"/>
        </w:rPr>
      </w:pPr>
    </w:p>
    <w:p w14:paraId="34B9F813" w14:textId="77777777" w:rsidR="00051888" w:rsidRDefault="00051888" w:rsidP="00051888">
      <w:pPr>
        <w:suppressAutoHyphens/>
        <w:autoSpaceDN w:val="0"/>
        <w:spacing w:after="0" w:line="240" w:lineRule="auto"/>
        <w:rPr>
          <w:rFonts w:ascii="Calibri" w:eastAsia="Times New Roman" w:hAnsi="Calibri" w:cs="Calibri"/>
          <w:lang w:eastAsia="en-GB"/>
        </w:rPr>
      </w:pPr>
      <w:r w:rsidRPr="004755A1">
        <w:rPr>
          <w:rFonts w:ascii="Calibri" w:eastAsia="Times New Roman" w:hAnsi="Calibri" w:cs="Calibri"/>
          <w:lang w:eastAsia="en-GB"/>
        </w:rPr>
        <w:t xml:space="preserve">These results should not be interpreted as meaning that early intervention projects are guaranteed success. At least one study has demonstrated long term negative outcomes for participants (cited in </w:t>
      </w:r>
      <w:proofErr w:type="spellStart"/>
      <w:r w:rsidRPr="004755A1">
        <w:rPr>
          <w:rFonts w:ascii="Calibri" w:eastAsia="Times New Roman" w:hAnsi="Calibri" w:cs="Calibri"/>
          <w:lang w:eastAsia="en-GB"/>
        </w:rPr>
        <w:t>Homel</w:t>
      </w:r>
      <w:proofErr w:type="spellEnd"/>
      <w:r w:rsidRPr="004755A1">
        <w:rPr>
          <w:rFonts w:ascii="Calibri" w:eastAsia="Times New Roman" w:hAnsi="Calibri" w:cs="Calibri"/>
          <w:lang w:eastAsia="en-GB"/>
        </w:rPr>
        <w:t xml:space="preserve"> 2005). </w:t>
      </w:r>
    </w:p>
    <w:p w14:paraId="5D6EB2C3" w14:textId="77777777" w:rsidR="00051888" w:rsidRDefault="00051888" w:rsidP="00051888">
      <w:pPr>
        <w:suppressAutoHyphens/>
        <w:autoSpaceDN w:val="0"/>
        <w:spacing w:after="0" w:line="240" w:lineRule="auto"/>
        <w:rPr>
          <w:rFonts w:ascii="Calibri" w:eastAsia="Times New Roman" w:hAnsi="Calibri" w:cs="Calibri"/>
          <w:lang w:eastAsia="en-GB"/>
        </w:rPr>
      </w:pPr>
    </w:p>
    <w:p w14:paraId="7ACCD614" w14:textId="77777777" w:rsidR="00051888" w:rsidRDefault="00051888" w:rsidP="00051888">
      <w:pPr>
        <w:suppressAutoHyphens/>
        <w:autoSpaceDN w:val="0"/>
        <w:spacing w:after="0" w:line="240" w:lineRule="auto"/>
        <w:rPr>
          <w:rFonts w:ascii="Calibri" w:eastAsia="Times New Roman" w:hAnsi="Calibri" w:cs="Calibri"/>
          <w:lang w:eastAsia="en-GB"/>
        </w:rPr>
      </w:pPr>
      <w:r w:rsidRPr="004755A1">
        <w:rPr>
          <w:rFonts w:ascii="Calibri" w:eastAsia="Times New Roman" w:hAnsi="Calibri" w:cs="Calibri"/>
          <w:lang w:eastAsia="en-GB"/>
        </w:rPr>
        <w:t>Also, despite the increased popularity of early intervention as a crime prevention strategy with promising results, evidence of long-term cost effectiveness is limited to a small number of overseas studies. One of the problems of trying to evaluate early intervention is that many of the anticipated benefits will not become evident until later in participants' lives (</w:t>
      </w:r>
      <w:proofErr w:type="spellStart"/>
      <w:r w:rsidRPr="004755A1">
        <w:rPr>
          <w:rFonts w:ascii="Calibri" w:eastAsia="Times New Roman" w:hAnsi="Calibri" w:cs="Calibri"/>
          <w:lang w:eastAsia="en-GB"/>
        </w:rPr>
        <w:t>Homel</w:t>
      </w:r>
      <w:proofErr w:type="spellEnd"/>
      <w:r w:rsidRPr="004755A1">
        <w:rPr>
          <w:rFonts w:ascii="Calibri" w:eastAsia="Times New Roman" w:hAnsi="Calibri" w:cs="Calibri"/>
          <w:lang w:eastAsia="en-GB"/>
        </w:rPr>
        <w:t xml:space="preserve"> et al. 2006). </w:t>
      </w:r>
    </w:p>
    <w:p w14:paraId="1F3DA50B" w14:textId="77777777" w:rsidR="00051888" w:rsidRDefault="00051888" w:rsidP="00051888">
      <w:pPr>
        <w:suppressAutoHyphens/>
        <w:autoSpaceDN w:val="0"/>
        <w:spacing w:after="0" w:line="240" w:lineRule="auto"/>
        <w:rPr>
          <w:rFonts w:ascii="Calibri" w:eastAsia="Times New Roman" w:hAnsi="Calibri" w:cs="Calibri"/>
          <w:lang w:eastAsia="en-GB"/>
        </w:rPr>
      </w:pPr>
    </w:p>
    <w:p w14:paraId="1AF16081" w14:textId="77777777" w:rsidR="00051888" w:rsidRPr="00CB28D1" w:rsidRDefault="00051888" w:rsidP="00051888">
      <w:pPr>
        <w:suppressAutoHyphens/>
        <w:autoSpaceDN w:val="0"/>
        <w:spacing w:after="0" w:line="240" w:lineRule="auto"/>
        <w:rPr>
          <w:rFonts w:ascii="Calibri" w:eastAsia="Times New Roman" w:hAnsi="Calibri" w:cs="Calibri"/>
          <w:lang w:eastAsia="en-GB"/>
        </w:rPr>
      </w:pPr>
      <w:r w:rsidRPr="004755A1">
        <w:rPr>
          <w:rFonts w:ascii="Calibri" w:eastAsia="Times New Roman" w:hAnsi="Calibri" w:cs="Calibri"/>
          <w:lang w:eastAsia="en-GB"/>
        </w:rPr>
        <w:t xml:space="preserve">New methods of measuring the long-term benefits of early intervention projects are required. A future </w:t>
      </w:r>
      <w:proofErr w:type="spellStart"/>
      <w:r w:rsidRPr="004755A1">
        <w:rPr>
          <w:rFonts w:ascii="Calibri" w:eastAsia="Times New Roman" w:hAnsi="Calibri" w:cs="Calibri"/>
          <w:lang w:eastAsia="en-GB"/>
        </w:rPr>
        <w:t>AICrime</w:t>
      </w:r>
      <w:proofErr w:type="spellEnd"/>
      <w:r w:rsidRPr="004755A1">
        <w:rPr>
          <w:rFonts w:ascii="Calibri" w:eastAsia="Times New Roman" w:hAnsi="Calibri" w:cs="Calibri"/>
          <w:lang w:eastAsia="en-GB"/>
        </w:rPr>
        <w:t xml:space="preserve"> reduction matters will provide an overview of the methods and findings of recent Australian research that does just this: the Pathways to Prevention Project.</w:t>
      </w:r>
    </w:p>
    <w:p w14:paraId="390FEF9C" w14:textId="77777777" w:rsidR="00051888" w:rsidRPr="00CB28D1" w:rsidRDefault="00051888" w:rsidP="00051888">
      <w:pPr>
        <w:suppressAutoHyphens/>
        <w:autoSpaceDN w:val="0"/>
        <w:spacing w:after="0" w:line="240" w:lineRule="auto"/>
        <w:rPr>
          <w:rFonts w:ascii="Calibri" w:eastAsia="Times New Roman" w:hAnsi="Calibri" w:cs="Calibri"/>
          <w:lang w:eastAsia="en-GB"/>
        </w:rPr>
      </w:pPr>
    </w:p>
    <w:p w14:paraId="3367F6BC" w14:textId="77777777" w:rsidR="00051888" w:rsidRPr="00CB28D1" w:rsidRDefault="00051888" w:rsidP="00051888">
      <w:pPr>
        <w:suppressAutoHyphens/>
        <w:autoSpaceDN w:val="0"/>
        <w:spacing w:after="0" w:line="240" w:lineRule="auto"/>
        <w:rPr>
          <w:rFonts w:ascii="Calibri" w:eastAsia="Times New Roman" w:hAnsi="Calibri" w:cs="Calibri"/>
          <w:lang w:eastAsia="en-GB"/>
        </w:rPr>
      </w:pPr>
    </w:p>
    <w:p w14:paraId="36715394" w14:textId="77777777" w:rsidR="00051888" w:rsidRPr="00CB28D1" w:rsidRDefault="00051888" w:rsidP="00051888">
      <w:pPr>
        <w:suppressAutoHyphens/>
        <w:autoSpaceDN w:val="0"/>
        <w:spacing w:after="0" w:line="240" w:lineRule="auto"/>
        <w:rPr>
          <w:rFonts w:ascii="Calibri" w:eastAsia="Times New Roman" w:hAnsi="Calibri" w:cs="Calibri"/>
          <w:lang w:eastAsia="en-GB"/>
        </w:rPr>
      </w:pPr>
    </w:p>
    <w:p w14:paraId="294FB67B" w14:textId="77777777" w:rsidR="00051888" w:rsidRDefault="00051888" w:rsidP="00051888">
      <w:pPr>
        <w:suppressAutoHyphens/>
        <w:autoSpaceDN w:val="0"/>
        <w:spacing w:after="0" w:line="240" w:lineRule="auto"/>
        <w:rPr>
          <w:rFonts w:ascii="Calibri" w:eastAsia="Times New Roman" w:hAnsi="Calibri" w:cs="Calibri"/>
          <w:lang w:eastAsia="en-GB"/>
        </w:rPr>
      </w:pPr>
    </w:p>
    <w:p w14:paraId="2D0AF563" w14:textId="77777777" w:rsidR="00051888" w:rsidRDefault="00051888" w:rsidP="00051888">
      <w:pPr>
        <w:suppressAutoHyphens/>
        <w:autoSpaceDN w:val="0"/>
        <w:spacing w:after="0" w:line="240" w:lineRule="auto"/>
        <w:rPr>
          <w:rFonts w:ascii="Calibri" w:eastAsia="Times New Roman" w:hAnsi="Calibri" w:cs="Calibri"/>
          <w:lang w:eastAsia="en-GB"/>
        </w:rPr>
      </w:pPr>
    </w:p>
    <w:p w14:paraId="4ED52A56" w14:textId="77777777" w:rsidR="00051888" w:rsidRDefault="00051888" w:rsidP="00051888">
      <w:pPr>
        <w:suppressAutoHyphens/>
        <w:autoSpaceDN w:val="0"/>
        <w:spacing w:after="0" w:line="240" w:lineRule="auto"/>
        <w:rPr>
          <w:rFonts w:ascii="Calibri" w:eastAsia="Times New Roman" w:hAnsi="Calibri" w:cs="Calibri"/>
          <w:lang w:eastAsia="en-GB"/>
        </w:rPr>
      </w:pPr>
    </w:p>
    <w:p w14:paraId="61B7D036" w14:textId="77777777" w:rsidR="00051888" w:rsidRDefault="00051888" w:rsidP="00051888">
      <w:pPr>
        <w:suppressAutoHyphens/>
        <w:autoSpaceDN w:val="0"/>
        <w:spacing w:after="0" w:line="240" w:lineRule="auto"/>
        <w:rPr>
          <w:rFonts w:ascii="Calibri" w:eastAsia="Times New Roman" w:hAnsi="Calibri" w:cs="Calibri"/>
          <w:lang w:eastAsia="en-GB"/>
        </w:rPr>
      </w:pPr>
    </w:p>
    <w:p w14:paraId="2EE30ED4" w14:textId="77777777" w:rsidR="00051888" w:rsidRDefault="00051888" w:rsidP="00051888">
      <w:pPr>
        <w:suppressAutoHyphens/>
        <w:autoSpaceDN w:val="0"/>
        <w:spacing w:after="0" w:line="240" w:lineRule="auto"/>
        <w:rPr>
          <w:rFonts w:ascii="Calibri" w:eastAsia="Times New Roman" w:hAnsi="Calibri" w:cs="Calibri"/>
          <w:lang w:eastAsia="en-GB"/>
        </w:rPr>
      </w:pPr>
    </w:p>
    <w:p w14:paraId="7A6AEA25" w14:textId="77777777" w:rsidR="00051888" w:rsidRDefault="00051888" w:rsidP="00051888">
      <w:pPr>
        <w:suppressAutoHyphens/>
        <w:autoSpaceDN w:val="0"/>
        <w:spacing w:after="0" w:line="240" w:lineRule="auto"/>
        <w:rPr>
          <w:rFonts w:ascii="Calibri" w:eastAsia="Times New Roman" w:hAnsi="Calibri" w:cs="Calibri"/>
          <w:lang w:eastAsia="en-GB"/>
        </w:rPr>
      </w:pPr>
    </w:p>
    <w:p w14:paraId="542C4534" w14:textId="77777777" w:rsidR="00051888" w:rsidRDefault="00051888" w:rsidP="00051888">
      <w:pPr>
        <w:suppressAutoHyphens/>
        <w:autoSpaceDN w:val="0"/>
        <w:spacing w:after="0" w:line="240" w:lineRule="auto"/>
        <w:rPr>
          <w:rFonts w:ascii="Calibri" w:eastAsia="Times New Roman" w:hAnsi="Calibri" w:cs="Calibri"/>
          <w:lang w:eastAsia="en-GB"/>
        </w:rPr>
      </w:pPr>
    </w:p>
    <w:p w14:paraId="4628F0C6" w14:textId="77777777" w:rsidR="00051888" w:rsidRDefault="00051888" w:rsidP="00051888">
      <w:pPr>
        <w:suppressAutoHyphens/>
        <w:autoSpaceDN w:val="0"/>
        <w:spacing w:after="0" w:line="240" w:lineRule="auto"/>
        <w:rPr>
          <w:rFonts w:ascii="Calibri" w:eastAsia="Times New Roman" w:hAnsi="Calibri" w:cs="Calibri"/>
          <w:lang w:eastAsia="en-GB"/>
        </w:rPr>
      </w:pPr>
    </w:p>
    <w:p w14:paraId="281F5EB5" w14:textId="77777777" w:rsidR="00051888" w:rsidRDefault="00051888" w:rsidP="00051888">
      <w:pPr>
        <w:suppressAutoHyphens/>
        <w:autoSpaceDN w:val="0"/>
        <w:spacing w:after="0" w:line="240" w:lineRule="auto"/>
        <w:rPr>
          <w:rFonts w:ascii="Calibri" w:eastAsia="Times New Roman" w:hAnsi="Calibri" w:cs="Calibri"/>
          <w:lang w:eastAsia="en-GB"/>
        </w:rPr>
      </w:pPr>
    </w:p>
    <w:p w14:paraId="34A020F8" w14:textId="2BA9B206" w:rsidR="00051888" w:rsidRPr="00CB28D1" w:rsidRDefault="00051888" w:rsidP="00051888">
      <w:pPr>
        <w:suppressAutoHyphens/>
        <w:autoSpaceDN w:val="0"/>
        <w:spacing w:after="0" w:line="240" w:lineRule="auto"/>
        <w:rPr>
          <w:rFonts w:ascii="Calibri" w:eastAsia="Times New Roman" w:hAnsi="Calibri" w:cs="Calibri"/>
          <w:lang w:eastAsia="en-GB"/>
        </w:rPr>
      </w:pPr>
      <w:r w:rsidRPr="00CB28D1">
        <w:rPr>
          <w:rFonts w:ascii="Calibri" w:eastAsia="Times New Roman" w:hAnsi="Calibri" w:cs="Calibri"/>
          <w:lang w:eastAsia="en-GB"/>
        </w:rPr>
        <w:t>Ref</w:t>
      </w:r>
      <w:r>
        <w:rPr>
          <w:rFonts w:ascii="Calibri" w:eastAsia="Times New Roman" w:hAnsi="Calibri" w:cs="Calibri"/>
          <w:lang w:eastAsia="en-GB"/>
        </w:rPr>
        <w:t xml:space="preserve">erences </w:t>
      </w:r>
      <w:r w:rsidRPr="00CB28D1">
        <w:rPr>
          <w:rFonts w:ascii="Calibri" w:eastAsia="Times New Roman" w:hAnsi="Calibri" w:cs="Calibri"/>
          <w:lang w:eastAsia="en-GB"/>
        </w:rPr>
        <w:t xml:space="preserve"> - </w:t>
      </w:r>
    </w:p>
    <w:p w14:paraId="7E1D9984" w14:textId="77777777" w:rsidR="00051888" w:rsidRPr="00CB28D1" w:rsidRDefault="00051888" w:rsidP="00051888">
      <w:pPr>
        <w:suppressAutoHyphens/>
        <w:autoSpaceDN w:val="0"/>
        <w:spacing w:after="0" w:line="240" w:lineRule="auto"/>
        <w:rPr>
          <w:rFonts w:ascii="Calibri" w:eastAsia="Times New Roman" w:hAnsi="Calibri" w:cs="Calibri"/>
          <w:lang w:eastAsia="en-GB"/>
        </w:rPr>
      </w:pPr>
    </w:p>
    <w:p w14:paraId="50974B79" w14:textId="77777777" w:rsidR="00051888" w:rsidRPr="00CB28D1" w:rsidRDefault="00051888" w:rsidP="00051888">
      <w:pPr>
        <w:suppressAutoHyphens/>
        <w:autoSpaceDN w:val="0"/>
        <w:spacing w:after="0" w:line="240" w:lineRule="auto"/>
        <w:rPr>
          <w:rFonts w:ascii="Calibri" w:eastAsia="Times New Roman" w:hAnsi="Calibri" w:cs="Calibri"/>
          <w:lang w:eastAsia="en-GB"/>
        </w:rPr>
      </w:pPr>
    </w:p>
    <w:p w14:paraId="573737CC" w14:textId="77777777" w:rsidR="00051888" w:rsidRDefault="00051888" w:rsidP="00051888">
      <w:proofErr w:type="spellStart"/>
      <w:r w:rsidRPr="004755A1">
        <w:t>Homel</w:t>
      </w:r>
      <w:proofErr w:type="spellEnd"/>
      <w:r w:rsidRPr="004755A1">
        <w:t xml:space="preserve"> R 2005. Developmental crime prevention, in Tilley N (ed), Handbook of crime prevention and community safety. Devon: Willan: 71-106</w:t>
      </w:r>
    </w:p>
    <w:p w14:paraId="7C647AF3" w14:textId="77777777" w:rsidR="00051888" w:rsidRDefault="00051888" w:rsidP="00051888">
      <w:r w:rsidRPr="00CB28D1">
        <w:t>GOV.UK. (n.d.). Preventing offending and re-offending by children. [online] Available at: https://www.gov.uk/government/publications/preventing-offending-and-re-offending-by-children.</w:t>
      </w:r>
    </w:p>
    <w:p w14:paraId="35CDC76C" w14:textId="77777777" w:rsidR="00051888" w:rsidRDefault="00051888" w:rsidP="00051888"/>
    <w:p w14:paraId="3268398D" w14:textId="77777777" w:rsidR="00051888" w:rsidRDefault="00051888" w:rsidP="00051888">
      <w:r w:rsidRPr="00CB28D1">
        <w:t xml:space="preserve">Public Health England (2019). Collaborative approaches to preventing offending and re-offending by children (CAPRICORN): summary. [online] GOV.UK. Available at: </w:t>
      </w:r>
      <w:hyperlink r:id="rId10" w:history="1">
        <w:r w:rsidRPr="00CB0A1F">
          <w:rPr>
            <w:rStyle w:val="Hyperlink"/>
            <w:rFonts w:cstheme="minorBidi"/>
          </w:rPr>
          <w:t>https://www.gov.uk/government/publications/preventing-offending-and-re-offending-by-children/collaborative-approaches-to-preventing-offending-and-re-offending-by-children-capricorn-summary</w:t>
        </w:r>
      </w:hyperlink>
      <w:r w:rsidRPr="00CB28D1">
        <w:t>.</w:t>
      </w:r>
    </w:p>
    <w:p w14:paraId="63749C5B" w14:textId="77777777" w:rsidR="00051888" w:rsidRDefault="00051888" w:rsidP="00051888">
      <w:r w:rsidRPr="00CB28D1">
        <w:t>NSPCC (2019). Early Help (or Early intervention). [online] NSPCC Learning. Available at: https://learning.nspcc.org.uk/safeguarding-child-protection/early-help-early-intervention.</w:t>
      </w:r>
    </w:p>
    <w:p w14:paraId="0B9F2980" w14:textId="77777777" w:rsidR="00051888" w:rsidRDefault="00051888" w:rsidP="00051888">
      <w:proofErr w:type="spellStart"/>
      <w:r>
        <w:t>Homel</w:t>
      </w:r>
      <w:proofErr w:type="spellEnd"/>
      <w:r>
        <w:t xml:space="preserve"> R et al. 2006. The Pathways to Prevention Project: the first five years, 1999-2004. Sydney: Mission Australia and the Key Centre for Ethics, Law, Justice &amp; Governance, Griffith University</w:t>
      </w:r>
    </w:p>
    <w:p w14:paraId="7407D030" w14:textId="77777777" w:rsidR="00051888" w:rsidRDefault="00051888" w:rsidP="00051888">
      <w:proofErr w:type="spellStart"/>
      <w:r>
        <w:t>Schweinhart</w:t>
      </w:r>
      <w:proofErr w:type="spellEnd"/>
      <w:r>
        <w:t xml:space="preserve"> LJ 2004. The High/Scope Perry Preschool Study through age 40: summary, conclusions, and frequently asked questions. Ypsilanti MI: High/Scope Educational Research Foundation</w:t>
      </w:r>
    </w:p>
    <w:p w14:paraId="3629BAEA" w14:textId="79F47EB8" w:rsidR="00051888" w:rsidRDefault="00051888"/>
    <w:p w14:paraId="33AE3F46" w14:textId="56810704" w:rsidR="00051888" w:rsidRDefault="00051888"/>
    <w:p w14:paraId="2EF70650" w14:textId="55B9E714" w:rsidR="00051888" w:rsidRDefault="00051888"/>
    <w:p w14:paraId="57E2D70F" w14:textId="346150C3" w:rsidR="00051888" w:rsidRDefault="00051888"/>
    <w:p w14:paraId="14641B6A" w14:textId="5F7C6B6D" w:rsidR="00051888" w:rsidRDefault="00051888"/>
    <w:p w14:paraId="43321E19" w14:textId="74B97554" w:rsidR="00051888" w:rsidRDefault="00051888"/>
    <w:p w14:paraId="09D705F7" w14:textId="190C7E52" w:rsidR="00051888" w:rsidRDefault="00051888"/>
    <w:p w14:paraId="0F56BC00" w14:textId="0D7705EC" w:rsidR="00051888" w:rsidRDefault="00051888"/>
    <w:p w14:paraId="2A2AF1DF" w14:textId="4C8DC842" w:rsidR="00051888" w:rsidRDefault="00051888"/>
    <w:p w14:paraId="76487A6B" w14:textId="558D5108" w:rsidR="00051888" w:rsidRDefault="00051888"/>
    <w:p w14:paraId="296A8AFB" w14:textId="77628850" w:rsidR="00051888" w:rsidRDefault="00051888"/>
    <w:p w14:paraId="1A1449B2" w14:textId="175BE30B" w:rsidR="00051888" w:rsidRDefault="00051888"/>
    <w:p w14:paraId="3B21EB5F" w14:textId="1F4F7534" w:rsidR="00051888" w:rsidRDefault="00051888"/>
    <w:p w14:paraId="46500FA0" w14:textId="08744EC3" w:rsidR="00051888" w:rsidRDefault="00051888"/>
    <w:p w14:paraId="7C7C8185"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r w:rsidRPr="00051888">
        <w:rPr>
          <w:rFonts w:ascii="Calibri" w:eastAsia="Times New Roman" w:hAnsi="Calibri" w:cs="Calibri"/>
          <w:lang w:eastAsia="en-GB"/>
        </w:rPr>
        <w:lastRenderedPageBreak/>
        <w:t xml:space="preserve">Essay four: Are partnership approaches the most effective means of rehabilitating offenders? </w:t>
      </w:r>
    </w:p>
    <w:p w14:paraId="4F81BC3C"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3F1F1972"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r w:rsidRPr="00051888">
        <w:rPr>
          <w:rFonts w:ascii="Calibri" w:eastAsia="Times New Roman" w:hAnsi="Calibri" w:cs="Calibri"/>
          <w:lang w:eastAsia="en-GB"/>
        </w:rPr>
        <w:t xml:space="preserve">Partnership approaches to rehabilitation involve collaboration between different organizations and agencies to provide support and services to offenders. </w:t>
      </w:r>
    </w:p>
    <w:p w14:paraId="2720077A"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12CB9DBA"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r w:rsidRPr="00051888">
        <w:rPr>
          <w:rFonts w:ascii="Calibri" w:eastAsia="Times New Roman" w:hAnsi="Calibri" w:cs="Calibri"/>
          <w:lang w:eastAsia="en-GB"/>
        </w:rPr>
        <w:t>These approaches are based on the principle that effective rehabilitation requires a coordinated and comprehensive approach, which addresses the complex needs of offenders. While partnership approaches have become increasingly popular in recent years, there is debate about their effectiveness in reducing re-offending rates. This essay will explore the evidence for partnership approaches and consider their effectiveness in rehabilitating offenders.</w:t>
      </w:r>
    </w:p>
    <w:p w14:paraId="286EAA36"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38849197"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50D21BA1"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r w:rsidRPr="00051888">
        <w:rPr>
          <w:rFonts w:ascii="Calibri" w:eastAsia="Times New Roman" w:hAnsi="Calibri" w:cs="Calibri"/>
          <w:lang w:eastAsia="en-GB"/>
        </w:rPr>
        <w:t>The community that the prisoner will return to after release stands to gain greatly from the rehabilitation of each individual prisoner. Rehabilitative options for prisoners differ depending on the facility, the offence, and the length of the sentence. The type of rehabilitation that convict may respond to can vary, just like the reason for their incarceration does for each individual prisoner.</w:t>
      </w:r>
    </w:p>
    <w:p w14:paraId="277ADE29"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2FA9893C"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r w:rsidRPr="00051888">
        <w:rPr>
          <w:rFonts w:ascii="Calibri" w:eastAsia="Times New Roman" w:hAnsi="Calibri" w:cs="Calibri"/>
          <w:lang w:eastAsia="en-GB"/>
        </w:rPr>
        <w:t>The foundation of many partnership strategies is the idea that no one agency can effectively address complicated issues relating to public safety and crime. A partnership approach can be defined in a variety of ways, but it can be summarised as a cooperative relationship between two or more organisations working together to achieve a common objective.</w:t>
      </w:r>
    </w:p>
    <w:p w14:paraId="1602A16F"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7DF7E29B"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r w:rsidRPr="00051888">
        <w:rPr>
          <w:rFonts w:ascii="Calibri" w:eastAsia="Times New Roman" w:hAnsi="Calibri" w:cs="Calibri"/>
          <w:lang w:eastAsia="en-GB"/>
        </w:rPr>
        <w:t xml:space="preserve">One of the key arguments in favour of partnership approaches is that they can provide a more holistic and personalized approach to rehabilitation. By working together, different organizations and agencies can share information and resources, and tailor support to the specific needs of individual offenders. </w:t>
      </w:r>
    </w:p>
    <w:p w14:paraId="29BD58DC"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6006AFD6"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r w:rsidRPr="00051888">
        <w:rPr>
          <w:rFonts w:ascii="Calibri" w:eastAsia="Times New Roman" w:hAnsi="Calibri" w:cs="Calibri"/>
          <w:lang w:eastAsia="en-GB"/>
        </w:rPr>
        <w:t xml:space="preserve">This can include providing support for housing, education, employment, and mental health and substance abuse issues. Research has shown that such comprehensive approaches can be effective in reducing re-offending rates. (National Offender Management Service. (2015). </w:t>
      </w:r>
    </w:p>
    <w:p w14:paraId="7B947C41"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r w:rsidRPr="00051888">
        <w:rPr>
          <w:rFonts w:ascii="Calibri" w:eastAsia="Times New Roman" w:hAnsi="Calibri" w:cs="Calibri"/>
          <w:lang w:eastAsia="en-GB"/>
        </w:rPr>
        <w:t>For example, a study of a partnership approach in Scotland found that participants were significantly less likely to re-offend than a control group. (McNeill, F., &amp; Weaver, B. (2010).</w:t>
      </w:r>
    </w:p>
    <w:p w14:paraId="0A6FCFD0"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7E841E53"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r w:rsidRPr="00051888">
        <w:rPr>
          <w:rFonts w:ascii="Calibri" w:eastAsia="Times New Roman" w:hAnsi="Calibri" w:cs="Calibri"/>
          <w:lang w:eastAsia="en-GB"/>
        </w:rPr>
        <w:t>Another benefit of partnership approaches is that they can provide a more coordinated approach to rehabilitation, which reduces duplication and fragmentation of services. This can improve the efficiency and effectiveness of services and reduce the risk of offenders falling through the gaps in the system. In addition, partnership approaches can help to build stronger relationships between offenders and service providers, which can lead to better engagement and outcomes. (Raynor, P., &amp; Robinson, G. (2014).</w:t>
      </w:r>
    </w:p>
    <w:p w14:paraId="2D8C4619"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7969EEF1"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r w:rsidRPr="00051888">
        <w:rPr>
          <w:rFonts w:ascii="Calibri" w:eastAsia="Times New Roman" w:hAnsi="Calibri" w:cs="Calibri"/>
          <w:lang w:eastAsia="en-GB"/>
        </w:rPr>
        <w:t>Inmates' rehabilitation is significantly aided by prison counsellors. Throughout the course of their sentence, the inmates receive guidance from these criminal justice and mental health professionals.</w:t>
      </w:r>
    </w:p>
    <w:p w14:paraId="700086CA"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r w:rsidRPr="00051888">
        <w:rPr>
          <w:rFonts w:ascii="Calibri" w:eastAsia="Times New Roman" w:hAnsi="Calibri" w:cs="Calibri"/>
          <w:lang w:eastAsia="en-GB"/>
        </w:rPr>
        <w:t>The objective is to give prisoners rehabilitation so they can think about learning new skills and gaining fresh perspective on their objectives and motives.</w:t>
      </w:r>
    </w:p>
    <w:p w14:paraId="5F3FDB4F"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2FCD3D24"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r w:rsidRPr="00051888">
        <w:rPr>
          <w:rFonts w:ascii="Calibri" w:eastAsia="Times New Roman" w:hAnsi="Calibri" w:cs="Calibri"/>
          <w:lang w:eastAsia="en-GB"/>
        </w:rPr>
        <w:t>Inmates can also get counselling for problems including depression, stress, or drug usage. This can occur in a group setting or one-on-one at times.</w:t>
      </w:r>
    </w:p>
    <w:p w14:paraId="6FAF66F1"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370D15BA"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r w:rsidRPr="00051888">
        <w:rPr>
          <w:rFonts w:ascii="Calibri" w:eastAsia="Times New Roman" w:hAnsi="Calibri" w:cs="Calibri"/>
          <w:lang w:eastAsia="en-GB"/>
        </w:rPr>
        <w:t xml:space="preserve">For example, The Lionheart Foundation program offers prison inmates “encouragement and the necessary support to take stock of the life experiences that have propelled them into criminal activity, </w:t>
      </w:r>
      <w:r w:rsidRPr="00051888">
        <w:rPr>
          <w:rFonts w:ascii="Calibri" w:eastAsia="Times New Roman" w:hAnsi="Calibri" w:cs="Calibri"/>
          <w:lang w:eastAsia="en-GB"/>
        </w:rPr>
        <w:lastRenderedPageBreak/>
        <w:t xml:space="preserve">take responsibility for their criminal behaviour, change lifelong patterns of violence and addiction, and build productive lives.” This organization trains counsellors, chaplains, volunteers and others to visit prisons and provide counselling services. Their work extends into youth prisons and the community as well. Taking advantage of the counselling offered during prison is a positive step towards rehabilitation. </w:t>
      </w:r>
    </w:p>
    <w:p w14:paraId="0C0742E3"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0D9DA86E"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r w:rsidRPr="00051888">
        <w:rPr>
          <w:rFonts w:ascii="Calibri" w:eastAsia="Times New Roman" w:hAnsi="Calibri" w:cs="Calibri"/>
          <w:lang w:eastAsia="en-GB"/>
        </w:rPr>
        <w:t xml:space="preserve">However, there are also challenges and limitations to partnership approaches. One of the main challenges is the coordination and management of different organizations and agencies, which can be complex and time-consuming. In addition, there may be tensions between different organizations and agencies, which can impact on the effectiveness of partnership approaches. For example, there may be differences in priorities or approaches, which can lead to conflicts or disagreements about how best to support offenders.(Trotter, C. (2014).  </w:t>
      </w:r>
    </w:p>
    <w:p w14:paraId="74532CA5"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35E4A7FC"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r w:rsidRPr="00051888">
        <w:rPr>
          <w:rFonts w:ascii="Calibri" w:eastAsia="Times New Roman" w:hAnsi="Calibri" w:cs="Calibri"/>
          <w:lang w:eastAsia="en-GB"/>
        </w:rPr>
        <w:t>Furthermore, there is limited evidence to suggest that partnership approaches are more effective than other approaches to rehabilitation, such as cognitive-behavioural therapy or restorative justice. While some studies have shown that partnership approaches can be effective in reducing re-offending rates, others have found no significant differences between partnership approaches and other approaches. (</w:t>
      </w:r>
      <w:proofErr w:type="spellStart"/>
      <w:r w:rsidRPr="00051888">
        <w:rPr>
          <w:rFonts w:ascii="Calibri" w:eastAsia="Times New Roman" w:hAnsi="Calibri" w:cs="Calibri"/>
          <w:lang w:eastAsia="en-GB"/>
        </w:rPr>
        <w:t>Farrall</w:t>
      </w:r>
      <w:proofErr w:type="spellEnd"/>
      <w:r w:rsidRPr="00051888">
        <w:rPr>
          <w:rFonts w:ascii="Calibri" w:eastAsia="Times New Roman" w:hAnsi="Calibri" w:cs="Calibri"/>
          <w:lang w:eastAsia="en-GB"/>
        </w:rPr>
        <w:t>, S., &amp; Calverley, A. (2006).  Therefore, it is important to consider the individual needs of offenders and to tailor rehabilitation approaches to their specific circumstances.</w:t>
      </w:r>
    </w:p>
    <w:p w14:paraId="200D33B5"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35857355"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r w:rsidRPr="00051888">
        <w:rPr>
          <w:rFonts w:ascii="Calibri" w:eastAsia="Times New Roman" w:hAnsi="Calibri" w:cs="Calibri"/>
          <w:lang w:eastAsia="en-GB"/>
        </w:rPr>
        <w:t>In conclusion, partnership approaches to rehabilitation can provide a more comprehensive and coordinated approach to supporting offenders. While there is evidence to suggest that partnership approaches can be effective in reducing re-offending rates, there are also challenges and limitations to these approaches. Therefore, it is important to consider the individual needs of offenders and to tailor rehabilitation approaches to their specific circumstances, rather than relying on a one-size-fits-all approach.</w:t>
      </w:r>
    </w:p>
    <w:p w14:paraId="5BA64FC8"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164F8593"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r w:rsidRPr="00051888">
        <w:rPr>
          <w:rFonts w:ascii="Calibri" w:eastAsia="Times New Roman" w:hAnsi="Calibri" w:cs="Calibri"/>
          <w:lang w:eastAsia="en-GB"/>
        </w:rPr>
        <w:t>Using extensive quantitative surveys and evaluations, qualitative research, and large-scale quantitative surveys, the evidence on reducing reoffending has developed over the past few decades and is still being strengthened. “While evidence in some areas is of good or sufficient quality to demonstrate an impact on reoffending, the summary has also demonstrated that many gaps exist in our evidence base.” Critical gaps differ among some of these gaps. The Ministry of Justice will keep up its strong collaboration with governmental and non-governmental partners to develop an overview of research needs in the field of preventing reoffending and to establish research priorities.</w:t>
      </w:r>
    </w:p>
    <w:p w14:paraId="03C40AAF"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12DA8A7B"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64FF5F48"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33F73BC0"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r w:rsidRPr="00051888">
        <w:rPr>
          <w:rFonts w:ascii="Calibri" w:eastAsia="Times New Roman" w:hAnsi="Calibri" w:cs="Calibri"/>
          <w:lang w:eastAsia="en-GB"/>
        </w:rPr>
        <w:t xml:space="preserve">The main thing for partnerships to agree with the aims and outcomes. “This enable the partnerships to be driven by active and meaningful collaboration, rather than externally imposed prescriptions and sanctions” (www.basw.co.uk, 2012). Partnerships work very well when they are sharing their aims and all those involved are clear about what they have to do to achieve it. </w:t>
      </w:r>
    </w:p>
    <w:p w14:paraId="2EBC127D"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001E01CE"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1A37FEC0"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7134C718"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10C6C689"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34BB2127"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09F3B588"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6587C625"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5FA205C1"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65C3B90B"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209EC579"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060A6AB5"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58AC5AA0"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r w:rsidRPr="00051888">
        <w:rPr>
          <w:rFonts w:ascii="Calibri" w:eastAsia="Times New Roman" w:hAnsi="Calibri" w:cs="Calibri"/>
          <w:lang w:eastAsia="en-GB"/>
        </w:rPr>
        <w:t>References:</w:t>
      </w:r>
    </w:p>
    <w:p w14:paraId="671D80CB"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71E2CF53"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r w:rsidRPr="00051888">
        <w:rPr>
          <w:rFonts w:ascii="Calibri" w:eastAsia="Times New Roman" w:hAnsi="Calibri" w:cs="Calibri"/>
          <w:lang w:eastAsia="en-GB"/>
        </w:rPr>
        <w:t>1. National Offender Management Service. (2015). Through the gate: a review of probation and resettlement services for short-term prisoners. London: Ministry of Justice.</w:t>
      </w:r>
    </w:p>
    <w:p w14:paraId="25388C5B"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056D3370"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r w:rsidRPr="00051888">
        <w:rPr>
          <w:rFonts w:ascii="Calibri" w:eastAsia="Times New Roman" w:hAnsi="Calibri" w:cs="Calibri"/>
          <w:lang w:eastAsia="en-GB"/>
        </w:rPr>
        <w:t>2. McNeill, F., &amp; Weaver, B. (2010). Changing Lives? Desistance Research and Offender Management. Scottish Centre for Crime and Justice Research.</w:t>
      </w:r>
    </w:p>
    <w:p w14:paraId="495B01E4"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43645621"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r w:rsidRPr="00051888">
        <w:rPr>
          <w:rFonts w:ascii="Calibri" w:eastAsia="Times New Roman" w:hAnsi="Calibri" w:cs="Calibri"/>
          <w:lang w:eastAsia="en-GB"/>
        </w:rPr>
        <w:t>3. Raynor, P., &amp; Robinson, G. (2014). Partnerships and Offender Management: A Review of the Evidence. Criminology &amp; Criminal Justice, 14(1), 3-21.</w:t>
      </w:r>
    </w:p>
    <w:p w14:paraId="7B4902B5"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3AF9C7F9"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r w:rsidRPr="00051888">
        <w:rPr>
          <w:rFonts w:ascii="Calibri" w:eastAsia="Times New Roman" w:hAnsi="Calibri" w:cs="Calibri"/>
          <w:lang w:eastAsia="en-GB"/>
        </w:rPr>
        <w:t>4. Trotter, C. (2014). The challenges and potential of partnership working in offender management. Probation Journal, 61(3), 280-295.</w:t>
      </w:r>
    </w:p>
    <w:p w14:paraId="1B797CCB"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1EB5295A"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r w:rsidRPr="00051888">
        <w:rPr>
          <w:rFonts w:ascii="Calibri" w:eastAsia="Times New Roman" w:hAnsi="Calibri" w:cs="Calibri"/>
          <w:lang w:eastAsia="en-GB"/>
        </w:rPr>
        <w:t>6. (Benjamin Bowling Professor of Criminology &amp; Criminal Justice, 2022)</w:t>
      </w:r>
    </w:p>
    <w:p w14:paraId="27001E9D"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4AA33A5C"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r w:rsidRPr="00051888">
        <w:rPr>
          <w:rFonts w:ascii="Calibri" w:eastAsia="Times New Roman" w:hAnsi="Calibri" w:cs="Calibri"/>
          <w:lang w:eastAsia="en-GB"/>
        </w:rPr>
        <w:t>(7) Transforming rehabilitation: A summary of evidence on reducing ... - gov.uk (no date). Available at: https://assets.publishing.service.gov.uk/government/uploads/system/uploads/attachment_data/file/243718/evidence-reduce-reoffending.pdf (Accessed: May 5, 2023).</w:t>
      </w:r>
    </w:p>
    <w:p w14:paraId="7302C6A4"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4C8B7F02"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r w:rsidRPr="00051888">
        <w:rPr>
          <w:rFonts w:ascii="Calibri" w:eastAsia="Times New Roman" w:hAnsi="Calibri" w:cs="Calibri"/>
          <w:lang w:eastAsia="en-GB"/>
        </w:rPr>
        <w:t xml:space="preserve">5. </w:t>
      </w:r>
      <w:proofErr w:type="spellStart"/>
      <w:r w:rsidRPr="00051888">
        <w:rPr>
          <w:rFonts w:ascii="Calibri" w:eastAsia="Times New Roman" w:hAnsi="Calibri" w:cs="Calibri"/>
          <w:lang w:eastAsia="en-GB"/>
        </w:rPr>
        <w:t>Farrall</w:t>
      </w:r>
      <w:proofErr w:type="spellEnd"/>
      <w:r w:rsidRPr="00051888">
        <w:rPr>
          <w:rFonts w:ascii="Calibri" w:eastAsia="Times New Roman" w:hAnsi="Calibri" w:cs="Calibri"/>
          <w:lang w:eastAsia="en-GB"/>
        </w:rPr>
        <w:t>, S., &amp; Calverley, A. (2006). Understanding Desistance from Crime: Theoretical Directions in Resettlement and Rehabilitation. Open University Press.</w:t>
      </w:r>
    </w:p>
    <w:p w14:paraId="1E944C44" w14:textId="77777777" w:rsidR="00051888" w:rsidRPr="00051888" w:rsidRDefault="00051888" w:rsidP="00051888">
      <w:pPr>
        <w:suppressAutoHyphens/>
        <w:autoSpaceDN w:val="0"/>
        <w:spacing w:after="0" w:line="240" w:lineRule="auto"/>
        <w:rPr>
          <w:rFonts w:ascii="Calibri" w:eastAsia="Times New Roman" w:hAnsi="Calibri" w:cs="Calibri"/>
          <w:lang w:eastAsia="en-GB"/>
        </w:rPr>
      </w:pPr>
    </w:p>
    <w:p w14:paraId="3A3E8CB1" w14:textId="77777777" w:rsidR="00051888" w:rsidRPr="00051888" w:rsidRDefault="00051888" w:rsidP="00051888">
      <w:pPr>
        <w:spacing w:after="240" w:line="360" w:lineRule="auto"/>
        <w:rPr>
          <w:rFonts w:ascii="Times New Roman" w:eastAsia="Times New Roman" w:hAnsi="Times New Roman" w:cs="Times New Roman"/>
          <w:sz w:val="24"/>
          <w:szCs w:val="24"/>
          <w:lang w:eastAsia="en-GB"/>
        </w:rPr>
      </w:pPr>
      <w:r w:rsidRPr="00051888">
        <w:rPr>
          <w:rFonts w:ascii="Times New Roman" w:eastAsia="Times New Roman" w:hAnsi="Times New Roman" w:cs="Times New Roman"/>
          <w:sz w:val="24"/>
          <w:szCs w:val="24"/>
          <w:lang w:eastAsia="en-GB"/>
        </w:rPr>
        <w:t xml:space="preserve">www.basw.co.uk. (2012). </w:t>
      </w:r>
      <w:r w:rsidRPr="00051888">
        <w:rPr>
          <w:rFonts w:ascii="Times New Roman" w:eastAsia="Times New Roman" w:hAnsi="Times New Roman" w:cs="Times New Roman"/>
          <w:i/>
          <w:iCs/>
          <w:sz w:val="24"/>
          <w:szCs w:val="24"/>
          <w:lang w:eastAsia="en-GB"/>
        </w:rPr>
        <w:t>Effective partnership working Partnership principles – summary</w:t>
      </w:r>
      <w:r w:rsidRPr="00051888">
        <w:rPr>
          <w:rFonts w:ascii="Times New Roman" w:eastAsia="Times New Roman" w:hAnsi="Times New Roman" w:cs="Times New Roman"/>
          <w:sz w:val="24"/>
          <w:szCs w:val="24"/>
          <w:lang w:eastAsia="en-GB"/>
        </w:rPr>
        <w:t>. [online] Available at: https://www.basw.co.uk/resources/effective-partnership-working-partnership-principles-%E2%80%93-summary#:~:text=A%20key%20task%20for%20partnerships%20is%20to%20agree [Accessed 12 Jun. 2023].</w:t>
      </w:r>
    </w:p>
    <w:p w14:paraId="5FD2A3D5" w14:textId="77777777" w:rsidR="00051888" w:rsidRDefault="00051888"/>
    <w:sectPr w:rsidR="00051888" w:rsidSect="002F5440">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C86F02" w14:textId="77777777" w:rsidR="00051888" w:rsidRDefault="00051888" w:rsidP="00051888">
      <w:pPr>
        <w:spacing w:after="0" w:line="240" w:lineRule="auto"/>
      </w:pPr>
      <w:r>
        <w:separator/>
      </w:r>
    </w:p>
  </w:endnote>
  <w:endnote w:type="continuationSeparator" w:id="0">
    <w:p w14:paraId="36E2E1D9" w14:textId="77777777" w:rsidR="00051888" w:rsidRDefault="00051888" w:rsidP="000518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0E069D" w14:textId="77777777" w:rsidR="00051888" w:rsidRDefault="00051888" w:rsidP="00051888">
      <w:pPr>
        <w:spacing w:after="0" w:line="240" w:lineRule="auto"/>
      </w:pPr>
      <w:r>
        <w:separator/>
      </w:r>
    </w:p>
  </w:footnote>
  <w:footnote w:type="continuationSeparator" w:id="0">
    <w:p w14:paraId="003FB4F6" w14:textId="77777777" w:rsidR="00051888" w:rsidRDefault="00051888" w:rsidP="000518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F32A4E"/>
    <w:multiLevelType w:val="multilevel"/>
    <w:tmpl w:val="70D2A51C"/>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1888"/>
    <w:rsid w:val="000518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9506CC"/>
  <w15:chartTrackingRefBased/>
  <w15:docId w15:val="{152DF67D-BBF8-47B0-A76D-2AFEA6EFC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rsid w:val="00051888"/>
    <w:rPr>
      <w:rFonts w:cs="Times New Roman"/>
      <w:color w:val="0000FF"/>
      <w:u w:val="single"/>
    </w:rPr>
  </w:style>
  <w:style w:type="paragraph" w:styleId="NormalWeb">
    <w:name w:val="Normal (Web)"/>
    <w:basedOn w:val="Normal"/>
    <w:uiPriority w:val="99"/>
    <w:unhideWhenUsed/>
    <w:rsid w:val="0005188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appingpoliceviolence.org/" TargetMode="External"/><Relationship Id="rId3" Type="http://schemas.openxmlformats.org/officeDocument/2006/relationships/settings" Target="settings.xml"/><Relationship Id="rId7" Type="http://schemas.openxmlformats.org/officeDocument/2006/relationships/hyperlink" Target="https://www.college.police.uk/article/national-police-response-hillsborough-families-report"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gov.uk/government/publications/preventing-offending-and-re-offending-by-children/collaborative-approaches-to-preventing-offending-and-re-offending-by-children-capricorn-summary" TargetMode="External"/><Relationship Id="rId4" Type="http://schemas.openxmlformats.org/officeDocument/2006/relationships/webSettings" Target="web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14</Pages>
  <Words>4417</Words>
  <Characters>25181</Characters>
  <Application>Microsoft Office Word</Application>
  <DocSecurity>0</DocSecurity>
  <Lines>209</Lines>
  <Paragraphs>59</Paragraphs>
  <ScaleCrop>false</ScaleCrop>
  <Company/>
  <LinksUpToDate>false</LinksUpToDate>
  <CharactersWithSpaces>29539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Porter,Paige swp8173</dc:creator>
  <cp:keywords/>
  <dc:description/>
  <cp:lastModifiedBy>Porter,Paige swp8173</cp:lastModifiedBy>
  <cp:revision>1</cp:revision>
  <dcterms:created xsi:type="dcterms:W3CDTF">2023-06-12T12:28:00Z</dcterms:created>
  <dcterms:modified xsi:type="dcterms:W3CDTF">2023-06-12T12:30:00Z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2023-06-12T12:30:23Z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692db9de-813b-4475-a3e7-0dce7c1ccfaf</vt:lpwstr>
  </property>
  <property fmtid="{D5CDD505-2E9C-101B-9397-08002B2CF9AE}" pid="8" name="MSIP_Label_66cf8fe5-b7b7-4df7-b38d-1c61ac2f6639_ContentBits">
    <vt:lpwstr>0</vt:lpwstr>
  </property>
</Properties>
</file>