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747219" w14:textId="77777777" w:rsidR="00E953D4" w:rsidRPr="00E953D4" w:rsidRDefault="00E953D4" w:rsidP="00E953D4">
      <w:pPr>
        <w:spacing w:line="360" w:lineRule="auto"/>
        <w:jc w:val="center"/>
        <w:rPr>
          <w:rFonts w:ascii="Times New Roman" w:hAnsi="Times New Roman" w:cs="Times New Roman"/>
          <w:b/>
          <w:bCs/>
          <w:noProof/>
          <w:kern w:val="2"/>
          <w:sz w:val="36"/>
          <w:szCs w:val="36"/>
          <w14:ligatures w14:val="standardContextual"/>
        </w:rPr>
      </w:pPr>
      <w:r w:rsidRPr="00E953D4">
        <w:rPr>
          <w:rFonts w:ascii="Times New Roman" w:hAnsi="Times New Roman" w:cs="Times New Roman"/>
          <w:b/>
          <w:bCs/>
          <w:noProof/>
          <w:kern w:val="2"/>
          <w:sz w:val="36"/>
          <w:szCs w:val="36"/>
          <w14:ligatures w14:val="standardContextual"/>
        </w:rPr>
        <w:t>Module: Financial Management for the Hotel Industry</w:t>
      </w:r>
    </w:p>
    <w:p w14:paraId="2249EF84" w14:textId="1503BB15" w:rsidR="00E953D4" w:rsidRPr="00E953D4" w:rsidRDefault="00E953D4" w:rsidP="00E953D4">
      <w:pPr>
        <w:spacing w:line="360" w:lineRule="auto"/>
        <w:jc w:val="center"/>
        <w:rPr>
          <w:rFonts w:ascii="Times New Roman" w:hAnsi="Times New Roman" w:cs="Times New Roman"/>
          <w:b/>
          <w:bCs/>
          <w:noProof/>
          <w:kern w:val="2"/>
          <w:sz w:val="36"/>
          <w:szCs w:val="36"/>
          <w14:ligatures w14:val="standardContextual"/>
        </w:rPr>
      </w:pPr>
      <w:r w:rsidRPr="00E953D4">
        <w:rPr>
          <w:rFonts w:ascii="Times New Roman" w:hAnsi="Times New Roman" w:cs="Times New Roman"/>
          <w:b/>
          <w:bCs/>
          <w:noProof/>
          <w:kern w:val="2"/>
          <w:sz w:val="36"/>
          <w:szCs w:val="36"/>
          <w14:ligatures w14:val="standardContextual"/>
        </w:rPr>
        <w:t>Module code: BMIH5007</w:t>
      </w:r>
      <w:r w:rsidR="0022078C">
        <w:rPr>
          <w:rFonts w:ascii="Times New Roman" w:hAnsi="Times New Roman" w:cs="Times New Roman"/>
          <w:b/>
          <w:bCs/>
          <w:noProof/>
          <w:kern w:val="2"/>
          <w:sz w:val="36"/>
          <w:szCs w:val="36"/>
          <w14:ligatures w14:val="standardContextual"/>
        </w:rPr>
        <w:t xml:space="preserve"> </w:t>
      </w:r>
    </w:p>
    <w:p w14:paraId="09766AE8" w14:textId="77777777" w:rsidR="00E953D4" w:rsidRPr="00E953D4" w:rsidRDefault="00E953D4" w:rsidP="00E953D4">
      <w:pPr>
        <w:spacing w:line="360" w:lineRule="auto"/>
        <w:jc w:val="center"/>
        <w:rPr>
          <w:rFonts w:ascii="Times New Roman" w:hAnsi="Times New Roman" w:cs="Times New Roman"/>
          <w:b/>
          <w:bCs/>
          <w:noProof/>
          <w:kern w:val="2"/>
          <w:sz w:val="36"/>
          <w:szCs w:val="36"/>
          <w14:ligatures w14:val="standardContextual"/>
        </w:rPr>
      </w:pPr>
    </w:p>
    <w:p w14:paraId="1EEFF27E" w14:textId="77777777" w:rsidR="00E953D4" w:rsidRPr="00E953D4" w:rsidRDefault="00E953D4" w:rsidP="00E953D4">
      <w:pPr>
        <w:spacing w:line="360" w:lineRule="auto"/>
        <w:jc w:val="center"/>
        <w:rPr>
          <w:rFonts w:ascii="Times New Roman" w:hAnsi="Times New Roman" w:cs="Times New Roman"/>
          <w:b/>
          <w:bCs/>
          <w:noProof/>
          <w:kern w:val="2"/>
          <w:sz w:val="36"/>
          <w:szCs w:val="36"/>
          <w14:ligatures w14:val="standardContextual"/>
        </w:rPr>
      </w:pPr>
    </w:p>
    <w:p w14:paraId="763685B1" w14:textId="77777777" w:rsidR="00E953D4" w:rsidRPr="00E953D4" w:rsidRDefault="00E953D4" w:rsidP="00E953D4">
      <w:pPr>
        <w:spacing w:line="360" w:lineRule="auto"/>
        <w:jc w:val="center"/>
        <w:rPr>
          <w:rFonts w:ascii="Times New Roman" w:hAnsi="Times New Roman" w:cs="Times New Roman"/>
          <w:b/>
          <w:bCs/>
          <w:noProof/>
          <w:kern w:val="2"/>
          <w:sz w:val="36"/>
          <w:szCs w:val="36"/>
          <w14:ligatures w14:val="standardContextual"/>
        </w:rPr>
      </w:pPr>
    </w:p>
    <w:p w14:paraId="24B3C0CD" w14:textId="77777777" w:rsidR="00E953D4" w:rsidRPr="00E953D4" w:rsidRDefault="00E953D4" w:rsidP="00E953D4">
      <w:pPr>
        <w:spacing w:line="360" w:lineRule="auto"/>
        <w:jc w:val="center"/>
        <w:rPr>
          <w:rFonts w:ascii="Times New Roman" w:hAnsi="Times New Roman" w:cs="Times New Roman"/>
          <w:b/>
          <w:bCs/>
          <w:noProof/>
          <w:kern w:val="2"/>
          <w:sz w:val="52"/>
          <w:szCs w:val="52"/>
          <w14:ligatures w14:val="standardContextual"/>
        </w:rPr>
      </w:pPr>
      <w:r w:rsidRPr="00E953D4">
        <w:rPr>
          <w:rFonts w:ascii="Times New Roman" w:hAnsi="Times New Roman" w:cs="Times New Roman"/>
          <w:b/>
          <w:bCs/>
          <w:noProof/>
          <w:kern w:val="2"/>
          <w:sz w:val="52"/>
          <w:szCs w:val="52"/>
          <w14:ligatures w14:val="standardContextual"/>
        </w:rPr>
        <w:t>Assignment Title: Report Case Study: Urban Heights Hotel</w:t>
      </w:r>
    </w:p>
    <w:p w14:paraId="1EF848B9" w14:textId="77777777" w:rsidR="00E953D4" w:rsidRPr="00E953D4" w:rsidRDefault="00E953D4" w:rsidP="00E953D4">
      <w:pPr>
        <w:spacing w:line="360" w:lineRule="auto"/>
        <w:jc w:val="center"/>
        <w:rPr>
          <w:rFonts w:ascii="Times New Roman" w:hAnsi="Times New Roman" w:cs="Times New Roman"/>
          <w:b/>
          <w:bCs/>
          <w:noProof/>
          <w:kern w:val="2"/>
          <w:sz w:val="40"/>
          <w:szCs w:val="36"/>
          <w14:ligatures w14:val="standardContextual"/>
        </w:rPr>
      </w:pPr>
    </w:p>
    <w:p w14:paraId="360AA94A" w14:textId="77777777" w:rsidR="00E953D4" w:rsidRPr="00E953D4" w:rsidRDefault="00E953D4" w:rsidP="00E953D4">
      <w:pPr>
        <w:spacing w:line="360" w:lineRule="auto"/>
        <w:jc w:val="center"/>
        <w:rPr>
          <w:rFonts w:ascii="Times New Roman" w:hAnsi="Times New Roman" w:cs="Times New Roman"/>
          <w:b/>
          <w:bCs/>
          <w:noProof/>
          <w:kern w:val="2"/>
          <w:sz w:val="40"/>
          <w:szCs w:val="36"/>
          <w14:ligatures w14:val="standardContextual"/>
        </w:rPr>
      </w:pPr>
    </w:p>
    <w:p w14:paraId="520D4BAE" w14:textId="77777777" w:rsidR="00E953D4" w:rsidRPr="00E953D4" w:rsidRDefault="00E953D4" w:rsidP="00E953D4">
      <w:pPr>
        <w:spacing w:line="360" w:lineRule="auto"/>
        <w:jc w:val="center"/>
        <w:rPr>
          <w:rFonts w:ascii="Times New Roman" w:hAnsi="Times New Roman" w:cs="Times New Roman"/>
          <w:b/>
          <w:bCs/>
          <w:noProof/>
          <w:kern w:val="2"/>
          <w:sz w:val="40"/>
          <w:szCs w:val="36"/>
          <w14:ligatures w14:val="standardContextual"/>
        </w:rPr>
      </w:pPr>
    </w:p>
    <w:p w14:paraId="631D3D35" w14:textId="77777777" w:rsidR="00E953D4" w:rsidRPr="00E953D4" w:rsidRDefault="00E953D4" w:rsidP="00E953D4">
      <w:pPr>
        <w:spacing w:line="360" w:lineRule="auto"/>
        <w:jc w:val="both"/>
        <w:rPr>
          <w:rFonts w:ascii="Times New Roman" w:hAnsi="Times New Roman" w:cs="Times New Roman"/>
          <w:b/>
          <w:bCs/>
          <w:noProof/>
          <w:kern w:val="2"/>
          <w:sz w:val="40"/>
          <w:szCs w:val="36"/>
          <w14:ligatures w14:val="standardContextual"/>
        </w:rPr>
      </w:pPr>
    </w:p>
    <w:p w14:paraId="73C202C7" w14:textId="77777777" w:rsidR="00E953D4" w:rsidRPr="00E953D4" w:rsidRDefault="00E953D4" w:rsidP="00E953D4">
      <w:pPr>
        <w:spacing w:line="360" w:lineRule="auto"/>
        <w:jc w:val="center"/>
        <w:rPr>
          <w:rFonts w:ascii="Times New Roman" w:hAnsi="Times New Roman" w:cs="Times New Roman"/>
          <w:b/>
          <w:bCs/>
          <w:noProof/>
          <w:kern w:val="2"/>
          <w:sz w:val="40"/>
          <w:szCs w:val="36"/>
          <w14:ligatures w14:val="standardContextual"/>
        </w:rPr>
      </w:pPr>
    </w:p>
    <w:p w14:paraId="74F1750A" w14:textId="77777777" w:rsidR="00E953D4" w:rsidRPr="00E953D4" w:rsidRDefault="00E953D4" w:rsidP="00E953D4">
      <w:pPr>
        <w:spacing w:line="360" w:lineRule="auto"/>
        <w:jc w:val="center"/>
        <w:rPr>
          <w:rFonts w:ascii="Times New Roman" w:hAnsi="Times New Roman" w:cs="Times New Roman"/>
          <w:b/>
          <w:bCs/>
          <w:noProof/>
          <w:kern w:val="2"/>
          <w:sz w:val="28"/>
          <w:szCs w:val="24"/>
          <w14:ligatures w14:val="standardContextual"/>
        </w:rPr>
      </w:pPr>
      <w:r w:rsidRPr="00E953D4">
        <w:rPr>
          <w:rFonts w:ascii="Times New Roman" w:hAnsi="Times New Roman" w:cs="Times New Roman"/>
          <w:b/>
          <w:bCs/>
          <w:noProof/>
          <w:kern w:val="2"/>
          <w:sz w:val="28"/>
          <w:szCs w:val="24"/>
          <w14:ligatures w14:val="standardContextual"/>
        </w:rPr>
        <w:t>Student Name: Mihaela Suruianu</w:t>
      </w:r>
    </w:p>
    <w:p w14:paraId="6E23FE6F" w14:textId="77777777" w:rsidR="00E953D4" w:rsidRPr="00E953D4" w:rsidRDefault="00E953D4" w:rsidP="00E953D4">
      <w:pPr>
        <w:spacing w:line="360" w:lineRule="auto"/>
        <w:jc w:val="center"/>
        <w:rPr>
          <w:rFonts w:ascii="Times New Roman" w:hAnsi="Times New Roman" w:cs="Times New Roman"/>
          <w:b/>
          <w:bCs/>
          <w:noProof/>
          <w:kern w:val="2"/>
          <w:sz w:val="28"/>
          <w:szCs w:val="24"/>
          <w14:ligatures w14:val="standardContextual"/>
        </w:rPr>
      </w:pPr>
      <w:r w:rsidRPr="00E953D4">
        <w:rPr>
          <w:rFonts w:ascii="Times New Roman" w:hAnsi="Times New Roman" w:cs="Times New Roman"/>
          <w:b/>
          <w:bCs/>
          <w:noProof/>
          <w:kern w:val="2"/>
          <w:sz w:val="28"/>
          <w:szCs w:val="24"/>
          <w14:ligatures w14:val="standardContextual"/>
        </w:rPr>
        <w:t>ID: 2226557</w:t>
      </w:r>
    </w:p>
    <w:p w14:paraId="75E4E7A0" w14:textId="7ADCBA3A" w:rsidR="00E953D4" w:rsidRDefault="00E953D4" w:rsidP="00E953D4">
      <w:pPr>
        <w:spacing w:line="360" w:lineRule="auto"/>
        <w:jc w:val="center"/>
        <w:rPr>
          <w:rFonts w:ascii="Times New Roman" w:hAnsi="Times New Roman" w:cs="Times New Roman"/>
          <w:b/>
          <w:bCs/>
          <w:noProof/>
          <w:kern w:val="2"/>
          <w:sz w:val="28"/>
          <w:szCs w:val="24"/>
          <w14:ligatures w14:val="standardContextual"/>
        </w:rPr>
      </w:pPr>
      <w:r w:rsidRPr="00E953D4">
        <w:rPr>
          <w:rFonts w:ascii="Times New Roman" w:hAnsi="Times New Roman" w:cs="Times New Roman"/>
          <w:b/>
          <w:bCs/>
          <w:noProof/>
          <w:kern w:val="2"/>
          <w:sz w:val="28"/>
          <w:szCs w:val="24"/>
          <w14:ligatures w14:val="standardContextual"/>
        </w:rPr>
        <w:t>Lecturer: Tristan Hawkins</w:t>
      </w:r>
    </w:p>
    <w:p w14:paraId="00E14D18" w14:textId="148E3294" w:rsidR="0022078C" w:rsidRPr="00E953D4" w:rsidRDefault="0022078C" w:rsidP="00E953D4">
      <w:pPr>
        <w:spacing w:line="360" w:lineRule="auto"/>
        <w:jc w:val="center"/>
        <w:rPr>
          <w:rFonts w:ascii="Times New Roman" w:hAnsi="Times New Roman" w:cs="Times New Roman"/>
          <w:b/>
          <w:bCs/>
          <w:noProof/>
          <w:kern w:val="2"/>
          <w:sz w:val="28"/>
          <w:szCs w:val="24"/>
          <w14:ligatures w14:val="standardContextual"/>
        </w:rPr>
      </w:pPr>
      <w:r>
        <w:rPr>
          <w:rFonts w:ascii="Times New Roman" w:hAnsi="Times New Roman" w:cs="Times New Roman"/>
          <w:b/>
          <w:bCs/>
          <w:noProof/>
          <w:kern w:val="2"/>
          <w:sz w:val="28"/>
          <w:szCs w:val="24"/>
          <w14:ligatures w14:val="standardContextual"/>
        </w:rPr>
        <w:t xml:space="preserve">Word count: </w:t>
      </w:r>
      <w:r w:rsidR="007434AC">
        <w:rPr>
          <w:rFonts w:ascii="Times New Roman" w:hAnsi="Times New Roman" w:cs="Times New Roman"/>
          <w:b/>
          <w:bCs/>
          <w:noProof/>
          <w:kern w:val="2"/>
          <w:sz w:val="28"/>
          <w:szCs w:val="24"/>
          <w14:ligatures w14:val="standardContextual"/>
        </w:rPr>
        <w:t>2049</w:t>
      </w:r>
    </w:p>
    <w:p w14:paraId="5F7D6FF7" w14:textId="41DDF3BF" w:rsidR="0022078C" w:rsidRPr="0022078C" w:rsidRDefault="00E953D4" w:rsidP="0022078C">
      <w:pPr>
        <w:pStyle w:val="Heading1"/>
        <w:rPr>
          <w:rFonts w:ascii="Times New Roman" w:hAnsi="Times New Roman" w:cs="Times New Roman"/>
          <w:b/>
          <w:noProof/>
          <w:color w:val="000000" w:themeColor="text1"/>
          <w:kern w:val="2"/>
          <w14:ligatures w14:val="standardContextual"/>
        </w:rPr>
      </w:pPr>
      <w:r w:rsidRPr="00E953D4">
        <w:rPr>
          <w:rFonts w:ascii="Times New Roman" w:hAnsi="Times New Roman" w:cs="Times New Roman"/>
          <w:noProof/>
          <w:kern w:val="2"/>
          <w:sz w:val="24"/>
          <w14:ligatures w14:val="standardContextual"/>
        </w:rPr>
        <w:br w:type="page"/>
      </w:r>
      <w:bookmarkStart w:id="0" w:name="_Toc168090001"/>
      <w:r w:rsidR="0022078C" w:rsidRPr="0022078C">
        <w:rPr>
          <w:rFonts w:ascii="Times New Roman" w:hAnsi="Times New Roman" w:cs="Times New Roman"/>
          <w:b/>
          <w:noProof/>
          <w:color w:val="000000" w:themeColor="text1"/>
          <w:kern w:val="2"/>
          <w14:ligatures w14:val="standardContextual"/>
        </w:rPr>
        <w:lastRenderedPageBreak/>
        <w:t>Executive Summary</w:t>
      </w:r>
      <w:bookmarkEnd w:id="0"/>
    </w:p>
    <w:p w14:paraId="6A3D46AC" w14:textId="77777777" w:rsidR="0022078C" w:rsidRPr="0022078C" w:rsidRDefault="0022078C" w:rsidP="007434A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 xml:space="preserve">This report analyses the financial position of Urban Heights Hotel and lays down recommendations for exactly what needs to be done to arrest a poor run by the hotel. Analyzing Table 4, the financial performance of the hotel, the revenue is declining from £2,500,000 in 2021 to £1,800,000 in 2023 and operating expenses are growing resulting in a net operating loss of £500,000 in 2023. Some of the issues that may arise are operational evils, strategic in-compatibility, customer dissatisfaction, and other factors including but not limited to global depression and stiff competition. The ratios computed for the financial performance show a desperate need to institute measures to contain costs and increase revenues. It is also calculated that the liquidity and solvency ratios of the hotel reveal that it is gradually becoming more and more financially unable to meet its short-term liabilities which underlines the need for a proper financial restructuring. The following are parts of the suggested turnaround plan; The efficiency strategies agenda includes the strategies of lean management and technology updates to help decrease operations costs. Public relations revenue enhancement strategies include market positioning, improvement of services offered, and development of other income-generating activities including events, and partnerships. The key strategies of financial restructuring include the management of debts, sourcing for more equity investment, and efficient management of cash streams. Effective management of risks associated with operating in the financial sector will significantly reduce threats to financial and business activity sustainability. Therefore, the following strategies will help Urban Heights Hotel deal with the current financial problems and create a solid base for development. Besides, there is also a proper division of the work in terms of timelines, goals, and objectives for control and monitoring. The plan should delegate tasks and goals to bring new, invigorated life to the hotel’s operations, increase customer satisfaction and move the hotel to a more favourable position in the relevant market. The best strategies will be applied at Urban Heights Hotel to make a financial recovery within a short time and take the amenities of the hotel to another level. </w:t>
      </w:r>
      <w:r w:rsidRPr="0022078C">
        <w:rPr>
          <w:rFonts w:ascii="Times New Roman" w:hAnsi="Times New Roman" w:cs="Times New Roman"/>
          <w:noProof/>
          <w:kern w:val="2"/>
          <w:sz w:val="24"/>
          <w14:ligatures w14:val="standardContextual"/>
        </w:rPr>
        <w:br w:type="page"/>
      </w:r>
    </w:p>
    <w:sdt>
      <w:sdtPr>
        <w:rPr>
          <w:rFonts w:ascii="Times New Roman" w:hAnsi="Times New Roman" w:cs="Times New Roman"/>
          <w:noProof/>
          <w:kern w:val="2"/>
          <w:sz w:val="24"/>
          <w14:ligatures w14:val="standardContextual"/>
        </w:rPr>
        <w:id w:val="-639952091"/>
        <w:docPartObj>
          <w:docPartGallery w:val="Table of Contents"/>
          <w:docPartUnique/>
        </w:docPartObj>
      </w:sdtPr>
      <w:sdtEndPr>
        <w:rPr>
          <w:b/>
          <w:bCs/>
        </w:rPr>
      </w:sdtEndPr>
      <w:sdtContent>
        <w:p w14:paraId="4BCD2806" w14:textId="77777777" w:rsidR="0022078C" w:rsidRPr="0022078C" w:rsidRDefault="0022078C" w:rsidP="0022078C">
          <w:pPr>
            <w:keepNext/>
            <w:keepLines/>
            <w:spacing w:before="240" w:after="0" w:line="360" w:lineRule="auto"/>
            <w:rPr>
              <w:rFonts w:ascii="Times New Roman" w:eastAsiaTheme="majorEastAsia" w:hAnsi="Times New Roman" w:cs="Times New Roman"/>
              <w:noProof/>
              <w:color w:val="2F5496" w:themeColor="accent1" w:themeShade="BF"/>
              <w:sz w:val="32"/>
              <w:szCs w:val="32"/>
              <w:lang w:eastAsia="en-GB"/>
            </w:rPr>
          </w:pPr>
          <w:r w:rsidRPr="0022078C">
            <w:rPr>
              <w:rFonts w:ascii="Times New Roman" w:eastAsiaTheme="majorEastAsia" w:hAnsi="Times New Roman" w:cs="Times New Roman"/>
              <w:noProof/>
              <w:color w:val="2F5496" w:themeColor="accent1" w:themeShade="BF"/>
              <w:sz w:val="32"/>
              <w:szCs w:val="32"/>
              <w:lang w:eastAsia="en-GB"/>
            </w:rPr>
            <w:t>Table of Contents</w:t>
          </w:r>
        </w:p>
        <w:p w14:paraId="18854B78" w14:textId="77777777" w:rsidR="0022078C" w:rsidRPr="0022078C" w:rsidRDefault="00000000" w:rsidP="0022078C">
          <w:pPr>
            <w:tabs>
              <w:tab w:val="right" w:leader="dot" w:pos="9350"/>
            </w:tabs>
            <w:spacing w:before="120" w:after="100" w:line="360" w:lineRule="auto"/>
            <w:jc w:val="both"/>
            <w:rPr>
              <w:rFonts w:ascii="Times New Roman" w:eastAsiaTheme="minorEastAsia" w:hAnsi="Times New Roman" w:cs="Times New Roman"/>
              <w:noProof/>
              <w:kern w:val="2"/>
              <w:sz w:val="24"/>
              <w:szCs w:val="24"/>
              <w:lang w:eastAsia="en-GB"/>
              <w14:ligatures w14:val="standardContextual"/>
            </w:rPr>
          </w:pPr>
          <w:hyperlink w:anchor="_Toc168090001" w:history="1">
            <w:r w:rsidR="0022078C" w:rsidRPr="0022078C">
              <w:rPr>
                <w:rFonts w:ascii="Times New Roman" w:hAnsi="Times New Roman" w:cs="Times New Roman"/>
                <w:noProof/>
                <w:color w:val="0563C1" w:themeColor="hyperlink"/>
                <w:kern w:val="2"/>
                <w:sz w:val="24"/>
                <w:u w:val="single"/>
                <w14:ligatures w14:val="standardContextual"/>
              </w:rPr>
              <w:t>Executive Summary</w:t>
            </w:r>
            <w:r w:rsidR="0022078C" w:rsidRPr="0022078C">
              <w:rPr>
                <w:rFonts w:ascii="Times New Roman" w:hAnsi="Times New Roman" w:cs="Times New Roman"/>
                <w:noProof/>
                <w:webHidden/>
                <w:kern w:val="2"/>
                <w:sz w:val="24"/>
                <w14:ligatures w14:val="standardContextual"/>
              </w:rPr>
              <w:tab/>
            </w:r>
            <w:r w:rsidR="0022078C" w:rsidRPr="0022078C">
              <w:rPr>
                <w:rFonts w:ascii="Times New Roman" w:hAnsi="Times New Roman" w:cs="Times New Roman"/>
                <w:noProof/>
                <w:webHidden/>
                <w:kern w:val="2"/>
                <w:sz w:val="24"/>
                <w14:ligatures w14:val="standardContextual"/>
              </w:rPr>
              <w:fldChar w:fldCharType="begin"/>
            </w:r>
            <w:r w:rsidR="0022078C" w:rsidRPr="0022078C">
              <w:rPr>
                <w:rFonts w:ascii="Times New Roman" w:hAnsi="Times New Roman" w:cs="Times New Roman"/>
                <w:noProof/>
                <w:webHidden/>
                <w:kern w:val="2"/>
                <w:sz w:val="24"/>
                <w14:ligatures w14:val="standardContextual"/>
              </w:rPr>
              <w:instrText xml:space="preserve"> PAGEREF _Toc168090001 \h </w:instrText>
            </w:r>
            <w:r w:rsidR="0022078C" w:rsidRPr="0022078C">
              <w:rPr>
                <w:rFonts w:ascii="Times New Roman" w:hAnsi="Times New Roman" w:cs="Times New Roman"/>
                <w:noProof/>
                <w:webHidden/>
                <w:kern w:val="2"/>
                <w:sz w:val="24"/>
                <w14:ligatures w14:val="standardContextual"/>
              </w:rPr>
            </w:r>
            <w:r w:rsidR="0022078C" w:rsidRPr="0022078C">
              <w:rPr>
                <w:rFonts w:ascii="Times New Roman" w:hAnsi="Times New Roman" w:cs="Times New Roman"/>
                <w:noProof/>
                <w:webHidden/>
                <w:kern w:val="2"/>
                <w:sz w:val="24"/>
                <w14:ligatures w14:val="standardContextual"/>
              </w:rPr>
              <w:fldChar w:fldCharType="separate"/>
            </w:r>
            <w:r w:rsidR="0022078C" w:rsidRPr="0022078C">
              <w:rPr>
                <w:rFonts w:ascii="Times New Roman" w:hAnsi="Times New Roman" w:cs="Times New Roman"/>
                <w:noProof/>
                <w:webHidden/>
                <w:kern w:val="2"/>
                <w:sz w:val="24"/>
                <w14:ligatures w14:val="standardContextual"/>
              </w:rPr>
              <w:t>2</w:t>
            </w:r>
            <w:r w:rsidR="0022078C" w:rsidRPr="0022078C">
              <w:rPr>
                <w:rFonts w:ascii="Times New Roman" w:hAnsi="Times New Roman" w:cs="Times New Roman"/>
                <w:noProof/>
                <w:webHidden/>
                <w:kern w:val="2"/>
                <w:sz w:val="24"/>
                <w14:ligatures w14:val="standardContextual"/>
              </w:rPr>
              <w:fldChar w:fldCharType="end"/>
            </w:r>
          </w:hyperlink>
        </w:p>
        <w:p w14:paraId="4CACF38A" w14:textId="77777777" w:rsidR="0022078C" w:rsidRPr="0022078C" w:rsidRDefault="00000000" w:rsidP="0022078C">
          <w:pPr>
            <w:tabs>
              <w:tab w:val="right" w:leader="dot" w:pos="9350"/>
            </w:tabs>
            <w:spacing w:before="120" w:after="100" w:line="360" w:lineRule="auto"/>
            <w:jc w:val="both"/>
            <w:rPr>
              <w:rFonts w:ascii="Times New Roman" w:eastAsiaTheme="minorEastAsia" w:hAnsi="Times New Roman" w:cs="Times New Roman"/>
              <w:noProof/>
              <w:kern w:val="2"/>
              <w:sz w:val="24"/>
              <w:szCs w:val="24"/>
              <w:lang w:eastAsia="en-GB"/>
              <w14:ligatures w14:val="standardContextual"/>
            </w:rPr>
          </w:pPr>
          <w:hyperlink w:anchor="_Toc168090002" w:history="1">
            <w:r w:rsidR="0022078C" w:rsidRPr="0022078C">
              <w:rPr>
                <w:rFonts w:ascii="Times New Roman" w:hAnsi="Times New Roman" w:cs="Times New Roman"/>
                <w:noProof/>
                <w:color w:val="0563C1" w:themeColor="hyperlink"/>
                <w:kern w:val="2"/>
                <w:sz w:val="24"/>
                <w:u w:val="single"/>
                <w14:ligatures w14:val="standardContextual"/>
              </w:rPr>
              <w:t>Introduction</w:t>
            </w:r>
            <w:r w:rsidR="0022078C" w:rsidRPr="0022078C">
              <w:rPr>
                <w:rFonts w:ascii="Times New Roman" w:hAnsi="Times New Roman" w:cs="Times New Roman"/>
                <w:noProof/>
                <w:webHidden/>
                <w:kern w:val="2"/>
                <w:sz w:val="24"/>
                <w14:ligatures w14:val="standardContextual"/>
              </w:rPr>
              <w:tab/>
              <w:t>4</w:t>
            </w:r>
          </w:hyperlink>
        </w:p>
        <w:p w14:paraId="2207D0C6" w14:textId="77777777" w:rsidR="0022078C" w:rsidRPr="0022078C" w:rsidRDefault="00000000" w:rsidP="0022078C">
          <w:pPr>
            <w:tabs>
              <w:tab w:val="right" w:leader="dot" w:pos="9350"/>
            </w:tabs>
            <w:spacing w:before="120" w:after="100" w:line="360" w:lineRule="auto"/>
            <w:jc w:val="both"/>
            <w:rPr>
              <w:rFonts w:ascii="Times New Roman" w:eastAsiaTheme="minorEastAsia" w:hAnsi="Times New Roman" w:cs="Times New Roman"/>
              <w:noProof/>
              <w:kern w:val="2"/>
              <w:sz w:val="24"/>
              <w:szCs w:val="24"/>
              <w:lang w:eastAsia="en-GB"/>
              <w14:ligatures w14:val="standardContextual"/>
            </w:rPr>
          </w:pPr>
          <w:hyperlink w:anchor="_Toc168090003" w:history="1">
            <w:r w:rsidR="0022078C" w:rsidRPr="0022078C">
              <w:rPr>
                <w:rFonts w:ascii="Times New Roman" w:hAnsi="Times New Roman" w:cs="Times New Roman"/>
                <w:noProof/>
                <w:color w:val="0563C1" w:themeColor="hyperlink"/>
                <w:kern w:val="2"/>
                <w:sz w:val="24"/>
                <w:u w:val="single"/>
                <w14:ligatures w14:val="standardContextual"/>
              </w:rPr>
              <w:t>Financial Performance Analysis</w:t>
            </w:r>
            <w:r w:rsidR="0022078C" w:rsidRPr="0022078C">
              <w:rPr>
                <w:rFonts w:ascii="Times New Roman" w:hAnsi="Times New Roman" w:cs="Times New Roman"/>
                <w:noProof/>
                <w:webHidden/>
                <w:kern w:val="2"/>
                <w:sz w:val="24"/>
                <w14:ligatures w14:val="standardContextual"/>
              </w:rPr>
              <w:tab/>
              <w:t>4</w:t>
            </w:r>
          </w:hyperlink>
        </w:p>
        <w:p w14:paraId="20E0F507" w14:textId="77777777" w:rsidR="0022078C" w:rsidRPr="0022078C" w:rsidRDefault="00000000" w:rsidP="0022078C">
          <w:pPr>
            <w:tabs>
              <w:tab w:val="right" w:leader="dot" w:pos="9350"/>
            </w:tabs>
            <w:spacing w:before="120" w:after="100" w:line="360" w:lineRule="auto"/>
            <w:ind w:left="240"/>
            <w:jc w:val="both"/>
            <w:rPr>
              <w:rFonts w:ascii="Times New Roman" w:eastAsiaTheme="minorEastAsia" w:hAnsi="Times New Roman" w:cs="Times New Roman"/>
              <w:noProof/>
              <w:kern w:val="2"/>
              <w:sz w:val="24"/>
              <w:szCs w:val="24"/>
              <w:lang w:eastAsia="en-GB"/>
              <w14:ligatures w14:val="standardContextual"/>
            </w:rPr>
          </w:pPr>
          <w:hyperlink w:anchor="_Toc168090004" w:history="1">
            <w:r w:rsidR="0022078C" w:rsidRPr="0022078C">
              <w:rPr>
                <w:rFonts w:ascii="Times New Roman" w:hAnsi="Times New Roman" w:cs="Times New Roman"/>
                <w:noProof/>
                <w:color w:val="0563C1" w:themeColor="hyperlink"/>
                <w:kern w:val="2"/>
                <w:sz w:val="24"/>
                <w:u w:val="single"/>
                <w14:ligatures w14:val="standardContextual"/>
              </w:rPr>
              <w:t>Financial Ratio Analysis</w:t>
            </w:r>
            <w:r w:rsidR="0022078C" w:rsidRPr="0022078C">
              <w:rPr>
                <w:rFonts w:ascii="Times New Roman" w:hAnsi="Times New Roman" w:cs="Times New Roman"/>
                <w:noProof/>
                <w:webHidden/>
                <w:kern w:val="2"/>
                <w:sz w:val="24"/>
                <w14:ligatures w14:val="standardContextual"/>
              </w:rPr>
              <w:tab/>
              <w:t>5</w:t>
            </w:r>
          </w:hyperlink>
        </w:p>
        <w:p w14:paraId="7124D0C0" w14:textId="77777777" w:rsidR="0022078C" w:rsidRPr="0022078C" w:rsidRDefault="00000000" w:rsidP="0022078C">
          <w:pPr>
            <w:tabs>
              <w:tab w:val="right" w:leader="dot" w:pos="9350"/>
            </w:tabs>
            <w:spacing w:before="120" w:after="100" w:line="360" w:lineRule="auto"/>
            <w:jc w:val="both"/>
            <w:rPr>
              <w:rFonts w:ascii="Times New Roman" w:eastAsiaTheme="minorEastAsia" w:hAnsi="Times New Roman" w:cs="Times New Roman"/>
              <w:noProof/>
              <w:kern w:val="2"/>
              <w:sz w:val="24"/>
              <w:szCs w:val="24"/>
              <w:lang w:eastAsia="en-GB"/>
              <w14:ligatures w14:val="standardContextual"/>
            </w:rPr>
          </w:pPr>
          <w:hyperlink w:anchor="_Toc168090005" w:history="1">
            <w:r w:rsidR="0022078C" w:rsidRPr="0022078C">
              <w:rPr>
                <w:rFonts w:ascii="Times New Roman" w:hAnsi="Times New Roman" w:cs="Times New Roman"/>
                <w:noProof/>
                <w:color w:val="0563C1" w:themeColor="hyperlink"/>
                <w:kern w:val="2"/>
                <w:sz w:val="24"/>
                <w:u w:val="single"/>
                <w14:ligatures w14:val="standardContextual"/>
              </w:rPr>
              <w:t>Identification of Key Issues</w:t>
            </w:r>
            <w:r w:rsidR="0022078C" w:rsidRPr="0022078C">
              <w:rPr>
                <w:rFonts w:ascii="Times New Roman" w:hAnsi="Times New Roman" w:cs="Times New Roman"/>
                <w:noProof/>
                <w:webHidden/>
                <w:kern w:val="2"/>
                <w:sz w:val="24"/>
                <w14:ligatures w14:val="standardContextual"/>
              </w:rPr>
              <w:tab/>
              <w:t>7</w:t>
            </w:r>
          </w:hyperlink>
        </w:p>
        <w:p w14:paraId="2C695355" w14:textId="77777777" w:rsidR="0022078C" w:rsidRPr="0022078C" w:rsidRDefault="00000000" w:rsidP="0022078C">
          <w:pPr>
            <w:tabs>
              <w:tab w:val="right" w:leader="dot" w:pos="9350"/>
            </w:tabs>
            <w:spacing w:before="120" w:after="100" w:line="360" w:lineRule="auto"/>
            <w:ind w:left="240"/>
            <w:jc w:val="both"/>
            <w:rPr>
              <w:rFonts w:ascii="Times New Roman" w:eastAsiaTheme="minorEastAsia" w:hAnsi="Times New Roman" w:cs="Times New Roman"/>
              <w:noProof/>
              <w:kern w:val="2"/>
              <w:sz w:val="24"/>
              <w:szCs w:val="24"/>
              <w:lang w:eastAsia="en-GB"/>
              <w14:ligatures w14:val="standardContextual"/>
            </w:rPr>
          </w:pPr>
          <w:hyperlink w:anchor="_Toc168090006" w:history="1">
            <w:r w:rsidR="0022078C" w:rsidRPr="0022078C">
              <w:rPr>
                <w:rFonts w:ascii="Times New Roman" w:hAnsi="Times New Roman" w:cs="Times New Roman"/>
                <w:noProof/>
                <w:color w:val="0563C1" w:themeColor="hyperlink"/>
                <w:kern w:val="2"/>
                <w:sz w:val="24"/>
                <w:u w:val="single"/>
                <w14:ligatures w14:val="standardContextual"/>
              </w:rPr>
              <w:t>External Factors</w:t>
            </w:r>
            <w:r w:rsidR="0022078C" w:rsidRPr="0022078C">
              <w:rPr>
                <w:rFonts w:ascii="Times New Roman" w:hAnsi="Times New Roman" w:cs="Times New Roman"/>
                <w:noProof/>
                <w:webHidden/>
                <w:kern w:val="2"/>
                <w:sz w:val="24"/>
                <w14:ligatures w14:val="standardContextual"/>
              </w:rPr>
              <w:tab/>
              <w:t>7</w:t>
            </w:r>
          </w:hyperlink>
        </w:p>
        <w:p w14:paraId="5FAEA7D6" w14:textId="77777777" w:rsidR="0022078C" w:rsidRPr="0022078C" w:rsidRDefault="00000000" w:rsidP="0022078C">
          <w:pPr>
            <w:tabs>
              <w:tab w:val="right" w:leader="dot" w:pos="9350"/>
            </w:tabs>
            <w:spacing w:before="120" w:after="100" w:line="360" w:lineRule="auto"/>
            <w:ind w:left="240"/>
            <w:jc w:val="both"/>
            <w:rPr>
              <w:rFonts w:ascii="Times New Roman" w:eastAsiaTheme="minorEastAsia" w:hAnsi="Times New Roman" w:cs="Times New Roman"/>
              <w:noProof/>
              <w:kern w:val="2"/>
              <w:sz w:val="24"/>
              <w:szCs w:val="24"/>
              <w:lang w:eastAsia="en-GB"/>
              <w14:ligatures w14:val="standardContextual"/>
            </w:rPr>
          </w:pPr>
          <w:hyperlink w:anchor="_Toc168090007" w:history="1">
            <w:r w:rsidR="0022078C" w:rsidRPr="0022078C">
              <w:rPr>
                <w:rFonts w:ascii="Times New Roman" w:hAnsi="Times New Roman" w:cs="Times New Roman"/>
                <w:noProof/>
                <w:color w:val="0563C1" w:themeColor="hyperlink"/>
                <w:kern w:val="2"/>
                <w:sz w:val="24"/>
                <w:u w:val="single"/>
                <w14:ligatures w14:val="standardContextual"/>
              </w:rPr>
              <w:t>Internal Factors</w:t>
            </w:r>
            <w:r w:rsidR="0022078C" w:rsidRPr="0022078C">
              <w:rPr>
                <w:rFonts w:ascii="Times New Roman" w:hAnsi="Times New Roman" w:cs="Times New Roman"/>
                <w:noProof/>
                <w:webHidden/>
                <w:kern w:val="2"/>
                <w:sz w:val="24"/>
                <w14:ligatures w14:val="standardContextual"/>
              </w:rPr>
              <w:tab/>
              <w:t>8</w:t>
            </w:r>
          </w:hyperlink>
        </w:p>
        <w:p w14:paraId="4A69B347" w14:textId="77777777" w:rsidR="0022078C" w:rsidRPr="0022078C" w:rsidRDefault="00000000" w:rsidP="0022078C">
          <w:pPr>
            <w:tabs>
              <w:tab w:val="right" w:leader="dot" w:pos="9350"/>
            </w:tabs>
            <w:spacing w:before="120" w:after="100" w:line="360" w:lineRule="auto"/>
            <w:jc w:val="both"/>
            <w:rPr>
              <w:rFonts w:ascii="Times New Roman" w:eastAsiaTheme="minorEastAsia" w:hAnsi="Times New Roman" w:cs="Times New Roman"/>
              <w:noProof/>
              <w:kern w:val="2"/>
              <w:sz w:val="24"/>
              <w:szCs w:val="24"/>
              <w:lang w:eastAsia="en-GB"/>
              <w14:ligatures w14:val="standardContextual"/>
            </w:rPr>
          </w:pPr>
          <w:hyperlink w:anchor="_Toc168090008" w:history="1">
            <w:r w:rsidR="0022078C" w:rsidRPr="0022078C">
              <w:rPr>
                <w:rFonts w:ascii="Times New Roman" w:hAnsi="Times New Roman" w:cs="Times New Roman"/>
                <w:noProof/>
                <w:color w:val="0563C1" w:themeColor="hyperlink"/>
                <w:kern w:val="2"/>
                <w:sz w:val="24"/>
                <w:u w:val="single"/>
                <w14:ligatures w14:val="standardContextual"/>
              </w:rPr>
              <w:t>Risk Management Process</w:t>
            </w:r>
            <w:r w:rsidR="0022078C" w:rsidRPr="0022078C">
              <w:rPr>
                <w:rFonts w:ascii="Times New Roman" w:hAnsi="Times New Roman" w:cs="Times New Roman"/>
                <w:noProof/>
                <w:webHidden/>
                <w:kern w:val="2"/>
                <w:sz w:val="24"/>
                <w14:ligatures w14:val="standardContextual"/>
              </w:rPr>
              <w:tab/>
              <w:t>8</w:t>
            </w:r>
          </w:hyperlink>
        </w:p>
        <w:p w14:paraId="540F9245" w14:textId="77777777" w:rsidR="0022078C" w:rsidRPr="0022078C" w:rsidRDefault="00000000" w:rsidP="0022078C">
          <w:pPr>
            <w:tabs>
              <w:tab w:val="right" w:leader="dot" w:pos="9350"/>
            </w:tabs>
            <w:spacing w:before="120" w:after="100" w:line="360" w:lineRule="auto"/>
            <w:jc w:val="both"/>
            <w:rPr>
              <w:rFonts w:ascii="Times New Roman" w:eastAsiaTheme="minorEastAsia" w:hAnsi="Times New Roman" w:cs="Times New Roman"/>
              <w:noProof/>
              <w:kern w:val="2"/>
              <w:sz w:val="24"/>
              <w:szCs w:val="24"/>
              <w:lang w:eastAsia="en-GB"/>
              <w14:ligatures w14:val="standardContextual"/>
            </w:rPr>
          </w:pPr>
          <w:hyperlink w:anchor="_Toc168090009" w:history="1">
            <w:r w:rsidR="0022078C" w:rsidRPr="0022078C">
              <w:rPr>
                <w:rFonts w:ascii="Times New Roman" w:hAnsi="Times New Roman" w:cs="Times New Roman"/>
                <w:noProof/>
                <w:color w:val="0563C1" w:themeColor="hyperlink"/>
                <w:kern w:val="2"/>
                <w:sz w:val="24"/>
                <w:u w:val="single"/>
                <w14:ligatures w14:val="standardContextual"/>
              </w:rPr>
              <w:t>Turnaround Strategy</w:t>
            </w:r>
            <w:r w:rsidR="0022078C" w:rsidRPr="0022078C">
              <w:rPr>
                <w:rFonts w:ascii="Times New Roman" w:hAnsi="Times New Roman" w:cs="Times New Roman"/>
                <w:noProof/>
                <w:webHidden/>
                <w:kern w:val="2"/>
                <w:sz w:val="24"/>
                <w14:ligatures w14:val="standardContextual"/>
              </w:rPr>
              <w:tab/>
              <w:t>11</w:t>
            </w:r>
          </w:hyperlink>
        </w:p>
        <w:p w14:paraId="746B34FC" w14:textId="77777777" w:rsidR="0022078C" w:rsidRPr="0022078C" w:rsidRDefault="00000000" w:rsidP="0022078C">
          <w:pPr>
            <w:tabs>
              <w:tab w:val="right" w:leader="dot" w:pos="9350"/>
            </w:tabs>
            <w:spacing w:before="120" w:after="100" w:line="360" w:lineRule="auto"/>
            <w:jc w:val="both"/>
            <w:rPr>
              <w:rFonts w:ascii="Times New Roman" w:eastAsiaTheme="minorEastAsia" w:hAnsi="Times New Roman" w:cs="Times New Roman"/>
              <w:noProof/>
              <w:kern w:val="2"/>
              <w:sz w:val="24"/>
              <w:szCs w:val="24"/>
              <w:lang w:eastAsia="en-GB"/>
              <w14:ligatures w14:val="standardContextual"/>
            </w:rPr>
          </w:pPr>
          <w:hyperlink w:anchor="_Toc168090010" w:history="1">
            <w:r w:rsidR="0022078C" w:rsidRPr="0022078C">
              <w:rPr>
                <w:rFonts w:ascii="Times New Roman" w:hAnsi="Times New Roman" w:cs="Times New Roman"/>
                <w:noProof/>
                <w:color w:val="0563C1" w:themeColor="hyperlink"/>
                <w:kern w:val="2"/>
                <w:sz w:val="24"/>
                <w:u w:val="single"/>
                <w14:ligatures w14:val="standardContextual"/>
              </w:rPr>
              <w:t>Conclusion</w:t>
            </w:r>
            <w:r w:rsidR="0022078C" w:rsidRPr="0022078C">
              <w:rPr>
                <w:rFonts w:ascii="Times New Roman" w:hAnsi="Times New Roman" w:cs="Times New Roman"/>
                <w:noProof/>
                <w:webHidden/>
                <w:kern w:val="2"/>
                <w:sz w:val="24"/>
                <w14:ligatures w14:val="standardContextual"/>
              </w:rPr>
              <w:tab/>
              <w:t>13</w:t>
            </w:r>
          </w:hyperlink>
        </w:p>
        <w:p w14:paraId="4FDC922B" w14:textId="77777777" w:rsidR="0022078C" w:rsidRPr="0022078C" w:rsidRDefault="00000000" w:rsidP="0022078C">
          <w:pPr>
            <w:tabs>
              <w:tab w:val="right" w:leader="dot" w:pos="9350"/>
            </w:tabs>
            <w:spacing w:before="120" w:after="100" w:line="360" w:lineRule="auto"/>
            <w:jc w:val="both"/>
            <w:rPr>
              <w:rFonts w:ascii="Times New Roman" w:eastAsiaTheme="minorEastAsia" w:hAnsi="Times New Roman" w:cs="Times New Roman"/>
              <w:noProof/>
              <w:kern w:val="2"/>
              <w:sz w:val="24"/>
              <w:szCs w:val="24"/>
              <w:lang w:eastAsia="en-GB"/>
              <w14:ligatures w14:val="standardContextual"/>
            </w:rPr>
          </w:pPr>
          <w:hyperlink w:anchor="_Toc168090011" w:history="1">
            <w:r w:rsidR="0022078C" w:rsidRPr="0022078C">
              <w:rPr>
                <w:rFonts w:ascii="Times New Roman" w:hAnsi="Times New Roman" w:cs="Times New Roman"/>
                <w:noProof/>
                <w:color w:val="0563C1" w:themeColor="hyperlink"/>
                <w:kern w:val="2"/>
                <w:sz w:val="24"/>
                <w:u w:val="single"/>
                <w14:ligatures w14:val="standardContextual"/>
              </w:rPr>
              <w:t>Reference List</w:t>
            </w:r>
            <w:r w:rsidR="0022078C" w:rsidRPr="0022078C">
              <w:rPr>
                <w:rFonts w:ascii="Times New Roman" w:hAnsi="Times New Roman" w:cs="Times New Roman"/>
                <w:noProof/>
                <w:webHidden/>
                <w:kern w:val="2"/>
                <w:sz w:val="24"/>
                <w14:ligatures w14:val="standardContextual"/>
              </w:rPr>
              <w:tab/>
              <w:t>14</w:t>
            </w:r>
          </w:hyperlink>
        </w:p>
        <w:p w14:paraId="5BE067BE" w14:textId="77777777" w:rsidR="0022078C" w:rsidRPr="0022078C" w:rsidRDefault="00000000" w:rsidP="0022078C">
          <w:pPr>
            <w:spacing w:before="120" w:after="240" w:line="360" w:lineRule="auto"/>
            <w:jc w:val="both"/>
            <w:rPr>
              <w:rFonts w:ascii="Times New Roman" w:hAnsi="Times New Roman" w:cs="Times New Roman"/>
              <w:noProof/>
              <w:kern w:val="2"/>
              <w:sz w:val="24"/>
              <w14:ligatures w14:val="standardContextual"/>
            </w:rPr>
          </w:pPr>
        </w:p>
      </w:sdtContent>
    </w:sdt>
    <w:p w14:paraId="4AF8C1FC" w14:textId="77777777" w:rsidR="0022078C" w:rsidRPr="0022078C" w:rsidRDefault="0022078C" w:rsidP="0022078C">
      <w:pPr>
        <w:spacing w:line="360" w:lineRule="auto"/>
        <w:rPr>
          <w:rFonts w:ascii="Times New Roman" w:eastAsiaTheme="majorEastAsia" w:hAnsi="Times New Roman" w:cs="Times New Roman"/>
          <w:b/>
          <w:noProof/>
          <w:color w:val="000000" w:themeColor="text1"/>
          <w:kern w:val="2"/>
          <w:sz w:val="32"/>
          <w:szCs w:val="32"/>
          <w14:ligatures w14:val="standardContextual"/>
        </w:rPr>
      </w:pPr>
      <w:r w:rsidRPr="0022078C">
        <w:rPr>
          <w:rFonts w:ascii="Times New Roman" w:hAnsi="Times New Roman" w:cs="Times New Roman"/>
          <w:noProof/>
          <w:kern w:val="2"/>
          <w:sz w:val="24"/>
          <w14:ligatures w14:val="standardContextual"/>
        </w:rPr>
        <w:br w:type="page"/>
      </w:r>
    </w:p>
    <w:p w14:paraId="4436B1D8" w14:textId="77777777" w:rsidR="0022078C" w:rsidRPr="0022078C" w:rsidRDefault="0022078C" w:rsidP="0022078C">
      <w:pPr>
        <w:keepNext/>
        <w:keepLines/>
        <w:pBdr>
          <w:bottom w:val="single" w:sz="4" w:space="1" w:color="auto"/>
        </w:pBdr>
        <w:spacing w:before="120" w:after="240" w:line="360" w:lineRule="auto"/>
        <w:jc w:val="both"/>
        <w:outlineLvl w:val="0"/>
        <w:rPr>
          <w:rFonts w:ascii="Times New Roman" w:eastAsiaTheme="majorEastAsia" w:hAnsi="Times New Roman" w:cs="Times New Roman"/>
          <w:b/>
          <w:noProof/>
          <w:color w:val="000000" w:themeColor="text1"/>
          <w:kern w:val="2"/>
          <w:sz w:val="32"/>
          <w:szCs w:val="32"/>
          <w14:ligatures w14:val="standardContextual"/>
        </w:rPr>
      </w:pPr>
      <w:bookmarkStart w:id="1" w:name="_Toc168090002"/>
      <w:r w:rsidRPr="0022078C">
        <w:rPr>
          <w:rFonts w:ascii="Times New Roman" w:eastAsiaTheme="majorEastAsia" w:hAnsi="Times New Roman" w:cs="Times New Roman"/>
          <w:b/>
          <w:noProof/>
          <w:color w:val="000000" w:themeColor="text1"/>
          <w:kern w:val="2"/>
          <w:sz w:val="32"/>
          <w:szCs w:val="32"/>
          <w14:ligatures w14:val="standardContextual"/>
        </w:rPr>
        <w:lastRenderedPageBreak/>
        <w:t>Introduction</w:t>
      </w:r>
      <w:bookmarkEnd w:id="1"/>
    </w:p>
    <w:p w14:paraId="01518862"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This report analyses Urban Heights Hotel's performance and suggests solutions. The data below shows that the hotel's revenues, occupancy rates, and customer satisfaction have declined over the past three years. This will help evaluate the resort's financial position and trends, the causes of its profitability decline, and measures to recover and improve. This report concludes the hotel's finances from its income statements, balance sheets, and key financial ratios. It also incorporates the risk management method and financial plan from the class, proving that the offered solutions match the course's theoretical findings. This evaluation discusses the external and internal factors that caused the hotel's financial issues and how to avoid them. Finally, this report will guide the hotel's economic recovery and competitive positioning.</w:t>
      </w:r>
    </w:p>
    <w:p w14:paraId="2FE9D412" w14:textId="77777777" w:rsidR="0022078C" w:rsidRPr="0022078C" w:rsidRDefault="0022078C" w:rsidP="0022078C">
      <w:pPr>
        <w:keepNext/>
        <w:keepLines/>
        <w:pBdr>
          <w:bottom w:val="single" w:sz="4" w:space="1" w:color="auto"/>
        </w:pBdr>
        <w:spacing w:before="120" w:after="240" w:line="360" w:lineRule="auto"/>
        <w:jc w:val="both"/>
        <w:outlineLvl w:val="0"/>
        <w:rPr>
          <w:rFonts w:ascii="Times New Roman" w:eastAsiaTheme="majorEastAsia" w:hAnsi="Times New Roman" w:cs="Times New Roman"/>
          <w:b/>
          <w:noProof/>
          <w:color w:val="000000" w:themeColor="text1"/>
          <w:kern w:val="2"/>
          <w:sz w:val="32"/>
          <w:szCs w:val="32"/>
          <w14:ligatures w14:val="standardContextual"/>
        </w:rPr>
      </w:pPr>
      <w:bookmarkStart w:id="2" w:name="_Toc168090003"/>
      <w:r w:rsidRPr="0022078C">
        <w:rPr>
          <w:rFonts w:ascii="Times New Roman" w:eastAsiaTheme="majorEastAsia" w:hAnsi="Times New Roman" w:cs="Times New Roman"/>
          <w:b/>
          <w:noProof/>
          <w:color w:val="000000" w:themeColor="text1"/>
          <w:kern w:val="2"/>
          <w:sz w:val="32"/>
          <w:szCs w:val="32"/>
          <w14:ligatures w14:val="standardContextual"/>
        </w:rPr>
        <w:t>Financial Performance Analysis</w:t>
      </w:r>
      <w:bookmarkEnd w:id="2"/>
    </w:p>
    <w:p w14:paraId="3879806C"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 xml:space="preserve">The Urban Heights Hotel's three-year balance sheets show relevant revenues and profitability. Compared income statements and balance sheets for 2021-2023 show the company's primary revenue generation, cost control, and financial sustainability concerns.  </w:t>
      </w:r>
    </w:p>
    <w:p w14:paraId="284071F6"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Revenue Trends:</w:t>
      </w:r>
      <w:r w:rsidRPr="0022078C">
        <w:rPr>
          <w:rFonts w:ascii="Times New Roman" w:hAnsi="Times New Roman" w:cs="Times New Roman"/>
          <w:noProof/>
          <w:kern w:val="2"/>
          <w:sz w:val="24"/>
          <w14:ligatures w14:val="standardContextual"/>
        </w:rPr>
        <w:t xml:space="preserve"> Revenue dropped to £1,800,000 in 2023 from £2,500,000 in 2021. This 28% drop indicates client retention issues caused by a variety of variables, from economic conditions to intense competition from other hotels in the same industry. </w:t>
      </w:r>
    </w:p>
    <w:p w14:paraId="4B60A782"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Expense Patterns:</w:t>
      </w:r>
      <w:r w:rsidRPr="0022078C">
        <w:rPr>
          <w:rFonts w:ascii="Times New Roman" w:hAnsi="Times New Roman" w:cs="Times New Roman"/>
          <w:noProof/>
          <w:kern w:val="2"/>
          <w:sz w:val="24"/>
          <w14:ligatures w14:val="standardContextual"/>
        </w:rPr>
        <w:t xml:space="preserve"> Despite decreased sales income, operating expenses rose from £1,800,000 in 2021 to £2,300,000 in 2023. It has mostly increased operational expenditures and other expenses without a commensurate growth in operating income, resulting in a net loss of £500,000 in 2023 from a net income of £700,000 in 2021. Increasing labour expenses, maintenance costs, and perhaps low organisational efficiency coefficients are key factors.  </w:t>
      </w:r>
    </w:p>
    <w:p w14:paraId="56070875"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Profitability Analysis:</w:t>
      </w:r>
      <w:r w:rsidRPr="0022078C">
        <w:rPr>
          <w:rFonts w:ascii="Times New Roman" w:hAnsi="Times New Roman" w:cs="Times New Roman"/>
          <w:noProof/>
          <w:kern w:val="2"/>
          <w:sz w:val="24"/>
          <w14:ligatures w14:val="standardContextual"/>
        </w:rPr>
        <w:t xml:space="preserve"> From 2021 to 2023, the net operating margin stagnated while the net income margin fell to a negative number. So cost control and revenue-boosting measures are crucial.</w:t>
      </w:r>
    </w:p>
    <w:p w14:paraId="66DC4F5C" w14:textId="35712806" w:rsidR="0022078C" w:rsidRDefault="0022078C" w:rsidP="0022078C">
      <w:pPr>
        <w:keepNext/>
        <w:keepLines/>
        <w:spacing w:before="120" w:after="240" w:line="360" w:lineRule="auto"/>
        <w:jc w:val="both"/>
        <w:outlineLvl w:val="1"/>
        <w:rPr>
          <w:rFonts w:ascii="Times New Roman" w:eastAsiaTheme="majorEastAsia" w:hAnsi="Times New Roman" w:cs="Times New Roman"/>
          <w:b/>
          <w:noProof/>
          <w:color w:val="000000" w:themeColor="text1"/>
          <w:kern w:val="2"/>
          <w:sz w:val="28"/>
          <w:szCs w:val="26"/>
          <w14:ligatures w14:val="standardContextual"/>
        </w:rPr>
      </w:pPr>
      <w:bookmarkStart w:id="3" w:name="_Toc168090004"/>
      <w:r w:rsidRPr="0022078C">
        <w:rPr>
          <w:rFonts w:ascii="Times New Roman" w:eastAsiaTheme="majorEastAsia" w:hAnsi="Times New Roman" w:cs="Times New Roman"/>
          <w:b/>
          <w:noProof/>
          <w:color w:val="000000" w:themeColor="text1"/>
          <w:kern w:val="2"/>
          <w:sz w:val="28"/>
          <w:szCs w:val="26"/>
          <w14:ligatures w14:val="standardContextual"/>
        </w:rPr>
        <w:t>Financial Ratio Analysis</w:t>
      </w:r>
      <w:bookmarkEnd w:id="3"/>
    </w:p>
    <w:p w14:paraId="2CDD7AFA" w14:textId="77777777" w:rsidR="0022078C" w:rsidRPr="0022078C" w:rsidRDefault="0022078C" w:rsidP="0022078C">
      <w:pPr>
        <w:spacing w:before="120" w:after="240" w:line="360" w:lineRule="auto"/>
        <w:jc w:val="both"/>
        <w:rPr>
          <w:rFonts w:ascii="Times New Roman" w:hAnsi="Times New Roman" w:cs="Times New Roman"/>
          <w:b/>
          <w:bCs/>
          <w:noProof/>
          <w:kern w:val="2"/>
          <w:sz w:val="24"/>
          <w14:ligatures w14:val="standardContextual"/>
        </w:rPr>
      </w:pPr>
      <w:r w:rsidRPr="0022078C">
        <w:rPr>
          <w:rFonts w:ascii="Times New Roman" w:hAnsi="Times New Roman" w:cs="Times New Roman"/>
          <w:b/>
          <w:bCs/>
          <w:noProof/>
          <w:kern w:val="2"/>
          <w:sz w:val="24"/>
          <w14:ligatures w14:val="standardContextual"/>
        </w:rPr>
        <w:t>Quick Ratio</w:t>
      </w:r>
    </w:p>
    <w:p w14:paraId="47C39AA4" w14:textId="6E0330EB" w:rsidR="0022078C" w:rsidRPr="0022078C" w:rsidRDefault="0022078C" w:rsidP="0022078C">
      <w:pPr>
        <w:keepNext/>
        <w:spacing w:after="200" w:line="360" w:lineRule="auto"/>
        <w:jc w:val="both"/>
        <w:rPr>
          <w:rFonts w:ascii="Times New Roman" w:hAnsi="Times New Roman" w:cs="Times New Roman"/>
          <w:i/>
          <w:iCs/>
          <w:noProof/>
          <w:color w:val="44546A" w:themeColor="text2"/>
          <w:kern w:val="2"/>
          <w:sz w:val="18"/>
          <w:szCs w:val="18"/>
          <w14:ligatures w14:val="standardContextual"/>
        </w:rPr>
      </w:pPr>
      <w:r w:rsidRPr="0022078C">
        <w:rPr>
          <w:rFonts w:ascii="Times New Roman" w:hAnsi="Times New Roman" w:cs="Times New Roman"/>
          <w:i/>
          <w:iCs/>
          <w:noProof/>
          <w:color w:val="44546A" w:themeColor="text2"/>
          <w:kern w:val="2"/>
          <w:sz w:val="18"/>
          <w:szCs w:val="18"/>
          <w14:ligatures w14:val="standardContextual"/>
        </w:rPr>
        <w:lastRenderedPageBreak/>
        <w:t xml:space="preserve">Table 1: Quick Ratio/ Source: </w:t>
      </w:r>
      <w:r w:rsidR="005444FE">
        <w:rPr>
          <w:rFonts w:ascii="Times New Roman" w:hAnsi="Times New Roman" w:cs="Times New Roman"/>
          <w:i/>
          <w:iCs/>
          <w:noProof/>
          <w:color w:val="44546A" w:themeColor="text2"/>
          <w:kern w:val="2"/>
          <w:sz w:val="18"/>
          <w:szCs w:val="18"/>
          <w14:ligatures w14:val="standardContextual"/>
        </w:rPr>
        <w:t>Made by author</w:t>
      </w:r>
    </w:p>
    <w:p w14:paraId="36106CE8" w14:textId="77777777" w:rsidR="0022078C" w:rsidRPr="0022078C" w:rsidRDefault="0022078C" w:rsidP="0022078C">
      <w:pPr>
        <w:spacing w:before="120" w:after="240" w:line="360" w:lineRule="auto"/>
        <w:jc w:val="both"/>
        <w:rPr>
          <w:rFonts w:ascii="Times New Roman" w:hAnsi="Times New Roman" w:cs="Times New Roman"/>
          <w:b/>
          <w:bCs/>
          <w:noProof/>
          <w:kern w:val="2"/>
          <w:sz w:val="24"/>
          <w14:ligatures w14:val="standardContextual"/>
        </w:rPr>
      </w:pPr>
      <w:r w:rsidRPr="0022078C">
        <w:rPr>
          <w:rFonts w:ascii="Times New Roman" w:hAnsi="Times New Roman" w:cs="Times New Roman"/>
          <w:noProof/>
          <w:kern w:val="2"/>
          <w:sz w:val="24"/>
          <w14:ligatures w14:val="standardContextual"/>
        </w:rPr>
        <w:drawing>
          <wp:inline distT="0" distB="0" distL="0" distR="0" wp14:anchorId="1ABB1B11" wp14:editId="170A12ED">
            <wp:extent cx="5943600" cy="1066800"/>
            <wp:effectExtent l="0" t="0" r="0" b="0"/>
            <wp:docPr id="2105411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411466" name=""/>
                    <pic:cNvPicPr/>
                  </pic:nvPicPr>
                  <pic:blipFill>
                    <a:blip r:embed="rId5"/>
                    <a:stretch>
                      <a:fillRect/>
                    </a:stretch>
                  </pic:blipFill>
                  <pic:spPr>
                    <a:xfrm>
                      <a:off x="0" y="0"/>
                      <a:ext cx="5943600" cy="1066800"/>
                    </a:xfrm>
                    <a:prstGeom prst="rect">
                      <a:avLst/>
                    </a:prstGeom>
                  </pic:spPr>
                </pic:pic>
              </a:graphicData>
            </a:graphic>
          </wp:inline>
        </w:drawing>
      </w:r>
    </w:p>
    <w:p w14:paraId="78991E33" w14:textId="77777777" w:rsidR="005444FE" w:rsidRPr="005444FE" w:rsidRDefault="005444FE" w:rsidP="005444FE">
      <w:pPr>
        <w:spacing w:before="120" w:after="240" w:line="360" w:lineRule="auto"/>
        <w:jc w:val="both"/>
        <w:rPr>
          <w:rFonts w:ascii="Times New Roman" w:hAnsi="Times New Roman" w:cs="Times New Roman"/>
          <w:noProof/>
          <w:kern w:val="2"/>
          <w:sz w:val="24"/>
          <w14:ligatures w14:val="standardContextual"/>
        </w:rPr>
      </w:pPr>
      <w:r w:rsidRPr="005444FE">
        <w:rPr>
          <w:rFonts w:ascii="Times New Roman" w:hAnsi="Times New Roman" w:cs="Times New Roman"/>
          <w:noProof/>
          <w:kern w:val="2"/>
          <w:sz w:val="24"/>
          <w14:ligatures w14:val="standardContextual"/>
        </w:rPr>
        <w:t>A significant indicator of liquidity, the quick ratio displays a company's ability to cover short-term liabilities with adjustable, liquid assets (Abad et al., 2019). From 1.8 in 2021 to 1.11 in 2022 and 0.6 in 2023, the Urban Heights Hotel's quick ratio decreased. The hotel's 1.80, 2021 current ratio shows strong liquidity. The ratio dropped starting in 2022, indicating a reduced ability of the corporation to cover current liabilities. A major catastrophe occurred in 2023 when the quick ratio went to 0.6. Insufficient liquidity and the possibility that the hotel will not be able to pay its present creditors without selling fixed assets or taking on additional debt are indicated by the fact that there were just £0.60 in liquid assets for every £1 in current liabilities.</w:t>
      </w:r>
    </w:p>
    <w:p w14:paraId="3078EB35" w14:textId="77777777" w:rsidR="0022078C" w:rsidRPr="0022078C" w:rsidRDefault="0022078C" w:rsidP="0022078C">
      <w:pPr>
        <w:spacing w:before="120" w:after="240" w:line="360" w:lineRule="auto"/>
        <w:jc w:val="both"/>
        <w:rPr>
          <w:rFonts w:ascii="Times New Roman" w:hAnsi="Times New Roman" w:cs="Times New Roman"/>
          <w:b/>
          <w:bCs/>
          <w:noProof/>
          <w:kern w:val="2"/>
          <w:sz w:val="24"/>
          <w14:ligatures w14:val="standardContextual"/>
        </w:rPr>
      </w:pPr>
      <w:r w:rsidRPr="0022078C">
        <w:rPr>
          <w:rFonts w:ascii="Times New Roman" w:hAnsi="Times New Roman" w:cs="Times New Roman"/>
          <w:b/>
          <w:bCs/>
          <w:noProof/>
          <w:kern w:val="2"/>
          <w:sz w:val="24"/>
          <w14:ligatures w14:val="standardContextual"/>
        </w:rPr>
        <w:t>Current Ratio</w:t>
      </w:r>
    </w:p>
    <w:p w14:paraId="29E41531" w14:textId="7F81110C" w:rsidR="0022078C" w:rsidRPr="0022078C" w:rsidRDefault="0022078C" w:rsidP="0022078C">
      <w:pPr>
        <w:keepNext/>
        <w:spacing w:after="200" w:line="360" w:lineRule="auto"/>
        <w:jc w:val="both"/>
        <w:rPr>
          <w:rFonts w:ascii="Times New Roman" w:hAnsi="Times New Roman" w:cs="Times New Roman"/>
          <w:i/>
          <w:iCs/>
          <w:noProof/>
          <w:color w:val="44546A" w:themeColor="text2"/>
          <w:kern w:val="2"/>
          <w:sz w:val="18"/>
          <w:szCs w:val="18"/>
          <w14:ligatures w14:val="standardContextual"/>
        </w:rPr>
      </w:pPr>
      <w:r w:rsidRPr="0022078C">
        <w:rPr>
          <w:rFonts w:ascii="Times New Roman" w:hAnsi="Times New Roman" w:cs="Times New Roman"/>
          <w:i/>
          <w:iCs/>
          <w:noProof/>
          <w:color w:val="44546A" w:themeColor="text2"/>
          <w:kern w:val="2"/>
          <w:sz w:val="18"/>
          <w:szCs w:val="18"/>
          <w14:ligatures w14:val="standardContextual"/>
        </w:rPr>
        <w:t xml:space="preserve">Table 2: Current Ratio/ Source: </w:t>
      </w:r>
      <w:r w:rsidR="005444FE">
        <w:rPr>
          <w:rFonts w:ascii="Times New Roman" w:hAnsi="Times New Roman" w:cs="Times New Roman"/>
          <w:i/>
          <w:iCs/>
          <w:noProof/>
          <w:color w:val="44546A" w:themeColor="text2"/>
          <w:kern w:val="2"/>
          <w:sz w:val="18"/>
          <w:szCs w:val="18"/>
          <w14:ligatures w14:val="standardContextual"/>
        </w:rPr>
        <w:t>Made by author</w:t>
      </w:r>
    </w:p>
    <w:p w14:paraId="2E0DB079"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drawing>
          <wp:inline distT="0" distB="0" distL="0" distR="0" wp14:anchorId="7884C6F7" wp14:editId="18D1ECC4">
            <wp:extent cx="5943600" cy="1169670"/>
            <wp:effectExtent l="0" t="0" r="0" b="0"/>
            <wp:docPr id="351964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964321" name=""/>
                    <pic:cNvPicPr/>
                  </pic:nvPicPr>
                  <pic:blipFill>
                    <a:blip r:embed="rId6"/>
                    <a:stretch>
                      <a:fillRect/>
                    </a:stretch>
                  </pic:blipFill>
                  <pic:spPr>
                    <a:xfrm>
                      <a:off x="0" y="0"/>
                      <a:ext cx="5943600" cy="1169670"/>
                    </a:xfrm>
                    <a:prstGeom prst="rect">
                      <a:avLst/>
                    </a:prstGeom>
                  </pic:spPr>
                </pic:pic>
              </a:graphicData>
            </a:graphic>
          </wp:inline>
        </w:drawing>
      </w:r>
    </w:p>
    <w:p w14:paraId="5E37EA39"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The current ratio, another liquidity statistic, shows the hotel's worsening status (Abrate and Viglia, 2016). The current ratio was 1.8 at the end of 2021, indicating that the hotel has enough current assets to satisfy its liabilities. Through 2022, the current ratio has dropped to 1.11, indicating that the corporation may struggle to repay its short line of credit. In 2023, the present ratio was expected to drop to 0.6, making the situation even more urgent. This means that the hotel's current assets were insufficient to cover its current liabilities, indicating serious liquidity concerns and raising questions about its short-term obligations.</w:t>
      </w:r>
    </w:p>
    <w:p w14:paraId="22216580"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Debt-to-Equity Ratio</w:t>
      </w:r>
      <w:r w:rsidRPr="0022078C">
        <w:rPr>
          <w:rFonts w:ascii="Times New Roman" w:hAnsi="Times New Roman" w:cs="Times New Roman"/>
          <w:noProof/>
          <w:kern w:val="2"/>
          <w:sz w:val="24"/>
          <w14:ligatures w14:val="standardContextual"/>
        </w:rPr>
        <w:t xml:space="preserve"> </w:t>
      </w:r>
    </w:p>
    <w:p w14:paraId="763F9C57" w14:textId="3245853C" w:rsidR="0022078C" w:rsidRPr="0022078C" w:rsidRDefault="0022078C" w:rsidP="0022078C">
      <w:pPr>
        <w:keepNext/>
        <w:spacing w:after="200" w:line="360" w:lineRule="auto"/>
        <w:jc w:val="both"/>
        <w:rPr>
          <w:rFonts w:ascii="Times New Roman" w:hAnsi="Times New Roman" w:cs="Times New Roman"/>
          <w:i/>
          <w:iCs/>
          <w:noProof/>
          <w:color w:val="44546A" w:themeColor="text2"/>
          <w:kern w:val="2"/>
          <w:sz w:val="18"/>
          <w:szCs w:val="18"/>
          <w14:ligatures w14:val="standardContextual"/>
        </w:rPr>
      </w:pPr>
      <w:r w:rsidRPr="0022078C">
        <w:rPr>
          <w:rFonts w:ascii="Times New Roman" w:hAnsi="Times New Roman" w:cs="Times New Roman"/>
          <w:i/>
          <w:iCs/>
          <w:noProof/>
          <w:color w:val="44546A" w:themeColor="text2"/>
          <w:kern w:val="2"/>
          <w:sz w:val="18"/>
          <w:szCs w:val="18"/>
          <w14:ligatures w14:val="standardContextual"/>
        </w:rPr>
        <w:lastRenderedPageBreak/>
        <w:t xml:space="preserve">Table 3: Debt-to-Equity Ratio/ Source: </w:t>
      </w:r>
      <w:r w:rsidR="005444FE">
        <w:rPr>
          <w:rFonts w:ascii="Times New Roman" w:hAnsi="Times New Roman" w:cs="Times New Roman"/>
          <w:i/>
          <w:iCs/>
          <w:noProof/>
          <w:color w:val="44546A" w:themeColor="text2"/>
          <w:kern w:val="2"/>
          <w:sz w:val="18"/>
          <w:szCs w:val="18"/>
          <w14:ligatures w14:val="standardContextual"/>
        </w:rPr>
        <w:t>Made by author</w:t>
      </w:r>
    </w:p>
    <w:p w14:paraId="015DA255" w14:textId="77777777" w:rsidR="0022078C" w:rsidRPr="0022078C" w:rsidRDefault="0022078C" w:rsidP="0022078C">
      <w:pPr>
        <w:spacing w:before="120" w:after="240" w:line="360" w:lineRule="auto"/>
        <w:jc w:val="center"/>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drawing>
          <wp:inline distT="0" distB="0" distL="0" distR="0" wp14:anchorId="4874D892" wp14:editId="45A529D0">
            <wp:extent cx="4237087" cy="1005927"/>
            <wp:effectExtent l="0" t="0" r="0" b="3810"/>
            <wp:docPr id="669874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874226" name=""/>
                    <pic:cNvPicPr/>
                  </pic:nvPicPr>
                  <pic:blipFill>
                    <a:blip r:embed="rId7"/>
                    <a:stretch>
                      <a:fillRect/>
                    </a:stretch>
                  </pic:blipFill>
                  <pic:spPr>
                    <a:xfrm>
                      <a:off x="0" y="0"/>
                      <a:ext cx="4237087" cy="1005927"/>
                    </a:xfrm>
                    <a:prstGeom prst="rect">
                      <a:avLst/>
                    </a:prstGeom>
                  </pic:spPr>
                </pic:pic>
              </a:graphicData>
            </a:graphic>
          </wp:inline>
        </w:drawing>
      </w:r>
    </w:p>
    <w:p w14:paraId="07F77B07" w14:textId="39F83792" w:rsidR="00184EF3" w:rsidRPr="00184EF3" w:rsidRDefault="00184EF3" w:rsidP="00184EF3">
      <w:pPr>
        <w:spacing w:before="120" w:after="240" w:line="360" w:lineRule="auto"/>
        <w:jc w:val="both"/>
        <w:rPr>
          <w:rFonts w:ascii="Times New Roman" w:hAnsi="Times New Roman" w:cs="Times New Roman"/>
          <w:noProof/>
          <w:kern w:val="2"/>
          <w:sz w:val="24"/>
          <w14:ligatures w14:val="standardContextual"/>
        </w:rPr>
      </w:pPr>
      <w:r w:rsidRPr="00184EF3">
        <w:rPr>
          <w:rFonts w:ascii="Times New Roman" w:hAnsi="Times New Roman" w:cs="Times New Roman"/>
          <w:noProof/>
          <w:kern w:val="2"/>
          <w:sz w:val="24"/>
          <w14:ligatures w14:val="standardContextual"/>
        </w:rPr>
        <w:t xml:space="preserve">To support company assets, the D/E Ratio contrasts shareholders' equity with debt (Bhimani, 2006). The debt-to-equity ratio of the Urban Heights Hotel increased from 1.48 in 2021 to 1.79 in 2022 and 2.39 in 2023. With £1.48 in debt to £1 in equity, the 2021 sustainability assessment indicates a moderate leverage ratio. Rising to 1.79 in 2022, however, indicated increased debt, increasing the property's financial risk. In 2023, the hotel's </w:t>
      </w:r>
      <w:r w:rsidR="00755D32">
        <w:rPr>
          <w:rFonts w:ascii="Times New Roman" w:hAnsi="Times New Roman" w:cs="Times New Roman"/>
          <w:noProof/>
          <w:kern w:val="2"/>
          <w:sz w:val="24"/>
          <w14:ligatures w14:val="standardContextual"/>
        </w:rPr>
        <w:t>debt-to-equity</w:t>
      </w:r>
      <w:r w:rsidRPr="00184EF3">
        <w:rPr>
          <w:rFonts w:ascii="Times New Roman" w:hAnsi="Times New Roman" w:cs="Times New Roman"/>
          <w:noProof/>
          <w:kern w:val="2"/>
          <w:sz w:val="24"/>
          <w14:ligatures w14:val="standardContextual"/>
        </w:rPr>
        <w:t xml:space="preserve"> ratio was 2.39 to 1, indicating unsustainable indebtedness. When profitability declines, this high debt-to-equity ratio could make loan repayment more difficult and raise the danger of bankruptcy.</w:t>
      </w:r>
    </w:p>
    <w:p w14:paraId="489273B3" w14:textId="62C850F9"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Return on Assets</w:t>
      </w:r>
      <w:r w:rsidRPr="0022078C">
        <w:rPr>
          <w:rFonts w:ascii="Times New Roman" w:hAnsi="Times New Roman" w:cs="Times New Roman"/>
          <w:noProof/>
          <w:kern w:val="2"/>
          <w:sz w:val="24"/>
          <w14:ligatures w14:val="standardContextual"/>
        </w:rPr>
        <w:t xml:space="preserve"> </w:t>
      </w:r>
    </w:p>
    <w:p w14:paraId="356D8151" w14:textId="46B9F029" w:rsidR="0022078C" w:rsidRPr="0022078C" w:rsidRDefault="0022078C" w:rsidP="0022078C">
      <w:pPr>
        <w:keepNext/>
        <w:spacing w:after="200" w:line="360" w:lineRule="auto"/>
        <w:jc w:val="both"/>
        <w:rPr>
          <w:rFonts w:ascii="Times New Roman" w:hAnsi="Times New Roman" w:cs="Times New Roman"/>
          <w:i/>
          <w:iCs/>
          <w:noProof/>
          <w:color w:val="44546A" w:themeColor="text2"/>
          <w:kern w:val="2"/>
          <w:sz w:val="18"/>
          <w:szCs w:val="18"/>
          <w14:ligatures w14:val="standardContextual"/>
        </w:rPr>
      </w:pPr>
      <w:r w:rsidRPr="0022078C">
        <w:rPr>
          <w:rFonts w:ascii="Times New Roman" w:hAnsi="Times New Roman" w:cs="Times New Roman"/>
          <w:i/>
          <w:iCs/>
          <w:noProof/>
          <w:color w:val="44546A" w:themeColor="text2"/>
          <w:kern w:val="2"/>
          <w:sz w:val="18"/>
          <w:szCs w:val="18"/>
          <w14:ligatures w14:val="standardContextual"/>
        </w:rPr>
        <w:t xml:space="preserve">Table 4: ROA/ Source: </w:t>
      </w:r>
      <w:r w:rsidR="005444FE">
        <w:rPr>
          <w:rFonts w:ascii="Times New Roman" w:hAnsi="Times New Roman" w:cs="Times New Roman"/>
          <w:i/>
          <w:iCs/>
          <w:noProof/>
          <w:color w:val="44546A" w:themeColor="text2"/>
          <w:kern w:val="2"/>
          <w:sz w:val="18"/>
          <w:szCs w:val="18"/>
          <w14:ligatures w14:val="standardContextual"/>
        </w:rPr>
        <w:t>Made by author</w:t>
      </w:r>
    </w:p>
    <w:p w14:paraId="4506C1FD" w14:textId="77777777" w:rsidR="0022078C" w:rsidRPr="0022078C" w:rsidRDefault="0022078C" w:rsidP="0022078C">
      <w:pPr>
        <w:spacing w:before="120" w:after="240" w:line="360" w:lineRule="auto"/>
        <w:jc w:val="center"/>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drawing>
          <wp:inline distT="0" distB="0" distL="0" distR="0" wp14:anchorId="6C41E30E" wp14:editId="36B08FC4">
            <wp:extent cx="4762913" cy="1036410"/>
            <wp:effectExtent l="0" t="0" r="0" b="0"/>
            <wp:docPr id="69726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26571" name=""/>
                    <pic:cNvPicPr/>
                  </pic:nvPicPr>
                  <pic:blipFill>
                    <a:blip r:embed="rId8"/>
                    <a:stretch>
                      <a:fillRect/>
                    </a:stretch>
                  </pic:blipFill>
                  <pic:spPr>
                    <a:xfrm>
                      <a:off x="0" y="0"/>
                      <a:ext cx="4762913" cy="1036410"/>
                    </a:xfrm>
                    <a:prstGeom prst="rect">
                      <a:avLst/>
                    </a:prstGeom>
                  </pic:spPr>
                </pic:pic>
              </a:graphicData>
            </a:graphic>
          </wp:inline>
        </w:drawing>
      </w:r>
    </w:p>
    <w:p w14:paraId="2F4CDE47"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ROA reveals how well a company uses its assets to make money (Jagels, 2007). Urban Heights Hotel's ROA dropped from 12.84% in 2021 to 3.92% in 2022 and -10.68% in 2023. The 12.84% return on assets in 2021 showed high-income asset usage. Company efficiency and profitability will fall by 3.92 per cent by 2022. ROA was -10.68% in 2023, indicating inefficiency and asset underutilization that caused losses. These statistics show that most hotels are unprofitable, producing operational challenges.</w:t>
      </w:r>
    </w:p>
    <w:p w14:paraId="32F81BB1" w14:textId="77777777" w:rsidR="0022078C" w:rsidRPr="0022078C" w:rsidRDefault="0022078C" w:rsidP="0022078C">
      <w:pPr>
        <w:spacing w:before="120" w:after="240" w:line="360" w:lineRule="auto"/>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Return on Equity</w:t>
      </w:r>
      <w:r w:rsidRPr="0022078C">
        <w:rPr>
          <w:rFonts w:ascii="Times New Roman" w:hAnsi="Times New Roman" w:cs="Times New Roman"/>
          <w:noProof/>
          <w:kern w:val="2"/>
          <w:sz w:val="24"/>
          <w14:ligatures w14:val="standardContextual"/>
        </w:rPr>
        <w:t xml:space="preserve"> </w:t>
      </w:r>
    </w:p>
    <w:p w14:paraId="734B1D3B" w14:textId="634F8E80" w:rsidR="0022078C" w:rsidRPr="0022078C" w:rsidRDefault="0022078C" w:rsidP="0022078C">
      <w:pPr>
        <w:keepNext/>
        <w:spacing w:after="200" w:line="360" w:lineRule="auto"/>
        <w:jc w:val="both"/>
        <w:rPr>
          <w:rFonts w:ascii="Times New Roman" w:hAnsi="Times New Roman" w:cs="Times New Roman"/>
          <w:i/>
          <w:iCs/>
          <w:noProof/>
          <w:color w:val="44546A" w:themeColor="text2"/>
          <w:kern w:val="2"/>
          <w:sz w:val="18"/>
          <w:szCs w:val="18"/>
          <w14:ligatures w14:val="standardContextual"/>
        </w:rPr>
      </w:pPr>
      <w:r w:rsidRPr="0022078C">
        <w:rPr>
          <w:rFonts w:ascii="Times New Roman" w:hAnsi="Times New Roman" w:cs="Times New Roman"/>
          <w:i/>
          <w:iCs/>
          <w:noProof/>
          <w:color w:val="44546A" w:themeColor="text2"/>
          <w:kern w:val="2"/>
          <w:sz w:val="18"/>
          <w:szCs w:val="18"/>
          <w14:ligatures w14:val="standardContextual"/>
        </w:rPr>
        <w:lastRenderedPageBreak/>
        <w:t xml:space="preserve">Table 5: ROE/ Source: </w:t>
      </w:r>
      <w:r w:rsidR="005444FE">
        <w:rPr>
          <w:rFonts w:ascii="Times New Roman" w:hAnsi="Times New Roman" w:cs="Times New Roman"/>
          <w:i/>
          <w:iCs/>
          <w:noProof/>
          <w:color w:val="44546A" w:themeColor="text2"/>
          <w:kern w:val="2"/>
          <w:sz w:val="18"/>
          <w:szCs w:val="18"/>
          <w14:ligatures w14:val="standardContextual"/>
        </w:rPr>
        <w:t>Made by author</w:t>
      </w:r>
    </w:p>
    <w:p w14:paraId="23AD48A9" w14:textId="77777777" w:rsidR="0022078C" w:rsidRPr="0022078C" w:rsidRDefault="0022078C" w:rsidP="0022078C">
      <w:pPr>
        <w:spacing w:before="120" w:after="240" w:line="360" w:lineRule="auto"/>
        <w:jc w:val="center"/>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drawing>
          <wp:inline distT="0" distB="0" distL="0" distR="0" wp14:anchorId="2E881976" wp14:editId="364593BE">
            <wp:extent cx="4214225" cy="1013548"/>
            <wp:effectExtent l="0" t="0" r="0" b="0"/>
            <wp:docPr id="1328510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510465" name=""/>
                    <pic:cNvPicPr/>
                  </pic:nvPicPr>
                  <pic:blipFill>
                    <a:blip r:embed="rId9"/>
                    <a:stretch>
                      <a:fillRect/>
                    </a:stretch>
                  </pic:blipFill>
                  <pic:spPr>
                    <a:xfrm>
                      <a:off x="0" y="0"/>
                      <a:ext cx="4214225" cy="1013548"/>
                    </a:xfrm>
                    <a:prstGeom prst="rect">
                      <a:avLst/>
                    </a:prstGeom>
                  </pic:spPr>
                </pic:pic>
              </a:graphicData>
            </a:graphic>
          </wp:inline>
        </w:drawing>
      </w:r>
    </w:p>
    <w:p w14:paraId="49C94858"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Company ROE assesses shareholder equity profitability (Seal, 2019). Urban Heights Hotel ROE fell from 31.82 in 2021 to 10.93 in 2022 and -36.23 in 2023. The firm's 2021 31.82 % ROE was profitable and shareholder-friendly. The hotel was profitable despite a big dip from 13.46% in 2021 to 10.93% in 2022. Operations lost more than shareholders' capital in 2023, with an ROE of -36.23%. Thus, shareholder value is declining, indicating the hotel is financially weak and cannot make enough money.</w:t>
      </w:r>
    </w:p>
    <w:p w14:paraId="49E946B6" w14:textId="77777777" w:rsidR="0022078C" w:rsidRPr="0022078C" w:rsidRDefault="0022078C" w:rsidP="0022078C">
      <w:pPr>
        <w:keepNext/>
        <w:keepLines/>
        <w:pBdr>
          <w:bottom w:val="single" w:sz="4" w:space="1" w:color="auto"/>
        </w:pBdr>
        <w:spacing w:before="120" w:after="240" w:line="360" w:lineRule="auto"/>
        <w:jc w:val="both"/>
        <w:outlineLvl w:val="0"/>
        <w:rPr>
          <w:rFonts w:ascii="Times New Roman" w:eastAsiaTheme="majorEastAsia" w:hAnsi="Times New Roman" w:cs="Times New Roman"/>
          <w:b/>
          <w:noProof/>
          <w:color w:val="000000" w:themeColor="text1"/>
          <w:kern w:val="2"/>
          <w:sz w:val="32"/>
          <w:szCs w:val="32"/>
          <w14:ligatures w14:val="standardContextual"/>
        </w:rPr>
      </w:pPr>
      <w:bookmarkStart w:id="4" w:name="_Toc168090005"/>
      <w:r w:rsidRPr="0022078C">
        <w:rPr>
          <w:rFonts w:ascii="Times New Roman" w:eastAsiaTheme="majorEastAsia" w:hAnsi="Times New Roman" w:cs="Times New Roman"/>
          <w:b/>
          <w:noProof/>
          <w:color w:val="000000" w:themeColor="text1"/>
          <w:kern w:val="2"/>
          <w:sz w:val="32"/>
          <w:szCs w:val="32"/>
          <w14:ligatures w14:val="standardContextual"/>
        </w:rPr>
        <w:t>Identification of Key Issues</w:t>
      </w:r>
      <w:bookmarkEnd w:id="4"/>
    </w:p>
    <w:p w14:paraId="154A9FCB"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Urban Heights Hotel's financial decline can be attributed to a combination of external and internal factors, each contributing to the overall deterioration in its performance.</w:t>
      </w:r>
    </w:p>
    <w:p w14:paraId="6AE0E2E5" w14:textId="77777777" w:rsidR="0022078C" w:rsidRPr="0022078C" w:rsidRDefault="0022078C" w:rsidP="0022078C">
      <w:pPr>
        <w:keepNext/>
        <w:keepLines/>
        <w:spacing w:before="120" w:after="240" w:line="360" w:lineRule="auto"/>
        <w:jc w:val="both"/>
        <w:outlineLvl w:val="1"/>
        <w:rPr>
          <w:rFonts w:ascii="Times New Roman" w:eastAsiaTheme="majorEastAsia" w:hAnsi="Times New Roman" w:cs="Times New Roman"/>
          <w:b/>
          <w:noProof/>
          <w:color w:val="000000" w:themeColor="text1"/>
          <w:kern w:val="2"/>
          <w:sz w:val="28"/>
          <w:szCs w:val="26"/>
          <w14:ligatures w14:val="standardContextual"/>
        </w:rPr>
      </w:pPr>
      <w:bookmarkStart w:id="5" w:name="_Toc168090006"/>
      <w:r w:rsidRPr="0022078C">
        <w:rPr>
          <w:rFonts w:ascii="Times New Roman" w:eastAsiaTheme="majorEastAsia" w:hAnsi="Times New Roman" w:cs="Times New Roman"/>
          <w:b/>
          <w:noProof/>
          <w:color w:val="000000" w:themeColor="text1"/>
          <w:kern w:val="2"/>
          <w:sz w:val="28"/>
          <w:szCs w:val="26"/>
          <w14:ligatures w14:val="standardContextual"/>
        </w:rPr>
        <w:t>External Factors</w:t>
      </w:r>
      <w:bookmarkEnd w:id="5"/>
    </w:p>
    <w:p w14:paraId="506D5537"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Economic Downturn:</w:t>
      </w:r>
      <w:r w:rsidRPr="0022078C">
        <w:rPr>
          <w:rFonts w:ascii="Times New Roman" w:hAnsi="Times New Roman" w:cs="Times New Roman"/>
          <w:noProof/>
          <w:kern w:val="2"/>
          <w:sz w:val="24"/>
          <w14:ligatures w14:val="standardContextual"/>
        </w:rPr>
        <w:t xml:space="preserve"> The financial crunch has reduced demand for unnecessary products and services, making the hotel industry risky and sensitive.  This has reduced hotel income as guests stop visiting (Wild, 2018).  </w:t>
      </w:r>
    </w:p>
    <w:p w14:paraId="0D6AF9B9"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Increased Competition:</w:t>
      </w:r>
      <w:r w:rsidRPr="0022078C">
        <w:rPr>
          <w:rFonts w:ascii="Times New Roman" w:hAnsi="Times New Roman" w:cs="Times New Roman"/>
          <w:noProof/>
          <w:kern w:val="2"/>
          <w:sz w:val="24"/>
          <w14:ligatures w14:val="standardContextual"/>
        </w:rPr>
        <w:t xml:space="preserve"> Increased accommodation class choices, and hotel segmentation to economy-class hotels have increased industrial forces that affect accommodation prices and demand (Tranter </w:t>
      </w:r>
      <w:r w:rsidRPr="0022078C">
        <w:rPr>
          <w:rFonts w:ascii="Times New Roman" w:hAnsi="Times New Roman" w:cs="Times New Roman"/>
          <w:i/>
          <w:iCs/>
          <w:noProof/>
          <w:kern w:val="2"/>
          <w:sz w:val="24"/>
          <w14:ligatures w14:val="standardContextual"/>
        </w:rPr>
        <w:t>et al</w:t>
      </w:r>
      <w:r w:rsidRPr="0022078C">
        <w:rPr>
          <w:rFonts w:ascii="Times New Roman" w:hAnsi="Times New Roman" w:cs="Times New Roman"/>
          <w:noProof/>
          <w:kern w:val="2"/>
          <w:sz w:val="24"/>
          <w14:ligatures w14:val="standardContextual"/>
        </w:rPr>
        <w:t xml:space="preserve">., 2014).  </w:t>
      </w:r>
    </w:p>
    <w:p w14:paraId="5BFAE068"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Regulatory Changes:</w:t>
      </w:r>
      <w:r w:rsidRPr="0022078C">
        <w:rPr>
          <w:rFonts w:ascii="Times New Roman" w:hAnsi="Times New Roman" w:cs="Times New Roman"/>
          <w:noProof/>
          <w:kern w:val="2"/>
          <w:sz w:val="24"/>
          <w14:ligatures w14:val="standardContextual"/>
        </w:rPr>
        <w:t xml:space="preserve"> Since health and safety regulations became more sophisticated and enhanced the inventive health issue, operating costs increased.  This has increased hotel prices to comply with these laws, hurting its finances (Guilding, 2014).  </w:t>
      </w:r>
    </w:p>
    <w:p w14:paraId="427FEA72" w14:textId="77777777" w:rsidR="0022078C" w:rsidRPr="0022078C" w:rsidRDefault="0022078C" w:rsidP="0022078C">
      <w:pPr>
        <w:keepNext/>
        <w:keepLines/>
        <w:spacing w:before="120" w:after="240" w:line="360" w:lineRule="auto"/>
        <w:jc w:val="both"/>
        <w:outlineLvl w:val="1"/>
        <w:rPr>
          <w:rFonts w:ascii="Times New Roman" w:eastAsiaTheme="majorEastAsia" w:hAnsi="Times New Roman" w:cs="Times New Roman"/>
          <w:b/>
          <w:noProof/>
          <w:color w:val="000000" w:themeColor="text1"/>
          <w:kern w:val="2"/>
          <w:sz w:val="28"/>
          <w:szCs w:val="26"/>
          <w14:ligatures w14:val="standardContextual"/>
        </w:rPr>
      </w:pPr>
      <w:bookmarkStart w:id="6" w:name="_Toc168090007"/>
      <w:r w:rsidRPr="0022078C">
        <w:rPr>
          <w:rFonts w:ascii="Times New Roman" w:eastAsiaTheme="majorEastAsia" w:hAnsi="Times New Roman" w:cs="Times New Roman"/>
          <w:b/>
          <w:noProof/>
          <w:color w:val="000000" w:themeColor="text1"/>
          <w:kern w:val="2"/>
          <w:sz w:val="28"/>
          <w:szCs w:val="26"/>
          <w14:ligatures w14:val="standardContextual"/>
        </w:rPr>
        <w:t>Internal Factors</w:t>
      </w:r>
      <w:bookmarkEnd w:id="6"/>
    </w:p>
    <w:p w14:paraId="4051EA23"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Inefficiencies in operations:</w:t>
      </w:r>
      <w:r w:rsidRPr="0022078C">
        <w:rPr>
          <w:rFonts w:ascii="Times New Roman" w:hAnsi="Times New Roman" w:cs="Times New Roman"/>
          <w:noProof/>
          <w:kern w:val="2"/>
          <w:sz w:val="24"/>
          <w14:ligatures w14:val="standardContextual"/>
        </w:rPr>
        <w:t xml:space="preserve"> Research findings summary highlights: Analysis of cost and efficiency. Operating expenses have increased while income has decreased, indicating cost </w:t>
      </w:r>
      <w:r w:rsidRPr="0022078C">
        <w:rPr>
          <w:rFonts w:ascii="Times New Roman" w:hAnsi="Times New Roman" w:cs="Times New Roman"/>
          <w:noProof/>
          <w:kern w:val="2"/>
          <w:sz w:val="24"/>
          <w14:ligatures w14:val="standardContextual"/>
        </w:rPr>
        <w:lastRenderedPageBreak/>
        <w:t xml:space="preserve">control inefficiencies. These include high labour and maintenance costs without income growth (Fyall </w:t>
      </w:r>
      <w:r w:rsidRPr="0022078C">
        <w:rPr>
          <w:rFonts w:ascii="Times New Roman" w:hAnsi="Times New Roman" w:cs="Times New Roman"/>
          <w:i/>
          <w:iCs/>
          <w:noProof/>
          <w:kern w:val="2"/>
          <w:sz w:val="24"/>
          <w14:ligatures w14:val="standardContextual"/>
        </w:rPr>
        <w:t>et al.</w:t>
      </w:r>
      <w:r w:rsidRPr="0022078C">
        <w:rPr>
          <w:rFonts w:ascii="Times New Roman" w:hAnsi="Times New Roman" w:cs="Times New Roman"/>
          <w:noProof/>
          <w:kern w:val="2"/>
          <w:sz w:val="24"/>
          <w14:ligatures w14:val="standardContextual"/>
        </w:rPr>
        <w:t xml:space="preserve">, 2013). </w:t>
      </w:r>
    </w:p>
    <w:p w14:paraId="21900893"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Strategic Misalignment:</w:t>
      </w:r>
      <w:r w:rsidRPr="0022078C">
        <w:rPr>
          <w:rFonts w:ascii="Times New Roman" w:hAnsi="Times New Roman" w:cs="Times New Roman"/>
          <w:noProof/>
          <w:kern w:val="2"/>
          <w:sz w:val="24"/>
          <w14:ligatures w14:val="standardContextual"/>
        </w:rPr>
        <w:t xml:space="preserve"> The hotel lacks a strategy to address declining market trends. No efforts are made to find additional revenue streams or adapt the business strategy to market conditions. </w:t>
      </w:r>
    </w:p>
    <w:p w14:paraId="2DA5AA4C"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Customer Satisfaction Decline:</w:t>
      </w:r>
      <w:r w:rsidRPr="0022078C">
        <w:rPr>
          <w:rFonts w:ascii="Times New Roman" w:hAnsi="Times New Roman" w:cs="Times New Roman"/>
          <w:noProof/>
          <w:kern w:val="2"/>
          <w:sz w:val="24"/>
          <w14:ligatures w14:val="standardContextual"/>
        </w:rPr>
        <w:t xml:space="preserve"> Over the past year, customer satisfaction has fallen, indicating service quality issues and antiquated facilities that lower occupancy. Hotel guests have reported more negative encounters, discouraging potential customers (Drury, 2021). </w:t>
      </w:r>
    </w:p>
    <w:p w14:paraId="4782F69B"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Financial Mismanagement:</w:t>
      </w:r>
      <w:r w:rsidRPr="0022078C">
        <w:rPr>
          <w:rFonts w:ascii="Times New Roman" w:hAnsi="Times New Roman" w:cs="Times New Roman"/>
          <w:noProof/>
          <w:kern w:val="2"/>
          <w:sz w:val="24"/>
          <w14:ligatures w14:val="standardContextual"/>
        </w:rPr>
        <w:t xml:space="preserve"> The numbers show that the corporation over-relied on debt and mismanaged liquidity. The debt-to-equity ratio suggests that the business is dangerous, and the current and quick ratios have declined, indicating that the firm cannot meet its short-term obligations (Ryan, 2015). </w:t>
      </w:r>
    </w:p>
    <w:p w14:paraId="063B7FB7"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Lack of Technology Investment:</w:t>
      </w:r>
      <w:r w:rsidRPr="0022078C">
        <w:rPr>
          <w:rFonts w:ascii="Times New Roman" w:hAnsi="Times New Roman" w:cs="Times New Roman"/>
          <w:noProof/>
          <w:kern w:val="2"/>
          <w:sz w:val="24"/>
          <w14:ligatures w14:val="standardContextual"/>
        </w:rPr>
        <w:t xml:space="preserve"> The hotel has struggled without contemporary technology and an accounting system to streamline operations and financial records. Poor customer service due to technological stagnation has also led to unsatisfied customers (Walker, 2021). </w:t>
      </w:r>
    </w:p>
    <w:p w14:paraId="339F3612" w14:textId="77777777" w:rsidR="0022078C" w:rsidRPr="0022078C" w:rsidRDefault="0022078C" w:rsidP="0022078C">
      <w:pPr>
        <w:keepNext/>
        <w:keepLines/>
        <w:pBdr>
          <w:bottom w:val="single" w:sz="4" w:space="1" w:color="auto"/>
        </w:pBdr>
        <w:spacing w:before="120" w:after="240" w:line="360" w:lineRule="auto"/>
        <w:jc w:val="both"/>
        <w:outlineLvl w:val="0"/>
        <w:rPr>
          <w:rFonts w:ascii="Times New Roman" w:eastAsiaTheme="majorEastAsia" w:hAnsi="Times New Roman" w:cs="Times New Roman"/>
          <w:b/>
          <w:noProof/>
          <w:color w:val="000000" w:themeColor="text1"/>
          <w:kern w:val="2"/>
          <w:sz w:val="32"/>
          <w:szCs w:val="32"/>
          <w14:ligatures w14:val="standardContextual"/>
        </w:rPr>
      </w:pPr>
      <w:bookmarkStart w:id="7" w:name="_Toc168090008"/>
      <w:r w:rsidRPr="0022078C">
        <w:rPr>
          <w:rFonts w:ascii="Times New Roman" w:eastAsiaTheme="majorEastAsia" w:hAnsi="Times New Roman" w:cs="Times New Roman"/>
          <w:b/>
          <w:noProof/>
          <w:color w:val="000000" w:themeColor="text1"/>
          <w:kern w:val="2"/>
          <w:sz w:val="32"/>
          <w:szCs w:val="32"/>
          <w14:ligatures w14:val="standardContextual"/>
        </w:rPr>
        <w:t>Risk Management Process</w:t>
      </w:r>
      <w:bookmarkEnd w:id="7"/>
    </w:p>
    <w:p w14:paraId="7DEA18EB"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 xml:space="preserve">This must be done to stabilize the operating and by extension the financial health of Urban Heights Hotel. It is a systematic process of analyzing risks, controlling and monitoring them and it is classified into assessing, identifying, and managing the risks and financial problems. </w:t>
      </w:r>
    </w:p>
    <w:p w14:paraId="18CADB0C"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1. Risk Identification:</w:t>
      </w:r>
      <w:r w:rsidRPr="0022078C">
        <w:rPr>
          <w:rFonts w:ascii="Times New Roman" w:hAnsi="Times New Roman" w:cs="Times New Roman"/>
          <w:noProof/>
          <w:kern w:val="2"/>
          <w:sz w:val="24"/>
          <w14:ligatures w14:val="standardContextual"/>
        </w:rPr>
        <w:t xml:space="preserve"> </w:t>
      </w:r>
    </w:p>
    <w:p w14:paraId="39420F96"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Market Risks:</w:t>
      </w:r>
      <w:r w:rsidRPr="0022078C">
        <w:rPr>
          <w:rFonts w:ascii="Times New Roman" w:hAnsi="Times New Roman" w:cs="Times New Roman"/>
          <w:noProof/>
          <w:kern w:val="2"/>
          <w:sz w:val="24"/>
          <w14:ligatures w14:val="standardContextual"/>
        </w:rPr>
        <w:t xml:space="preserve"> Elements of change to market status that influence the factors of revenues and profits. </w:t>
      </w:r>
    </w:p>
    <w:p w14:paraId="365CB81F"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Operational Risks:</w:t>
      </w:r>
      <w:r w:rsidRPr="0022078C">
        <w:rPr>
          <w:rFonts w:ascii="Times New Roman" w:hAnsi="Times New Roman" w:cs="Times New Roman"/>
          <w:noProof/>
          <w:kern w:val="2"/>
          <w:sz w:val="24"/>
          <w14:ligatures w14:val="standardContextual"/>
        </w:rPr>
        <w:t xml:space="preserve"> Situations that originate from the internal workings of an organisation, its structures, or by employees’ mistakes. </w:t>
      </w:r>
    </w:p>
    <w:p w14:paraId="1E1053CE"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Financial Risks:</w:t>
      </w:r>
      <w:r w:rsidRPr="0022078C">
        <w:rPr>
          <w:rFonts w:ascii="Times New Roman" w:hAnsi="Times New Roman" w:cs="Times New Roman"/>
          <w:noProof/>
          <w:kern w:val="2"/>
          <w:sz w:val="24"/>
          <w14:ligatures w14:val="standardContextual"/>
        </w:rPr>
        <w:t xml:space="preserve"> Risks that relate to the hotel’s capital structure and its credit obligations. </w:t>
      </w:r>
    </w:p>
    <w:p w14:paraId="736BD7CE"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Regulatory and Compliance Risks:</w:t>
      </w:r>
      <w:r w:rsidRPr="0022078C">
        <w:rPr>
          <w:rFonts w:ascii="Times New Roman" w:hAnsi="Times New Roman" w:cs="Times New Roman"/>
          <w:noProof/>
          <w:kern w:val="2"/>
          <w:sz w:val="24"/>
          <w14:ligatures w14:val="standardContextual"/>
        </w:rPr>
        <w:t xml:space="preserve"> Pains identified about observing the set regulations and standards at the local, national, and international levels (Atrill and McLaney, 2021).</w:t>
      </w:r>
    </w:p>
    <w:p w14:paraId="0B42EF1A"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lastRenderedPageBreak/>
        <w:t>2. Risk Assessment:</w:t>
      </w:r>
      <w:r w:rsidRPr="0022078C">
        <w:rPr>
          <w:rFonts w:ascii="Times New Roman" w:hAnsi="Times New Roman" w:cs="Times New Roman"/>
          <w:noProof/>
          <w:kern w:val="2"/>
          <w:sz w:val="24"/>
          <w14:ligatures w14:val="standardContextual"/>
        </w:rPr>
        <w:t xml:space="preserve"> </w:t>
      </w:r>
    </w:p>
    <w:p w14:paraId="21DB7643"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drawing>
          <wp:inline distT="0" distB="0" distL="0" distR="0" wp14:anchorId="2641ABA1" wp14:editId="4061FD87">
            <wp:extent cx="5486400" cy="2209800"/>
            <wp:effectExtent l="38100" t="0" r="38100" b="0"/>
            <wp:docPr id="138794280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B54BC8E"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3. Defining Risk Management Strategies:</w:t>
      </w:r>
      <w:r w:rsidRPr="0022078C">
        <w:rPr>
          <w:rFonts w:ascii="Times New Roman" w:hAnsi="Times New Roman" w:cs="Times New Roman"/>
          <w:noProof/>
          <w:kern w:val="2"/>
          <w:sz w:val="24"/>
          <w14:ligatures w14:val="standardContextual"/>
        </w:rPr>
        <w:t xml:space="preserve"> </w:t>
      </w:r>
    </w:p>
    <w:p w14:paraId="7CD29A14"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Risk Avoidance:</w:t>
      </w:r>
      <w:r w:rsidRPr="0022078C">
        <w:rPr>
          <w:rFonts w:ascii="Times New Roman" w:hAnsi="Times New Roman" w:cs="Times New Roman"/>
          <w:noProof/>
          <w:kern w:val="2"/>
          <w:sz w:val="24"/>
          <w14:ligatures w14:val="standardContextual"/>
        </w:rPr>
        <w:t xml:space="preserve"> Elimination of certain exposure that the hotel has: Regarding the methods of risk management one of which is the elimination of such exposure which is usually possible in connection with managing contractual and other organisational risks of the hotel. For example, it mandates investors to avoid certain markets that are characterized by high risk (Alrawadieh et al., 2021). </w:t>
      </w:r>
    </w:p>
    <w:p w14:paraId="366DF344"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Risk Reduction:</w:t>
      </w:r>
      <w:r w:rsidRPr="0022078C">
        <w:rPr>
          <w:rFonts w:ascii="Times New Roman" w:hAnsi="Times New Roman" w:cs="Times New Roman"/>
          <w:noProof/>
          <w:kern w:val="2"/>
          <w:sz w:val="24"/>
          <w14:ligatures w14:val="standardContextual"/>
        </w:rPr>
        <w:t xml:space="preserve"> It is imperative to define certain measures that would help in minimising the effect that could be caused by such problematic circumstances. This could include coming up with better ways of working to produce more and/or reduce costs such as through setting better methods of performing business (de Bastos, 2023). </w:t>
      </w:r>
    </w:p>
    <w:p w14:paraId="331A573D"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Risk Transfer:</w:t>
      </w:r>
      <w:r w:rsidRPr="0022078C">
        <w:rPr>
          <w:rFonts w:ascii="Times New Roman" w:hAnsi="Times New Roman" w:cs="Times New Roman"/>
          <w:noProof/>
          <w:kern w:val="2"/>
          <w:sz w:val="24"/>
          <w14:ligatures w14:val="standardContextual"/>
        </w:rPr>
        <w:t xml:space="preserve"> The last two areas are outsourcing, that is, depriving one company or a person of direct control over some operations and purchasing insurance to become liable for particular probable failures (Ivanov and Zhechev, 2012). </w:t>
      </w:r>
    </w:p>
    <w:p w14:paraId="14918958"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Risk Retention:</w:t>
      </w:r>
      <w:r w:rsidRPr="0022078C">
        <w:rPr>
          <w:rFonts w:ascii="Times New Roman" w:hAnsi="Times New Roman" w:cs="Times New Roman"/>
          <w:noProof/>
          <w:kern w:val="2"/>
          <w:sz w:val="24"/>
          <w14:ligatures w14:val="standardContextual"/>
        </w:rPr>
        <w:t xml:space="preserve"> Assuming in certain operations and situations the impossible, unwise, or uneconomic risks to reduce, minimize, or transfer. This comprises making adjustments for the amounts that would be used to meet the liabilities through provision for doubtful debts (Seal, 2019).</w:t>
      </w:r>
    </w:p>
    <w:p w14:paraId="2E4EA1B4"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4. Implementing and Monitoring Risk Management Strategies:</w:t>
      </w:r>
      <w:r w:rsidRPr="0022078C">
        <w:rPr>
          <w:rFonts w:ascii="Times New Roman" w:hAnsi="Times New Roman" w:cs="Times New Roman"/>
          <w:noProof/>
          <w:kern w:val="2"/>
          <w:sz w:val="24"/>
          <w14:ligatures w14:val="standardContextual"/>
        </w:rPr>
        <w:t xml:space="preserve"> </w:t>
      </w:r>
    </w:p>
    <w:p w14:paraId="199E3ABA"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lastRenderedPageBreak/>
        <w:t>Implementation:</w:t>
      </w:r>
      <w:r w:rsidRPr="0022078C">
        <w:rPr>
          <w:rFonts w:ascii="Times New Roman" w:hAnsi="Times New Roman" w:cs="Times New Roman"/>
          <w:noProof/>
          <w:kern w:val="2"/>
          <w:sz w:val="24"/>
          <w14:ligatures w14:val="standardContextual"/>
        </w:rPr>
        <w:t xml:space="preserve"> It is important to state in detail how each of the stated strategies is going to be implemented (Wild, 2018). For example, implementing new measures that will reduce operational risks in an organisation. </w:t>
      </w:r>
    </w:p>
    <w:p w14:paraId="663FBE38"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Monitoring:</w:t>
      </w:r>
      <w:r w:rsidRPr="0022078C">
        <w:rPr>
          <w:rFonts w:ascii="Times New Roman" w:hAnsi="Times New Roman" w:cs="Times New Roman"/>
          <w:noProof/>
          <w:kern w:val="2"/>
          <w:sz w:val="24"/>
          <w14:ligatures w14:val="standardContextual"/>
        </w:rPr>
        <w:t xml:space="preserve"> Such a case requires constant supervision as a way of verifying whether the formulated strategies can adequately deal with the risks (Bhimani, 2006). To manage the risk, one should analyze the changes in risk indicators based on the regular assessment of financial performance. </w:t>
      </w:r>
    </w:p>
    <w:p w14:paraId="36716394"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Effectiveness Reporting:</w:t>
      </w:r>
      <w:r w:rsidRPr="0022078C">
        <w:rPr>
          <w:rFonts w:ascii="Times New Roman" w:hAnsi="Times New Roman" w:cs="Times New Roman"/>
          <w:noProof/>
          <w:kern w:val="2"/>
          <w:sz w:val="24"/>
          <w14:ligatures w14:val="standardContextual"/>
        </w:rPr>
        <w:t xml:space="preserve"> Develop a strong reporting system so that the management can be in a position to note the efficiency of the risk management strategies. It outlines that these steps should be carried out frequently so that the risks are well managed (Ivanov and Zhechev, 2012). </w:t>
      </w:r>
    </w:p>
    <w:p w14:paraId="3705FA8F"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5. Continuous Improvement</w:t>
      </w:r>
      <w:r w:rsidRPr="0022078C">
        <w:rPr>
          <w:rFonts w:ascii="Times New Roman" w:hAnsi="Times New Roman" w:cs="Times New Roman"/>
          <w:noProof/>
          <w:kern w:val="2"/>
          <w:sz w:val="24"/>
          <w14:ligatures w14:val="standardContextual"/>
        </w:rPr>
        <w:t xml:space="preserve">: </w:t>
      </w:r>
    </w:p>
    <w:p w14:paraId="7B6A18F6"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Feedback Loop:</w:t>
      </w:r>
      <w:r w:rsidRPr="0022078C">
        <w:rPr>
          <w:rFonts w:ascii="Times New Roman" w:hAnsi="Times New Roman" w:cs="Times New Roman"/>
          <w:noProof/>
          <w:kern w:val="2"/>
          <w:sz w:val="24"/>
          <w14:ligatures w14:val="standardContextual"/>
        </w:rPr>
        <w:t xml:space="preserve"> Feedback from the monitoring process should be incorporated to improve the quality of the risk management strategies. </w:t>
      </w:r>
    </w:p>
    <w:p w14:paraId="304C8D7B"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Adaptation:</w:t>
      </w:r>
      <w:r w:rsidRPr="0022078C">
        <w:rPr>
          <w:rFonts w:ascii="Times New Roman" w:hAnsi="Times New Roman" w:cs="Times New Roman"/>
          <w:noProof/>
          <w:kern w:val="2"/>
          <w:sz w:val="24"/>
          <w14:ligatures w14:val="standardContextual"/>
        </w:rPr>
        <w:t xml:space="preserve"> Always be ready to adjust the approach when it comes to new threats or modifying the existing threats. This may entail revisiting some of the established risk management frameworks and possibly proposing some changes to improve the resilience of the organisational processes (de Bastos, 2023). </w:t>
      </w:r>
    </w:p>
    <w:p w14:paraId="03DC61C2" w14:textId="77777777" w:rsidR="0022078C" w:rsidRPr="0022078C" w:rsidRDefault="0022078C" w:rsidP="0022078C">
      <w:pPr>
        <w:keepNext/>
        <w:keepLines/>
        <w:pBdr>
          <w:bottom w:val="single" w:sz="4" w:space="1" w:color="auto"/>
        </w:pBdr>
        <w:spacing w:before="120" w:after="240" w:line="360" w:lineRule="auto"/>
        <w:jc w:val="both"/>
        <w:outlineLvl w:val="0"/>
        <w:rPr>
          <w:rFonts w:ascii="Times New Roman" w:eastAsiaTheme="majorEastAsia" w:hAnsi="Times New Roman" w:cs="Times New Roman"/>
          <w:b/>
          <w:noProof/>
          <w:color w:val="000000" w:themeColor="text1"/>
          <w:kern w:val="2"/>
          <w:sz w:val="32"/>
          <w:szCs w:val="32"/>
          <w14:ligatures w14:val="standardContextual"/>
        </w:rPr>
      </w:pPr>
      <w:bookmarkStart w:id="8" w:name="_Toc168090009"/>
      <w:r w:rsidRPr="0022078C">
        <w:rPr>
          <w:rFonts w:ascii="Times New Roman" w:eastAsiaTheme="majorEastAsia" w:hAnsi="Times New Roman" w:cs="Times New Roman"/>
          <w:b/>
          <w:noProof/>
          <w:color w:val="000000" w:themeColor="text1"/>
          <w:kern w:val="2"/>
          <w:sz w:val="32"/>
          <w:szCs w:val="32"/>
          <w14:ligatures w14:val="standardContextual"/>
        </w:rPr>
        <w:t>Turnaround Strategy</w:t>
      </w:r>
      <w:bookmarkEnd w:id="8"/>
    </w:p>
    <w:p w14:paraId="389EFA30"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 xml:space="preserve">Given these issues, the most effective option to bring Urban Heights Hotel back on track and improve its competitiveness is to create a sophisticated redevelopment strategy. This strategy targets operations, revenues, financial transformation, and risk management.  </w:t>
      </w:r>
    </w:p>
    <w:p w14:paraId="45F0CB72" w14:textId="77777777" w:rsidR="0022078C" w:rsidRPr="0022078C" w:rsidRDefault="0022078C" w:rsidP="0022078C">
      <w:pPr>
        <w:spacing w:before="120" w:after="240" w:line="360" w:lineRule="auto"/>
        <w:jc w:val="both"/>
        <w:rPr>
          <w:rFonts w:ascii="Times New Roman" w:hAnsi="Times New Roman" w:cs="Times New Roman"/>
          <w:b/>
          <w:bCs/>
          <w:noProof/>
          <w:kern w:val="2"/>
          <w:sz w:val="24"/>
          <w14:ligatures w14:val="standardContextual"/>
        </w:rPr>
      </w:pPr>
      <w:r w:rsidRPr="0022078C">
        <w:rPr>
          <w:rFonts w:ascii="Times New Roman" w:hAnsi="Times New Roman" w:cs="Times New Roman"/>
          <w:b/>
          <w:bCs/>
          <w:noProof/>
          <w:kern w:val="2"/>
          <w:sz w:val="24"/>
          <w14:ligatures w14:val="standardContextual"/>
        </w:rPr>
        <w:t xml:space="preserve">1. Operational Improvements: </w:t>
      </w:r>
    </w:p>
    <w:p w14:paraId="41B99D3F"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Cost Control and Efficiency:</w:t>
      </w:r>
      <w:r w:rsidRPr="0022078C">
        <w:rPr>
          <w:rFonts w:ascii="Times New Roman" w:hAnsi="Times New Roman" w:cs="Times New Roman"/>
          <w:noProof/>
          <w:kern w:val="2"/>
          <w:sz w:val="24"/>
          <w14:ligatures w14:val="standardContextual"/>
        </w:rPr>
        <w:t xml:space="preserve"> The organisation must employ measures to drastically reduce costs. This includes changing supplier terms, workforce needs, and waste reduction. Inefficiencies and waste can be identified and best practices introduced with lean management (Alrawadieh </w:t>
      </w:r>
      <w:r w:rsidRPr="0022078C">
        <w:rPr>
          <w:rFonts w:ascii="Times New Roman" w:hAnsi="Times New Roman" w:cs="Times New Roman"/>
          <w:i/>
          <w:iCs/>
          <w:noProof/>
          <w:kern w:val="2"/>
          <w:sz w:val="24"/>
          <w14:ligatures w14:val="standardContextual"/>
        </w:rPr>
        <w:t>et al</w:t>
      </w:r>
      <w:r w:rsidRPr="0022078C">
        <w:rPr>
          <w:rFonts w:ascii="Times New Roman" w:hAnsi="Times New Roman" w:cs="Times New Roman"/>
          <w:noProof/>
          <w:kern w:val="2"/>
          <w:sz w:val="24"/>
          <w14:ligatures w14:val="standardContextual"/>
        </w:rPr>
        <w:t xml:space="preserve">., 2021). </w:t>
      </w:r>
    </w:p>
    <w:p w14:paraId="08D242A5"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lastRenderedPageBreak/>
        <w:t>Technology Upgrade:</w:t>
      </w:r>
      <w:r w:rsidRPr="0022078C">
        <w:rPr>
          <w:rFonts w:ascii="Times New Roman" w:hAnsi="Times New Roman" w:cs="Times New Roman"/>
          <w:noProof/>
          <w:kern w:val="2"/>
          <w:sz w:val="24"/>
          <w14:ligatures w14:val="standardContextual"/>
        </w:rPr>
        <w:t xml:space="preserve"> Modern accounting and management software supports operations and produces accurate financial reporting, the third recommendation. Create a CRM system to improve service and client happiness.  </w:t>
      </w:r>
    </w:p>
    <w:p w14:paraId="055375BB" w14:textId="77777777" w:rsidR="0022078C" w:rsidRPr="0022078C" w:rsidRDefault="0022078C" w:rsidP="0022078C">
      <w:pPr>
        <w:spacing w:before="120" w:after="240" w:line="360" w:lineRule="auto"/>
        <w:jc w:val="both"/>
        <w:rPr>
          <w:rFonts w:ascii="Times New Roman" w:hAnsi="Times New Roman" w:cs="Times New Roman"/>
          <w:b/>
          <w:bCs/>
          <w:noProof/>
          <w:kern w:val="2"/>
          <w:sz w:val="24"/>
          <w14:ligatures w14:val="standardContextual"/>
        </w:rPr>
      </w:pPr>
      <w:r w:rsidRPr="0022078C">
        <w:rPr>
          <w:rFonts w:ascii="Times New Roman" w:hAnsi="Times New Roman" w:cs="Times New Roman"/>
          <w:b/>
          <w:bCs/>
          <w:noProof/>
          <w:kern w:val="2"/>
          <w:sz w:val="24"/>
          <w14:ligatures w14:val="standardContextual"/>
        </w:rPr>
        <w:t xml:space="preserve"> 2. Revenue Enhancement: </w:t>
      </w:r>
    </w:p>
    <w:p w14:paraId="6DD84CD7"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Market Repositioning:</w:t>
      </w:r>
      <w:r w:rsidRPr="0022078C">
        <w:rPr>
          <w:rFonts w:ascii="Times New Roman" w:hAnsi="Times New Roman" w:cs="Times New Roman"/>
          <w:noProof/>
          <w:kern w:val="2"/>
          <w:sz w:val="24"/>
          <w14:ligatures w14:val="standardContextual"/>
        </w:rPr>
        <w:t xml:space="preserve"> To attract more customers, the hotel must reposition itself. Offer deals to business tourists, tourists, and local event planners. Business location, amenities, and customised services are of particular concern (Atrill and McLaney, 2021). </w:t>
      </w:r>
    </w:p>
    <w:p w14:paraId="1E08C001"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Service Improvement:</w:t>
      </w:r>
      <w:r w:rsidRPr="0022078C">
        <w:rPr>
          <w:rFonts w:ascii="Times New Roman" w:hAnsi="Times New Roman" w:cs="Times New Roman"/>
          <w:noProof/>
          <w:kern w:val="2"/>
          <w:sz w:val="24"/>
          <w14:ligatures w14:val="standardContextual"/>
        </w:rPr>
        <w:t xml:space="preserve"> Improve service to boost consumer happiness and dependence. To improve their services and visitor relations, service providers should attend training. It involves maintaining and modernising facilities to make consumers and guests pleasant and convenient (Walker, 2021). </w:t>
      </w:r>
    </w:p>
    <w:p w14:paraId="50BAAF6B"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Diversification of Revenue Streams:</w:t>
      </w:r>
      <w:r w:rsidRPr="0022078C">
        <w:rPr>
          <w:rFonts w:ascii="Times New Roman" w:hAnsi="Times New Roman" w:cs="Times New Roman"/>
          <w:noProof/>
          <w:kern w:val="2"/>
          <w:sz w:val="24"/>
          <w14:ligatures w14:val="standardContextual"/>
        </w:rPr>
        <w:t xml:space="preserve"> Offer corporate catering, weddings, conferences, and other events. One must cooperate with local companies and tourism providers to organise strong sales campaigns (Fyall </w:t>
      </w:r>
      <w:r w:rsidRPr="0022078C">
        <w:rPr>
          <w:rFonts w:ascii="Times New Roman" w:hAnsi="Times New Roman" w:cs="Times New Roman"/>
          <w:i/>
          <w:iCs/>
          <w:noProof/>
          <w:kern w:val="2"/>
          <w:sz w:val="24"/>
          <w14:ligatures w14:val="standardContextual"/>
        </w:rPr>
        <w:t>et al</w:t>
      </w:r>
      <w:r w:rsidRPr="0022078C">
        <w:rPr>
          <w:rFonts w:ascii="Times New Roman" w:hAnsi="Times New Roman" w:cs="Times New Roman"/>
          <w:noProof/>
          <w:kern w:val="2"/>
          <w:sz w:val="24"/>
          <w14:ligatures w14:val="standardContextual"/>
        </w:rPr>
        <w:t>., 2013).</w:t>
      </w:r>
    </w:p>
    <w:p w14:paraId="24E87989" w14:textId="77777777" w:rsidR="0022078C" w:rsidRPr="0022078C" w:rsidRDefault="0022078C" w:rsidP="0022078C">
      <w:pPr>
        <w:spacing w:before="120" w:after="240" w:line="360" w:lineRule="auto"/>
        <w:jc w:val="both"/>
        <w:rPr>
          <w:rFonts w:ascii="Times New Roman" w:hAnsi="Times New Roman" w:cs="Times New Roman"/>
          <w:b/>
          <w:bCs/>
          <w:noProof/>
          <w:kern w:val="2"/>
          <w:sz w:val="24"/>
          <w14:ligatures w14:val="standardContextual"/>
        </w:rPr>
      </w:pPr>
      <w:r w:rsidRPr="0022078C">
        <w:rPr>
          <w:rFonts w:ascii="Times New Roman" w:hAnsi="Times New Roman" w:cs="Times New Roman"/>
          <w:b/>
          <w:bCs/>
          <w:noProof/>
          <w:kern w:val="2"/>
          <w:sz w:val="24"/>
          <w14:ligatures w14:val="standardContextual"/>
        </w:rPr>
        <w:t xml:space="preserve">3. Financial Restructuring: </w:t>
      </w:r>
    </w:p>
    <w:p w14:paraId="058B3233"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Debt management:</w:t>
      </w:r>
      <w:r w:rsidRPr="0022078C">
        <w:rPr>
          <w:rFonts w:ascii="Times New Roman" w:hAnsi="Times New Roman" w:cs="Times New Roman"/>
          <w:noProof/>
          <w:kern w:val="2"/>
          <w:sz w:val="24"/>
          <w14:ligatures w14:val="standardContextual"/>
        </w:rPr>
        <w:t xml:space="preserve"> To cut pressure, financing costs, and interest rate risk and improve the balance sheet. This could involve renegotiating with credit providers to agree on better payment methods or going to other lending sources to provide concessions like low interest rates and long repayment terms (El Haddad, 2015). </w:t>
      </w:r>
    </w:p>
    <w:p w14:paraId="48116F32"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Equity injection:</w:t>
      </w:r>
      <w:r w:rsidRPr="0022078C">
        <w:rPr>
          <w:rFonts w:ascii="Times New Roman" w:hAnsi="Times New Roman" w:cs="Times New Roman"/>
          <w:noProof/>
          <w:kern w:val="2"/>
          <w:sz w:val="24"/>
          <w14:ligatures w14:val="standardContextual"/>
        </w:rPr>
        <w:t xml:space="preserve"> Increase equity money to strengthen the financial base. It could be about luring new investors or taking advantage of government financial incentives and subsidies for hospitality industry expansion (Tranter </w:t>
      </w:r>
      <w:r w:rsidRPr="0022078C">
        <w:rPr>
          <w:rFonts w:ascii="Times New Roman" w:hAnsi="Times New Roman" w:cs="Times New Roman"/>
          <w:i/>
          <w:iCs/>
          <w:noProof/>
          <w:kern w:val="2"/>
          <w:sz w:val="24"/>
          <w14:ligatures w14:val="standardContextual"/>
        </w:rPr>
        <w:t>et al.</w:t>
      </w:r>
      <w:r w:rsidRPr="0022078C">
        <w:rPr>
          <w:rFonts w:ascii="Times New Roman" w:hAnsi="Times New Roman" w:cs="Times New Roman"/>
          <w:noProof/>
          <w:kern w:val="2"/>
          <w:sz w:val="24"/>
          <w14:ligatures w14:val="standardContextual"/>
        </w:rPr>
        <w:t xml:space="preserve">, 2014). </w:t>
      </w:r>
    </w:p>
    <w:p w14:paraId="5FE3B27F"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Cash flow management:</w:t>
      </w:r>
      <w:r w:rsidRPr="0022078C">
        <w:rPr>
          <w:rFonts w:ascii="Times New Roman" w:hAnsi="Times New Roman" w:cs="Times New Roman"/>
          <w:noProof/>
          <w:kern w:val="2"/>
          <w:sz w:val="24"/>
          <w14:ligatures w14:val="standardContextual"/>
        </w:rPr>
        <w:t xml:space="preserve"> Accounts receivable and accounts payable should be properly recorded. Credit controls should be strengthened to collect payments and manage working capital. </w:t>
      </w:r>
    </w:p>
    <w:p w14:paraId="3D438A1A" w14:textId="77777777" w:rsidR="0022078C" w:rsidRPr="0022078C" w:rsidRDefault="0022078C" w:rsidP="0022078C">
      <w:pPr>
        <w:spacing w:before="120" w:after="240" w:line="360" w:lineRule="auto"/>
        <w:jc w:val="both"/>
        <w:rPr>
          <w:rFonts w:ascii="Times New Roman" w:hAnsi="Times New Roman" w:cs="Times New Roman"/>
          <w:b/>
          <w:bCs/>
          <w:noProof/>
          <w:kern w:val="2"/>
          <w:sz w:val="24"/>
          <w14:ligatures w14:val="standardContextual"/>
        </w:rPr>
      </w:pPr>
      <w:r w:rsidRPr="0022078C">
        <w:rPr>
          <w:rFonts w:ascii="Times New Roman" w:hAnsi="Times New Roman" w:cs="Times New Roman"/>
          <w:b/>
          <w:bCs/>
          <w:noProof/>
          <w:kern w:val="2"/>
          <w:sz w:val="24"/>
          <w14:ligatures w14:val="standardContextual"/>
        </w:rPr>
        <w:t xml:space="preserve">4. Risk Management: </w:t>
      </w:r>
    </w:p>
    <w:p w14:paraId="6315EAB9" w14:textId="77777777" w:rsidR="0022078C" w:rsidRPr="0022078C" w:rsidRDefault="0022078C" w:rsidP="0022078C">
      <w:pPr>
        <w:spacing w:before="120" w:after="240" w:line="360" w:lineRule="auto"/>
        <w:jc w:val="both"/>
        <w:rPr>
          <w:rFonts w:ascii="Times New Roman" w:hAnsi="Times New Roman" w:cs="Times New Roman"/>
          <w:b/>
          <w:bCs/>
          <w:noProof/>
          <w:kern w:val="2"/>
          <w:sz w:val="24"/>
          <w14:ligatures w14:val="standardContextual"/>
        </w:rPr>
      </w:pPr>
      <w:r w:rsidRPr="0022078C">
        <w:rPr>
          <w:rFonts w:ascii="Times New Roman" w:hAnsi="Times New Roman" w:cs="Times New Roman"/>
          <w:b/>
          <w:bCs/>
          <w:noProof/>
          <w:kern w:val="2"/>
          <w:sz w:val="24"/>
          <w14:ligatures w14:val="standardContextual"/>
        </w:rPr>
        <w:lastRenderedPageBreak/>
        <w:drawing>
          <wp:inline distT="0" distB="0" distL="0" distR="0" wp14:anchorId="0A480D2C" wp14:editId="092DFE65">
            <wp:extent cx="5486400" cy="2781300"/>
            <wp:effectExtent l="0" t="38100" r="38100" b="76200"/>
            <wp:docPr id="175847585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ADAAEE5"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b/>
          <w:bCs/>
          <w:noProof/>
          <w:kern w:val="2"/>
          <w:sz w:val="24"/>
          <w14:ligatures w14:val="standardContextual"/>
        </w:rPr>
        <w:t>5. Justification of methods:</w:t>
      </w:r>
      <w:r w:rsidRPr="0022078C">
        <w:rPr>
          <w:rFonts w:ascii="Times New Roman" w:hAnsi="Times New Roman" w:cs="Times New Roman"/>
          <w:noProof/>
          <w:kern w:val="2"/>
          <w:sz w:val="24"/>
          <w14:ligatures w14:val="standardContextual"/>
        </w:rPr>
        <w:t xml:space="preserve"> Optimise firm resources by improving operations to minimise costs and increase service value. Revenue Enhancement lowers revenue and customer satisfaction to increase revenue and satisfy guests. Sales Management helps the hotel meet its short-term responsibilities by improving its finances. Finally, risk management preserves the hotel's ability to adjust to future circumstances (Abrate and Viglia, 2016).</w:t>
      </w:r>
    </w:p>
    <w:p w14:paraId="1274726B" w14:textId="77777777" w:rsidR="0022078C" w:rsidRPr="0022078C" w:rsidRDefault="0022078C" w:rsidP="0022078C">
      <w:pPr>
        <w:keepNext/>
        <w:keepLines/>
        <w:pBdr>
          <w:bottom w:val="single" w:sz="4" w:space="1" w:color="auto"/>
        </w:pBdr>
        <w:spacing w:before="120" w:after="240" w:line="360" w:lineRule="auto"/>
        <w:jc w:val="both"/>
        <w:outlineLvl w:val="0"/>
        <w:rPr>
          <w:rFonts w:ascii="Times New Roman" w:eastAsiaTheme="majorEastAsia" w:hAnsi="Times New Roman" w:cs="Times New Roman"/>
          <w:b/>
          <w:noProof/>
          <w:color w:val="000000" w:themeColor="text1"/>
          <w:kern w:val="2"/>
          <w:sz w:val="32"/>
          <w:szCs w:val="32"/>
          <w14:ligatures w14:val="standardContextual"/>
        </w:rPr>
      </w:pPr>
      <w:bookmarkStart w:id="9" w:name="_Toc168090010"/>
      <w:r w:rsidRPr="0022078C">
        <w:rPr>
          <w:rFonts w:ascii="Times New Roman" w:eastAsiaTheme="majorEastAsia" w:hAnsi="Times New Roman" w:cs="Times New Roman"/>
          <w:b/>
          <w:noProof/>
          <w:color w:val="000000" w:themeColor="text1"/>
          <w:kern w:val="2"/>
          <w:sz w:val="32"/>
          <w:szCs w:val="32"/>
          <w14:ligatures w14:val="standardContextual"/>
        </w:rPr>
        <w:t>Conclusion</w:t>
      </w:r>
      <w:bookmarkEnd w:id="9"/>
    </w:p>
    <w:p w14:paraId="18562394"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Urban Heights Hotel needs a specific turnaround plan to improve its finances and competitiveness. Company financial performance included revenue decline, growing operating costs, and poor liquidity management. Urban Hotel complains about operational, strategic, and customer satisfaction issues that damage its finances. Operational changes, revenue development, and company reorganisation can assist the hotel overcome these difficulties. Implemented and reinforced risk management practices will protect the company against unpredictability. Strategies include stabilising and increasing profits. With consistent operation and assessment, Urban Heights Hotel may recover and rebuild customer loyalty in this competitive industry. Contemporary financial and risk management theories and research demonstrate that this transition plan can restore the company's profitability.</w:t>
      </w:r>
    </w:p>
    <w:p w14:paraId="3B9F9ACA" w14:textId="77777777" w:rsidR="0022078C" w:rsidRPr="0022078C" w:rsidRDefault="0022078C" w:rsidP="0022078C">
      <w:pPr>
        <w:spacing w:line="360" w:lineRule="auto"/>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br w:type="page"/>
      </w:r>
    </w:p>
    <w:p w14:paraId="75020FCC" w14:textId="77777777" w:rsidR="0022078C" w:rsidRPr="0022078C" w:rsidRDefault="0022078C" w:rsidP="0022078C">
      <w:pPr>
        <w:keepNext/>
        <w:keepLines/>
        <w:pBdr>
          <w:bottom w:val="single" w:sz="4" w:space="1" w:color="auto"/>
        </w:pBdr>
        <w:spacing w:before="120" w:after="240" w:line="360" w:lineRule="auto"/>
        <w:jc w:val="both"/>
        <w:outlineLvl w:val="0"/>
        <w:rPr>
          <w:rFonts w:ascii="Times New Roman" w:eastAsiaTheme="majorEastAsia" w:hAnsi="Times New Roman" w:cs="Times New Roman"/>
          <w:b/>
          <w:noProof/>
          <w:color w:val="000000" w:themeColor="text1"/>
          <w:kern w:val="2"/>
          <w:sz w:val="32"/>
          <w:szCs w:val="32"/>
          <w14:ligatures w14:val="standardContextual"/>
        </w:rPr>
      </w:pPr>
      <w:bookmarkStart w:id="10" w:name="_Toc168090011"/>
      <w:r w:rsidRPr="0022078C">
        <w:rPr>
          <w:rFonts w:ascii="Times New Roman" w:eastAsiaTheme="majorEastAsia" w:hAnsi="Times New Roman" w:cs="Times New Roman"/>
          <w:b/>
          <w:noProof/>
          <w:color w:val="000000" w:themeColor="text1"/>
          <w:kern w:val="2"/>
          <w:sz w:val="32"/>
          <w:szCs w:val="32"/>
          <w14:ligatures w14:val="standardContextual"/>
        </w:rPr>
        <w:lastRenderedPageBreak/>
        <w:t>Reference List</w:t>
      </w:r>
      <w:bookmarkEnd w:id="10"/>
    </w:p>
    <w:p w14:paraId="6B24EBD5" w14:textId="7BDC50AA"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 xml:space="preserve">Abad, P., De la Fuente-Cabrero, C., González-Serrano, L. and Talón-Ballestero, P. (2019) Determinants of successful revenue management. </w:t>
      </w:r>
      <w:r w:rsidRPr="0022078C">
        <w:rPr>
          <w:rFonts w:ascii="Times New Roman" w:hAnsi="Times New Roman" w:cs="Times New Roman"/>
          <w:i/>
          <w:iCs/>
          <w:noProof/>
          <w:kern w:val="2"/>
          <w:sz w:val="24"/>
          <w14:ligatures w14:val="standardContextual"/>
        </w:rPr>
        <w:t>Tourism Review</w:t>
      </w:r>
      <w:r w:rsidRPr="0022078C">
        <w:rPr>
          <w:rFonts w:ascii="Times New Roman" w:hAnsi="Times New Roman" w:cs="Times New Roman"/>
          <w:noProof/>
          <w:kern w:val="2"/>
          <w:sz w:val="24"/>
          <w14:ligatures w14:val="standardContextual"/>
        </w:rPr>
        <w:t xml:space="preserve">, 74(3), pp.666-678. Available at:  </w:t>
      </w:r>
      <w:hyperlink r:id="rId20" w:history="1">
        <w:r w:rsidRPr="0022078C">
          <w:rPr>
            <w:rFonts w:ascii="Times New Roman" w:hAnsi="Times New Roman" w:cs="Times New Roman"/>
            <w:noProof/>
            <w:color w:val="0563C1" w:themeColor="hyperlink"/>
            <w:kern w:val="2"/>
            <w:sz w:val="24"/>
            <w:u w:val="single"/>
            <w14:ligatures w14:val="standardContextual"/>
          </w:rPr>
          <w:t>https://burjcdigital.urjc.es/bitstream/handle/10115/27098/Determinants%20of%20successful%20revenue%20management.pdf?sequence=3&amp;isAllowed=y</w:t>
        </w:r>
      </w:hyperlink>
      <w:r w:rsidRPr="0022078C">
        <w:rPr>
          <w:rFonts w:ascii="Times New Roman" w:hAnsi="Times New Roman" w:cs="Times New Roman"/>
          <w:noProof/>
          <w:kern w:val="2"/>
          <w:sz w:val="24"/>
          <w14:ligatures w14:val="standardContextual"/>
        </w:rPr>
        <w:t xml:space="preserve"> (Accessed 2</w:t>
      </w:r>
      <w:r w:rsidR="00755D32">
        <w:rPr>
          <w:rFonts w:ascii="Times New Roman" w:hAnsi="Times New Roman" w:cs="Times New Roman"/>
          <w:noProof/>
          <w:kern w:val="2"/>
          <w:sz w:val="24"/>
          <w14:ligatures w14:val="standardContextual"/>
        </w:rPr>
        <w:t>5</w:t>
      </w:r>
      <w:r w:rsidRPr="0022078C">
        <w:rPr>
          <w:rFonts w:ascii="Times New Roman" w:hAnsi="Times New Roman" w:cs="Times New Roman"/>
          <w:noProof/>
          <w:kern w:val="2"/>
          <w:sz w:val="24"/>
          <w14:ligatures w14:val="standardContextual"/>
        </w:rPr>
        <w:t xml:space="preserve"> May 2024).</w:t>
      </w:r>
    </w:p>
    <w:p w14:paraId="02784BC9" w14:textId="22D639B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 xml:space="preserve">Abrate, G. and Viglia, G. (2016) Strategic and tactical price decisions in hotel revenue management. </w:t>
      </w:r>
      <w:r w:rsidRPr="0022078C">
        <w:rPr>
          <w:rFonts w:ascii="Times New Roman" w:hAnsi="Times New Roman" w:cs="Times New Roman"/>
          <w:i/>
          <w:iCs/>
          <w:noProof/>
          <w:kern w:val="2"/>
          <w:sz w:val="24"/>
          <w14:ligatures w14:val="standardContextual"/>
        </w:rPr>
        <w:t>Tourism Management</w:t>
      </w:r>
      <w:r w:rsidRPr="0022078C">
        <w:rPr>
          <w:rFonts w:ascii="Times New Roman" w:hAnsi="Times New Roman" w:cs="Times New Roman"/>
          <w:noProof/>
          <w:kern w:val="2"/>
          <w:sz w:val="24"/>
          <w14:ligatures w14:val="standardContextual"/>
        </w:rPr>
        <w:t xml:space="preserve">, 55, pp.123-132. Available at: </w:t>
      </w:r>
      <w:hyperlink r:id="rId21" w:history="1">
        <w:r w:rsidRPr="0022078C">
          <w:rPr>
            <w:rFonts w:ascii="Times New Roman" w:hAnsi="Times New Roman" w:cs="Times New Roman"/>
            <w:noProof/>
            <w:color w:val="0563C1" w:themeColor="hyperlink"/>
            <w:kern w:val="2"/>
            <w:sz w:val="24"/>
            <w:u w:val="single"/>
            <w14:ligatures w14:val="standardContextual"/>
          </w:rPr>
          <w:t>https://researchportal.port.ac.uk/files/7066906/Strategic_and_tactical_price_decisions_in_hotel_revenue_management_postprint.pdf</w:t>
        </w:r>
      </w:hyperlink>
      <w:r w:rsidRPr="0022078C">
        <w:rPr>
          <w:rFonts w:ascii="Times New Roman" w:hAnsi="Times New Roman" w:cs="Times New Roman"/>
          <w:noProof/>
          <w:kern w:val="2"/>
          <w:sz w:val="24"/>
          <w14:ligatures w14:val="standardContextual"/>
        </w:rPr>
        <w:t xml:space="preserve"> (Accessed 2</w:t>
      </w:r>
      <w:r w:rsidR="00755D32">
        <w:rPr>
          <w:rFonts w:ascii="Times New Roman" w:hAnsi="Times New Roman" w:cs="Times New Roman"/>
          <w:noProof/>
          <w:kern w:val="2"/>
          <w:sz w:val="24"/>
          <w14:ligatures w14:val="standardContextual"/>
        </w:rPr>
        <w:t>5</w:t>
      </w:r>
      <w:r w:rsidRPr="0022078C">
        <w:rPr>
          <w:rFonts w:ascii="Times New Roman" w:hAnsi="Times New Roman" w:cs="Times New Roman"/>
          <w:noProof/>
          <w:kern w:val="2"/>
          <w:sz w:val="24"/>
          <w14:ligatures w14:val="standardContextual"/>
        </w:rPr>
        <w:t xml:space="preserve"> May 2024).</w:t>
      </w:r>
    </w:p>
    <w:p w14:paraId="5C0005CE" w14:textId="5193060A"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 xml:space="preserve">Adkhamjonovich, M. E. (2023) Risk Management in Hotel Management, Customer-Oriented Strategies. </w:t>
      </w:r>
      <w:r w:rsidRPr="0022078C">
        <w:rPr>
          <w:rFonts w:ascii="Times New Roman" w:hAnsi="Times New Roman" w:cs="Times New Roman"/>
          <w:i/>
          <w:iCs/>
          <w:noProof/>
          <w:kern w:val="2"/>
          <w:sz w:val="24"/>
          <w14:ligatures w14:val="standardContextual"/>
        </w:rPr>
        <w:t>European Journal of Economics, Finance and Business Development</w:t>
      </w:r>
      <w:r w:rsidRPr="0022078C">
        <w:rPr>
          <w:rFonts w:ascii="Times New Roman" w:hAnsi="Times New Roman" w:cs="Times New Roman"/>
          <w:noProof/>
          <w:kern w:val="2"/>
          <w:sz w:val="24"/>
          <w14:ligatures w14:val="standardContextual"/>
        </w:rPr>
        <w:t xml:space="preserve">, </w:t>
      </w:r>
      <w:r w:rsidRPr="0022078C">
        <w:rPr>
          <w:rFonts w:ascii="Times New Roman" w:hAnsi="Times New Roman" w:cs="Times New Roman"/>
          <w:i/>
          <w:iCs/>
          <w:noProof/>
          <w:kern w:val="2"/>
          <w:sz w:val="24"/>
          <w14:ligatures w14:val="standardContextual"/>
        </w:rPr>
        <w:t>1</w:t>
      </w:r>
      <w:r w:rsidRPr="0022078C">
        <w:rPr>
          <w:rFonts w:ascii="Times New Roman" w:hAnsi="Times New Roman" w:cs="Times New Roman"/>
          <w:noProof/>
          <w:kern w:val="2"/>
          <w:sz w:val="24"/>
          <w14:ligatures w14:val="standardContextual"/>
        </w:rPr>
        <w:t xml:space="preserve">(3), 78-83. Available at: </w:t>
      </w:r>
      <w:hyperlink r:id="rId22" w:history="1">
        <w:r w:rsidRPr="0022078C">
          <w:rPr>
            <w:rFonts w:ascii="Times New Roman" w:hAnsi="Times New Roman" w:cs="Times New Roman"/>
            <w:noProof/>
            <w:color w:val="0563C1" w:themeColor="hyperlink"/>
            <w:kern w:val="2"/>
            <w:sz w:val="24"/>
            <w:u w:val="single"/>
            <w14:ligatures w14:val="standardContextual"/>
          </w:rPr>
          <w:t>https://europeanscience.org/index.php/2/article/download/206/204</w:t>
        </w:r>
      </w:hyperlink>
      <w:r w:rsidRPr="0022078C">
        <w:rPr>
          <w:rFonts w:ascii="Times New Roman" w:hAnsi="Times New Roman" w:cs="Times New Roman"/>
          <w:noProof/>
          <w:kern w:val="2"/>
          <w:sz w:val="24"/>
          <w14:ligatures w14:val="standardContextual"/>
        </w:rPr>
        <w:t xml:space="preserve"> (Accessed 2</w:t>
      </w:r>
      <w:r w:rsidR="00755D32">
        <w:rPr>
          <w:rFonts w:ascii="Times New Roman" w:hAnsi="Times New Roman" w:cs="Times New Roman"/>
          <w:noProof/>
          <w:kern w:val="2"/>
          <w:sz w:val="24"/>
          <w14:ligatures w14:val="standardContextual"/>
        </w:rPr>
        <w:t>4</w:t>
      </w:r>
      <w:r w:rsidRPr="0022078C">
        <w:rPr>
          <w:rFonts w:ascii="Times New Roman" w:hAnsi="Times New Roman" w:cs="Times New Roman"/>
          <w:noProof/>
          <w:kern w:val="2"/>
          <w:sz w:val="24"/>
          <w14:ligatures w14:val="standardContextual"/>
        </w:rPr>
        <w:t xml:space="preserve"> May 2024).</w:t>
      </w:r>
    </w:p>
    <w:p w14:paraId="07EB9AFD" w14:textId="53A8158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 xml:space="preserve">Alrawadieh, Z., Alrawadieh, Z. and Cetin, G. (2021) Digital transformation and revenue management: Evidence from the hotel industry. </w:t>
      </w:r>
      <w:r w:rsidRPr="0022078C">
        <w:rPr>
          <w:rFonts w:ascii="Times New Roman" w:hAnsi="Times New Roman" w:cs="Times New Roman"/>
          <w:i/>
          <w:iCs/>
          <w:noProof/>
          <w:kern w:val="2"/>
          <w:sz w:val="24"/>
          <w14:ligatures w14:val="standardContextual"/>
        </w:rPr>
        <w:t>Tourism Economics</w:t>
      </w:r>
      <w:r w:rsidRPr="0022078C">
        <w:rPr>
          <w:rFonts w:ascii="Times New Roman" w:hAnsi="Times New Roman" w:cs="Times New Roman"/>
          <w:noProof/>
          <w:kern w:val="2"/>
          <w:sz w:val="24"/>
          <w14:ligatures w14:val="standardContextual"/>
        </w:rPr>
        <w:t xml:space="preserve">, 27(2), pp.328-345. Available at: </w:t>
      </w:r>
      <w:hyperlink r:id="rId23" w:history="1">
        <w:r w:rsidRPr="0022078C">
          <w:rPr>
            <w:rFonts w:ascii="Times New Roman" w:hAnsi="Times New Roman" w:cs="Times New Roman"/>
            <w:noProof/>
            <w:color w:val="0563C1" w:themeColor="hyperlink"/>
            <w:kern w:val="2"/>
            <w:sz w:val="24"/>
            <w:u w:val="single"/>
            <w14:ligatures w14:val="standardContextual"/>
          </w:rPr>
          <w:t>https://www.academia.edu/download/63481400/Digital_transformation_and_revenue_management_20200531-69911-wt65u1.pdf</w:t>
        </w:r>
      </w:hyperlink>
      <w:r w:rsidRPr="0022078C">
        <w:rPr>
          <w:rFonts w:ascii="Times New Roman" w:hAnsi="Times New Roman" w:cs="Times New Roman"/>
          <w:noProof/>
          <w:kern w:val="2"/>
          <w:sz w:val="24"/>
          <w14:ligatures w14:val="standardContextual"/>
        </w:rPr>
        <w:t xml:space="preserve"> (Accessed 2</w:t>
      </w:r>
      <w:r w:rsidR="00755D32">
        <w:rPr>
          <w:rFonts w:ascii="Times New Roman" w:hAnsi="Times New Roman" w:cs="Times New Roman"/>
          <w:noProof/>
          <w:kern w:val="2"/>
          <w:sz w:val="24"/>
          <w14:ligatures w14:val="standardContextual"/>
        </w:rPr>
        <w:t>5</w:t>
      </w:r>
      <w:r w:rsidRPr="0022078C">
        <w:rPr>
          <w:rFonts w:ascii="Times New Roman" w:hAnsi="Times New Roman" w:cs="Times New Roman"/>
          <w:noProof/>
          <w:kern w:val="2"/>
          <w:sz w:val="24"/>
          <w14:ligatures w14:val="standardContextual"/>
        </w:rPr>
        <w:t xml:space="preserve"> May 2024).</w:t>
      </w:r>
    </w:p>
    <w:p w14:paraId="74A59CA5"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 xml:space="preserve">Atrill, P. and McLaney, E. (2021) </w:t>
      </w:r>
      <w:r w:rsidRPr="0022078C">
        <w:rPr>
          <w:rFonts w:ascii="Times New Roman" w:hAnsi="Times New Roman" w:cs="Times New Roman"/>
          <w:i/>
          <w:iCs/>
          <w:noProof/>
          <w:kern w:val="2"/>
          <w:sz w:val="24"/>
          <w14:ligatures w14:val="standardContextual"/>
        </w:rPr>
        <w:t>Management Accounting for Decision Makers</w:t>
      </w:r>
      <w:r w:rsidRPr="0022078C">
        <w:rPr>
          <w:rFonts w:ascii="Times New Roman" w:hAnsi="Times New Roman" w:cs="Times New Roman"/>
          <w:noProof/>
          <w:kern w:val="2"/>
          <w:sz w:val="24"/>
          <w14:ligatures w14:val="standardContextual"/>
        </w:rPr>
        <w:t>. FT Prentice Hall.</w:t>
      </w:r>
    </w:p>
    <w:p w14:paraId="107763C0"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 xml:space="preserve">Bhimani, A. (2006) </w:t>
      </w:r>
      <w:r w:rsidRPr="0022078C">
        <w:rPr>
          <w:rFonts w:ascii="Times New Roman" w:hAnsi="Times New Roman" w:cs="Times New Roman"/>
          <w:i/>
          <w:iCs/>
          <w:noProof/>
          <w:kern w:val="2"/>
          <w:sz w:val="24"/>
          <w14:ligatures w14:val="standardContextual"/>
        </w:rPr>
        <w:t>Contemporary issues in management accounting</w:t>
      </w:r>
      <w:r w:rsidRPr="0022078C">
        <w:rPr>
          <w:rFonts w:ascii="Times New Roman" w:hAnsi="Times New Roman" w:cs="Times New Roman"/>
          <w:noProof/>
          <w:kern w:val="2"/>
          <w:sz w:val="24"/>
          <w14:ligatures w14:val="standardContextual"/>
        </w:rPr>
        <w:t>. Oxford University Press.</w:t>
      </w:r>
    </w:p>
    <w:p w14:paraId="4F3A6F53" w14:textId="46012A8B"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 xml:space="preserve">de Bastos, B. P. (2023) Contribution of hotels’ revenue management for supply chain sustainability. </w:t>
      </w:r>
      <w:r w:rsidRPr="0022078C">
        <w:rPr>
          <w:rFonts w:ascii="Times New Roman" w:hAnsi="Times New Roman" w:cs="Times New Roman"/>
          <w:i/>
          <w:iCs/>
          <w:noProof/>
          <w:kern w:val="2"/>
          <w:sz w:val="24"/>
          <w14:ligatures w14:val="standardContextual"/>
        </w:rPr>
        <w:t>Journal of revenue and pricing management</w:t>
      </w:r>
      <w:r w:rsidRPr="0022078C">
        <w:rPr>
          <w:rFonts w:ascii="Times New Roman" w:hAnsi="Times New Roman" w:cs="Times New Roman"/>
          <w:noProof/>
          <w:kern w:val="2"/>
          <w:sz w:val="24"/>
          <w14:ligatures w14:val="standardContextual"/>
        </w:rPr>
        <w:t xml:space="preserve">, 22(4), 294-305. Available at: </w:t>
      </w:r>
      <w:hyperlink r:id="rId24" w:history="1">
        <w:r w:rsidRPr="0022078C">
          <w:rPr>
            <w:rFonts w:ascii="Times New Roman" w:hAnsi="Times New Roman" w:cs="Times New Roman"/>
            <w:noProof/>
            <w:color w:val="0563C1" w:themeColor="hyperlink"/>
            <w:kern w:val="2"/>
            <w:sz w:val="24"/>
            <w:u w:val="single"/>
            <w14:ligatures w14:val="standardContextual"/>
          </w:rPr>
          <w:t>https://doi.org/10.1057/s41272-022-00380-z</w:t>
        </w:r>
      </w:hyperlink>
      <w:r w:rsidRPr="0022078C">
        <w:rPr>
          <w:rFonts w:ascii="Times New Roman" w:hAnsi="Times New Roman" w:cs="Times New Roman"/>
          <w:noProof/>
          <w:kern w:val="2"/>
          <w:sz w:val="24"/>
          <w14:ligatures w14:val="standardContextual"/>
        </w:rPr>
        <w:t xml:space="preserve"> (Accessed 2</w:t>
      </w:r>
      <w:r w:rsidR="00755D32">
        <w:rPr>
          <w:rFonts w:ascii="Times New Roman" w:hAnsi="Times New Roman" w:cs="Times New Roman"/>
          <w:noProof/>
          <w:kern w:val="2"/>
          <w:sz w:val="24"/>
          <w14:ligatures w14:val="standardContextual"/>
        </w:rPr>
        <w:t>4</w:t>
      </w:r>
      <w:r w:rsidRPr="0022078C">
        <w:rPr>
          <w:rFonts w:ascii="Times New Roman" w:hAnsi="Times New Roman" w:cs="Times New Roman"/>
          <w:noProof/>
          <w:kern w:val="2"/>
          <w:sz w:val="24"/>
          <w14:ligatures w14:val="standardContextual"/>
        </w:rPr>
        <w:t xml:space="preserve"> May 2024).</w:t>
      </w:r>
    </w:p>
    <w:p w14:paraId="0FCDB44C"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 xml:space="preserve">Drury, C. (2021) </w:t>
      </w:r>
      <w:r w:rsidRPr="0022078C">
        <w:rPr>
          <w:rFonts w:ascii="Times New Roman" w:hAnsi="Times New Roman" w:cs="Times New Roman"/>
          <w:i/>
          <w:iCs/>
          <w:noProof/>
          <w:kern w:val="2"/>
          <w:sz w:val="24"/>
          <w14:ligatures w14:val="standardContextual"/>
        </w:rPr>
        <w:t>Management and Cost Accounting</w:t>
      </w:r>
      <w:r w:rsidRPr="0022078C">
        <w:rPr>
          <w:rFonts w:ascii="Times New Roman" w:hAnsi="Times New Roman" w:cs="Times New Roman"/>
          <w:noProof/>
          <w:kern w:val="2"/>
          <w:sz w:val="24"/>
          <w14:ligatures w14:val="standardContextual"/>
        </w:rPr>
        <w:t>. 11th Ed. London, Prentice Hall.</w:t>
      </w:r>
    </w:p>
    <w:p w14:paraId="618A85B9" w14:textId="59790EDB"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lastRenderedPageBreak/>
        <w:t xml:space="preserve">El Haddad, R. (2015) Exploration of revenue management practices–case of an upscale budget hotel chain. </w:t>
      </w:r>
      <w:r w:rsidRPr="0022078C">
        <w:rPr>
          <w:rFonts w:ascii="Times New Roman" w:hAnsi="Times New Roman" w:cs="Times New Roman"/>
          <w:i/>
          <w:iCs/>
          <w:noProof/>
          <w:kern w:val="2"/>
          <w:sz w:val="24"/>
          <w14:ligatures w14:val="standardContextual"/>
        </w:rPr>
        <w:t>International Journal of Contemporary Hospitality Management</w:t>
      </w:r>
      <w:r w:rsidRPr="0022078C">
        <w:rPr>
          <w:rFonts w:ascii="Times New Roman" w:hAnsi="Times New Roman" w:cs="Times New Roman"/>
          <w:noProof/>
          <w:kern w:val="2"/>
          <w:sz w:val="24"/>
          <w14:ligatures w14:val="standardContextual"/>
        </w:rPr>
        <w:t xml:space="preserve">, 27(8), 1791-1813. Available at: </w:t>
      </w:r>
      <w:hyperlink r:id="rId25" w:history="1">
        <w:r w:rsidRPr="0022078C">
          <w:rPr>
            <w:rFonts w:ascii="Times New Roman" w:hAnsi="Times New Roman" w:cs="Times New Roman"/>
            <w:noProof/>
            <w:color w:val="0563C1" w:themeColor="hyperlink"/>
            <w:kern w:val="2"/>
            <w:sz w:val="24"/>
            <w:u w:val="single"/>
            <w14:ligatures w14:val="standardContextual"/>
          </w:rPr>
          <w:t>http://dx.doi.org/10.1108/IJCHM-08-2013-0390</w:t>
        </w:r>
      </w:hyperlink>
      <w:r w:rsidRPr="0022078C">
        <w:rPr>
          <w:rFonts w:ascii="Times New Roman" w:hAnsi="Times New Roman" w:cs="Times New Roman"/>
          <w:noProof/>
          <w:kern w:val="2"/>
          <w:sz w:val="24"/>
          <w14:ligatures w14:val="standardContextual"/>
        </w:rPr>
        <w:t xml:space="preserve"> (Accessed 2</w:t>
      </w:r>
      <w:r w:rsidR="00755D32">
        <w:rPr>
          <w:rFonts w:ascii="Times New Roman" w:hAnsi="Times New Roman" w:cs="Times New Roman"/>
          <w:noProof/>
          <w:kern w:val="2"/>
          <w:sz w:val="24"/>
          <w14:ligatures w14:val="standardContextual"/>
        </w:rPr>
        <w:t>4</w:t>
      </w:r>
      <w:r w:rsidRPr="0022078C">
        <w:rPr>
          <w:rFonts w:ascii="Times New Roman" w:hAnsi="Times New Roman" w:cs="Times New Roman"/>
          <w:noProof/>
          <w:kern w:val="2"/>
          <w:sz w:val="24"/>
          <w14:ligatures w14:val="standardContextual"/>
        </w:rPr>
        <w:t xml:space="preserve"> May 2024).</w:t>
      </w:r>
    </w:p>
    <w:p w14:paraId="1A38FA4D"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 xml:space="preserve">Fyall, A., Legoherel, P. and Poutier, E. (2013) </w:t>
      </w:r>
      <w:r w:rsidRPr="0022078C">
        <w:rPr>
          <w:rFonts w:ascii="Times New Roman" w:hAnsi="Times New Roman" w:cs="Times New Roman"/>
          <w:i/>
          <w:iCs/>
          <w:noProof/>
          <w:kern w:val="2"/>
          <w:sz w:val="24"/>
          <w14:ligatures w14:val="standardContextual"/>
        </w:rPr>
        <w:t>Revenue management for hospitality and tourism</w:t>
      </w:r>
      <w:r w:rsidRPr="0022078C">
        <w:rPr>
          <w:rFonts w:ascii="Times New Roman" w:hAnsi="Times New Roman" w:cs="Times New Roman"/>
          <w:noProof/>
          <w:kern w:val="2"/>
          <w:sz w:val="24"/>
          <w14:ligatures w14:val="standardContextual"/>
        </w:rPr>
        <w:t>. Goodfellow Publishers Ltd.</w:t>
      </w:r>
    </w:p>
    <w:p w14:paraId="16E72BA0"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 xml:space="preserve">Guilding, C. (2014) </w:t>
      </w:r>
      <w:r w:rsidRPr="0022078C">
        <w:rPr>
          <w:rFonts w:ascii="Times New Roman" w:hAnsi="Times New Roman" w:cs="Times New Roman"/>
          <w:i/>
          <w:iCs/>
          <w:noProof/>
          <w:kern w:val="2"/>
          <w:sz w:val="24"/>
          <w14:ligatures w14:val="standardContextual"/>
        </w:rPr>
        <w:t>Accounting Essentials for Hospitality Managers</w:t>
      </w:r>
      <w:r w:rsidRPr="0022078C">
        <w:rPr>
          <w:rFonts w:ascii="Times New Roman" w:hAnsi="Times New Roman" w:cs="Times New Roman"/>
          <w:noProof/>
          <w:kern w:val="2"/>
          <w:sz w:val="24"/>
          <w14:ligatures w14:val="standardContextual"/>
        </w:rPr>
        <w:t>. 3rd Edition. London, Routledge.</w:t>
      </w:r>
    </w:p>
    <w:p w14:paraId="3D814FD3" w14:textId="13F5DF14"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 xml:space="preserve">Ivanov, S. and Zhechev, V. (2012) Hotel revenue management–a critical literature review. </w:t>
      </w:r>
      <w:r w:rsidRPr="0022078C">
        <w:rPr>
          <w:rFonts w:ascii="Times New Roman" w:hAnsi="Times New Roman" w:cs="Times New Roman"/>
          <w:i/>
          <w:iCs/>
          <w:noProof/>
          <w:kern w:val="2"/>
          <w:sz w:val="24"/>
          <w14:ligatures w14:val="standardContextual"/>
        </w:rPr>
        <w:t>Tourism: an international interdisciplinary journal,</w:t>
      </w:r>
      <w:r w:rsidRPr="0022078C">
        <w:rPr>
          <w:rFonts w:ascii="Times New Roman" w:hAnsi="Times New Roman" w:cs="Times New Roman"/>
          <w:noProof/>
          <w:kern w:val="2"/>
          <w:sz w:val="24"/>
          <w14:ligatures w14:val="standardContextual"/>
        </w:rPr>
        <w:t xml:space="preserve"> 60(2), pp.175-197. Available at: </w:t>
      </w:r>
      <w:hyperlink r:id="rId26" w:history="1">
        <w:r w:rsidRPr="0022078C">
          <w:rPr>
            <w:rFonts w:ascii="Times New Roman" w:hAnsi="Times New Roman" w:cs="Times New Roman"/>
            <w:noProof/>
            <w:color w:val="0563C1" w:themeColor="hyperlink"/>
            <w:kern w:val="2"/>
            <w:sz w:val="24"/>
            <w:u w:val="single"/>
            <w14:ligatures w14:val="standardContextual"/>
          </w:rPr>
          <w:t>https://hrcak.srce.hr/file/125946</w:t>
        </w:r>
      </w:hyperlink>
      <w:r w:rsidRPr="0022078C">
        <w:rPr>
          <w:rFonts w:ascii="Times New Roman" w:hAnsi="Times New Roman" w:cs="Times New Roman"/>
          <w:noProof/>
          <w:kern w:val="2"/>
          <w:sz w:val="24"/>
          <w14:ligatures w14:val="standardContextual"/>
        </w:rPr>
        <w:t xml:space="preserve"> (Accessed 2</w:t>
      </w:r>
      <w:r w:rsidR="00755D32">
        <w:rPr>
          <w:rFonts w:ascii="Times New Roman" w:hAnsi="Times New Roman" w:cs="Times New Roman"/>
          <w:noProof/>
          <w:kern w:val="2"/>
          <w:sz w:val="24"/>
          <w14:ligatures w14:val="standardContextual"/>
        </w:rPr>
        <w:t>4</w:t>
      </w:r>
      <w:r w:rsidRPr="0022078C">
        <w:rPr>
          <w:rFonts w:ascii="Times New Roman" w:hAnsi="Times New Roman" w:cs="Times New Roman"/>
          <w:noProof/>
          <w:kern w:val="2"/>
          <w:sz w:val="24"/>
          <w14:ligatures w14:val="standardContextual"/>
        </w:rPr>
        <w:t xml:space="preserve"> May 2024).</w:t>
      </w:r>
    </w:p>
    <w:p w14:paraId="24E01C0F"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 xml:space="preserve">Jagels, M. (2007) </w:t>
      </w:r>
      <w:r w:rsidRPr="0022078C">
        <w:rPr>
          <w:rFonts w:ascii="Times New Roman" w:hAnsi="Times New Roman" w:cs="Times New Roman"/>
          <w:i/>
          <w:iCs/>
          <w:noProof/>
          <w:kern w:val="2"/>
          <w:sz w:val="24"/>
          <w14:ligatures w14:val="standardContextual"/>
        </w:rPr>
        <w:t>Hospitality Management Accounting</w:t>
      </w:r>
      <w:r w:rsidRPr="0022078C">
        <w:rPr>
          <w:rFonts w:ascii="Times New Roman" w:hAnsi="Times New Roman" w:cs="Times New Roman"/>
          <w:noProof/>
          <w:kern w:val="2"/>
          <w:sz w:val="24"/>
          <w14:ligatures w14:val="standardContextual"/>
        </w:rPr>
        <w:t>. London, Wiley.</w:t>
      </w:r>
    </w:p>
    <w:p w14:paraId="44A12D16" w14:textId="6B67D019"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 xml:space="preserve">Ryan, C. (2015) Trends in hospitality management research: a personal reflection. </w:t>
      </w:r>
      <w:r w:rsidRPr="0022078C">
        <w:rPr>
          <w:rFonts w:ascii="Times New Roman" w:hAnsi="Times New Roman" w:cs="Times New Roman"/>
          <w:i/>
          <w:iCs/>
          <w:noProof/>
          <w:kern w:val="2"/>
          <w:sz w:val="24"/>
          <w14:ligatures w14:val="standardContextual"/>
        </w:rPr>
        <w:t>International Journal of Contemporary Hospitality Management</w:t>
      </w:r>
      <w:r w:rsidRPr="0022078C">
        <w:rPr>
          <w:rFonts w:ascii="Times New Roman" w:hAnsi="Times New Roman" w:cs="Times New Roman"/>
          <w:noProof/>
          <w:kern w:val="2"/>
          <w:sz w:val="24"/>
          <w14:ligatures w14:val="standardContextual"/>
        </w:rPr>
        <w:t xml:space="preserve">, </w:t>
      </w:r>
      <w:r w:rsidRPr="0022078C">
        <w:rPr>
          <w:rFonts w:ascii="Times New Roman" w:hAnsi="Times New Roman" w:cs="Times New Roman"/>
          <w:i/>
          <w:iCs/>
          <w:noProof/>
          <w:kern w:val="2"/>
          <w:sz w:val="24"/>
          <w14:ligatures w14:val="standardContextual"/>
        </w:rPr>
        <w:t>27</w:t>
      </w:r>
      <w:r w:rsidRPr="0022078C">
        <w:rPr>
          <w:rFonts w:ascii="Times New Roman" w:hAnsi="Times New Roman" w:cs="Times New Roman"/>
          <w:noProof/>
          <w:kern w:val="2"/>
          <w:sz w:val="24"/>
          <w14:ligatures w14:val="standardContextual"/>
        </w:rPr>
        <w:t xml:space="preserve">(3), 340-361. Available at: </w:t>
      </w:r>
      <w:hyperlink r:id="rId27" w:history="1">
        <w:r w:rsidRPr="0022078C">
          <w:rPr>
            <w:rFonts w:ascii="Times New Roman" w:hAnsi="Times New Roman" w:cs="Times New Roman"/>
            <w:noProof/>
            <w:color w:val="0563C1" w:themeColor="hyperlink"/>
            <w:kern w:val="2"/>
            <w:sz w:val="24"/>
            <w:u w:val="single"/>
            <w14:ligatures w14:val="standardContextual"/>
          </w:rPr>
          <w:t>http://dx.doi.org/10.1108/IJCHM-12-2013-0544</w:t>
        </w:r>
      </w:hyperlink>
      <w:r w:rsidRPr="0022078C">
        <w:rPr>
          <w:rFonts w:ascii="Times New Roman" w:hAnsi="Times New Roman" w:cs="Times New Roman"/>
          <w:noProof/>
          <w:kern w:val="2"/>
          <w:sz w:val="24"/>
          <w14:ligatures w14:val="standardContextual"/>
        </w:rPr>
        <w:t xml:space="preserve"> (Accessed 2</w:t>
      </w:r>
      <w:r w:rsidR="00755D32">
        <w:rPr>
          <w:rFonts w:ascii="Times New Roman" w:hAnsi="Times New Roman" w:cs="Times New Roman"/>
          <w:noProof/>
          <w:kern w:val="2"/>
          <w:sz w:val="24"/>
          <w14:ligatures w14:val="standardContextual"/>
        </w:rPr>
        <w:t>4</w:t>
      </w:r>
      <w:r w:rsidRPr="0022078C">
        <w:rPr>
          <w:rFonts w:ascii="Times New Roman" w:hAnsi="Times New Roman" w:cs="Times New Roman"/>
          <w:noProof/>
          <w:kern w:val="2"/>
          <w:sz w:val="24"/>
          <w14:ligatures w14:val="standardContextual"/>
        </w:rPr>
        <w:t xml:space="preserve"> May 2024).</w:t>
      </w:r>
    </w:p>
    <w:p w14:paraId="764B8353"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 xml:space="preserve">Seal, W. (2019) </w:t>
      </w:r>
      <w:r w:rsidRPr="0022078C">
        <w:rPr>
          <w:rFonts w:ascii="Times New Roman" w:hAnsi="Times New Roman" w:cs="Times New Roman"/>
          <w:i/>
          <w:iCs/>
          <w:noProof/>
          <w:kern w:val="2"/>
          <w:sz w:val="24"/>
          <w14:ligatures w14:val="standardContextual"/>
        </w:rPr>
        <w:t>Management Accounting</w:t>
      </w:r>
      <w:r w:rsidRPr="0022078C">
        <w:rPr>
          <w:rFonts w:ascii="Times New Roman" w:hAnsi="Times New Roman" w:cs="Times New Roman"/>
          <w:noProof/>
          <w:kern w:val="2"/>
          <w:sz w:val="24"/>
          <w14:ligatures w14:val="standardContextual"/>
        </w:rPr>
        <w:t>. 6th Ed. London: McGraw Hill.</w:t>
      </w:r>
    </w:p>
    <w:p w14:paraId="49F9FB4A"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 xml:space="preserve">Tranter, K., Stuart-Hill, T. and Parker, J. (2014) </w:t>
      </w:r>
      <w:r w:rsidRPr="0022078C">
        <w:rPr>
          <w:rFonts w:ascii="Times New Roman" w:hAnsi="Times New Roman" w:cs="Times New Roman"/>
          <w:i/>
          <w:iCs/>
          <w:noProof/>
          <w:kern w:val="2"/>
          <w:sz w:val="24"/>
          <w14:ligatures w14:val="standardContextual"/>
        </w:rPr>
        <w:t>Introduction to Revenue Management for the Hospitality Industry.</w:t>
      </w:r>
      <w:r w:rsidRPr="0022078C">
        <w:rPr>
          <w:rFonts w:ascii="Times New Roman" w:hAnsi="Times New Roman" w:cs="Times New Roman"/>
          <w:noProof/>
          <w:kern w:val="2"/>
          <w:sz w:val="24"/>
          <w14:ligatures w14:val="standardContextual"/>
        </w:rPr>
        <w:t xml:space="preserve"> London: Pearson.</w:t>
      </w:r>
    </w:p>
    <w:p w14:paraId="162A34B4"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 xml:space="preserve">Walker, J. (2021) </w:t>
      </w:r>
      <w:r w:rsidRPr="0022078C">
        <w:rPr>
          <w:rFonts w:ascii="Times New Roman" w:hAnsi="Times New Roman" w:cs="Times New Roman"/>
          <w:i/>
          <w:iCs/>
          <w:noProof/>
          <w:kern w:val="2"/>
          <w:sz w:val="24"/>
          <w14:ligatures w14:val="standardContextual"/>
        </w:rPr>
        <w:t>Introduction to Hospitality</w:t>
      </w:r>
      <w:r w:rsidRPr="0022078C">
        <w:rPr>
          <w:rFonts w:ascii="Times New Roman" w:hAnsi="Times New Roman" w:cs="Times New Roman"/>
          <w:noProof/>
          <w:kern w:val="2"/>
          <w:sz w:val="24"/>
          <w14:ligatures w14:val="standardContextual"/>
        </w:rPr>
        <w:t>. Harlow, Pearson.</w:t>
      </w:r>
    </w:p>
    <w:p w14:paraId="6C34A9AA" w14:textId="77777777" w:rsidR="0022078C" w:rsidRPr="0022078C" w:rsidRDefault="0022078C" w:rsidP="0022078C">
      <w:pPr>
        <w:spacing w:before="120" w:after="240" w:line="360" w:lineRule="auto"/>
        <w:jc w:val="both"/>
        <w:rPr>
          <w:rFonts w:ascii="Times New Roman" w:hAnsi="Times New Roman" w:cs="Times New Roman"/>
          <w:noProof/>
          <w:kern w:val="2"/>
          <w:sz w:val="24"/>
          <w14:ligatures w14:val="standardContextual"/>
        </w:rPr>
      </w:pPr>
      <w:r w:rsidRPr="0022078C">
        <w:rPr>
          <w:rFonts w:ascii="Times New Roman" w:hAnsi="Times New Roman" w:cs="Times New Roman"/>
          <w:noProof/>
          <w:kern w:val="2"/>
          <w:sz w:val="24"/>
          <w14:ligatures w14:val="standardContextual"/>
        </w:rPr>
        <w:t xml:space="preserve">Wild, J. (2018) </w:t>
      </w:r>
      <w:r w:rsidRPr="0022078C">
        <w:rPr>
          <w:rFonts w:ascii="Times New Roman" w:hAnsi="Times New Roman" w:cs="Times New Roman"/>
          <w:i/>
          <w:iCs/>
          <w:noProof/>
          <w:kern w:val="2"/>
          <w:sz w:val="24"/>
          <w14:ligatures w14:val="standardContextual"/>
        </w:rPr>
        <w:t>Fundamental Accounting Principles</w:t>
      </w:r>
      <w:r w:rsidRPr="0022078C">
        <w:rPr>
          <w:rFonts w:ascii="Times New Roman" w:hAnsi="Times New Roman" w:cs="Times New Roman"/>
          <w:noProof/>
          <w:kern w:val="2"/>
          <w:sz w:val="24"/>
          <w14:ligatures w14:val="standardContextual"/>
        </w:rPr>
        <w:t>. New York, McGraw Hill.</w:t>
      </w:r>
    </w:p>
    <w:p w14:paraId="6996D657" w14:textId="3B5DDB84" w:rsidR="00E953D4" w:rsidRPr="00E953D4" w:rsidRDefault="00E953D4" w:rsidP="00E953D4">
      <w:pPr>
        <w:spacing w:line="360" w:lineRule="auto"/>
        <w:jc w:val="center"/>
        <w:rPr>
          <w:rFonts w:ascii="Times New Roman" w:eastAsiaTheme="majorEastAsia" w:hAnsi="Times New Roman" w:cs="Times New Roman"/>
          <w:b/>
          <w:noProof/>
          <w:color w:val="000000" w:themeColor="text1"/>
          <w:kern w:val="2"/>
          <w:sz w:val="32"/>
          <w:szCs w:val="32"/>
          <w14:ligatures w14:val="standardContextual"/>
        </w:rPr>
      </w:pPr>
    </w:p>
    <w:sectPr w:rsidR="00E953D4" w:rsidRPr="00E953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405613"/>
    <w:multiLevelType w:val="hybridMultilevel"/>
    <w:tmpl w:val="E0B4197C"/>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31201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E1C"/>
    <w:rsid w:val="00184EF3"/>
    <w:rsid w:val="0022078C"/>
    <w:rsid w:val="005444FE"/>
    <w:rsid w:val="006F5C50"/>
    <w:rsid w:val="007434AC"/>
    <w:rsid w:val="00755D32"/>
    <w:rsid w:val="009D0E1C"/>
    <w:rsid w:val="00E953D4"/>
    <w:rsid w:val="00FE0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8D3D6E"/>
  <w15:chartTrackingRefBased/>
  <w15:docId w15:val="{BB2B3459-96EC-43CD-88A2-5785862D7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07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953D4"/>
    <w:pPr>
      <w:spacing w:after="0" w:line="240" w:lineRule="auto"/>
    </w:pPr>
    <w:rPr>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2078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9087509">
      <w:bodyDiv w:val="1"/>
      <w:marLeft w:val="0"/>
      <w:marRight w:val="0"/>
      <w:marTop w:val="0"/>
      <w:marBottom w:val="0"/>
      <w:divBdr>
        <w:top w:val="none" w:sz="0" w:space="0" w:color="auto"/>
        <w:left w:val="none" w:sz="0" w:space="0" w:color="auto"/>
        <w:bottom w:val="none" w:sz="0" w:space="0" w:color="auto"/>
        <w:right w:val="none" w:sz="0" w:space="0" w:color="auto"/>
      </w:divBdr>
    </w:div>
    <w:div w:id="1749958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hrcak.srce.hr/file/125946" TargetMode="External"/><Relationship Id="rId3" Type="http://schemas.openxmlformats.org/officeDocument/2006/relationships/settings" Target="settings.xml"/><Relationship Id="rId21" Type="http://schemas.openxmlformats.org/officeDocument/2006/relationships/hyperlink" Target="https://researchportal.port.ac.uk/files/7066906/Strategic_and_tactical_price_decisions_in_hotel_revenue_management_postprint.pdf" TargetMode="External"/><Relationship Id="rId7" Type="http://schemas.openxmlformats.org/officeDocument/2006/relationships/image" Target="media/image3.png"/><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yperlink" Target="http://dx.doi.org/10.1108/IJCHM-08-2013-0390" TargetMode="External"/><Relationship Id="rId2" Type="http://schemas.openxmlformats.org/officeDocument/2006/relationships/styles" Target="styles.xml"/><Relationship Id="rId16" Type="http://schemas.openxmlformats.org/officeDocument/2006/relationships/diagramLayout" Target="diagrams/layout2.xml"/><Relationship Id="rId20" Type="http://schemas.openxmlformats.org/officeDocument/2006/relationships/hyperlink" Target="https://burjcdigital.urjc.es/bitstream/handle/10115/27098/Determinants%20of%20successful%20revenue%20management.pdf?sequence=3&amp;isAllowed=y"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diagramLayout" Target="diagrams/layout1.xml"/><Relationship Id="rId24" Type="http://schemas.openxmlformats.org/officeDocument/2006/relationships/hyperlink" Target="https://doi.org/10.1057/s41272-022-00380-z" TargetMode="External"/><Relationship Id="rId5" Type="http://schemas.openxmlformats.org/officeDocument/2006/relationships/image" Target="media/image1.png"/><Relationship Id="rId15" Type="http://schemas.openxmlformats.org/officeDocument/2006/relationships/diagramData" Target="diagrams/data2.xml"/><Relationship Id="rId23" Type="http://schemas.openxmlformats.org/officeDocument/2006/relationships/hyperlink" Target="https://www.academia.edu/download/63481400/Digital_transformation_and_revenue_management_20200531-69911-wt65u1.pdf" TargetMode="External"/><Relationship Id="rId28" Type="http://schemas.openxmlformats.org/officeDocument/2006/relationships/fontTable" Target="fontTable.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webSettings" Target="webSettings.xml"/><Relationship Id="rId9" Type="http://schemas.openxmlformats.org/officeDocument/2006/relationships/image" Target="media/image5.png"/><Relationship Id="rId14" Type="http://schemas.microsoft.com/office/2007/relationships/diagramDrawing" Target="diagrams/drawing1.xml"/><Relationship Id="rId22" Type="http://schemas.openxmlformats.org/officeDocument/2006/relationships/hyperlink" Target="https://europeanscience.org/index.php/2/article/download/206/204" TargetMode="External"/><Relationship Id="rId27" Type="http://schemas.openxmlformats.org/officeDocument/2006/relationships/hyperlink" Target="http://dx.doi.org/10.1108/IJCHM-12-2013-0544" TargetMode="Externa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209DC6A-AF48-4D21-BF76-1B388141C7C6}" type="doc">
      <dgm:prSet loTypeId="urn:microsoft.com/office/officeart/2008/layout/LinedList" loCatId="list" qsTypeId="urn:microsoft.com/office/officeart/2005/8/quickstyle/simple1" qsCatId="simple" csTypeId="urn:microsoft.com/office/officeart/2005/8/colors/accent0_2" csCatId="mainScheme" phldr="1"/>
      <dgm:spPr/>
      <dgm:t>
        <a:bodyPr/>
        <a:lstStyle/>
        <a:p>
          <a:endParaRPr lang="en-GB"/>
        </a:p>
      </dgm:t>
    </dgm:pt>
    <dgm:pt modelId="{82EC3CD1-A9EF-4C90-9E30-67185F646DA8}">
      <dgm:prSet phldrT="[Text]" custT="1"/>
      <dgm:spPr>
        <a:xfrm>
          <a:off x="0" y="0"/>
          <a:ext cx="5486400" cy="1104900"/>
        </a:xfrm>
        <a:prstGeom prst="rect">
          <a:avLst/>
        </a:prstGeom>
        <a:noFill/>
        <a:ln>
          <a:noFill/>
        </a:ln>
        <a:effectLst/>
      </dgm:spPr>
      <dgm:t>
        <a:bodyPr/>
        <a:lstStyle/>
        <a:p>
          <a:pPr algn="just">
            <a:buNone/>
          </a:pPr>
          <a:r>
            <a:rPr lang="en-GB" sz="12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Severity and Likelihood:</a:t>
          </a:r>
          <a:r>
            <a:rPr lang="en-GB"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Assess the likelihood of occurrence of each risk and if it will happen, the likely impact that the risk will impose on the organisation. For instance, the market risk may include the economic risk with a high level of an organisation’s vulnerability and moderate to high-risk probability (El Haddad, 2015). </a:t>
          </a:r>
        </a:p>
      </dgm:t>
    </dgm:pt>
    <dgm:pt modelId="{A266F3B8-88EE-4A15-A7FD-76466A0E298D}" type="parTrans" cxnId="{EAB57766-6546-4C76-A3DA-6B2F797F8573}">
      <dgm:prSet/>
      <dgm:spPr/>
      <dgm:t>
        <a:bodyPr/>
        <a:lstStyle/>
        <a:p>
          <a:endParaRPr lang="en-GB"/>
        </a:p>
      </dgm:t>
    </dgm:pt>
    <dgm:pt modelId="{CDE81BDF-A957-42BF-B84F-808CC60B5177}" type="sibTrans" cxnId="{EAB57766-6546-4C76-A3DA-6B2F797F8573}">
      <dgm:prSet/>
      <dgm:spPr/>
      <dgm:t>
        <a:bodyPr/>
        <a:lstStyle/>
        <a:p>
          <a:endParaRPr lang="en-GB"/>
        </a:p>
      </dgm:t>
    </dgm:pt>
    <dgm:pt modelId="{916F5ADA-8C75-4B9A-8A12-52176B7FEB56}">
      <dgm:prSet custT="1"/>
      <dgm:spPr>
        <a:xfrm>
          <a:off x="0" y="1104900"/>
          <a:ext cx="5486400" cy="1104900"/>
        </a:xfrm>
        <a:prstGeom prst="rect">
          <a:avLst/>
        </a:prstGeom>
        <a:noFill/>
        <a:ln>
          <a:noFill/>
        </a:ln>
        <a:effectLst/>
      </dgm:spPr>
      <dgm:t>
        <a:bodyPr/>
        <a:lstStyle/>
        <a:p>
          <a:pPr algn="just">
            <a:buNone/>
          </a:pPr>
          <a:r>
            <a:rPr lang="en-GB" sz="12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Quantitative Analysis:</a:t>
          </a:r>
          <a:r>
            <a:rPr lang="en-GB"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To this end, simple financial ratios and historical information are then used to estimate the potential impacts on the company’s finances (Adkhamjonovich, 2023). For example, one may discover that understanding how the prior financial stress events happened and their effects on the revenues and expenses will be useful when searching for risks in the future. </a:t>
          </a:r>
        </a:p>
      </dgm:t>
    </dgm:pt>
    <dgm:pt modelId="{EE228B89-E42F-46D8-BB46-6A1C8828E053}" type="parTrans" cxnId="{78C0C6F5-D59F-4E1D-BE65-4E12A3BD59D8}">
      <dgm:prSet/>
      <dgm:spPr/>
      <dgm:t>
        <a:bodyPr/>
        <a:lstStyle/>
        <a:p>
          <a:endParaRPr lang="en-GB"/>
        </a:p>
      </dgm:t>
    </dgm:pt>
    <dgm:pt modelId="{C7B30A5F-6609-44D3-80AB-3DA6257BCBD0}" type="sibTrans" cxnId="{78C0C6F5-D59F-4E1D-BE65-4E12A3BD59D8}">
      <dgm:prSet/>
      <dgm:spPr/>
      <dgm:t>
        <a:bodyPr/>
        <a:lstStyle/>
        <a:p>
          <a:endParaRPr lang="en-GB"/>
        </a:p>
      </dgm:t>
    </dgm:pt>
    <dgm:pt modelId="{94DE3B30-29D0-4F2A-A55F-01869E2AA4B1}" type="pres">
      <dgm:prSet presAssocID="{3209DC6A-AF48-4D21-BF76-1B388141C7C6}" presName="vert0" presStyleCnt="0">
        <dgm:presLayoutVars>
          <dgm:dir/>
          <dgm:animOne val="branch"/>
          <dgm:animLvl val="lvl"/>
        </dgm:presLayoutVars>
      </dgm:prSet>
      <dgm:spPr/>
    </dgm:pt>
    <dgm:pt modelId="{068A765D-3BDB-4C0C-AFCD-09AA2E4069A8}" type="pres">
      <dgm:prSet presAssocID="{82EC3CD1-A9EF-4C90-9E30-67185F646DA8}" presName="thickLine" presStyleLbl="alignNode1" presStyleIdx="0" presStyleCnt="2"/>
      <dgm:spPr>
        <a:xfrm>
          <a:off x="0" y="0"/>
          <a:ext cx="5486400" cy="0"/>
        </a:xfrm>
        <a:prstGeom prst="line">
          <a:avLst/>
        </a:prstGeom>
        <a:solidFill>
          <a:sysClr val="window" lastClr="FFFFFF">
            <a:hueOff val="0"/>
            <a:satOff val="0"/>
            <a:lumOff val="0"/>
            <a:alphaOff val="0"/>
          </a:sysClr>
        </a:solidFill>
        <a:ln w="12700" cap="flat" cmpd="sng" algn="ctr">
          <a:solidFill>
            <a:srgbClr val="44546A">
              <a:shade val="80000"/>
              <a:hueOff val="0"/>
              <a:satOff val="0"/>
              <a:lumOff val="0"/>
              <a:alphaOff val="0"/>
            </a:srgbClr>
          </a:solidFill>
          <a:prstDash val="solid"/>
          <a:miter lim="800000"/>
        </a:ln>
        <a:effectLst/>
      </dgm:spPr>
    </dgm:pt>
    <dgm:pt modelId="{DFDC799D-FE89-4B53-A03D-5210A88E2348}" type="pres">
      <dgm:prSet presAssocID="{82EC3CD1-A9EF-4C90-9E30-67185F646DA8}" presName="horz1" presStyleCnt="0"/>
      <dgm:spPr/>
    </dgm:pt>
    <dgm:pt modelId="{E36C9E34-1308-4A68-A364-6FD567883933}" type="pres">
      <dgm:prSet presAssocID="{82EC3CD1-A9EF-4C90-9E30-67185F646DA8}" presName="tx1" presStyleLbl="revTx" presStyleIdx="0" presStyleCnt="2"/>
      <dgm:spPr/>
    </dgm:pt>
    <dgm:pt modelId="{E35A69F3-C0AA-4AA3-80DB-72A657BA83F5}" type="pres">
      <dgm:prSet presAssocID="{82EC3CD1-A9EF-4C90-9E30-67185F646DA8}" presName="vert1" presStyleCnt="0"/>
      <dgm:spPr/>
    </dgm:pt>
    <dgm:pt modelId="{9BCB519E-5EB2-4939-8437-DFEAC5D037BB}" type="pres">
      <dgm:prSet presAssocID="{916F5ADA-8C75-4B9A-8A12-52176B7FEB56}" presName="thickLine" presStyleLbl="alignNode1" presStyleIdx="1" presStyleCnt="2"/>
      <dgm:spPr>
        <a:xfrm>
          <a:off x="0" y="1104900"/>
          <a:ext cx="5486400" cy="0"/>
        </a:xfrm>
        <a:prstGeom prst="line">
          <a:avLst/>
        </a:prstGeom>
        <a:solidFill>
          <a:sysClr val="window" lastClr="FFFFFF">
            <a:hueOff val="0"/>
            <a:satOff val="0"/>
            <a:lumOff val="0"/>
            <a:alphaOff val="0"/>
          </a:sysClr>
        </a:solidFill>
        <a:ln w="12700" cap="flat" cmpd="sng" algn="ctr">
          <a:solidFill>
            <a:srgbClr val="44546A">
              <a:shade val="80000"/>
              <a:hueOff val="0"/>
              <a:satOff val="0"/>
              <a:lumOff val="0"/>
              <a:alphaOff val="0"/>
            </a:srgbClr>
          </a:solidFill>
          <a:prstDash val="solid"/>
          <a:miter lim="800000"/>
        </a:ln>
        <a:effectLst/>
      </dgm:spPr>
    </dgm:pt>
    <dgm:pt modelId="{61DD2D01-D106-41E0-9DE3-5EAD7E87ACC9}" type="pres">
      <dgm:prSet presAssocID="{916F5ADA-8C75-4B9A-8A12-52176B7FEB56}" presName="horz1" presStyleCnt="0"/>
      <dgm:spPr/>
    </dgm:pt>
    <dgm:pt modelId="{498FD274-0403-4151-BB61-01845238E09F}" type="pres">
      <dgm:prSet presAssocID="{916F5ADA-8C75-4B9A-8A12-52176B7FEB56}" presName="tx1" presStyleLbl="revTx" presStyleIdx="1" presStyleCnt="2"/>
      <dgm:spPr/>
    </dgm:pt>
    <dgm:pt modelId="{F0C7CDAD-0503-4CF3-90CD-2A3A2B645C82}" type="pres">
      <dgm:prSet presAssocID="{916F5ADA-8C75-4B9A-8A12-52176B7FEB56}" presName="vert1" presStyleCnt="0"/>
      <dgm:spPr/>
    </dgm:pt>
  </dgm:ptLst>
  <dgm:cxnLst>
    <dgm:cxn modelId="{57B6E532-8677-49D9-AC7A-E91988D0D085}" type="presOf" srcId="{916F5ADA-8C75-4B9A-8A12-52176B7FEB56}" destId="{498FD274-0403-4151-BB61-01845238E09F}" srcOrd="0" destOrd="0" presId="urn:microsoft.com/office/officeart/2008/layout/LinedList"/>
    <dgm:cxn modelId="{EAB57766-6546-4C76-A3DA-6B2F797F8573}" srcId="{3209DC6A-AF48-4D21-BF76-1B388141C7C6}" destId="{82EC3CD1-A9EF-4C90-9E30-67185F646DA8}" srcOrd="0" destOrd="0" parTransId="{A266F3B8-88EE-4A15-A7FD-76466A0E298D}" sibTransId="{CDE81BDF-A957-42BF-B84F-808CC60B5177}"/>
    <dgm:cxn modelId="{D14BFB55-5271-4CA5-94B4-F3AF2A14200B}" type="presOf" srcId="{3209DC6A-AF48-4D21-BF76-1B388141C7C6}" destId="{94DE3B30-29D0-4F2A-A55F-01869E2AA4B1}" srcOrd="0" destOrd="0" presId="urn:microsoft.com/office/officeart/2008/layout/LinedList"/>
    <dgm:cxn modelId="{34A8BCB5-5F03-432E-99D7-95FD3CE94ED8}" type="presOf" srcId="{82EC3CD1-A9EF-4C90-9E30-67185F646DA8}" destId="{E36C9E34-1308-4A68-A364-6FD567883933}" srcOrd="0" destOrd="0" presId="urn:microsoft.com/office/officeart/2008/layout/LinedList"/>
    <dgm:cxn modelId="{78C0C6F5-D59F-4E1D-BE65-4E12A3BD59D8}" srcId="{3209DC6A-AF48-4D21-BF76-1B388141C7C6}" destId="{916F5ADA-8C75-4B9A-8A12-52176B7FEB56}" srcOrd="1" destOrd="0" parTransId="{EE228B89-E42F-46D8-BB46-6A1C8828E053}" sibTransId="{C7B30A5F-6609-44D3-80AB-3DA6257BCBD0}"/>
    <dgm:cxn modelId="{8D80765D-EEB8-4DDC-83A9-381EFA1B1C85}" type="presParOf" srcId="{94DE3B30-29D0-4F2A-A55F-01869E2AA4B1}" destId="{068A765D-3BDB-4C0C-AFCD-09AA2E4069A8}" srcOrd="0" destOrd="0" presId="urn:microsoft.com/office/officeart/2008/layout/LinedList"/>
    <dgm:cxn modelId="{C43C9CFF-2385-416B-AF66-B043233729D8}" type="presParOf" srcId="{94DE3B30-29D0-4F2A-A55F-01869E2AA4B1}" destId="{DFDC799D-FE89-4B53-A03D-5210A88E2348}" srcOrd="1" destOrd="0" presId="urn:microsoft.com/office/officeart/2008/layout/LinedList"/>
    <dgm:cxn modelId="{0F118F75-6F1E-4B23-9093-B7B990FA03C5}" type="presParOf" srcId="{DFDC799D-FE89-4B53-A03D-5210A88E2348}" destId="{E36C9E34-1308-4A68-A364-6FD567883933}" srcOrd="0" destOrd="0" presId="urn:microsoft.com/office/officeart/2008/layout/LinedList"/>
    <dgm:cxn modelId="{2651BA26-5325-4D01-A7C8-6382D1C5A193}" type="presParOf" srcId="{DFDC799D-FE89-4B53-A03D-5210A88E2348}" destId="{E35A69F3-C0AA-4AA3-80DB-72A657BA83F5}" srcOrd="1" destOrd="0" presId="urn:microsoft.com/office/officeart/2008/layout/LinedList"/>
    <dgm:cxn modelId="{CA4C50C5-0537-4277-84C3-E7AD17FD124C}" type="presParOf" srcId="{94DE3B30-29D0-4F2A-A55F-01869E2AA4B1}" destId="{9BCB519E-5EB2-4939-8437-DFEAC5D037BB}" srcOrd="2" destOrd="0" presId="urn:microsoft.com/office/officeart/2008/layout/LinedList"/>
    <dgm:cxn modelId="{F990AD5C-F775-4D89-9FC7-3FCA2B483516}" type="presParOf" srcId="{94DE3B30-29D0-4F2A-A55F-01869E2AA4B1}" destId="{61DD2D01-D106-41E0-9DE3-5EAD7E87ACC9}" srcOrd="3" destOrd="0" presId="urn:microsoft.com/office/officeart/2008/layout/LinedList"/>
    <dgm:cxn modelId="{020A0289-B882-46E9-8C10-630937A7C0EA}" type="presParOf" srcId="{61DD2D01-D106-41E0-9DE3-5EAD7E87ACC9}" destId="{498FD274-0403-4151-BB61-01845238E09F}" srcOrd="0" destOrd="0" presId="urn:microsoft.com/office/officeart/2008/layout/LinedList"/>
    <dgm:cxn modelId="{9CAF1149-1524-422A-88C8-557DAE4C2BA0}" type="presParOf" srcId="{61DD2D01-D106-41E0-9DE3-5EAD7E87ACC9}" destId="{F0C7CDAD-0503-4CF3-90CD-2A3A2B645C82}" srcOrd="1" destOrd="0" presId="urn:microsoft.com/office/officeart/2008/layout/LinedLis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B20F384-D220-47D7-87C4-2A809FF0C411}" type="doc">
      <dgm:prSet loTypeId="urn:microsoft.com/office/officeart/2005/8/layout/process1" loCatId="process" qsTypeId="urn:microsoft.com/office/officeart/2005/8/quickstyle/simple1" qsCatId="simple" csTypeId="urn:microsoft.com/office/officeart/2005/8/colors/accent3_1" csCatId="accent3" phldr="1"/>
      <dgm:spPr/>
    </dgm:pt>
    <dgm:pt modelId="{A5EE58BF-3777-4E67-BAD1-D384AA87C990}">
      <dgm:prSet phldrT="[Text]" custT="1"/>
      <dgm:spPr>
        <a:xfrm>
          <a:off x="7496" y="0"/>
          <a:ext cx="1439844" cy="2781300"/>
        </a:xfrm>
        <a:prstGeom prst="roundRect">
          <a:avLst>
            <a:gd name="adj" fmla="val 10000"/>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lgn="ctr">
            <a:buNone/>
          </a:pPr>
          <a:r>
            <a:rPr lang="en-GB" sz="12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Enhancing Risk Mitigation:</a:t>
          </a:r>
          <a:r>
            <a:rPr lang="en-GB"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Improving mitigation strategies may necessitate reassessing or revising management procedures for specific risks. Risk management measures must be applied to reduce operations, financial, and market risks (Adkhamjonovich, 2023). </a:t>
          </a:r>
        </a:p>
      </dgm:t>
    </dgm:pt>
    <dgm:pt modelId="{4E5F671F-7E28-48BE-A6D1-6E2069D4DC32}" type="parTrans" cxnId="{0F63B204-F1A0-4B0A-8813-CF1187C71F1D}">
      <dgm:prSet/>
      <dgm:spPr/>
      <dgm:t>
        <a:bodyPr/>
        <a:lstStyle/>
        <a:p>
          <a:endParaRPr lang="en-GB"/>
        </a:p>
      </dgm:t>
    </dgm:pt>
    <dgm:pt modelId="{0A11F035-A306-42EC-B780-681E460CC6EE}" type="sibTrans" cxnId="{0F63B204-F1A0-4B0A-8813-CF1187C71F1D}">
      <dgm:prSet/>
      <dgm:spPr>
        <a:xfrm>
          <a:off x="1591324" y="1212109"/>
          <a:ext cx="305246" cy="357081"/>
        </a:xfrm>
        <a:prstGeom prst="rightArrow">
          <a:avLst>
            <a:gd name="adj1" fmla="val 60000"/>
            <a:gd name="adj2" fmla="val 50000"/>
          </a:avLst>
        </a:prstGeom>
        <a:solidFill>
          <a:srgbClr val="A5A5A5">
            <a:tint val="60000"/>
            <a:hueOff val="0"/>
            <a:satOff val="0"/>
            <a:lumOff val="0"/>
            <a:alphaOff val="0"/>
          </a:srgbClr>
        </a:solidFill>
        <a:ln>
          <a:noFill/>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C2464A43-5727-491F-948F-CE40E85CF977}">
      <dgm:prSet custT="1"/>
      <dgm:spPr>
        <a:xfrm>
          <a:off x="2023277" y="0"/>
          <a:ext cx="1439844" cy="2781300"/>
        </a:xfrm>
        <a:prstGeom prst="roundRect">
          <a:avLst>
            <a:gd name="adj" fmla="val 10000"/>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lgn="ctr">
            <a:buNone/>
          </a:pPr>
          <a:r>
            <a:rPr lang="en-GB" sz="12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Insurance:</a:t>
          </a:r>
          <a:r>
            <a:rPr lang="en-GB"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Enough insurance to reduce disasters or legal issues due to negligence or termination of activities. </a:t>
          </a:r>
        </a:p>
      </dgm:t>
    </dgm:pt>
    <dgm:pt modelId="{11383709-3A02-4B36-8A40-7C4E7353DB92}" type="parTrans" cxnId="{B94035CF-EC89-4EB0-A920-99008EC72DDC}">
      <dgm:prSet/>
      <dgm:spPr/>
      <dgm:t>
        <a:bodyPr/>
        <a:lstStyle/>
        <a:p>
          <a:endParaRPr lang="en-GB"/>
        </a:p>
      </dgm:t>
    </dgm:pt>
    <dgm:pt modelId="{B6E1303F-E4AA-49CA-937C-41A9652D3EB9}" type="sibTrans" cxnId="{B94035CF-EC89-4EB0-A920-99008EC72DDC}">
      <dgm:prSet/>
      <dgm:spPr>
        <a:xfrm>
          <a:off x="3607106" y="1212109"/>
          <a:ext cx="305246" cy="357081"/>
        </a:xfrm>
        <a:prstGeom prst="rightArrow">
          <a:avLst>
            <a:gd name="adj1" fmla="val 60000"/>
            <a:gd name="adj2" fmla="val 50000"/>
          </a:avLst>
        </a:prstGeom>
        <a:solidFill>
          <a:srgbClr val="A5A5A5">
            <a:tint val="60000"/>
            <a:hueOff val="0"/>
            <a:satOff val="0"/>
            <a:lumOff val="0"/>
            <a:alphaOff val="0"/>
          </a:srgbClr>
        </a:solidFill>
        <a:ln>
          <a:noFill/>
        </a:ln>
        <a:effectLst/>
      </dgm:spPr>
      <dgm:t>
        <a:bodyPr/>
        <a:lstStyle/>
        <a:p>
          <a:pPr>
            <a:buNone/>
          </a:pPr>
          <a:endParaRPr lang="en-GB">
            <a:solidFill>
              <a:sysClr val="windowText" lastClr="000000">
                <a:hueOff val="0"/>
                <a:satOff val="0"/>
                <a:lumOff val="0"/>
                <a:alphaOff val="0"/>
              </a:sysClr>
            </a:solidFill>
            <a:latin typeface="Calibri" panose="020F0502020204030204"/>
            <a:ea typeface="+mn-ea"/>
            <a:cs typeface="+mn-cs"/>
          </a:endParaRPr>
        </a:p>
      </dgm:t>
    </dgm:pt>
    <dgm:pt modelId="{5A8B214D-5F94-4E3E-8F5F-BBD0A8AC018F}">
      <dgm:prSet custT="1"/>
      <dgm:spPr>
        <a:xfrm>
          <a:off x="4039059" y="0"/>
          <a:ext cx="1439844" cy="2781300"/>
        </a:xfrm>
        <a:prstGeom prst="roundRect">
          <a:avLst>
            <a:gd name="adj" fmla="val 10000"/>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gm:spPr>
      <dgm:t>
        <a:bodyPr/>
        <a:lstStyle/>
        <a:p>
          <a:pPr algn="ctr">
            <a:buNone/>
          </a:pPr>
          <a:r>
            <a:rPr lang="en-GB" sz="1200"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Contingency Planning:</a:t>
          </a:r>
          <a:r>
            <a:rPr lang="en-GB" sz="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Emphasise the importance of designing and implementing a strategy to handle a financial catastrophe (Tranter et al., 2014). This includes having emergency funds and creating regular emergency procedures.</a:t>
          </a:r>
        </a:p>
      </dgm:t>
    </dgm:pt>
    <dgm:pt modelId="{E8C7FDB0-B491-4B48-A64D-8F8759DBDEDB}" type="parTrans" cxnId="{6D3F5F86-8035-4E61-9DAC-197E735A1690}">
      <dgm:prSet/>
      <dgm:spPr/>
      <dgm:t>
        <a:bodyPr/>
        <a:lstStyle/>
        <a:p>
          <a:endParaRPr lang="en-GB"/>
        </a:p>
      </dgm:t>
    </dgm:pt>
    <dgm:pt modelId="{3BCD7880-6AB2-4463-8724-5FFCD5980837}" type="sibTrans" cxnId="{6D3F5F86-8035-4E61-9DAC-197E735A1690}">
      <dgm:prSet/>
      <dgm:spPr/>
      <dgm:t>
        <a:bodyPr/>
        <a:lstStyle/>
        <a:p>
          <a:endParaRPr lang="en-GB"/>
        </a:p>
      </dgm:t>
    </dgm:pt>
    <dgm:pt modelId="{E9C8DE6E-9DB9-4488-814A-5E3E9D8269F4}" type="pres">
      <dgm:prSet presAssocID="{4B20F384-D220-47D7-87C4-2A809FF0C411}" presName="Name0" presStyleCnt="0">
        <dgm:presLayoutVars>
          <dgm:dir/>
          <dgm:resizeHandles val="exact"/>
        </dgm:presLayoutVars>
      </dgm:prSet>
      <dgm:spPr/>
    </dgm:pt>
    <dgm:pt modelId="{70A7237C-FA2A-4022-87F3-C40A4E0EFD19}" type="pres">
      <dgm:prSet presAssocID="{A5EE58BF-3777-4E67-BAD1-D384AA87C990}" presName="node" presStyleLbl="node1" presStyleIdx="0" presStyleCnt="3">
        <dgm:presLayoutVars>
          <dgm:bulletEnabled val="1"/>
        </dgm:presLayoutVars>
      </dgm:prSet>
      <dgm:spPr/>
    </dgm:pt>
    <dgm:pt modelId="{BDB26900-80E5-4A13-80ED-60974DA38775}" type="pres">
      <dgm:prSet presAssocID="{0A11F035-A306-42EC-B780-681E460CC6EE}" presName="sibTrans" presStyleLbl="sibTrans2D1" presStyleIdx="0" presStyleCnt="2"/>
      <dgm:spPr/>
    </dgm:pt>
    <dgm:pt modelId="{704D55F1-86BE-4D5A-8FF7-3F6771DFB581}" type="pres">
      <dgm:prSet presAssocID="{0A11F035-A306-42EC-B780-681E460CC6EE}" presName="connectorText" presStyleLbl="sibTrans2D1" presStyleIdx="0" presStyleCnt="2"/>
      <dgm:spPr/>
    </dgm:pt>
    <dgm:pt modelId="{12B945DC-49E1-41B1-9FA7-E04ADB7F17B8}" type="pres">
      <dgm:prSet presAssocID="{C2464A43-5727-491F-948F-CE40E85CF977}" presName="node" presStyleLbl="node1" presStyleIdx="1" presStyleCnt="3">
        <dgm:presLayoutVars>
          <dgm:bulletEnabled val="1"/>
        </dgm:presLayoutVars>
      </dgm:prSet>
      <dgm:spPr/>
    </dgm:pt>
    <dgm:pt modelId="{ED9FA942-CFCA-4850-A7D2-185BCF9829B5}" type="pres">
      <dgm:prSet presAssocID="{B6E1303F-E4AA-49CA-937C-41A9652D3EB9}" presName="sibTrans" presStyleLbl="sibTrans2D1" presStyleIdx="1" presStyleCnt="2"/>
      <dgm:spPr/>
    </dgm:pt>
    <dgm:pt modelId="{3124E578-9C1D-4EEF-9E25-B2D170E59F17}" type="pres">
      <dgm:prSet presAssocID="{B6E1303F-E4AA-49CA-937C-41A9652D3EB9}" presName="connectorText" presStyleLbl="sibTrans2D1" presStyleIdx="1" presStyleCnt="2"/>
      <dgm:spPr/>
    </dgm:pt>
    <dgm:pt modelId="{B91F7722-75D3-47F2-82FB-363F219D5965}" type="pres">
      <dgm:prSet presAssocID="{5A8B214D-5F94-4E3E-8F5F-BBD0A8AC018F}" presName="node" presStyleLbl="node1" presStyleIdx="2" presStyleCnt="3">
        <dgm:presLayoutVars>
          <dgm:bulletEnabled val="1"/>
        </dgm:presLayoutVars>
      </dgm:prSet>
      <dgm:spPr/>
    </dgm:pt>
  </dgm:ptLst>
  <dgm:cxnLst>
    <dgm:cxn modelId="{0F63B204-F1A0-4B0A-8813-CF1187C71F1D}" srcId="{4B20F384-D220-47D7-87C4-2A809FF0C411}" destId="{A5EE58BF-3777-4E67-BAD1-D384AA87C990}" srcOrd="0" destOrd="0" parTransId="{4E5F671F-7E28-48BE-A6D1-6E2069D4DC32}" sibTransId="{0A11F035-A306-42EC-B780-681E460CC6EE}"/>
    <dgm:cxn modelId="{80693F0E-EFE5-4134-B445-208BE9DEE058}" type="presOf" srcId="{5A8B214D-5F94-4E3E-8F5F-BBD0A8AC018F}" destId="{B91F7722-75D3-47F2-82FB-363F219D5965}" srcOrd="0" destOrd="0" presId="urn:microsoft.com/office/officeart/2005/8/layout/process1"/>
    <dgm:cxn modelId="{BD264F5E-F272-4F2A-89CB-A6B761F81FBC}" type="presOf" srcId="{B6E1303F-E4AA-49CA-937C-41A9652D3EB9}" destId="{ED9FA942-CFCA-4850-A7D2-185BCF9829B5}" srcOrd="0" destOrd="0" presId="urn:microsoft.com/office/officeart/2005/8/layout/process1"/>
    <dgm:cxn modelId="{85D7C354-08F3-4750-80C7-F55BD4501DA6}" type="presOf" srcId="{C2464A43-5727-491F-948F-CE40E85CF977}" destId="{12B945DC-49E1-41B1-9FA7-E04ADB7F17B8}" srcOrd="0" destOrd="0" presId="urn:microsoft.com/office/officeart/2005/8/layout/process1"/>
    <dgm:cxn modelId="{6D3F5F86-8035-4E61-9DAC-197E735A1690}" srcId="{4B20F384-D220-47D7-87C4-2A809FF0C411}" destId="{5A8B214D-5F94-4E3E-8F5F-BBD0A8AC018F}" srcOrd="2" destOrd="0" parTransId="{E8C7FDB0-B491-4B48-A64D-8F8759DBDEDB}" sibTransId="{3BCD7880-6AB2-4463-8724-5FFCD5980837}"/>
    <dgm:cxn modelId="{7E54CD9A-4374-40D5-9F7B-57C5BEF7344B}" type="presOf" srcId="{B6E1303F-E4AA-49CA-937C-41A9652D3EB9}" destId="{3124E578-9C1D-4EEF-9E25-B2D170E59F17}" srcOrd="1" destOrd="0" presId="urn:microsoft.com/office/officeart/2005/8/layout/process1"/>
    <dgm:cxn modelId="{C448FEB7-1496-4838-AF14-3D5CAD29DCCF}" type="presOf" srcId="{0A11F035-A306-42EC-B780-681E460CC6EE}" destId="{BDB26900-80E5-4A13-80ED-60974DA38775}" srcOrd="0" destOrd="0" presId="urn:microsoft.com/office/officeart/2005/8/layout/process1"/>
    <dgm:cxn modelId="{B94035CF-EC89-4EB0-A920-99008EC72DDC}" srcId="{4B20F384-D220-47D7-87C4-2A809FF0C411}" destId="{C2464A43-5727-491F-948F-CE40E85CF977}" srcOrd="1" destOrd="0" parTransId="{11383709-3A02-4B36-8A40-7C4E7353DB92}" sibTransId="{B6E1303F-E4AA-49CA-937C-41A9652D3EB9}"/>
    <dgm:cxn modelId="{FC5D56D5-4776-466B-87E2-E7E30F853073}" type="presOf" srcId="{4B20F384-D220-47D7-87C4-2A809FF0C411}" destId="{E9C8DE6E-9DB9-4488-814A-5E3E9D8269F4}" srcOrd="0" destOrd="0" presId="urn:microsoft.com/office/officeart/2005/8/layout/process1"/>
    <dgm:cxn modelId="{2C419ADE-BDF1-457E-B368-985B88F0F894}" type="presOf" srcId="{0A11F035-A306-42EC-B780-681E460CC6EE}" destId="{704D55F1-86BE-4D5A-8FF7-3F6771DFB581}" srcOrd="1" destOrd="0" presId="urn:microsoft.com/office/officeart/2005/8/layout/process1"/>
    <dgm:cxn modelId="{1976F2F7-4969-4889-AFA2-CDCC3CF3CFD7}" type="presOf" srcId="{A5EE58BF-3777-4E67-BAD1-D384AA87C990}" destId="{70A7237C-FA2A-4022-87F3-C40A4E0EFD19}" srcOrd="0" destOrd="0" presId="urn:microsoft.com/office/officeart/2005/8/layout/process1"/>
    <dgm:cxn modelId="{036AED9C-D51B-43E8-8EB5-77D81966CD35}" type="presParOf" srcId="{E9C8DE6E-9DB9-4488-814A-5E3E9D8269F4}" destId="{70A7237C-FA2A-4022-87F3-C40A4E0EFD19}" srcOrd="0" destOrd="0" presId="urn:microsoft.com/office/officeart/2005/8/layout/process1"/>
    <dgm:cxn modelId="{5B9678DA-D4CB-4DCF-8255-E27C6C38432E}" type="presParOf" srcId="{E9C8DE6E-9DB9-4488-814A-5E3E9D8269F4}" destId="{BDB26900-80E5-4A13-80ED-60974DA38775}" srcOrd="1" destOrd="0" presId="urn:microsoft.com/office/officeart/2005/8/layout/process1"/>
    <dgm:cxn modelId="{C3A23EE3-B484-464E-8B9C-06BE66F108AF}" type="presParOf" srcId="{BDB26900-80E5-4A13-80ED-60974DA38775}" destId="{704D55F1-86BE-4D5A-8FF7-3F6771DFB581}" srcOrd="0" destOrd="0" presId="urn:microsoft.com/office/officeart/2005/8/layout/process1"/>
    <dgm:cxn modelId="{40038823-C3B4-4E26-A2A8-AECF9F66AE4E}" type="presParOf" srcId="{E9C8DE6E-9DB9-4488-814A-5E3E9D8269F4}" destId="{12B945DC-49E1-41B1-9FA7-E04ADB7F17B8}" srcOrd="2" destOrd="0" presId="urn:microsoft.com/office/officeart/2005/8/layout/process1"/>
    <dgm:cxn modelId="{4633BF1D-EEDA-4FDE-B024-B45B7D75333A}" type="presParOf" srcId="{E9C8DE6E-9DB9-4488-814A-5E3E9D8269F4}" destId="{ED9FA942-CFCA-4850-A7D2-185BCF9829B5}" srcOrd="3" destOrd="0" presId="urn:microsoft.com/office/officeart/2005/8/layout/process1"/>
    <dgm:cxn modelId="{278DBB10-BA39-4EB1-9372-B032A0F32DED}" type="presParOf" srcId="{ED9FA942-CFCA-4850-A7D2-185BCF9829B5}" destId="{3124E578-9C1D-4EEF-9E25-B2D170E59F17}" srcOrd="0" destOrd="0" presId="urn:microsoft.com/office/officeart/2005/8/layout/process1"/>
    <dgm:cxn modelId="{1F632D26-0536-473A-806D-5B940384E50C}" type="presParOf" srcId="{E9C8DE6E-9DB9-4488-814A-5E3E9D8269F4}" destId="{B91F7722-75D3-47F2-82FB-363F219D5965}" srcOrd="4" destOrd="0" presId="urn:microsoft.com/office/officeart/2005/8/layout/process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8A765D-3BDB-4C0C-AFCD-09AA2E4069A8}">
      <dsp:nvSpPr>
        <dsp:cNvPr id="0" name=""/>
        <dsp:cNvSpPr/>
      </dsp:nvSpPr>
      <dsp:spPr>
        <a:xfrm>
          <a:off x="0" y="0"/>
          <a:ext cx="5486400" cy="0"/>
        </a:xfrm>
        <a:prstGeom prst="line">
          <a:avLst/>
        </a:prstGeom>
        <a:solidFill>
          <a:sysClr val="window" lastClr="FFFFFF">
            <a:hueOff val="0"/>
            <a:satOff val="0"/>
            <a:lumOff val="0"/>
            <a:alphaOff val="0"/>
          </a:sysClr>
        </a:solidFill>
        <a:ln w="12700" cap="flat" cmpd="sng" algn="ctr">
          <a:solidFill>
            <a:srgbClr val="44546A">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36C9E34-1308-4A68-A364-6FD567883933}">
      <dsp:nvSpPr>
        <dsp:cNvPr id="0" name=""/>
        <dsp:cNvSpPr/>
      </dsp:nvSpPr>
      <dsp:spPr>
        <a:xfrm>
          <a:off x="0" y="0"/>
          <a:ext cx="5486400" cy="11049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GB" sz="12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Severity and Likelihood:</a:t>
          </a:r>
          <a:r>
            <a:rPr lang="en-GB"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Assess the likelihood of occurrence of each risk and if it will happen, the likely impact that the risk will impose on the organisation. For instance, the market risk may include the economic risk with a high level of an organisation’s vulnerability and moderate to high-risk probability (El Haddad, 2015). </a:t>
          </a:r>
        </a:p>
      </dsp:txBody>
      <dsp:txXfrm>
        <a:off x="0" y="0"/>
        <a:ext cx="5486400" cy="1104900"/>
      </dsp:txXfrm>
    </dsp:sp>
    <dsp:sp modelId="{9BCB519E-5EB2-4939-8437-DFEAC5D037BB}">
      <dsp:nvSpPr>
        <dsp:cNvPr id="0" name=""/>
        <dsp:cNvSpPr/>
      </dsp:nvSpPr>
      <dsp:spPr>
        <a:xfrm>
          <a:off x="0" y="1104900"/>
          <a:ext cx="5486400" cy="0"/>
        </a:xfrm>
        <a:prstGeom prst="line">
          <a:avLst/>
        </a:prstGeom>
        <a:solidFill>
          <a:sysClr val="window" lastClr="FFFFFF">
            <a:hueOff val="0"/>
            <a:satOff val="0"/>
            <a:lumOff val="0"/>
            <a:alphaOff val="0"/>
          </a:sysClr>
        </a:solidFill>
        <a:ln w="12700" cap="flat" cmpd="sng" algn="ctr">
          <a:solidFill>
            <a:srgbClr val="44546A">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98FD274-0403-4151-BB61-01845238E09F}">
      <dsp:nvSpPr>
        <dsp:cNvPr id="0" name=""/>
        <dsp:cNvSpPr/>
      </dsp:nvSpPr>
      <dsp:spPr>
        <a:xfrm>
          <a:off x="0" y="1104900"/>
          <a:ext cx="5486400" cy="110490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90000"/>
            </a:lnSpc>
            <a:spcBef>
              <a:spcPct val="0"/>
            </a:spcBef>
            <a:spcAft>
              <a:spcPct val="35000"/>
            </a:spcAft>
            <a:buNone/>
          </a:pPr>
          <a:r>
            <a:rPr lang="en-GB" sz="12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Quantitative Analysis:</a:t>
          </a:r>
          <a:r>
            <a:rPr lang="en-GB"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To this end, simple financial ratios and historical information are then used to estimate the potential impacts on the company’s finances (Adkhamjonovich, 2023). For example, one may discover that understanding how the prior financial stress events happened and their effects on the revenues and expenses will be useful when searching for risks in the future. </a:t>
          </a:r>
        </a:p>
      </dsp:txBody>
      <dsp:txXfrm>
        <a:off x="0" y="1104900"/>
        <a:ext cx="5486400" cy="11049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0A7237C-FA2A-4022-87F3-C40A4E0EFD19}">
      <dsp:nvSpPr>
        <dsp:cNvPr id="0" name=""/>
        <dsp:cNvSpPr/>
      </dsp:nvSpPr>
      <dsp:spPr>
        <a:xfrm>
          <a:off x="7496" y="0"/>
          <a:ext cx="1439844" cy="2781300"/>
        </a:xfrm>
        <a:prstGeom prst="roundRect">
          <a:avLst>
            <a:gd name="adj" fmla="val 10000"/>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Enhancing Risk Mitigation:</a:t>
          </a:r>
          <a:r>
            <a:rPr lang="en-GB"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Improving mitigation strategies may necessitate reassessing or revising management procedures for specific risks. Risk management measures must be applied to reduce operations, financial, and market risks (Adkhamjonovich, 2023). </a:t>
          </a:r>
        </a:p>
      </dsp:txBody>
      <dsp:txXfrm>
        <a:off x="49668" y="42172"/>
        <a:ext cx="1355500" cy="2696956"/>
      </dsp:txXfrm>
    </dsp:sp>
    <dsp:sp modelId="{BDB26900-80E5-4A13-80ED-60974DA38775}">
      <dsp:nvSpPr>
        <dsp:cNvPr id="0" name=""/>
        <dsp:cNvSpPr/>
      </dsp:nvSpPr>
      <dsp:spPr>
        <a:xfrm>
          <a:off x="1591324" y="1212109"/>
          <a:ext cx="305246" cy="357081"/>
        </a:xfrm>
        <a:prstGeom prst="rightArrow">
          <a:avLst>
            <a:gd name="adj1" fmla="val 60000"/>
            <a:gd name="adj2" fmla="val 50000"/>
          </a:avLst>
        </a:prstGeom>
        <a:solidFill>
          <a:srgbClr val="A5A5A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solidFill>
              <a:sysClr val="windowText" lastClr="000000">
                <a:hueOff val="0"/>
                <a:satOff val="0"/>
                <a:lumOff val="0"/>
                <a:alphaOff val="0"/>
              </a:sysClr>
            </a:solidFill>
            <a:latin typeface="Calibri" panose="020F0502020204030204"/>
            <a:ea typeface="+mn-ea"/>
            <a:cs typeface="+mn-cs"/>
          </a:endParaRPr>
        </a:p>
      </dsp:txBody>
      <dsp:txXfrm>
        <a:off x="1591324" y="1283525"/>
        <a:ext cx="213672" cy="214249"/>
      </dsp:txXfrm>
    </dsp:sp>
    <dsp:sp modelId="{12B945DC-49E1-41B1-9FA7-E04ADB7F17B8}">
      <dsp:nvSpPr>
        <dsp:cNvPr id="0" name=""/>
        <dsp:cNvSpPr/>
      </dsp:nvSpPr>
      <dsp:spPr>
        <a:xfrm>
          <a:off x="2023277" y="0"/>
          <a:ext cx="1439844" cy="2781300"/>
        </a:xfrm>
        <a:prstGeom prst="roundRect">
          <a:avLst>
            <a:gd name="adj" fmla="val 10000"/>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Insurance:</a:t>
          </a:r>
          <a:r>
            <a:rPr lang="en-GB"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Enough insurance to reduce disasters or legal issues due to negligence or termination of activities. </a:t>
          </a:r>
        </a:p>
      </dsp:txBody>
      <dsp:txXfrm>
        <a:off x="2065449" y="42172"/>
        <a:ext cx="1355500" cy="2696956"/>
      </dsp:txXfrm>
    </dsp:sp>
    <dsp:sp modelId="{ED9FA942-CFCA-4850-A7D2-185BCF9829B5}">
      <dsp:nvSpPr>
        <dsp:cNvPr id="0" name=""/>
        <dsp:cNvSpPr/>
      </dsp:nvSpPr>
      <dsp:spPr>
        <a:xfrm>
          <a:off x="3607106" y="1212109"/>
          <a:ext cx="305246" cy="357081"/>
        </a:xfrm>
        <a:prstGeom prst="rightArrow">
          <a:avLst>
            <a:gd name="adj1" fmla="val 60000"/>
            <a:gd name="adj2" fmla="val 50000"/>
          </a:avLst>
        </a:prstGeom>
        <a:solidFill>
          <a:srgbClr val="A5A5A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solidFill>
              <a:sysClr val="windowText" lastClr="000000">
                <a:hueOff val="0"/>
                <a:satOff val="0"/>
                <a:lumOff val="0"/>
                <a:alphaOff val="0"/>
              </a:sysClr>
            </a:solidFill>
            <a:latin typeface="Calibri" panose="020F0502020204030204"/>
            <a:ea typeface="+mn-ea"/>
            <a:cs typeface="+mn-cs"/>
          </a:endParaRPr>
        </a:p>
      </dsp:txBody>
      <dsp:txXfrm>
        <a:off x="3607106" y="1283525"/>
        <a:ext cx="213672" cy="214249"/>
      </dsp:txXfrm>
    </dsp:sp>
    <dsp:sp modelId="{B91F7722-75D3-47F2-82FB-363F219D5965}">
      <dsp:nvSpPr>
        <dsp:cNvPr id="0" name=""/>
        <dsp:cNvSpPr/>
      </dsp:nvSpPr>
      <dsp:spPr>
        <a:xfrm>
          <a:off x="4039059" y="0"/>
          <a:ext cx="1439844" cy="2781300"/>
        </a:xfrm>
        <a:prstGeom prst="roundRect">
          <a:avLst>
            <a:gd name="adj" fmla="val 10000"/>
          </a:avLst>
        </a:prstGeom>
        <a:solidFill>
          <a:sysClr val="window" lastClr="FFFFFF">
            <a:hueOff val="0"/>
            <a:satOff val="0"/>
            <a:lumOff val="0"/>
            <a:alphaOff val="0"/>
          </a:sysClr>
        </a:solidFill>
        <a:ln w="12700" cap="flat" cmpd="sng" algn="ctr">
          <a:solidFill>
            <a:srgbClr val="A5A5A5">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Contingency Planning:</a:t>
          </a:r>
          <a:r>
            <a:rPr lang="en-GB" sz="12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Emphasise the importance of designing and implementing a strategy to handle a financial catastrophe (Tranter et al., 2014). This includes having emergency funds and creating regular emergency procedures.</a:t>
          </a:r>
        </a:p>
      </dsp:txBody>
      <dsp:txXfrm>
        <a:off x="4081231" y="42172"/>
        <a:ext cx="1355500" cy="2696956"/>
      </dsp:txXfrm>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14</Pages>
  <Words>2905</Words>
  <Characters>17921</Characters>
  <Application>Microsoft Office Word</Application>
  <DocSecurity>0</DocSecurity>
  <Lines>310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suruianu</dc:creator>
  <cp:keywords/>
  <dc:description/>
  <cp:lastModifiedBy>mihaela suruianu</cp:lastModifiedBy>
  <cp:revision>8</cp:revision>
  <dcterms:created xsi:type="dcterms:W3CDTF">2024-05-24T20:57:00Z</dcterms:created>
  <dcterms:modified xsi:type="dcterms:W3CDTF">2024-06-06T20:33:00Z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3ef4e910a0f6a9ee2d9bba02218c17cffa423702b2aa1a4f0dae10a89abbe538</vt:lpwstr>
  </property>
</Properties>
</file>