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57FF6" w14:textId="77777777" w:rsidR="00E84F30" w:rsidRPr="00814DD9" w:rsidRDefault="00E84F30">
      <w:pPr>
        <w:jc w:val="center"/>
        <w:rPr>
          <w:rFonts w:ascii="Arial" w:hAnsi="Arial" w:cs="Arial"/>
          <w:b/>
          <w:sz w:val="22"/>
          <w:szCs w:val="22"/>
        </w:rPr>
      </w:pPr>
    </w:p>
    <w:p w14:paraId="0C9AC65B" w14:textId="77777777" w:rsidR="00E84F30" w:rsidRPr="00814DD9" w:rsidRDefault="00E84F30">
      <w:pPr>
        <w:jc w:val="center"/>
        <w:rPr>
          <w:rFonts w:ascii="Arial" w:hAnsi="Arial" w:cs="Arial"/>
          <w:b/>
          <w:sz w:val="22"/>
          <w:szCs w:val="22"/>
        </w:rPr>
      </w:pPr>
    </w:p>
    <w:p w14:paraId="28B83733" w14:textId="77777777" w:rsidR="00E84F30" w:rsidRPr="00814DD9" w:rsidRDefault="00E84F30">
      <w:pPr>
        <w:jc w:val="center"/>
        <w:rPr>
          <w:rFonts w:ascii="Arial" w:hAnsi="Arial" w:cs="Arial"/>
          <w:b/>
          <w:sz w:val="22"/>
          <w:szCs w:val="22"/>
        </w:rPr>
      </w:pPr>
    </w:p>
    <w:p w14:paraId="3E2A6476" w14:textId="77777777" w:rsidR="00E84F30" w:rsidRPr="00814DD9" w:rsidRDefault="00E84F30">
      <w:pPr>
        <w:jc w:val="center"/>
        <w:rPr>
          <w:rFonts w:ascii="Arial" w:hAnsi="Arial" w:cs="Arial"/>
          <w:b/>
          <w:sz w:val="22"/>
          <w:szCs w:val="22"/>
        </w:rPr>
      </w:pPr>
    </w:p>
    <w:p w14:paraId="125E294C" w14:textId="77777777" w:rsidR="006820E3" w:rsidRDefault="006820E3">
      <w:pPr>
        <w:jc w:val="center"/>
        <w:rPr>
          <w:rFonts w:ascii="Arial" w:hAnsi="Arial" w:cs="Arial"/>
          <w:b/>
          <w:sz w:val="32"/>
          <w:szCs w:val="32"/>
        </w:rPr>
      </w:pPr>
    </w:p>
    <w:p w14:paraId="0DB5866F" w14:textId="77777777" w:rsidR="006820E3" w:rsidRDefault="006820E3">
      <w:pPr>
        <w:jc w:val="center"/>
        <w:rPr>
          <w:rFonts w:ascii="Arial" w:hAnsi="Arial" w:cs="Arial"/>
          <w:b/>
          <w:sz w:val="32"/>
          <w:szCs w:val="32"/>
        </w:rPr>
      </w:pPr>
    </w:p>
    <w:p w14:paraId="12A32D1A" w14:textId="77777777" w:rsidR="006820E3" w:rsidRDefault="006820E3">
      <w:pPr>
        <w:jc w:val="center"/>
        <w:rPr>
          <w:rFonts w:ascii="Arial" w:hAnsi="Arial" w:cs="Arial"/>
          <w:b/>
          <w:sz w:val="32"/>
          <w:szCs w:val="32"/>
        </w:rPr>
      </w:pPr>
    </w:p>
    <w:p w14:paraId="7B5CE0E6" w14:textId="07F30F6B" w:rsidR="00E84F30" w:rsidRPr="00814DD9" w:rsidRDefault="00296084">
      <w:pPr>
        <w:jc w:val="center"/>
        <w:rPr>
          <w:rFonts w:ascii="Arial" w:hAnsi="Arial" w:cs="Arial"/>
          <w:b/>
          <w:sz w:val="32"/>
          <w:szCs w:val="32"/>
        </w:rPr>
      </w:pPr>
      <w:r w:rsidRPr="00814DD9">
        <w:rPr>
          <w:rFonts w:ascii="Arial" w:hAnsi="Arial" w:cs="Arial"/>
          <w:b/>
          <w:sz w:val="32"/>
          <w:szCs w:val="32"/>
        </w:rPr>
        <w:t xml:space="preserve">COMPONENT 2: COURSEWORK WRITTEN ASSIGNMENT </w:t>
      </w:r>
    </w:p>
    <w:p w14:paraId="352CD62F" w14:textId="77777777" w:rsidR="00E84F30" w:rsidRPr="00814DD9" w:rsidRDefault="00296084">
      <w:pPr>
        <w:jc w:val="center"/>
        <w:rPr>
          <w:rFonts w:ascii="Arial" w:hAnsi="Arial" w:cs="Arial"/>
          <w:b/>
          <w:sz w:val="32"/>
          <w:szCs w:val="32"/>
        </w:rPr>
      </w:pPr>
      <w:r w:rsidRPr="00814DD9">
        <w:rPr>
          <w:rFonts w:ascii="Arial" w:hAnsi="Arial" w:cs="Arial"/>
          <w:b/>
          <w:sz w:val="32"/>
          <w:szCs w:val="32"/>
        </w:rPr>
        <w:t>MODULE: LCHS4003 – INTRODUCTION TO HEALTH AND SOCIAL CARE</w:t>
      </w:r>
    </w:p>
    <w:p w14:paraId="5246963E" w14:textId="77777777" w:rsidR="002A259C" w:rsidRDefault="00296084">
      <w:pPr>
        <w:jc w:val="center"/>
        <w:rPr>
          <w:rFonts w:ascii="Arial" w:hAnsi="Arial" w:cs="Arial"/>
          <w:b/>
          <w:sz w:val="32"/>
          <w:szCs w:val="32"/>
        </w:rPr>
      </w:pPr>
      <w:r w:rsidRPr="00814DD9">
        <w:rPr>
          <w:rFonts w:ascii="Arial" w:hAnsi="Arial" w:cs="Arial"/>
          <w:b/>
          <w:sz w:val="32"/>
          <w:szCs w:val="32"/>
        </w:rPr>
        <w:t>STUDENT NAME:</w:t>
      </w:r>
    </w:p>
    <w:p w14:paraId="1421A204" w14:textId="612136F7" w:rsidR="00E84F30" w:rsidRDefault="00296084">
      <w:pPr>
        <w:jc w:val="center"/>
        <w:rPr>
          <w:rFonts w:ascii="Arial" w:hAnsi="Arial" w:cs="Arial"/>
          <w:b/>
          <w:sz w:val="32"/>
          <w:szCs w:val="32"/>
        </w:rPr>
      </w:pPr>
      <w:r w:rsidRPr="00814DD9">
        <w:rPr>
          <w:rFonts w:ascii="Arial" w:hAnsi="Arial" w:cs="Arial"/>
          <w:b/>
          <w:sz w:val="32"/>
          <w:szCs w:val="32"/>
        </w:rPr>
        <w:t xml:space="preserve"> </w:t>
      </w:r>
      <w:r w:rsidR="002A259C">
        <w:rPr>
          <w:rFonts w:ascii="Arial" w:hAnsi="Arial" w:cs="Arial"/>
          <w:b/>
          <w:sz w:val="32"/>
          <w:szCs w:val="32"/>
        </w:rPr>
        <w:t>Gulfam Yousaf</w:t>
      </w:r>
    </w:p>
    <w:p w14:paraId="5E3F9D95" w14:textId="77777777" w:rsidR="002A259C" w:rsidRPr="00814DD9" w:rsidRDefault="002A259C">
      <w:pPr>
        <w:jc w:val="center"/>
        <w:rPr>
          <w:rFonts w:ascii="Arial" w:hAnsi="Arial" w:cs="Arial"/>
          <w:b/>
          <w:sz w:val="32"/>
          <w:szCs w:val="32"/>
        </w:rPr>
      </w:pPr>
    </w:p>
    <w:p w14:paraId="69513E3B" w14:textId="5FFD97F8" w:rsidR="00D353BE" w:rsidRPr="00814DD9" w:rsidRDefault="00296084">
      <w:pPr>
        <w:jc w:val="center"/>
        <w:rPr>
          <w:rFonts w:ascii="Arial" w:hAnsi="Arial" w:cs="Arial"/>
          <w:b/>
          <w:sz w:val="32"/>
          <w:szCs w:val="32"/>
        </w:rPr>
      </w:pPr>
      <w:r w:rsidRPr="00814DD9">
        <w:rPr>
          <w:rFonts w:ascii="Arial" w:hAnsi="Arial" w:cs="Arial"/>
          <w:b/>
          <w:sz w:val="32"/>
          <w:szCs w:val="32"/>
        </w:rPr>
        <w:t xml:space="preserve">STUDENT ID: </w:t>
      </w:r>
      <w:r w:rsidR="0091578E">
        <w:rPr>
          <w:rFonts w:ascii="Arial" w:hAnsi="Arial" w:cs="Arial"/>
          <w:b/>
          <w:sz w:val="32"/>
          <w:szCs w:val="32"/>
        </w:rPr>
        <w:t xml:space="preserve"> </w:t>
      </w:r>
      <w:r w:rsidR="000D05EB">
        <w:rPr>
          <w:rFonts w:ascii="Arial" w:hAnsi="Arial" w:cs="Arial"/>
          <w:b/>
          <w:sz w:val="32"/>
          <w:szCs w:val="32"/>
        </w:rPr>
        <w:t>2310989</w:t>
      </w:r>
    </w:p>
    <w:p w14:paraId="6CCD41E9" w14:textId="77777777" w:rsidR="00D353BE" w:rsidRPr="00814DD9" w:rsidRDefault="00D353BE">
      <w:pPr>
        <w:rPr>
          <w:rFonts w:ascii="Arial" w:hAnsi="Arial" w:cs="Arial"/>
          <w:b/>
          <w:sz w:val="22"/>
          <w:szCs w:val="22"/>
        </w:rPr>
      </w:pPr>
      <w:r w:rsidRPr="00814DD9">
        <w:rPr>
          <w:rFonts w:ascii="Arial" w:hAnsi="Arial" w:cs="Arial"/>
          <w:b/>
          <w:sz w:val="22"/>
          <w:szCs w:val="22"/>
        </w:rPr>
        <w:br w:type="page"/>
      </w:r>
    </w:p>
    <w:sdt>
      <w:sdtPr>
        <w:rPr>
          <w:rFonts w:ascii="Arial" w:eastAsia="Times New Roman" w:hAnsi="Arial" w:cs="Arial"/>
          <w:color w:val="auto"/>
          <w:sz w:val="22"/>
          <w:szCs w:val="22"/>
          <w:lang w:val="en-GB" w:eastAsia="en-IN"/>
        </w:rPr>
        <w:id w:val="-1173019766"/>
        <w:docPartObj>
          <w:docPartGallery w:val="Table of Contents"/>
          <w:docPartUnique/>
        </w:docPartObj>
      </w:sdtPr>
      <w:sdtEndPr>
        <w:rPr>
          <w:b/>
          <w:bCs/>
          <w:noProof/>
        </w:rPr>
      </w:sdtEndPr>
      <w:sdtContent>
        <w:p w14:paraId="172FAD82" w14:textId="209A5DBF" w:rsidR="00D353BE" w:rsidRPr="00814DD9" w:rsidRDefault="00D353BE" w:rsidP="00D353BE">
          <w:pPr>
            <w:pStyle w:val="TOCHeading"/>
            <w:spacing w:line="360" w:lineRule="auto"/>
            <w:jc w:val="center"/>
            <w:rPr>
              <w:rFonts w:ascii="Arial" w:hAnsi="Arial" w:cs="Arial"/>
              <w:b/>
              <w:bCs/>
              <w:color w:val="000000" w:themeColor="text1"/>
              <w:sz w:val="22"/>
              <w:szCs w:val="22"/>
              <w:lang w:val="en-GB"/>
            </w:rPr>
          </w:pPr>
          <w:r w:rsidRPr="00814DD9">
            <w:rPr>
              <w:rFonts w:ascii="Arial" w:hAnsi="Arial" w:cs="Arial"/>
              <w:b/>
              <w:bCs/>
              <w:color w:val="000000" w:themeColor="text1"/>
              <w:sz w:val="22"/>
              <w:szCs w:val="22"/>
              <w:lang w:val="en-GB"/>
            </w:rPr>
            <w:t>Table of Contents</w:t>
          </w:r>
        </w:p>
        <w:p w14:paraId="249B168B" w14:textId="266CF573" w:rsidR="00D353BE" w:rsidRPr="00814DD9" w:rsidRDefault="00D353BE" w:rsidP="00D353BE">
          <w:pPr>
            <w:pStyle w:val="TOC1"/>
            <w:tabs>
              <w:tab w:val="right" w:leader="dot" w:pos="9019"/>
            </w:tabs>
            <w:spacing w:after="0"/>
            <w:rPr>
              <w:rFonts w:ascii="Arial" w:hAnsi="Arial" w:cs="Arial"/>
              <w:noProof/>
              <w:color w:val="000000" w:themeColor="text1"/>
              <w:sz w:val="22"/>
              <w:szCs w:val="22"/>
            </w:rPr>
          </w:pPr>
          <w:r w:rsidRPr="00814DD9">
            <w:rPr>
              <w:rFonts w:ascii="Arial" w:hAnsi="Arial" w:cs="Arial"/>
              <w:color w:val="000000" w:themeColor="text1"/>
              <w:sz w:val="22"/>
              <w:szCs w:val="22"/>
            </w:rPr>
            <w:fldChar w:fldCharType="begin"/>
          </w:r>
          <w:r w:rsidRPr="00814DD9">
            <w:rPr>
              <w:rFonts w:ascii="Arial" w:hAnsi="Arial" w:cs="Arial"/>
              <w:color w:val="000000" w:themeColor="text1"/>
              <w:sz w:val="22"/>
              <w:szCs w:val="22"/>
            </w:rPr>
            <w:instrText xml:space="preserve"> TOC \o "1-3" \h \z \u </w:instrText>
          </w:r>
          <w:r w:rsidRPr="00814DD9">
            <w:rPr>
              <w:rFonts w:ascii="Arial" w:hAnsi="Arial" w:cs="Arial"/>
              <w:color w:val="000000" w:themeColor="text1"/>
              <w:sz w:val="22"/>
              <w:szCs w:val="22"/>
            </w:rPr>
            <w:fldChar w:fldCharType="separate"/>
          </w:r>
          <w:hyperlink w:anchor="_Toc213431372" w:history="1">
            <w:r w:rsidRPr="00814DD9">
              <w:rPr>
                <w:rStyle w:val="Hyperlink"/>
                <w:rFonts w:ascii="Arial" w:hAnsi="Arial" w:cs="Arial"/>
                <w:noProof/>
                <w:color w:val="000000" w:themeColor="text1"/>
                <w:sz w:val="22"/>
                <w:szCs w:val="22"/>
              </w:rPr>
              <w:t>Introduction</w:t>
            </w:r>
            <w:r w:rsidRPr="00814DD9">
              <w:rPr>
                <w:rFonts w:ascii="Arial" w:hAnsi="Arial" w:cs="Arial"/>
                <w:noProof/>
                <w:webHidden/>
                <w:color w:val="000000" w:themeColor="text1"/>
                <w:sz w:val="22"/>
                <w:szCs w:val="22"/>
              </w:rPr>
              <w:tab/>
            </w:r>
            <w:r w:rsidRPr="00814DD9">
              <w:rPr>
                <w:rFonts w:ascii="Arial" w:hAnsi="Arial" w:cs="Arial"/>
                <w:noProof/>
                <w:webHidden/>
                <w:color w:val="000000" w:themeColor="text1"/>
                <w:sz w:val="22"/>
                <w:szCs w:val="22"/>
              </w:rPr>
              <w:fldChar w:fldCharType="begin"/>
            </w:r>
            <w:r w:rsidRPr="00814DD9">
              <w:rPr>
                <w:rFonts w:ascii="Arial" w:hAnsi="Arial" w:cs="Arial"/>
                <w:noProof/>
                <w:webHidden/>
                <w:color w:val="000000" w:themeColor="text1"/>
                <w:sz w:val="22"/>
                <w:szCs w:val="22"/>
              </w:rPr>
              <w:instrText xml:space="preserve"> PAGEREF _Toc213431372 \h </w:instrText>
            </w:r>
            <w:r w:rsidRPr="00814DD9">
              <w:rPr>
                <w:rFonts w:ascii="Arial" w:hAnsi="Arial" w:cs="Arial"/>
                <w:noProof/>
                <w:webHidden/>
                <w:color w:val="000000" w:themeColor="text1"/>
                <w:sz w:val="22"/>
                <w:szCs w:val="22"/>
              </w:rPr>
            </w:r>
            <w:r w:rsidRPr="00814DD9">
              <w:rPr>
                <w:rFonts w:ascii="Arial" w:hAnsi="Arial" w:cs="Arial"/>
                <w:noProof/>
                <w:webHidden/>
                <w:color w:val="000000" w:themeColor="text1"/>
                <w:sz w:val="22"/>
                <w:szCs w:val="22"/>
              </w:rPr>
              <w:fldChar w:fldCharType="separate"/>
            </w:r>
            <w:r w:rsidR="00C45B57">
              <w:rPr>
                <w:rFonts w:ascii="Arial" w:hAnsi="Arial" w:cs="Arial"/>
                <w:noProof/>
                <w:webHidden/>
                <w:color w:val="000000" w:themeColor="text1"/>
                <w:sz w:val="22"/>
                <w:szCs w:val="22"/>
              </w:rPr>
              <w:t>2</w:t>
            </w:r>
            <w:r w:rsidRPr="00814DD9">
              <w:rPr>
                <w:rFonts w:ascii="Arial" w:hAnsi="Arial" w:cs="Arial"/>
                <w:noProof/>
                <w:webHidden/>
                <w:color w:val="000000" w:themeColor="text1"/>
                <w:sz w:val="22"/>
                <w:szCs w:val="22"/>
              </w:rPr>
              <w:fldChar w:fldCharType="end"/>
            </w:r>
          </w:hyperlink>
        </w:p>
        <w:p w14:paraId="6CBC910F" w14:textId="79AF5F01" w:rsidR="00D353BE" w:rsidRPr="00814DD9" w:rsidRDefault="00D353BE" w:rsidP="00D353BE">
          <w:pPr>
            <w:pStyle w:val="TOC1"/>
            <w:tabs>
              <w:tab w:val="right" w:leader="dot" w:pos="9019"/>
            </w:tabs>
            <w:spacing w:after="0"/>
            <w:rPr>
              <w:rFonts w:ascii="Arial" w:hAnsi="Arial" w:cs="Arial"/>
              <w:noProof/>
              <w:color w:val="000000" w:themeColor="text1"/>
              <w:sz w:val="22"/>
              <w:szCs w:val="22"/>
            </w:rPr>
          </w:pPr>
          <w:hyperlink w:anchor="_Toc213431373" w:history="1">
            <w:r w:rsidRPr="00814DD9">
              <w:rPr>
                <w:rStyle w:val="Hyperlink"/>
                <w:rFonts w:ascii="Arial" w:hAnsi="Arial" w:cs="Arial"/>
                <w:noProof/>
                <w:color w:val="000000" w:themeColor="text1"/>
                <w:sz w:val="22"/>
                <w:szCs w:val="22"/>
              </w:rPr>
              <w:t>Section 1: Effective communication</w:t>
            </w:r>
            <w:r w:rsidRPr="00814DD9">
              <w:rPr>
                <w:rFonts w:ascii="Arial" w:hAnsi="Arial" w:cs="Arial"/>
                <w:noProof/>
                <w:webHidden/>
                <w:color w:val="000000" w:themeColor="text1"/>
                <w:sz w:val="22"/>
                <w:szCs w:val="22"/>
              </w:rPr>
              <w:tab/>
            </w:r>
            <w:r w:rsidRPr="00814DD9">
              <w:rPr>
                <w:rFonts w:ascii="Arial" w:hAnsi="Arial" w:cs="Arial"/>
                <w:noProof/>
                <w:webHidden/>
                <w:color w:val="000000" w:themeColor="text1"/>
                <w:sz w:val="22"/>
                <w:szCs w:val="22"/>
              </w:rPr>
              <w:fldChar w:fldCharType="begin"/>
            </w:r>
            <w:r w:rsidRPr="00814DD9">
              <w:rPr>
                <w:rFonts w:ascii="Arial" w:hAnsi="Arial" w:cs="Arial"/>
                <w:noProof/>
                <w:webHidden/>
                <w:color w:val="000000" w:themeColor="text1"/>
                <w:sz w:val="22"/>
                <w:szCs w:val="22"/>
              </w:rPr>
              <w:instrText xml:space="preserve"> PAGEREF _Toc213431373 \h </w:instrText>
            </w:r>
            <w:r w:rsidRPr="00814DD9">
              <w:rPr>
                <w:rFonts w:ascii="Arial" w:hAnsi="Arial" w:cs="Arial"/>
                <w:noProof/>
                <w:webHidden/>
                <w:color w:val="000000" w:themeColor="text1"/>
                <w:sz w:val="22"/>
                <w:szCs w:val="22"/>
              </w:rPr>
            </w:r>
            <w:r w:rsidRPr="00814DD9">
              <w:rPr>
                <w:rFonts w:ascii="Arial" w:hAnsi="Arial" w:cs="Arial"/>
                <w:noProof/>
                <w:webHidden/>
                <w:color w:val="000000" w:themeColor="text1"/>
                <w:sz w:val="22"/>
                <w:szCs w:val="22"/>
              </w:rPr>
              <w:fldChar w:fldCharType="separate"/>
            </w:r>
            <w:r w:rsidR="00C45B57">
              <w:rPr>
                <w:rFonts w:ascii="Arial" w:hAnsi="Arial" w:cs="Arial"/>
                <w:noProof/>
                <w:webHidden/>
                <w:color w:val="000000" w:themeColor="text1"/>
                <w:sz w:val="22"/>
                <w:szCs w:val="22"/>
              </w:rPr>
              <w:t>2</w:t>
            </w:r>
            <w:r w:rsidRPr="00814DD9">
              <w:rPr>
                <w:rFonts w:ascii="Arial" w:hAnsi="Arial" w:cs="Arial"/>
                <w:noProof/>
                <w:webHidden/>
                <w:color w:val="000000" w:themeColor="text1"/>
                <w:sz w:val="22"/>
                <w:szCs w:val="22"/>
              </w:rPr>
              <w:fldChar w:fldCharType="end"/>
            </w:r>
          </w:hyperlink>
        </w:p>
        <w:p w14:paraId="1915DFFE" w14:textId="374E21C9" w:rsidR="00D353BE" w:rsidRPr="00814DD9" w:rsidRDefault="00D353BE" w:rsidP="00D353BE">
          <w:pPr>
            <w:pStyle w:val="TOC1"/>
            <w:tabs>
              <w:tab w:val="right" w:leader="dot" w:pos="9019"/>
            </w:tabs>
            <w:spacing w:after="0"/>
            <w:rPr>
              <w:rFonts w:ascii="Arial" w:hAnsi="Arial" w:cs="Arial"/>
              <w:noProof/>
              <w:color w:val="000000" w:themeColor="text1"/>
              <w:sz w:val="22"/>
              <w:szCs w:val="22"/>
            </w:rPr>
          </w:pPr>
          <w:hyperlink w:anchor="_Toc213431374" w:history="1">
            <w:r w:rsidRPr="00814DD9">
              <w:rPr>
                <w:rStyle w:val="Hyperlink"/>
                <w:rFonts w:ascii="Arial" w:hAnsi="Arial" w:cs="Arial"/>
                <w:noProof/>
                <w:color w:val="000000" w:themeColor="text1"/>
                <w:sz w:val="22"/>
                <w:szCs w:val="22"/>
              </w:rPr>
              <w:t>Section 2: Administrative skill and record keeping</w:t>
            </w:r>
            <w:r w:rsidRPr="00814DD9">
              <w:rPr>
                <w:rFonts w:ascii="Arial" w:hAnsi="Arial" w:cs="Arial"/>
                <w:noProof/>
                <w:webHidden/>
                <w:color w:val="000000" w:themeColor="text1"/>
                <w:sz w:val="22"/>
                <w:szCs w:val="22"/>
              </w:rPr>
              <w:tab/>
            </w:r>
            <w:r w:rsidRPr="00814DD9">
              <w:rPr>
                <w:rFonts w:ascii="Arial" w:hAnsi="Arial" w:cs="Arial"/>
                <w:noProof/>
                <w:webHidden/>
                <w:color w:val="000000" w:themeColor="text1"/>
                <w:sz w:val="22"/>
                <w:szCs w:val="22"/>
              </w:rPr>
              <w:fldChar w:fldCharType="begin"/>
            </w:r>
            <w:r w:rsidRPr="00814DD9">
              <w:rPr>
                <w:rFonts w:ascii="Arial" w:hAnsi="Arial" w:cs="Arial"/>
                <w:noProof/>
                <w:webHidden/>
                <w:color w:val="000000" w:themeColor="text1"/>
                <w:sz w:val="22"/>
                <w:szCs w:val="22"/>
              </w:rPr>
              <w:instrText xml:space="preserve"> PAGEREF _Toc213431374 \h </w:instrText>
            </w:r>
            <w:r w:rsidRPr="00814DD9">
              <w:rPr>
                <w:rFonts w:ascii="Arial" w:hAnsi="Arial" w:cs="Arial"/>
                <w:noProof/>
                <w:webHidden/>
                <w:color w:val="000000" w:themeColor="text1"/>
                <w:sz w:val="22"/>
                <w:szCs w:val="22"/>
              </w:rPr>
            </w:r>
            <w:r w:rsidRPr="00814DD9">
              <w:rPr>
                <w:rFonts w:ascii="Arial" w:hAnsi="Arial" w:cs="Arial"/>
                <w:noProof/>
                <w:webHidden/>
                <w:color w:val="000000" w:themeColor="text1"/>
                <w:sz w:val="22"/>
                <w:szCs w:val="22"/>
              </w:rPr>
              <w:fldChar w:fldCharType="separate"/>
            </w:r>
            <w:r w:rsidR="00C45B57">
              <w:rPr>
                <w:rFonts w:ascii="Arial" w:hAnsi="Arial" w:cs="Arial"/>
                <w:noProof/>
                <w:webHidden/>
                <w:color w:val="000000" w:themeColor="text1"/>
                <w:sz w:val="22"/>
                <w:szCs w:val="22"/>
              </w:rPr>
              <w:t>3</w:t>
            </w:r>
            <w:r w:rsidRPr="00814DD9">
              <w:rPr>
                <w:rFonts w:ascii="Arial" w:hAnsi="Arial" w:cs="Arial"/>
                <w:noProof/>
                <w:webHidden/>
                <w:color w:val="000000" w:themeColor="text1"/>
                <w:sz w:val="22"/>
                <w:szCs w:val="22"/>
              </w:rPr>
              <w:fldChar w:fldCharType="end"/>
            </w:r>
          </w:hyperlink>
        </w:p>
        <w:p w14:paraId="773ECA58" w14:textId="174B71C4" w:rsidR="00D353BE" w:rsidRPr="00814DD9" w:rsidRDefault="00D353BE" w:rsidP="00D353BE">
          <w:pPr>
            <w:pStyle w:val="TOC1"/>
            <w:tabs>
              <w:tab w:val="right" w:leader="dot" w:pos="9019"/>
            </w:tabs>
            <w:spacing w:after="0"/>
            <w:rPr>
              <w:rFonts w:ascii="Arial" w:hAnsi="Arial" w:cs="Arial"/>
              <w:noProof/>
              <w:color w:val="000000" w:themeColor="text1"/>
              <w:sz w:val="22"/>
              <w:szCs w:val="22"/>
            </w:rPr>
          </w:pPr>
          <w:hyperlink w:anchor="_Toc213431375" w:history="1">
            <w:r w:rsidRPr="00814DD9">
              <w:rPr>
                <w:rStyle w:val="Hyperlink"/>
                <w:rFonts w:ascii="Arial" w:hAnsi="Arial" w:cs="Arial"/>
                <w:noProof/>
                <w:color w:val="000000" w:themeColor="text1"/>
                <w:sz w:val="22"/>
                <w:szCs w:val="22"/>
              </w:rPr>
              <w:t>Section 3: Collaborative working</w:t>
            </w:r>
            <w:r w:rsidRPr="00814DD9">
              <w:rPr>
                <w:rFonts w:ascii="Arial" w:hAnsi="Arial" w:cs="Arial"/>
                <w:noProof/>
                <w:webHidden/>
                <w:color w:val="000000" w:themeColor="text1"/>
                <w:sz w:val="22"/>
                <w:szCs w:val="22"/>
              </w:rPr>
              <w:tab/>
            </w:r>
            <w:r w:rsidRPr="00814DD9">
              <w:rPr>
                <w:rFonts w:ascii="Arial" w:hAnsi="Arial" w:cs="Arial"/>
                <w:noProof/>
                <w:webHidden/>
                <w:color w:val="000000" w:themeColor="text1"/>
                <w:sz w:val="22"/>
                <w:szCs w:val="22"/>
              </w:rPr>
              <w:fldChar w:fldCharType="begin"/>
            </w:r>
            <w:r w:rsidRPr="00814DD9">
              <w:rPr>
                <w:rFonts w:ascii="Arial" w:hAnsi="Arial" w:cs="Arial"/>
                <w:noProof/>
                <w:webHidden/>
                <w:color w:val="000000" w:themeColor="text1"/>
                <w:sz w:val="22"/>
                <w:szCs w:val="22"/>
              </w:rPr>
              <w:instrText xml:space="preserve"> PAGEREF _Toc213431375 \h </w:instrText>
            </w:r>
            <w:r w:rsidRPr="00814DD9">
              <w:rPr>
                <w:rFonts w:ascii="Arial" w:hAnsi="Arial" w:cs="Arial"/>
                <w:noProof/>
                <w:webHidden/>
                <w:color w:val="000000" w:themeColor="text1"/>
                <w:sz w:val="22"/>
                <w:szCs w:val="22"/>
              </w:rPr>
            </w:r>
            <w:r w:rsidRPr="00814DD9">
              <w:rPr>
                <w:rFonts w:ascii="Arial" w:hAnsi="Arial" w:cs="Arial"/>
                <w:noProof/>
                <w:webHidden/>
                <w:color w:val="000000" w:themeColor="text1"/>
                <w:sz w:val="22"/>
                <w:szCs w:val="22"/>
              </w:rPr>
              <w:fldChar w:fldCharType="separate"/>
            </w:r>
            <w:r w:rsidR="00C45B57">
              <w:rPr>
                <w:rFonts w:ascii="Arial" w:hAnsi="Arial" w:cs="Arial"/>
                <w:noProof/>
                <w:webHidden/>
                <w:color w:val="000000" w:themeColor="text1"/>
                <w:sz w:val="22"/>
                <w:szCs w:val="22"/>
              </w:rPr>
              <w:t>5</w:t>
            </w:r>
            <w:r w:rsidRPr="00814DD9">
              <w:rPr>
                <w:rFonts w:ascii="Arial" w:hAnsi="Arial" w:cs="Arial"/>
                <w:noProof/>
                <w:webHidden/>
                <w:color w:val="000000" w:themeColor="text1"/>
                <w:sz w:val="22"/>
                <w:szCs w:val="22"/>
              </w:rPr>
              <w:fldChar w:fldCharType="end"/>
            </w:r>
          </w:hyperlink>
        </w:p>
        <w:p w14:paraId="3EE57F37" w14:textId="176BDE4C" w:rsidR="00D353BE" w:rsidRPr="00814DD9" w:rsidRDefault="00D353BE" w:rsidP="00D353BE">
          <w:pPr>
            <w:pStyle w:val="TOC1"/>
            <w:tabs>
              <w:tab w:val="right" w:leader="dot" w:pos="9019"/>
            </w:tabs>
            <w:spacing w:after="0"/>
            <w:rPr>
              <w:rFonts w:ascii="Arial" w:hAnsi="Arial" w:cs="Arial"/>
              <w:noProof/>
              <w:color w:val="000000" w:themeColor="text1"/>
              <w:sz w:val="22"/>
              <w:szCs w:val="22"/>
            </w:rPr>
          </w:pPr>
          <w:hyperlink w:anchor="_Toc213431376" w:history="1">
            <w:r w:rsidRPr="00814DD9">
              <w:rPr>
                <w:rStyle w:val="Hyperlink"/>
                <w:rFonts w:ascii="Arial" w:hAnsi="Arial" w:cs="Arial"/>
                <w:noProof/>
                <w:color w:val="000000" w:themeColor="text1"/>
                <w:sz w:val="22"/>
                <w:szCs w:val="22"/>
              </w:rPr>
              <w:t>Conclusion</w:t>
            </w:r>
            <w:r w:rsidRPr="00814DD9">
              <w:rPr>
                <w:rFonts w:ascii="Arial" w:hAnsi="Arial" w:cs="Arial"/>
                <w:noProof/>
                <w:webHidden/>
                <w:color w:val="000000" w:themeColor="text1"/>
                <w:sz w:val="22"/>
                <w:szCs w:val="22"/>
              </w:rPr>
              <w:tab/>
            </w:r>
            <w:r w:rsidRPr="00814DD9">
              <w:rPr>
                <w:rFonts w:ascii="Arial" w:hAnsi="Arial" w:cs="Arial"/>
                <w:noProof/>
                <w:webHidden/>
                <w:color w:val="000000" w:themeColor="text1"/>
                <w:sz w:val="22"/>
                <w:szCs w:val="22"/>
              </w:rPr>
              <w:fldChar w:fldCharType="begin"/>
            </w:r>
            <w:r w:rsidRPr="00814DD9">
              <w:rPr>
                <w:rFonts w:ascii="Arial" w:hAnsi="Arial" w:cs="Arial"/>
                <w:noProof/>
                <w:webHidden/>
                <w:color w:val="000000" w:themeColor="text1"/>
                <w:sz w:val="22"/>
                <w:szCs w:val="22"/>
              </w:rPr>
              <w:instrText xml:space="preserve"> PAGEREF _Toc213431376 \h </w:instrText>
            </w:r>
            <w:r w:rsidRPr="00814DD9">
              <w:rPr>
                <w:rFonts w:ascii="Arial" w:hAnsi="Arial" w:cs="Arial"/>
                <w:noProof/>
                <w:webHidden/>
                <w:color w:val="000000" w:themeColor="text1"/>
                <w:sz w:val="22"/>
                <w:szCs w:val="22"/>
              </w:rPr>
            </w:r>
            <w:r w:rsidRPr="00814DD9">
              <w:rPr>
                <w:rFonts w:ascii="Arial" w:hAnsi="Arial" w:cs="Arial"/>
                <w:noProof/>
                <w:webHidden/>
                <w:color w:val="000000" w:themeColor="text1"/>
                <w:sz w:val="22"/>
                <w:szCs w:val="22"/>
              </w:rPr>
              <w:fldChar w:fldCharType="separate"/>
            </w:r>
            <w:r w:rsidR="00C45B57">
              <w:rPr>
                <w:rFonts w:ascii="Arial" w:hAnsi="Arial" w:cs="Arial"/>
                <w:noProof/>
                <w:webHidden/>
                <w:color w:val="000000" w:themeColor="text1"/>
                <w:sz w:val="22"/>
                <w:szCs w:val="22"/>
              </w:rPr>
              <w:t>6</w:t>
            </w:r>
            <w:r w:rsidRPr="00814DD9">
              <w:rPr>
                <w:rFonts w:ascii="Arial" w:hAnsi="Arial" w:cs="Arial"/>
                <w:noProof/>
                <w:webHidden/>
                <w:color w:val="000000" w:themeColor="text1"/>
                <w:sz w:val="22"/>
                <w:szCs w:val="22"/>
              </w:rPr>
              <w:fldChar w:fldCharType="end"/>
            </w:r>
          </w:hyperlink>
        </w:p>
        <w:p w14:paraId="054E3488" w14:textId="57E761EA" w:rsidR="00D353BE" w:rsidRPr="00814DD9" w:rsidRDefault="00D353BE" w:rsidP="00D353BE">
          <w:pPr>
            <w:pStyle w:val="TOC1"/>
            <w:tabs>
              <w:tab w:val="right" w:leader="dot" w:pos="9019"/>
            </w:tabs>
            <w:spacing w:after="0"/>
            <w:rPr>
              <w:rFonts w:ascii="Arial" w:hAnsi="Arial" w:cs="Arial"/>
              <w:noProof/>
              <w:color w:val="000000" w:themeColor="text1"/>
              <w:sz w:val="22"/>
              <w:szCs w:val="22"/>
            </w:rPr>
          </w:pPr>
          <w:hyperlink w:anchor="_Toc213431377" w:history="1">
            <w:r w:rsidRPr="00814DD9">
              <w:rPr>
                <w:rStyle w:val="Hyperlink"/>
                <w:rFonts w:ascii="Arial" w:hAnsi="Arial" w:cs="Arial"/>
                <w:noProof/>
                <w:color w:val="000000" w:themeColor="text1"/>
                <w:sz w:val="22"/>
                <w:szCs w:val="22"/>
              </w:rPr>
              <w:t>Reference list</w:t>
            </w:r>
            <w:r w:rsidRPr="00814DD9">
              <w:rPr>
                <w:rFonts w:ascii="Arial" w:hAnsi="Arial" w:cs="Arial"/>
                <w:noProof/>
                <w:webHidden/>
                <w:color w:val="000000" w:themeColor="text1"/>
                <w:sz w:val="22"/>
                <w:szCs w:val="22"/>
              </w:rPr>
              <w:tab/>
            </w:r>
            <w:r w:rsidRPr="00814DD9">
              <w:rPr>
                <w:rFonts w:ascii="Arial" w:hAnsi="Arial" w:cs="Arial"/>
                <w:noProof/>
                <w:webHidden/>
                <w:color w:val="000000" w:themeColor="text1"/>
                <w:sz w:val="22"/>
                <w:szCs w:val="22"/>
              </w:rPr>
              <w:fldChar w:fldCharType="begin"/>
            </w:r>
            <w:r w:rsidRPr="00814DD9">
              <w:rPr>
                <w:rFonts w:ascii="Arial" w:hAnsi="Arial" w:cs="Arial"/>
                <w:noProof/>
                <w:webHidden/>
                <w:color w:val="000000" w:themeColor="text1"/>
                <w:sz w:val="22"/>
                <w:szCs w:val="22"/>
              </w:rPr>
              <w:instrText xml:space="preserve"> PAGEREF _Toc213431377 \h </w:instrText>
            </w:r>
            <w:r w:rsidRPr="00814DD9">
              <w:rPr>
                <w:rFonts w:ascii="Arial" w:hAnsi="Arial" w:cs="Arial"/>
                <w:noProof/>
                <w:webHidden/>
                <w:color w:val="000000" w:themeColor="text1"/>
                <w:sz w:val="22"/>
                <w:szCs w:val="22"/>
              </w:rPr>
            </w:r>
            <w:r w:rsidRPr="00814DD9">
              <w:rPr>
                <w:rFonts w:ascii="Arial" w:hAnsi="Arial" w:cs="Arial"/>
                <w:noProof/>
                <w:webHidden/>
                <w:color w:val="000000" w:themeColor="text1"/>
                <w:sz w:val="22"/>
                <w:szCs w:val="22"/>
              </w:rPr>
              <w:fldChar w:fldCharType="separate"/>
            </w:r>
            <w:r w:rsidR="00C45B57">
              <w:rPr>
                <w:rFonts w:ascii="Arial" w:hAnsi="Arial" w:cs="Arial"/>
                <w:noProof/>
                <w:webHidden/>
                <w:color w:val="000000" w:themeColor="text1"/>
                <w:sz w:val="22"/>
                <w:szCs w:val="22"/>
              </w:rPr>
              <w:t>7</w:t>
            </w:r>
            <w:r w:rsidRPr="00814DD9">
              <w:rPr>
                <w:rFonts w:ascii="Arial" w:hAnsi="Arial" w:cs="Arial"/>
                <w:noProof/>
                <w:webHidden/>
                <w:color w:val="000000" w:themeColor="text1"/>
                <w:sz w:val="22"/>
                <w:szCs w:val="22"/>
              </w:rPr>
              <w:fldChar w:fldCharType="end"/>
            </w:r>
          </w:hyperlink>
        </w:p>
        <w:p w14:paraId="1B20017C" w14:textId="2EF5A3D1" w:rsidR="00D353BE" w:rsidRPr="00814DD9" w:rsidRDefault="00D353BE" w:rsidP="00D353BE">
          <w:pPr>
            <w:rPr>
              <w:rFonts w:ascii="Arial" w:hAnsi="Arial" w:cs="Arial"/>
              <w:sz w:val="22"/>
              <w:szCs w:val="22"/>
            </w:rPr>
          </w:pPr>
          <w:r w:rsidRPr="00814DD9">
            <w:rPr>
              <w:rFonts w:ascii="Arial" w:hAnsi="Arial" w:cs="Arial"/>
              <w:b/>
              <w:bCs/>
              <w:noProof/>
              <w:color w:val="000000" w:themeColor="text1"/>
              <w:sz w:val="22"/>
              <w:szCs w:val="22"/>
            </w:rPr>
            <w:fldChar w:fldCharType="end"/>
          </w:r>
        </w:p>
      </w:sdtContent>
    </w:sdt>
    <w:p w14:paraId="196677BD" w14:textId="77777777" w:rsidR="00E84F30" w:rsidRPr="00814DD9" w:rsidRDefault="00E84F30" w:rsidP="00D353BE">
      <w:pPr>
        <w:rPr>
          <w:rFonts w:ascii="Arial" w:hAnsi="Arial" w:cs="Arial"/>
          <w:b/>
          <w:sz w:val="22"/>
          <w:szCs w:val="22"/>
        </w:rPr>
      </w:pPr>
    </w:p>
    <w:p w14:paraId="0B0C5D50" w14:textId="77777777" w:rsidR="00E84F30" w:rsidRPr="00814DD9" w:rsidRDefault="00E84F30">
      <w:pPr>
        <w:jc w:val="center"/>
        <w:rPr>
          <w:rFonts w:ascii="Arial" w:hAnsi="Arial" w:cs="Arial"/>
          <w:b/>
          <w:sz w:val="22"/>
          <w:szCs w:val="22"/>
        </w:rPr>
      </w:pPr>
    </w:p>
    <w:p w14:paraId="74647CC2" w14:textId="77777777" w:rsidR="00E84F30" w:rsidRPr="00814DD9" w:rsidRDefault="00296084">
      <w:pPr>
        <w:pStyle w:val="Heading1"/>
        <w:rPr>
          <w:rFonts w:ascii="Arial" w:hAnsi="Arial" w:cs="Arial"/>
          <w:sz w:val="22"/>
          <w:szCs w:val="22"/>
        </w:rPr>
      </w:pPr>
      <w:bookmarkStart w:id="0" w:name="_j7wk05yay7op" w:colFirst="0" w:colLast="0"/>
      <w:bookmarkEnd w:id="0"/>
      <w:r w:rsidRPr="00814DD9">
        <w:rPr>
          <w:rFonts w:ascii="Arial" w:hAnsi="Arial" w:cs="Arial"/>
          <w:sz w:val="22"/>
          <w:szCs w:val="22"/>
        </w:rPr>
        <w:br w:type="page"/>
      </w:r>
    </w:p>
    <w:p w14:paraId="4E130F3E" w14:textId="77777777" w:rsidR="00E84F30" w:rsidRPr="00814DD9" w:rsidRDefault="00296084">
      <w:pPr>
        <w:pStyle w:val="Heading1"/>
        <w:rPr>
          <w:rFonts w:ascii="Arial" w:hAnsi="Arial" w:cs="Arial"/>
          <w:sz w:val="22"/>
          <w:szCs w:val="22"/>
        </w:rPr>
      </w:pPr>
      <w:bookmarkStart w:id="1" w:name="_uur2yzxj5hwu" w:colFirst="0" w:colLast="0"/>
      <w:bookmarkStart w:id="2" w:name="_Toc213431372"/>
      <w:bookmarkEnd w:id="1"/>
      <w:r w:rsidRPr="00814DD9">
        <w:rPr>
          <w:rFonts w:ascii="Arial" w:hAnsi="Arial" w:cs="Arial"/>
          <w:sz w:val="22"/>
          <w:szCs w:val="22"/>
        </w:rPr>
        <w:lastRenderedPageBreak/>
        <w:t>Introduction</w:t>
      </w:r>
      <w:bookmarkEnd w:id="2"/>
    </w:p>
    <w:p w14:paraId="4C3CA599" w14:textId="77777777" w:rsidR="00E84F30" w:rsidRPr="00814DD9" w:rsidRDefault="00296084">
      <w:pPr>
        <w:rPr>
          <w:rFonts w:ascii="Arial" w:hAnsi="Arial" w:cs="Arial"/>
          <w:sz w:val="22"/>
          <w:szCs w:val="22"/>
        </w:rPr>
      </w:pPr>
      <w:r w:rsidRPr="00814DD9">
        <w:rPr>
          <w:rFonts w:ascii="Arial" w:hAnsi="Arial" w:cs="Arial"/>
          <w:sz w:val="22"/>
          <w:szCs w:val="22"/>
        </w:rPr>
        <w:t xml:space="preserve">Health and social care skills like communication, data management and administrative knowledge are some of the potential aspects of a caregiver that helps to deal with patients. The case of Mrs. Mann helps in exploring that she is a 72 years old woman, who has been discharged from hospital after hip surgery. Moreover, for taking care of the patient a personal caregiver has been assigned for her to take care in the homely environment. However, in this case, language barrier has been addressed as a key challenge as Mrs. Mann is talking in Urdu, whereas the caregiver only understands English. Based on this issue, a mismanagement in documentation has been observed in Mrs. Mann’s care giving procedure. This current assignment is focusing on an analysis of communication theories along with the importance of administrative skills for maintaining flexible outcomes in caregiving practices. </w:t>
      </w:r>
    </w:p>
    <w:p w14:paraId="4DA9C3E2" w14:textId="77777777" w:rsidR="00E84F30" w:rsidRPr="00814DD9" w:rsidRDefault="00296084">
      <w:pPr>
        <w:pStyle w:val="Heading1"/>
        <w:rPr>
          <w:rFonts w:ascii="Arial" w:hAnsi="Arial" w:cs="Arial"/>
          <w:sz w:val="22"/>
          <w:szCs w:val="22"/>
        </w:rPr>
      </w:pPr>
      <w:bookmarkStart w:id="3" w:name="_14iz1icddo49" w:colFirst="0" w:colLast="0"/>
      <w:bookmarkStart w:id="4" w:name="_Toc213431373"/>
      <w:bookmarkEnd w:id="3"/>
      <w:r w:rsidRPr="00814DD9">
        <w:rPr>
          <w:rFonts w:ascii="Arial" w:hAnsi="Arial" w:cs="Arial"/>
          <w:sz w:val="22"/>
          <w:szCs w:val="22"/>
        </w:rPr>
        <w:t>Section 1: Effective communication</w:t>
      </w:r>
      <w:bookmarkEnd w:id="4"/>
      <w:r w:rsidRPr="00814DD9">
        <w:rPr>
          <w:rFonts w:ascii="Arial" w:hAnsi="Arial" w:cs="Arial"/>
          <w:sz w:val="22"/>
          <w:szCs w:val="22"/>
        </w:rPr>
        <w:t xml:space="preserve"> </w:t>
      </w:r>
    </w:p>
    <w:p w14:paraId="04CCA520" w14:textId="6E5E90A7" w:rsidR="00E84F30" w:rsidRPr="00814DD9" w:rsidRDefault="00296084">
      <w:pPr>
        <w:rPr>
          <w:rFonts w:ascii="Arial" w:hAnsi="Arial" w:cs="Arial"/>
          <w:sz w:val="22"/>
          <w:szCs w:val="22"/>
        </w:rPr>
      </w:pPr>
      <w:r w:rsidRPr="00814DD9">
        <w:rPr>
          <w:rFonts w:ascii="Arial" w:hAnsi="Arial" w:cs="Arial"/>
          <w:sz w:val="22"/>
          <w:szCs w:val="22"/>
        </w:rPr>
        <w:t xml:space="preserve">Communication skill is important for care given practices in terms of maintaining flexible interaction with patients. However, based on the case of Mrs. Mann a crucial language barrier has been observed with the care giver, which further causes key challenges in maintaining effective data tracking and documentation issues. As discussed by Pandey </w:t>
      </w:r>
      <w:r w:rsidRPr="00814DD9">
        <w:rPr>
          <w:rFonts w:ascii="Arial" w:hAnsi="Arial" w:cs="Arial"/>
          <w:i/>
          <w:sz w:val="22"/>
          <w:szCs w:val="22"/>
        </w:rPr>
        <w:t>et al</w:t>
      </w:r>
      <w:r w:rsidRPr="00814DD9">
        <w:rPr>
          <w:rFonts w:ascii="Arial" w:hAnsi="Arial" w:cs="Arial"/>
          <w:sz w:val="22"/>
          <w:szCs w:val="22"/>
        </w:rPr>
        <w:t xml:space="preserve">. (2021), language and cultural barriers impact healthcare practices due to the possibilities in data mismanagement. However, in this case, application of </w:t>
      </w:r>
      <w:r w:rsidRPr="00814DD9">
        <w:rPr>
          <w:rFonts w:ascii="Arial" w:hAnsi="Arial" w:cs="Arial"/>
          <w:b/>
          <w:i/>
          <w:sz w:val="22"/>
          <w:szCs w:val="22"/>
        </w:rPr>
        <w:t xml:space="preserve">Berlo (1996) model </w:t>
      </w:r>
      <w:r w:rsidRPr="00814DD9">
        <w:rPr>
          <w:rFonts w:ascii="Arial" w:hAnsi="Arial" w:cs="Arial"/>
          <w:sz w:val="22"/>
          <w:szCs w:val="22"/>
        </w:rPr>
        <w:t xml:space="preserve">of communication stands for implementing </w:t>
      </w:r>
      <w:r w:rsidR="006820E3" w:rsidRPr="00814DD9">
        <w:rPr>
          <w:rFonts w:ascii="Arial" w:hAnsi="Arial" w:cs="Arial"/>
          <w:sz w:val="22"/>
          <w:szCs w:val="22"/>
        </w:rPr>
        <w:t>feedback-based</w:t>
      </w:r>
      <w:r w:rsidRPr="00814DD9">
        <w:rPr>
          <w:rFonts w:ascii="Arial" w:hAnsi="Arial" w:cs="Arial"/>
          <w:sz w:val="22"/>
          <w:szCs w:val="22"/>
        </w:rPr>
        <w:t xml:space="preserve"> communication initiatives in health and social care practices for maintaining successful documentation practices. As opined by Larsson (2024), Berlo (1996) model stands for maintaining feedback-based communication between caregivers and patients for tracking the process of caregiving practices. Moreover, this model also focuses on reducing risk of cultural sensitivity by developing stable knowledge on different cultural needs. As stated by Stephanou (2023), cultural sensitivity is a potential barrier in health and social caregiving practices that further impacts on growth of an individual's understanding to tackle emotional demand of patients. However, involvement of feedback analysis perspective can be examined as beneficial for the caregiver of Mrs. Mann</w:t>
      </w:r>
      <w:r w:rsidR="006820E3">
        <w:rPr>
          <w:rFonts w:ascii="Arial" w:hAnsi="Arial" w:cs="Arial"/>
          <w:sz w:val="22"/>
          <w:szCs w:val="22"/>
        </w:rPr>
        <w:t>. This can</w:t>
      </w:r>
      <w:r w:rsidRPr="00814DD9">
        <w:rPr>
          <w:rFonts w:ascii="Arial" w:hAnsi="Arial" w:cs="Arial"/>
          <w:sz w:val="22"/>
          <w:szCs w:val="22"/>
        </w:rPr>
        <w:t xml:space="preserve"> also </w:t>
      </w:r>
      <w:r w:rsidR="006820E3">
        <w:rPr>
          <w:rFonts w:ascii="Arial" w:hAnsi="Arial" w:cs="Arial"/>
          <w:sz w:val="22"/>
          <w:szCs w:val="22"/>
        </w:rPr>
        <w:t xml:space="preserve">aid in </w:t>
      </w:r>
      <w:r w:rsidRPr="00814DD9">
        <w:rPr>
          <w:rFonts w:ascii="Arial" w:hAnsi="Arial" w:cs="Arial"/>
          <w:sz w:val="22"/>
          <w:szCs w:val="22"/>
        </w:rPr>
        <w:t>develop</w:t>
      </w:r>
      <w:r w:rsidR="006820E3">
        <w:rPr>
          <w:rFonts w:ascii="Arial" w:hAnsi="Arial" w:cs="Arial"/>
          <w:sz w:val="22"/>
          <w:szCs w:val="22"/>
        </w:rPr>
        <w:t>ing</w:t>
      </w:r>
      <w:r w:rsidRPr="00814DD9">
        <w:rPr>
          <w:rFonts w:ascii="Arial" w:hAnsi="Arial" w:cs="Arial"/>
          <w:sz w:val="22"/>
          <w:szCs w:val="22"/>
        </w:rPr>
        <w:t xml:space="preserve"> emotional connections to reduce cultural sensitivity along with Berlo’s model. </w:t>
      </w:r>
    </w:p>
    <w:p w14:paraId="39E75EF1" w14:textId="77777777" w:rsidR="00E84F30" w:rsidRPr="00814DD9" w:rsidRDefault="00296084">
      <w:pPr>
        <w:jc w:val="center"/>
        <w:rPr>
          <w:rFonts w:ascii="Arial" w:hAnsi="Arial" w:cs="Arial"/>
          <w:sz w:val="22"/>
          <w:szCs w:val="22"/>
        </w:rPr>
      </w:pPr>
      <w:r w:rsidRPr="00814DD9">
        <w:rPr>
          <w:rFonts w:ascii="Arial" w:hAnsi="Arial" w:cs="Arial"/>
          <w:noProof/>
          <w:sz w:val="22"/>
          <w:szCs w:val="22"/>
        </w:rPr>
        <w:drawing>
          <wp:inline distT="114300" distB="114300" distL="114300" distR="114300" wp14:anchorId="49E9E093" wp14:editId="2C594883">
            <wp:extent cx="4286250" cy="1331443"/>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286250" cy="1331443"/>
                    </a:xfrm>
                    <a:prstGeom prst="rect">
                      <a:avLst/>
                    </a:prstGeom>
                    <a:ln w="12700">
                      <a:solidFill>
                        <a:srgbClr val="000000"/>
                      </a:solidFill>
                      <a:prstDash val="solid"/>
                    </a:ln>
                  </pic:spPr>
                </pic:pic>
              </a:graphicData>
            </a:graphic>
          </wp:inline>
        </w:drawing>
      </w:r>
    </w:p>
    <w:p w14:paraId="7C3224BB" w14:textId="77777777" w:rsidR="00E84F30" w:rsidRPr="00814DD9" w:rsidRDefault="00296084">
      <w:pPr>
        <w:jc w:val="center"/>
        <w:rPr>
          <w:rFonts w:ascii="Arial" w:hAnsi="Arial" w:cs="Arial"/>
          <w:b/>
          <w:sz w:val="22"/>
          <w:szCs w:val="22"/>
        </w:rPr>
      </w:pPr>
      <w:r w:rsidRPr="00814DD9">
        <w:rPr>
          <w:rFonts w:ascii="Arial" w:hAnsi="Arial" w:cs="Arial"/>
          <w:b/>
          <w:sz w:val="22"/>
          <w:szCs w:val="22"/>
        </w:rPr>
        <w:lastRenderedPageBreak/>
        <w:t>Figure 1: Key steps of Berlo (1996) model</w:t>
      </w:r>
    </w:p>
    <w:p w14:paraId="2AB80A54" w14:textId="77777777" w:rsidR="00E84F30" w:rsidRPr="00814DD9" w:rsidRDefault="00296084">
      <w:pPr>
        <w:jc w:val="center"/>
        <w:rPr>
          <w:rFonts w:ascii="Arial" w:hAnsi="Arial" w:cs="Arial"/>
          <w:sz w:val="22"/>
          <w:szCs w:val="22"/>
        </w:rPr>
      </w:pPr>
      <w:r w:rsidRPr="00814DD9">
        <w:rPr>
          <w:rFonts w:ascii="Arial" w:hAnsi="Arial" w:cs="Arial"/>
          <w:sz w:val="22"/>
          <w:szCs w:val="22"/>
        </w:rPr>
        <w:t>(Source: Influenced by Larsson, 2024)</w:t>
      </w:r>
    </w:p>
    <w:p w14:paraId="7170FDAC" w14:textId="3720E525" w:rsidR="00E84F30" w:rsidRPr="00814DD9" w:rsidRDefault="00296084">
      <w:pPr>
        <w:rPr>
          <w:rFonts w:ascii="Arial" w:hAnsi="Arial" w:cs="Arial"/>
          <w:sz w:val="22"/>
          <w:szCs w:val="22"/>
        </w:rPr>
      </w:pPr>
      <w:r w:rsidRPr="00814DD9">
        <w:rPr>
          <w:rFonts w:ascii="Arial" w:hAnsi="Arial" w:cs="Arial"/>
          <w:sz w:val="22"/>
          <w:szCs w:val="22"/>
        </w:rPr>
        <w:t xml:space="preserve">The cultural conflict between Mrs. Mann and her caregiver further can be resolved with the integration of </w:t>
      </w:r>
      <w:r w:rsidRPr="00814DD9">
        <w:rPr>
          <w:rFonts w:ascii="Arial" w:hAnsi="Arial" w:cs="Arial"/>
          <w:b/>
          <w:i/>
          <w:sz w:val="22"/>
          <w:szCs w:val="22"/>
        </w:rPr>
        <w:t>Shannon and Weaver's Model of Communication</w:t>
      </w:r>
      <w:r w:rsidRPr="00814DD9">
        <w:rPr>
          <w:rFonts w:ascii="Arial" w:hAnsi="Arial" w:cs="Arial"/>
          <w:sz w:val="22"/>
          <w:szCs w:val="22"/>
        </w:rPr>
        <w:t xml:space="preserve"> as it helps in tracking sources of information. As discussed by Nwagwu and Akanji (2024), Shannon and Weaver's Model is beneficial for maintaining a direct interaction between </w:t>
      </w:r>
      <w:r w:rsidR="00C45B57" w:rsidRPr="00814DD9">
        <w:rPr>
          <w:rFonts w:ascii="Arial" w:hAnsi="Arial" w:cs="Arial"/>
          <w:sz w:val="22"/>
          <w:szCs w:val="22"/>
        </w:rPr>
        <w:t>caregivers’</w:t>
      </w:r>
      <w:r w:rsidRPr="00814DD9">
        <w:rPr>
          <w:rFonts w:ascii="Arial" w:hAnsi="Arial" w:cs="Arial"/>
          <w:sz w:val="22"/>
          <w:szCs w:val="22"/>
        </w:rPr>
        <w:t xml:space="preserve"> information and healthcare </w:t>
      </w:r>
      <w:r w:rsidR="00C45B57" w:rsidRPr="00814DD9">
        <w:rPr>
          <w:rFonts w:ascii="Arial" w:hAnsi="Arial" w:cs="Arial"/>
          <w:sz w:val="22"/>
          <w:szCs w:val="22"/>
        </w:rPr>
        <w:t>authorities’</w:t>
      </w:r>
      <w:r w:rsidRPr="00814DD9">
        <w:rPr>
          <w:rFonts w:ascii="Arial" w:hAnsi="Arial" w:cs="Arial"/>
          <w:sz w:val="22"/>
          <w:szCs w:val="22"/>
        </w:rPr>
        <w:t xml:space="preserve"> information receiver. It further can help to reduce potential risk of data mismanagements during health and social caregiving practices. In this context, Bratches </w:t>
      </w:r>
      <w:r w:rsidRPr="00814DD9">
        <w:rPr>
          <w:rFonts w:ascii="Arial" w:hAnsi="Arial" w:cs="Arial"/>
          <w:i/>
          <w:sz w:val="22"/>
          <w:szCs w:val="22"/>
        </w:rPr>
        <w:t>et al</w:t>
      </w:r>
      <w:r w:rsidRPr="00814DD9">
        <w:rPr>
          <w:rFonts w:ascii="Arial" w:hAnsi="Arial" w:cs="Arial"/>
          <w:sz w:val="22"/>
          <w:szCs w:val="22"/>
        </w:rPr>
        <w:t>. (2021) revealed that the key message of the caregiver's original signal also can be interpreted by implementing transmitted review management practices. It further helps to determine risk management initiatives within an organisational context along with the consideration of standardised communication procedure.</w:t>
      </w:r>
    </w:p>
    <w:p w14:paraId="16C0A26D" w14:textId="77777777" w:rsidR="00E84F30" w:rsidRPr="00814DD9" w:rsidRDefault="00296084">
      <w:pPr>
        <w:jc w:val="center"/>
        <w:rPr>
          <w:rFonts w:ascii="Arial" w:hAnsi="Arial" w:cs="Arial"/>
          <w:sz w:val="22"/>
          <w:szCs w:val="22"/>
        </w:rPr>
      </w:pPr>
      <w:r w:rsidRPr="00814DD9">
        <w:rPr>
          <w:rFonts w:ascii="Arial" w:hAnsi="Arial" w:cs="Arial"/>
          <w:noProof/>
          <w:sz w:val="22"/>
          <w:szCs w:val="22"/>
        </w:rPr>
        <w:drawing>
          <wp:inline distT="114300" distB="114300" distL="114300" distR="114300" wp14:anchorId="783F8CA6" wp14:editId="3903ABF3">
            <wp:extent cx="4565650" cy="1933955"/>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565650" cy="1933955"/>
                    </a:xfrm>
                    <a:prstGeom prst="rect">
                      <a:avLst/>
                    </a:prstGeom>
                    <a:ln w="12700">
                      <a:solidFill>
                        <a:srgbClr val="000000"/>
                      </a:solidFill>
                      <a:prstDash val="solid"/>
                    </a:ln>
                  </pic:spPr>
                </pic:pic>
              </a:graphicData>
            </a:graphic>
          </wp:inline>
        </w:drawing>
      </w:r>
    </w:p>
    <w:p w14:paraId="7723FBA6" w14:textId="77777777" w:rsidR="00E84F30" w:rsidRPr="00814DD9" w:rsidRDefault="00296084">
      <w:pPr>
        <w:jc w:val="center"/>
        <w:rPr>
          <w:rFonts w:ascii="Arial" w:hAnsi="Arial" w:cs="Arial"/>
          <w:b/>
          <w:sz w:val="22"/>
          <w:szCs w:val="22"/>
        </w:rPr>
      </w:pPr>
      <w:r w:rsidRPr="00814DD9">
        <w:rPr>
          <w:rFonts w:ascii="Arial" w:hAnsi="Arial" w:cs="Arial"/>
          <w:b/>
          <w:sz w:val="22"/>
          <w:szCs w:val="22"/>
        </w:rPr>
        <w:t>Figure 2: Shannon and Weaver's Model of Communication</w:t>
      </w:r>
    </w:p>
    <w:p w14:paraId="3A79F728" w14:textId="77777777" w:rsidR="00E84F30" w:rsidRPr="00814DD9" w:rsidRDefault="00296084">
      <w:pPr>
        <w:jc w:val="center"/>
        <w:rPr>
          <w:rFonts w:ascii="Arial" w:hAnsi="Arial" w:cs="Arial"/>
          <w:sz w:val="22"/>
          <w:szCs w:val="22"/>
        </w:rPr>
      </w:pPr>
      <w:r w:rsidRPr="00814DD9">
        <w:rPr>
          <w:rFonts w:ascii="Arial" w:hAnsi="Arial" w:cs="Arial"/>
          <w:sz w:val="22"/>
          <w:szCs w:val="22"/>
        </w:rPr>
        <w:t xml:space="preserve">(Source: Derived from the lecture notes) </w:t>
      </w:r>
    </w:p>
    <w:p w14:paraId="740B8A14" w14:textId="162AF68B" w:rsidR="00E84F30" w:rsidRPr="00814DD9" w:rsidRDefault="00296084">
      <w:pPr>
        <w:rPr>
          <w:rFonts w:ascii="Arial" w:hAnsi="Arial" w:cs="Arial"/>
          <w:sz w:val="22"/>
          <w:szCs w:val="22"/>
        </w:rPr>
      </w:pPr>
      <w:r w:rsidRPr="00814DD9">
        <w:rPr>
          <w:rFonts w:ascii="Arial" w:hAnsi="Arial" w:cs="Arial"/>
          <w:sz w:val="22"/>
          <w:szCs w:val="22"/>
        </w:rPr>
        <w:t xml:space="preserve">The above figure reveals the process of maintaining health and social </w:t>
      </w:r>
      <w:r w:rsidR="00C45B57" w:rsidRPr="00814DD9">
        <w:rPr>
          <w:rFonts w:ascii="Arial" w:hAnsi="Arial" w:cs="Arial"/>
          <w:sz w:val="22"/>
          <w:szCs w:val="22"/>
        </w:rPr>
        <w:t>care-based</w:t>
      </w:r>
      <w:r w:rsidRPr="00814DD9">
        <w:rPr>
          <w:rFonts w:ascii="Arial" w:hAnsi="Arial" w:cs="Arial"/>
          <w:sz w:val="22"/>
          <w:szCs w:val="22"/>
        </w:rPr>
        <w:t xml:space="preserve"> communication initiatives through standardised channels of communication. However, during the consideration of this model the caregiver of Mrs. Mann needs to consider the Equality Act of 2010 in terms of maintaining cultural acceptance between patient, caregiver and channel of communication for authentic data transmission. The Equality Act of 2010 stands for reducing social and cultural biases in society to maintain equal rights in the health-social care context (Gov UK, 2025). Thus, the caregiver of Mrs. Mann also can receive an advantage for gaining equal rights during her work by reducing cultural biases. </w:t>
      </w:r>
    </w:p>
    <w:p w14:paraId="79BD0537" w14:textId="77777777" w:rsidR="00E84F30" w:rsidRPr="00814DD9" w:rsidRDefault="00296084">
      <w:pPr>
        <w:pStyle w:val="Heading1"/>
        <w:rPr>
          <w:rFonts w:ascii="Arial" w:hAnsi="Arial" w:cs="Arial"/>
          <w:sz w:val="22"/>
          <w:szCs w:val="22"/>
        </w:rPr>
      </w:pPr>
      <w:bookmarkStart w:id="5" w:name="_5gnicr5d6hyy" w:colFirst="0" w:colLast="0"/>
      <w:bookmarkStart w:id="6" w:name="_Toc213431374"/>
      <w:bookmarkEnd w:id="5"/>
      <w:r w:rsidRPr="00814DD9">
        <w:rPr>
          <w:rFonts w:ascii="Arial" w:hAnsi="Arial" w:cs="Arial"/>
          <w:sz w:val="22"/>
          <w:szCs w:val="22"/>
        </w:rPr>
        <w:t>Section 2: Administrative skill and record keeping</w:t>
      </w:r>
      <w:bookmarkEnd w:id="6"/>
      <w:r w:rsidRPr="00814DD9">
        <w:rPr>
          <w:rFonts w:ascii="Arial" w:hAnsi="Arial" w:cs="Arial"/>
          <w:sz w:val="22"/>
          <w:szCs w:val="22"/>
        </w:rPr>
        <w:t xml:space="preserve"> </w:t>
      </w:r>
    </w:p>
    <w:p w14:paraId="637E1B2B" w14:textId="31B092FD" w:rsidR="00E84F30" w:rsidRPr="00814DD9" w:rsidRDefault="00296084">
      <w:pPr>
        <w:rPr>
          <w:rFonts w:ascii="Arial" w:hAnsi="Arial" w:cs="Arial"/>
          <w:sz w:val="22"/>
          <w:szCs w:val="22"/>
        </w:rPr>
      </w:pPr>
      <w:r w:rsidRPr="00814DD9">
        <w:rPr>
          <w:rFonts w:ascii="Arial" w:hAnsi="Arial" w:cs="Arial"/>
          <w:sz w:val="22"/>
          <w:szCs w:val="22"/>
        </w:rPr>
        <w:t xml:space="preserve">Maintaining accuracy of documentation is an important factor in social and healthcare practices in terms of establishing successful treatment possibilities of patients. As opined by Wager </w:t>
      </w:r>
      <w:r w:rsidRPr="00814DD9">
        <w:rPr>
          <w:rFonts w:ascii="Arial" w:hAnsi="Arial" w:cs="Arial"/>
          <w:i/>
          <w:sz w:val="22"/>
          <w:szCs w:val="22"/>
        </w:rPr>
        <w:t>et al</w:t>
      </w:r>
      <w:r w:rsidRPr="00814DD9">
        <w:rPr>
          <w:rFonts w:ascii="Arial" w:hAnsi="Arial" w:cs="Arial"/>
          <w:sz w:val="22"/>
          <w:szCs w:val="22"/>
        </w:rPr>
        <w:t xml:space="preserve">. (2021), accurate data documentation based on </w:t>
      </w:r>
      <w:r w:rsidR="00C45B57" w:rsidRPr="00814DD9">
        <w:rPr>
          <w:rFonts w:ascii="Arial" w:hAnsi="Arial" w:cs="Arial"/>
          <w:sz w:val="22"/>
          <w:szCs w:val="22"/>
        </w:rPr>
        <w:t>patients’</w:t>
      </w:r>
      <w:r w:rsidRPr="00814DD9">
        <w:rPr>
          <w:rFonts w:ascii="Arial" w:hAnsi="Arial" w:cs="Arial"/>
          <w:sz w:val="22"/>
          <w:szCs w:val="22"/>
        </w:rPr>
        <w:t xml:space="preserve"> state of intervention is an essential factor for establishing successful treatment practices in healthcare setup. </w:t>
      </w:r>
      <w:r w:rsidRPr="00814DD9">
        <w:rPr>
          <w:rFonts w:ascii="Arial" w:hAnsi="Arial" w:cs="Arial"/>
          <w:sz w:val="22"/>
          <w:szCs w:val="22"/>
        </w:rPr>
        <w:lastRenderedPageBreak/>
        <w:t xml:space="preserve">However, the case study of Mrs. Mann highlights that lack of accuracy in keeping record of current investment requirements has been explored as a potential challenge causing data mismanagement. Based on this issue, the caregiver’s actions on delayed medication adjustment </w:t>
      </w:r>
      <w:r w:rsidR="00835649" w:rsidRPr="00814DD9">
        <w:rPr>
          <w:rFonts w:ascii="Arial" w:hAnsi="Arial" w:cs="Arial"/>
          <w:sz w:val="22"/>
          <w:szCs w:val="22"/>
        </w:rPr>
        <w:t>have</w:t>
      </w:r>
      <w:r w:rsidRPr="00814DD9">
        <w:rPr>
          <w:rFonts w:ascii="Arial" w:hAnsi="Arial" w:cs="Arial"/>
          <w:sz w:val="22"/>
          <w:szCs w:val="22"/>
        </w:rPr>
        <w:t xml:space="preserve"> called for internal investigation. Based on these issues, integration of </w:t>
      </w:r>
      <w:r w:rsidRPr="00814DD9">
        <w:rPr>
          <w:rFonts w:ascii="Arial" w:hAnsi="Arial" w:cs="Arial"/>
          <w:b/>
          <w:i/>
          <w:sz w:val="22"/>
          <w:szCs w:val="22"/>
        </w:rPr>
        <w:t>Caldicott's principles</w:t>
      </w:r>
      <w:r w:rsidRPr="00814DD9">
        <w:rPr>
          <w:rFonts w:ascii="Arial" w:hAnsi="Arial" w:cs="Arial"/>
          <w:sz w:val="22"/>
          <w:szCs w:val="22"/>
        </w:rPr>
        <w:t xml:space="preserve"> can be proven as effective for maintaining confidential data transmission through online end-to-end </w:t>
      </w:r>
      <w:r w:rsidR="00C45B57" w:rsidRPr="00814DD9">
        <w:rPr>
          <w:rFonts w:ascii="Arial" w:hAnsi="Arial" w:cs="Arial"/>
          <w:sz w:val="22"/>
          <w:szCs w:val="22"/>
        </w:rPr>
        <w:t>encryption-based</w:t>
      </w:r>
      <w:r w:rsidRPr="00814DD9">
        <w:rPr>
          <w:rFonts w:ascii="Arial" w:hAnsi="Arial" w:cs="Arial"/>
          <w:sz w:val="22"/>
          <w:szCs w:val="22"/>
        </w:rPr>
        <w:t xml:space="preserve"> initiatives. As stated by Savage (2021), Caldicott's principles stand for maintaining data confidentiality in healthcare for maintaining patient information safety. It further can assist the caregiver of Mrs. Mann to cooperate with internal investigators by maintaining information confidentiality. </w:t>
      </w:r>
    </w:p>
    <w:p w14:paraId="77E53B20" w14:textId="77777777" w:rsidR="00E84F30" w:rsidRPr="00814DD9" w:rsidRDefault="00296084">
      <w:pPr>
        <w:jc w:val="center"/>
        <w:rPr>
          <w:rFonts w:ascii="Arial" w:hAnsi="Arial" w:cs="Arial"/>
          <w:sz w:val="22"/>
          <w:szCs w:val="22"/>
        </w:rPr>
      </w:pPr>
      <w:r w:rsidRPr="00814DD9">
        <w:rPr>
          <w:rFonts w:ascii="Arial" w:hAnsi="Arial" w:cs="Arial"/>
          <w:noProof/>
          <w:sz w:val="22"/>
          <w:szCs w:val="22"/>
        </w:rPr>
        <w:drawing>
          <wp:inline distT="114300" distB="114300" distL="114300" distR="114300" wp14:anchorId="5CE855A1" wp14:editId="5829DED9">
            <wp:extent cx="4978400" cy="2910958"/>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978400" cy="2910958"/>
                    </a:xfrm>
                    <a:prstGeom prst="rect">
                      <a:avLst/>
                    </a:prstGeom>
                    <a:ln w="12700">
                      <a:solidFill>
                        <a:srgbClr val="000000"/>
                      </a:solidFill>
                      <a:prstDash val="solid"/>
                    </a:ln>
                  </pic:spPr>
                </pic:pic>
              </a:graphicData>
            </a:graphic>
          </wp:inline>
        </w:drawing>
      </w:r>
    </w:p>
    <w:p w14:paraId="301A3A27" w14:textId="77777777" w:rsidR="00E84F30" w:rsidRPr="00814DD9" w:rsidRDefault="00296084">
      <w:pPr>
        <w:jc w:val="center"/>
        <w:rPr>
          <w:rFonts w:ascii="Arial" w:hAnsi="Arial" w:cs="Arial"/>
          <w:b/>
          <w:sz w:val="22"/>
          <w:szCs w:val="22"/>
        </w:rPr>
      </w:pPr>
      <w:r w:rsidRPr="00814DD9">
        <w:rPr>
          <w:rFonts w:ascii="Arial" w:hAnsi="Arial" w:cs="Arial"/>
          <w:b/>
          <w:sz w:val="22"/>
          <w:szCs w:val="22"/>
        </w:rPr>
        <w:t xml:space="preserve">Figure 3: Key principles of Caldicott </w:t>
      </w:r>
    </w:p>
    <w:p w14:paraId="7935CA00" w14:textId="77777777" w:rsidR="00E84F30" w:rsidRPr="00814DD9" w:rsidRDefault="00296084">
      <w:pPr>
        <w:jc w:val="center"/>
        <w:rPr>
          <w:rFonts w:ascii="Arial" w:hAnsi="Arial" w:cs="Arial"/>
          <w:b/>
          <w:sz w:val="22"/>
          <w:szCs w:val="22"/>
        </w:rPr>
      </w:pPr>
      <w:r w:rsidRPr="00814DD9">
        <w:rPr>
          <w:rFonts w:ascii="Arial" w:hAnsi="Arial" w:cs="Arial"/>
          <w:sz w:val="22"/>
          <w:szCs w:val="22"/>
        </w:rPr>
        <w:t>(Source: Influenced by Savage, 2021)</w:t>
      </w:r>
    </w:p>
    <w:p w14:paraId="1F93480E" w14:textId="77777777" w:rsidR="00E84F30" w:rsidRPr="00814DD9" w:rsidRDefault="00296084">
      <w:pPr>
        <w:rPr>
          <w:rFonts w:ascii="Arial" w:hAnsi="Arial" w:cs="Arial"/>
          <w:sz w:val="22"/>
          <w:szCs w:val="22"/>
        </w:rPr>
      </w:pPr>
      <w:r w:rsidRPr="00814DD9">
        <w:rPr>
          <w:rFonts w:ascii="Arial" w:hAnsi="Arial" w:cs="Arial"/>
          <w:sz w:val="22"/>
          <w:szCs w:val="22"/>
        </w:rPr>
        <w:t xml:space="preserve">The above analysis further depicted that integration of </w:t>
      </w:r>
      <w:r w:rsidRPr="00814DD9">
        <w:rPr>
          <w:rFonts w:ascii="Arial" w:hAnsi="Arial" w:cs="Arial"/>
          <w:b/>
          <w:i/>
          <w:sz w:val="22"/>
          <w:szCs w:val="22"/>
        </w:rPr>
        <w:t>Data protection Act of 2018</w:t>
      </w:r>
      <w:r w:rsidRPr="00814DD9">
        <w:rPr>
          <w:rFonts w:ascii="Arial" w:hAnsi="Arial" w:cs="Arial"/>
          <w:sz w:val="22"/>
          <w:szCs w:val="22"/>
        </w:rPr>
        <w:t xml:space="preserve"> is another key demand for the caregiver of Mrs. Mann for working on the process of developing safety and security of information. Data protection Act of 2018 stands for implementing a process of confidentiality of data of an individual in the health and special care perspective (NCBI, 2025). It also can help the caregiver of Mrs Mann to work on maintaining data confidentiality initiatives to determine standardised healthcare data security practices. </w:t>
      </w:r>
    </w:p>
    <w:p w14:paraId="704003D8" w14:textId="77777777" w:rsidR="00E84F30" w:rsidRPr="00814DD9" w:rsidRDefault="00296084">
      <w:pPr>
        <w:rPr>
          <w:rFonts w:ascii="Arial" w:hAnsi="Arial" w:cs="Arial"/>
          <w:sz w:val="22"/>
          <w:szCs w:val="22"/>
        </w:rPr>
      </w:pPr>
      <w:r w:rsidRPr="00814DD9">
        <w:rPr>
          <w:rFonts w:ascii="Arial" w:hAnsi="Arial" w:cs="Arial"/>
          <w:sz w:val="22"/>
          <w:szCs w:val="22"/>
        </w:rPr>
        <w:t>The analysis of the case study also helps to explore that the caregiver of Mrs. Mann also needs to work on NMC Codes. Healthcare</w:t>
      </w:r>
      <w:r w:rsidRPr="00814DD9">
        <w:rPr>
          <w:rFonts w:ascii="Arial" w:hAnsi="Arial" w:cs="Arial"/>
          <w:b/>
          <w:i/>
          <w:sz w:val="22"/>
          <w:szCs w:val="22"/>
        </w:rPr>
        <w:t xml:space="preserve"> NMC codes</w:t>
      </w:r>
      <w:r w:rsidRPr="00814DD9">
        <w:rPr>
          <w:rFonts w:ascii="Arial" w:hAnsi="Arial" w:cs="Arial"/>
          <w:sz w:val="22"/>
          <w:szCs w:val="22"/>
        </w:rPr>
        <w:t xml:space="preserve"> stands for implementing quality or performance of healthcare staff in terms of establishing sustainable health and social care initiatives (NMC, 2025). Furthermore, professional staff training is another key perspective of the NMC code of health and social care for maintaining quality consistency. Based on this context, the caregiver of Mrs. Mann also can receive an advantage for receiving professional training to meet caregiving skills. </w:t>
      </w:r>
    </w:p>
    <w:p w14:paraId="62E06F9A" w14:textId="77777777" w:rsidR="00E84F30" w:rsidRPr="00814DD9" w:rsidRDefault="00296084">
      <w:pPr>
        <w:jc w:val="center"/>
        <w:rPr>
          <w:rFonts w:ascii="Arial" w:hAnsi="Arial" w:cs="Arial"/>
          <w:sz w:val="22"/>
          <w:szCs w:val="22"/>
        </w:rPr>
      </w:pPr>
      <w:r w:rsidRPr="00814DD9">
        <w:rPr>
          <w:rFonts w:ascii="Arial" w:hAnsi="Arial" w:cs="Arial"/>
          <w:noProof/>
          <w:sz w:val="22"/>
          <w:szCs w:val="22"/>
        </w:rPr>
        <w:lastRenderedPageBreak/>
        <w:drawing>
          <wp:inline distT="114300" distB="114300" distL="114300" distR="114300" wp14:anchorId="5957111C" wp14:editId="7C3836AF">
            <wp:extent cx="5003638" cy="264795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003638" cy="2647950"/>
                    </a:xfrm>
                    <a:prstGeom prst="rect">
                      <a:avLst/>
                    </a:prstGeom>
                    <a:ln w="12700">
                      <a:solidFill>
                        <a:srgbClr val="000000"/>
                      </a:solidFill>
                      <a:prstDash val="solid"/>
                    </a:ln>
                  </pic:spPr>
                </pic:pic>
              </a:graphicData>
            </a:graphic>
          </wp:inline>
        </w:drawing>
      </w:r>
    </w:p>
    <w:p w14:paraId="572643C8" w14:textId="77777777" w:rsidR="00E84F30" w:rsidRPr="00814DD9" w:rsidRDefault="00296084">
      <w:pPr>
        <w:jc w:val="center"/>
        <w:rPr>
          <w:rFonts w:ascii="Arial" w:hAnsi="Arial" w:cs="Arial"/>
          <w:b/>
          <w:sz w:val="22"/>
          <w:szCs w:val="22"/>
        </w:rPr>
      </w:pPr>
      <w:r w:rsidRPr="00814DD9">
        <w:rPr>
          <w:rFonts w:ascii="Arial" w:hAnsi="Arial" w:cs="Arial"/>
          <w:b/>
          <w:sz w:val="22"/>
          <w:szCs w:val="22"/>
        </w:rPr>
        <w:t xml:space="preserve">Figure 4: CQC standards </w:t>
      </w:r>
    </w:p>
    <w:p w14:paraId="72032B84" w14:textId="219C7DF7" w:rsidR="00E84F30" w:rsidRPr="00814DD9" w:rsidRDefault="00296084">
      <w:pPr>
        <w:jc w:val="center"/>
        <w:rPr>
          <w:rFonts w:ascii="Arial" w:hAnsi="Arial" w:cs="Arial"/>
          <w:sz w:val="22"/>
          <w:szCs w:val="22"/>
        </w:rPr>
      </w:pPr>
      <w:r w:rsidRPr="00814DD9">
        <w:rPr>
          <w:rFonts w:ascii="Arial" w:hAnsi="Arial" w:cs="Arial"/>
          <w:sz w:val="22"/>
          <w:szCs w:val="22"/>
        </w:rPr>
        <w:t xml:space="preserve">(Source: </w:t>
      </w:r>
      <w:r w:rsidR="00954476" w:rsidRPr="00814DD9">
        <w:rPr>
          <w:rFonts w:ascii="Arial" w:hAnsi="Arial" w:cs="Arial"/>
          <w:sz w:val="22"/>
          <w:szCs w:val="22"/>
        </w:rPr>
        <w:t>Caring for care, 2025)</w:t>
      </w:r>
    </w:p>
    <w:p w14:paraId="7EA95B50" w14:textId="5F96244A" w:rsidR="00E84F30" w:rsidRPr="00814DD9" w:rsidRDefault="00296084">
      <w:pPr>
        <w:rPr>
          <w:rFonts w:ascii="Arial" w:hAnsi="Arial" w:cs="Arial"/>
          <w:sz w:val="22"/>
          <w:szCs w:val="22"/>
        </w:rPr>
      </w:pPr>
      <w:r w:rsidRPr="00814DD9">
        <w:rPr>
          <w:rFonts w:ascii="Arial" w:hAnsi="Arial" w:cs="Arial"/>
          <w:sz w:val="22"/>
          <w:szCs w:val="22"/>
        </w:rPr>
        <w:t xml:space="preserve">The above analysis helps to explore that patients and staff's feedback </w:t>
      </w:r>
      <w:r w:rsidR="00835649" w:rsidRPr="00814DD9">
        <w:rPr>
          <w:rFonts w:ascii="Arial" w:hAnsi="Arial" w:cs="Arial"/>
          <w:sz w:val="22"/>
          <w:szCs w:val="22"/>
        </w:rPr>
        <w:t>need</w:t>
      </w:r>
      <w:r w:rsidRPr="00814DD9">
        <w:rPr>
          <w:rFonts w:ascii="Arial" w:hAnsi="Arial" w:cs="Arial"/>
          <w:sz w:val="22"/>
          <w:szCs w:val="22"/>
        </w:rPr>
        <w:t xml:space="preserve"> to be prioritised based on CQC Standards of Healthcare. The CQC standards of healthcare stands for implementing quality of </w:t>
      </w:r>
      <w:r w:rsidR="00C45B57" w:rsidRPr="00814DD9">
        <w:rPr>
          <w:rFonts w:ascii="Arial" w:hAnsi="Arial" w:cs="Arial"/>
          <w:sz w:val="22"/>
          <w:szCs w:val="22"/>
        </w:rPr>
        <w:t>patients’</w:t>
      </w:r>
      <w:r w:rsidRPr="00814DD9">
        <w:rPr>
          <w:rFonts w:ascii="Arial" w:hAnsi="Arial" w:cs="Arial"/>
          <w:sz w:val="22"/>
          <w:szCs w:val="22"/>
        </w:rPr>
        <w:t xml:space="preserve"> safety and security along with the consideration of staff and patients feedback analysis program (Caring for care, 2025). It further also can gain patients overview on the safety regulations within healthcare context for gaining a stable process of resolving challenges of patient management. Thus, it can be stated that the standardisation context for maintaining standardised caregiving possibilities can be proven as a beneficial approach to improve quality of caregiving in the context of information management. </w:t>
      </w:r>
    </w:p>
    <w:p w14:paraId="42210FB6" w14:textId="77777777" w:rsidR="00E84F30" w:rsidRPr="00814DD9" w:rsidRDefault="00296084">
      <w:pPr>
        <w:pStyle w:val="Heading1"/>
        <w:rPr>
          <w:rFonts w:ascii="Arial" w:hAnsi="Arial" w:cs="Arial"/>
          <w:sz w:val="22"/>
          <w:szCs w:val="22"/>
        </w:rPr>
      </w:pPr>
      <w:bookmarkStart w:id="7" w:name="_709tjift9zfs" w:colFirst="0" w:colLast="0"/>
      <w:bookmarkStart w:id="8" w:name="_Toc213431375"/>
      <w:bookmarkEnd w:id="7"/>
      <w:r w:rsidRPr="00814DD9">
        <w:rPr>
          <w:rFonts w:ascii="Arial" w:hAnsi="Arial" w:cs="Arial"/>
          <w:sz w:val="22"/>
          <w:szCs w:val="22"/>
        </w:rPr>
        <w:t>Section 3: Collaborative working</w:t>
      </w:r>
      <w:bookmarkEnd w:id="8"/>
      <w:r w:rsidRPr="00814DD9">
        <w:rPr>
          <w:rFonts w:ascii="Arial" w:hAnsi="Arial" w:cs="Arial"/>
          <w:sz w:val="22"/>
          <w:szCs w:val="22"/>
        </w:rPr>
        <w:t xml:space="preserve"> </w:t>
      </w:r>
    </w:p>
    <w:p w14:paraId="09649881" w14:textId="77777777" w:rsidR="00E84F30" w:rsidRPr="00814DD9" w:rsidRDefault="00296084">
      <w:pPr>
        <w:rPr>
          <w:rFonts w:ascii="Arial" w:hAnsi="Arial" w:cs="Arial"/>
          <w:sz w:val="22"/>
          <w:szCs w:val="22"/>
        </w:rPr>
      </w:pPr>
      <w:r w:rsidRPr="00814DD9">
        <w:rPr>
          <w:rFonts w:ascii="Arial" w:hAnsi="Arial" w:cs="Arial"/>
          <w:sz w:val="22"/>
          <w:szCs w:val="22"/>
        </w:rPr>
        <w:t xml:space="preserve">Multi-agency collaboration is a potential practice in health and social care to improve patient information safeguarding initiatives. As opined by Parker </w:t>
      </w:r>
      <w:r w:rsidRPr="00814DD9">
        <w:rPr>
          <w:rFonts w:ascii="Arial" w:hAnsi="Arial" w:cs="Arial"/>
          <w:i/>
          <w:sz w:val="22"/>
          <w:szCs w:val="22"/>
        </w:rPr>
        <w:t>et al</w:t>
      </w:r>
      <w:r w:rsidRPr="00814DD9">
        <w:rPr>
          <w:rFonts w:ascii="Arial" w:hAnsi="Arial" w:cs="Arial"/>
          <w:sz w:val="22"/>
          <w:szCs w:val="22"/>
          <w:vertAlign w:val="superscript"/>
        </w:rPr>
        <w:t xml:space="preserve"> </w:t>
      </w:r>
      <w:r w:rsidRPr="00814DD9">
        <w:rPr>
          <w:rFonts w:ascii="Arial" w:hAnsi="Arial" w:cs="Arial"/>
          <w:sz w:val="22"/>
          <w:szCs w:val="22"/>
        </w:rPr>
        <w:t xml:space="preserve">(2023), multi-agency collaboration allows to improve quality of social care by improving proper communication initiatives. Moreover, this aspect also has been found as beneficial for the caregiver of Mrs. Mann to work on communication and data management practices. Furthermore, shared care plans like outlining intervention goals in documents is one of the procedures of maintaining regular communication through multi-agency collaboration. It also helps caregivers to promote data security during the advanced process of patient care giving practices. </w:t>
      </w:r>
    </w:p>
    <w:p w14:paraId="733B491A" w14:textId="77777777" w:rsidR="00E84F30" w:rsidRPr="00814DD9" w:rsidRDefault="00296084">
      <w:pPr>
        <w:rPr>
          <w:rFonts w:ascii="Arial" w:hAnsi="Arial" w:cs="Arial"/>
          <w:sz w:val="22"/>
          <w:szCs w:val="22"/>
        </w:rPr>
      </w:pPr>
      <w:r w:rsidRPr="00814DD9">
        <w:rPr>
          <w:rFonts w:ascii="Arial" w:hAnsi="Arial" w:cs="Arial"/>
          <w:sz w:val="22"/>
          <w:szCs w:val="22"/>
        </w:rPr>
        <w:t xml:space="preserve">The major risks in working with multi-agency collaboration is the lack of proper training among the caregiver professionals. As per the suggestion of Anderson </w:t>
      </w:r>
      <w:r w:rsidRPr="00814DD9">
        <w:rPr>
          <w:rFonts w:ascii="Arial" w:hAnsi="Arial" w:cs="Arial"/>
          <w:i/>
          <w:sz w:val="22"/>
          <w:szCs w:val="22"/>
        </w:rPr>
        <w:t>et al</w:t>
      </w:r>
      <w:r w:rsidRPr="00814DD9">
        <w:rPr>
          <w:rFonts w:ascii="Arial" w:hAnsi="Arial" w:cs="Arial"/>
          <w:sz w:val="22"/>
          <w:szCs w:val="22"/>
        </w:rPr>
        <w:t xml:space="preserve">. (2021), poor employee training is a possible challenge that causes declined productivity in the health and social care setup. Furthermore, lack of understanding on maintaining information security is a potential challenge for caregivers to work through multi-agency collaboration. As per the opinion of </w:t>
      </w:r>
      <w:r w:rsidRPr="00814DD9">
        <w:rPr>
          <w:rFonts w:ascii="Arial" w:hAnsi="Arial" w:cs="Arial"/>
          <w:sz w:val="22"/>
          <w:szCs w:val="22"/>
        </w:rPr>
        <w:lastRenderedPageBreak/>
        <w:t>Zanke and Sontakke (2024), lack of knowledge on data privacy hampers patient management practices in terms of developing effective growth in health and social care practices.</w:t>
      </w:r>
    </w:p>
    <w:p w14:paraId="44706C25" w14:textId="365DD7FF" w:rsidR="00E84F30" w:rsidRPr="00814DD9" w:rsidRDefault="00296084">
      <w:pPr>
        <w:rPr>
          <w:rFonts w:ascii="Arial" w:hAnsi="Arial" w:cs="Arial"/>
          <w:sz w:val="22"/>
          <w:szCs w:val="22"/>
        </w:rPr>
      </w:pPr>
      <w:r w:rsidRPr="00814DD9">
        <w:rPr>
          <w:rFonts w:ascii="Arial" w:hAnsi="Arial" w:cs="Arial"/>
          <w:sz w:val="22"/>
          <w:szCs w:val="22"/>
        </w:rPr>
        <w:t xml:space="preserve">This current issue of caregiving can be mitigated by considering </w:t>
      </w:r>
      <w:r w:rsidR="00835649" w:rsidRPr="00814DD9">
        <w:rPr>
          <w:rFonts w:ascii="Arial" w:hAnsi="Arial" w:cs="Arial"/>
          <w:sz w:val="22"/>
          <w:szCs w:val="22"/>
        </w:rPr>
        <w:t>skilful</w:t>
      </w:r>
      <w:r w:rsidRPr="00814DD9">
        <w:rPr>
          <w:rFonts w:ascii="Arial" w:hAnsi="Arial" w:cs="Arial"/>
          <w:sz w:val="22"/>
          <w:szCs w:val="22"/>
        </w:rPr>
        <w:t xml:space="preserve"> caregiver hiring practices. As stated by Bhati </w:t>
      </w:r>
      <w:r w:rsidRPr="00814DD9">
        <w:rPr>
          <w:rFonts w:ascii="Arial" w:hAnsi="Arial" w:cs="Arial"/>
          <w:i/>
          <w:sz w:val="22"/>
          <w:szCs w:val="22"/>
        </w:rPr>
        <w:t>et al</w:t>
      </w:r>
      <w:r w:rsidRPr="00814DD9">
        <w:rPr>
          <w:rFonts w:ascii="Arial" w:hAnsi="Arial" w:cs="Arial"/>
          <w:sz w:val="22"/>
          <w:szCs w:val="22"/>
        </w:rPr>
        <w:t>. (2023), health and social care authorities need to hire skilful employees for patient management initiatives. Along with this, implication of data privacy through knowledge on Caldicott principles also can help to mitigate the risk of working with multi-agency collaborations. Thus, the adoption of Caldicott principles has been explored as a potential practice for determining effective caregiving practices through multi-agency collaboration.</w:t>
      </w:r>
    </w:p>
    <w:p w14:paraId="27F1B177" w14:textId="77777777" w:rsidR="00E84F30" w:rsidRPr="00814DD9" w:rsidRDefault="00296084">
      <w:pPr>
        <w:pStyle w:val="Heading1"/>
        <w:rPr>
          <w:rFonts w:ascii="Arial" w:hAnsi="Arial" w:cs="Arial"/>
          <w:sz w:val="22"/>
          <w:szCs w:val="22"/>
        </w:rPr>
      </w:pPr>
      <w:bookmarkStart w:id="9" w:name="_wh4n5ea4bxcl" w:colFirst="0" w:colLast="0"/>
      <w:bookmarkStart w:id="10" w:name="_Toc213431376"/>
      <w:bookmarkEnd w:id="9"/>
      <w:r w:rsidRPr="00814DD9">
        <w:rPr>
          <w:rFonts w:ascii="Arial" w:hAnsi="Arial" w:cs="Arial"/>
          <w:sz w:val="22"/>
          <w:szCs w:val="22"/>
        </w:rPr>
        <w:t>Conclusion</w:t>
      </w:r>
      <w:bookmarkEnd w:id="10"/>
    </w:p>
    <w:p w14:paraId="7E31FCE4" w14:textId="44AE5F53" w:rsidR="00E84F30" w:rsidRPr="00814DD9" w:rsidRDefault="00296084">
      <w:pPr>
        <w:rPr>
          <w:rFonts w:ascii="Arial" w:hAnsi="Arial" w:cs="Arial"/>
          <w:sz w:val="22"/>
          <w:szCs w:val="22"/>
        </w:rPr>
      </w:pPr>
      <w:r w:rsidRPr="00814DD9">
        <w:rPr>
          <w:rFonts w:ascii="Arial" w:hAnsi="Arial" w:cs="Arial"/>
          <w:sz w:val="22"/>
          <w:szCs w:val="22"/>
        </w:rPr>
        <w:t xml:space="preserve">It can be summarised that skill of communication in healthcare is important in the case of Mrs. Mann as lack of it has caused information mismanagement. Moreover, administrative skills of the caregivers of Mrs. Mann </w:t>
      </w:r>
      <w:r w:rsidR="00835649" w:rsidRPr="00814DD9">
        <w:rPr>
          <w:rFonts w:ascii="Arial" w:hAnsi="Arial" w:cs="Arial"/>
          <w:sz w:val="22"/>
          <w:szCs w:val="22"/>
        </w:rPr>
        <w:t>have</w:t>
      </w:r>
      <w:r w:rsidRPr="00814DD9">
        <w:rPr>
          <w:rFonts w:ascii="Arial" w:hAnsi="Arial" w:cs="Arial"/>
          <w:sz w:val="22"/>
          <w:szCs w:val="22"/>
        </w:rPr>
        <w:t xml:space="preserve"> been addressed as another crucial factor that can help her to assist in completing regular medications. The analysis further helps to learn that integration of Caldicott's principles can be proven as effective for maintaining confidential data transmission through online end-to-end </w:t>
      </w:r>
      <w:r w:rsidR="00C45B57" w:rsidRPr="00814DD9">
        <w:rPr>
          <w:rFonts w:ascii="Arial" w:hAnsi="Arial" w:cs="Arial"/>
          <w:sz w:val="22"/>
          <w:szCs w:val="22"/>
        </w:rPr>
        <w:t>encryption-based</w:t>
      </w:r>
      <w:r w:rsidRPr="00814DD9">
        <w:rPr>
          <w:rFonts w:ascii="Arial" w:hAnsi="Arial" w:cs="Arial"/>
          <w:sz w:val="22"/>
          <w:szCs w:val="22"/>
        </w:rPr>
        <w:t xml:space="preserve"> initiatives. Furthermore, professional staff training is another key perspective of the NMC code of health and social care for maintaining quality consistency. It further also can gain patients overview on the safety regulations within healthcare context for gaining a stable process of resolving challenges of patient management. Additionally, multi-agency collaboration is a potential practice in health and social care to improve patient information safeguarding initiatives. Henceforth, Caldicott principles has been explored as a potential practice for determining effective caregiving practices through multi-agency collaboration.</w:t>
      </w:r>
      <w:r w:rsidRPr="00814DD9">
        <w:rPr>
          <w:rFonts w:ascii="Arial" w:hAnsi="Arial" w:cs="Arial"/>
          <w:sz w:val="22"/>
          <w:szCs w:val="22"/>
        </w:rPr>
        <w:br w:type="page"/>
      </w:r>
    </w:p>
    <w:p w14:paraId="5EBFAEC9" w14:textId="77777777" w:rsidR="00E84F30" w:rsidRPr="00814DD9" w:rsidRDefault="00296084">
      <w:pPr>
        <w:pStyle w:val="Heading1"/>
        <w:rPr>
          <w:rFonts w:ascii="Arial" w:hAnsi="Arial" w:cs="Arial"/>
          <w:sz w:val="22"/>
          <w:szCs w:val="22"/>
        </w:rPr>
      </w:pPr>
      <w:bookmarkStart w:id="11" w:name="_canahiko9ul" w:colFirst="0" w:colLast="0"/>
      <w:bookmarkStart w:id="12" w:name="_Toc213431377"/>
      <w:bookmarkEnd w:id="11"/>
      <w:r w:rsidRPr="00814DD9">
        <w:rPr>
          <w:rFonts w:ascii="Arial" w:hAnsi="Arial" w:cs="Arial"/>
          <w:sz w:val="22"/>
          <w:szCs w:val="22"/>
        </w:rPr>
        <w:lastRenderedPageBreak/>
        <w:t>Reference list</w:t>
      </w:r>
      <w:bookmarkEnd w:id="12"/>
      <w:r w:rsidRPr="00814DD9">
        <w:rPr>
          <w:rFonts w:ascii="Arial" w:hAnsi="Arial" w:cs="Arial"/>
          <w:sz w:val="22"/>
          <w:szCs w:val="22"/>
        </w:rPr>
        <w:t xml:space="preserve"> </w:t>
      </w:r>
    </w:p>
    <w:p w14:paraId="7AA14DE0" w14:textId="77777777" w:rsidR="00E84F30" w:rsidRPr="00814DD9" w:rsidRDefault="00296084">
      <w:pPr>
        <w:spacing w:before="240" w:after="240"/>
        <w:rPr>
          <w:rFonts w:ascii="Arial" w:hAnsi="Arial" w:cs="Arial"/>
          <w:color w:val="1155CC"/>
          <w:sz w:val="22"/>
          <w:szCs w:val="22"/>
          <w:u w:val="single"/>
        </w:rPr>
      </w:pPr>
      <w:r w:rsidRPr="00814DD9">
        <w:rPr>
          <w:rFonts w:ascii="Arial" w:hAnsi="Arial" w:cs="Arial"/>
          <w:sz w:val="22"/>
          <w:szCs w:val="22"/>
        </w:rPr>
        <w:t xml:space="preserve">Anderson, M., O'Neill, C., Clark, J.M., Street, A., Woods, M., Johnston-Webber, C., Charlesworth, A., Whyte, M., Foster, M., Majeed, A. and Pitchforth, E., (2021). ‘Securing a sustainable and fit-for-purpose UK health and care workforce’, </w:t>
      </w:r>
      <w:r w:rsidRPr="00814DD9">
        <w:rPr>
          <w:rFonts w:ascii="Arial" w:hAnsi="Arial" w:cs="Arial"/>
          <w:i/>
          <w:sz w:val="22"/>
          <w:szCs w:val="22"/>
        </w:rPr>
        <w:t>The Lancet</w:t>
      </w:r>
      <w:r w:rsidRPr="00814DD9">
        <w:rPr>
          <w:rFonts w:ascii="Arial" w:hAnsi="Arial" w:cs="Arial"/>
          <w:sz w:val="22"/>
          <w:szCs w:val="22"/>
        </w:rPr>
        <w:t>, 397(10288), pp.1992-2011.</w:t>
      </w:r>
      <w:hyperlink r:id="rId11">
        <w:r w:rsidRPr="00814DD9">
          <w:rPr>
            <w:rFonts w:ascii="Arial" w:hAnsi="Arial" w:cs="Arial"/>
            <w:sz w:val="22"/>
            <w:szCs w:val="22"/>
          </w:rPr>
          <w:t xml:space="preserve"> </w:t>
        </w:r>
      </w:hyperlink>
      <w:hyperlink r:id="rId12">
        <w:r w:rsidRPr="00814DD9">
          <w:rPr>
            <w:rFonts w:ascii="Arial" w:hAnsi="Arial" w:cs="Arial"/>
            <w:color w:val="1155CC"/>
            <w:sz w:val="22"/>
            <w:szCs w:val="22"/>
            <w:u w:val="single"/>
          </w:rPr>
          <w:t>https://pmc.ncbi.nlm.nih.gov/articles/PMC9634455/pdf/main.pdf</w:t>
        </w:r>
      </w:hyperlink>
    </w:p>
    <w:p w14:paraId="19358A0E" w14:textId="77777777" w:rsidR="00E84F30" w:rsidRPr="00814DD9" w:rsidRDefault="00296084">
      <w:pPr>
        <w:spacing w:before="240" w:after="240"/>
        <w:rPr>
          <w:rFonts w:ascii="Arial" w:hAnsi="Arial" w:cs="Arial"/>
          <w:sz w:val="22"/>
          <w:szCs w:val="22"/>
        </w:rPr>
      </w:pPr>
      <w:r w:rsidRPr="00814DD9">
        <w:rPr>
          <w:rFonts w:ascii="Arial" w:hAnsi="Arial" w:cs="Arial"/>
          <w:sz w:val="22"/>
          <w:szCs w:val="22"/>
        </w:rPr>
        <w:t xml:space="preserve">Bhati, D., Deogade, M.S. and </w:t>
      </w:r>
      <w:proofErr w:type="spellStart"/>
      <w:r w:rsidRPr="00814DD9">
        <w:rPr>
          <w:rFonts w:ascii="Arial" w:hAnsi="Arial" w:cs="Arial"/>
          <w:sz w:val="22"/>
          <w:szCs w:val="22"/>
        </w:rPr>
        <w:t>Kanyal</w:t>
      </w:r>
      <w:proofErr w:type="spellEnd"/>
      <w:r w:rsidRPr="00814DD9">
        <w:rPr>
          <w:rFonts w:ascii="Arial" w:hAnsi="Arial" w:cs="Arial"/>
          <w:sz w:val="22"/>
          <w:szCs w:val="22"/>
        </w:rPr>
        <w:t xml:space="preserve">, D., (2023). ‘Improving patient outcomes through effective hospital administration: a comprehensive review’, </w:t>
      </w:r>
      <w:proofErr w:type="spellStart"/>
      <w:r w:rsidRPr="00814DD9">
        <w:rPr>
          <w:rFonts w:ascii="Arial" w:hAnsi="Arial" w:cs="Arial"/>
          <w:i/>
          <w:sz w:val="22"/>
          <w:szCs w:val="22"/>
        </w:rPr>
        <w:t>Cureus</w:t>
      </w:r>
      <w:proofErr w:type="spellEnd"/>
      <w:r w:rsidRPr="00814DD9">
        <w:rPr>
          <w:rFonts w:ascii="Arial" w:hAnsi="Arial" w:cs="Arial"/>
          <w:sz w:val="22"/>
          <w:szCs w:val="22"/>
        </w:rPr>
        <w:t>, 15(10), p.e47731.</w:t>
      </w:r>
      <w:hyperlink r:id="rId13">
        <w:r w:rsidRPr="00814DD9">
          <w:rPr>
            <w:rFonts w:ascii="Arial" w:hAnsi="Arial" w:cs="Arial"/>
            <w:sz w:val="22"/>
            <w:szCs w:val="22"/>
          </w:rPr>
          <w:t xml:space="preserve"> </w:t>
        </w:r>
      </w:hyperlink>
      <w:hyperlink r:id="rId14">
        <w:r w:rsidRPr="00814DD9">
          <w:rPr>
            <w:rFonts w:ascii="Arial" w:hAnsi="Arial" w:cs="Arial"/>
            <w:color w:val="1155CC"/>
            <w:sz w:val="22"/>
            <w:szCs w:val="22"/>
            <w:u w:val="single"/>
          </w:rPr>
          <w:t>https://pmc.ncbi.nlm.nih.gov/articles/PMC9634455/pdf/main.pdf</w:t>
        </w:r>
      </w:hyperlink>
      <w:r w:rsidRPr="00814DD9">
        <w:rPr>
          <w:rFonts w:ascii="Arial" w:hAnsi="Arial" w:cs="Arial"/>
          <w:sz w:val="22"/>
          <w:szCs w:val="22"/>
        </w:rPr>
        <w:t xml:space="preserve">  </w:t>
      </w:r>
    </w:p>
    <w:p w14:paraId="35FE0258" w14:textId="77777777" w:rsidR="00E84F30" w:rsidRPr="00814DD9" w:rsidRDefault="00296084">
      <w:pPr>
        <w:spacing w:before="240" w:after="240"/>
        <w:rPr>
          <w:rFonts w:ascii="Arial" w:hAnsi="Arial" w:cs="Arial"/>
          <w:color w:val="1155CC"/>
          <w:sz w:val="22"/>
          <w:szCs w:val="22"/>
          <w:u w:val="single"/>
        </w:rPr>
      </w:pPr>
      <w:r w:rsidRPr="00814DD9">
        <w:rPr>
          <w:rFonts w:ascii="Arial" w:hAnsi="Arial" w:cs="Arial"/>
          <w:sz w:val="22"/>
          <w:szCs w:val="22"/>
        </w:rPr>
        <w:t xml:space="preserve">Bratches, R.W., Scudder, P.N. and Barr, P.J., (2021). ‘Supporting communication of visit information to informal caregivers: a systematic review’, </w:t>
      </w:r>
      <w:proofErr w:type="spellStart"/>
      <w:r w:rsidRPr="00814DD9">
        <w:rPr>
          <w:rFonts w:ascii="Arial" w:hAnsi="Arial" w:cs="Arial"/>
          <w:i/>
          <w:sz w:val="22"/>
          <w:szCs w:val="22"/>
        </w:rPr>
        <w:t>PloS</w:t>
      </w:r>
      <w:proofErr w:type="spellEnd"/>
      <w:r w:rsidRPr="00814DD9">
        <w:rPr>
          <w:rFonts w:ascii="Arial" w:hAnsi="Arial" w:cs="Arial"/>
          <w:i/>
          <w:sz w:val="22"/>
          <w:szCs w:val="22"/>
        </w:rPr>
        <w:t xml:space="preserve"> one</w:t>
      </w:r>
      <w:r w:rsidRPr="00814DD9">
        <w:rPr>
          <w:rFonts w:ascii="Arial" w:hAnsi="Arial" w:cs="Arial"/>
          <w:sz w:val="22"/>
          <w:szCs w:val="22"/>
        </w:rPr>
        <w:t>, 16(7), p.e0254896.</w:t>
      </w:r>
      <w:hyperlink r:id="rId15">
        <w:r w:rsidRPr="00814DD9">
          <w:rPr>
            <w:rFonts w:ascii="Arial" w:hAnsi="Arial" w:cs="Arial"/>
            <w:sz w:val="22"/>
            <w:szCs w:val="22"/>
          </w:rPr>
          <w:t xml:space="preserve"> </w:t>
        </w:r>
      </w:hyperlink>
      <w:hyperlink r:id="rId16">
        <w:r w:rsidRPr="00814DD9">
          <w:rPr>
            <w:rFonts w:ascii="Arial" w:hAnsi="Arial" w:cs="Arial"/>
            <w:color w:val="1155CC"/>
            <w:sz w:val="22"/>
            <w:szCs w:val="22"/>
            <w:u w:val="single"/>
          </w:rPr>
          <w:t>https://journals.plos.org/plosone/article/file?id=10.1371/journal.pone.0254896&amp;type=printable</w:t>
        </w:r>
      </w:hyperlink>
    </w:p>
    <w:p w14:paraId="6CACB9D7" w14:textId="77777777" w:rsidR="00E84F30" w:rsidRPr="00814DD9" w:rsidRDefault="00296084">
      <w:pPr>
        <w:spacing w:before="240" w:after="240"/>
        <w:rPr>
          <w:rFonts w:ascii="Arial" w:hAnsi="Arial" w:cs="Arial"/>
          <w:sz w:val="22"/>
          <w:szCs w:val="22"/>
        </w:rPr>
      </w:pPr>
      <w:r w:rsidRPr="00814DD9">
        <w:rPr>
          <w:rFonts w:ascii="Arial" w:hAnsi="Arial" w:cs="Arial"/>
          <w:sz w:val="22"/>
          <w:szCs w:val="22"/>
        </w:rPr>
        <w:t xml:space="preserve">Caring for care, (2025). ‘CQC Single Assessment Framework (SAF)’, </w:t>
      </w:r>
      <w:r w:rsidRPr="00814DD9">
        <w:rPr>
          <w:rFonts w:ascii="Arial" w:hAnsi="Arial" w:cs="Arial"/>
          <w:i/>
          <w:sz w:val="22"/>
          <w:szCs w:val="22"/>
        </w:rPr>
        <w:t>Caring for care</w:t>
      </w:r>
      <w:r w:rsidRPr="00814DD9">
        <w:rPr>
          <w:rFonts w:ascii="Arial" w:hAnsi="Arial" w:cs="Arial"/>
          <w:sz w:val="22"/>
          <w:szCs w:val="22"/>
        </w:rPr>
        <w:t xml:space="preserve"> Available at:</w:t>
      </w:r>
      <w:hyperlink r:id="rId17">
        <w:r w:rsidRPr="00814DD9">
          <w:rPr>
            <w:rFonts w:ascii="Arial" w:hAnsi="Arial" w:cs="Arial"/>
            <w:sz w:val="22"/>
            <w:szCs w:val="22"/>
          </w:rPr>
          <w:t xml:space="preserve"> </w:t>
        </w:r>
      </w:hyperlink>
      <w:hyperlink r:id="rId18">
        <w:r w:rsidRPr="00814DD9">
          <w:rPr>
            <w:rFonts w:ascii="Arial" w:hAnsi="Arial" w:cs="Arial"/>
            <w:color w:val="1155CC"/>
            <w:sz w:val="22"/>
            <w:szCs w:val="22"/>
            <w:u w:val="single"/>
          </w:rPr>
          <w:t>https://caringforcare.co.uk/cqc-single-assessment-framework/</w:t>
        </w:r>
      </w:hyperlink>
      <w:r w:rsidRPr="00814DD9">
        <w:rPr>
          <w:rFonts w:ascii="Arial" w:hAnsi="Arial" w:cs="Arial"/>
          <w:sz w:val="22"/>
          <w:szCs w:val="22"/>
        </w:rPr>
        <w:t xml:space="preserve"> (Accessed: 7 November, 2025)</w:t>
      </w:r>
    </w:p>
    <w:p w14:paraId="39625F12" w14:textId="77777777" w:rsidR="00E84F30" w:rsidRPr="00814DD9" w:rsidRDefault="00296084">
      <w:pPr>
        <w:spacing w:before="240" w:after="240"/>
        <w:rPr>
          <w:rFonts w:ascii="Arial" w:hAnsi="Arial" w:cs="Arial"/>
          <w:sz w:val="22"/>
          <w:szCs w:val="22"/>
        </w:rPr>
      </w:pPr>
      <w:r w:rsidRPr="00814DD9">
        <w:rPr>
          <w:rFonts w:ascii="Arial" w:hAnsi="Arial" w:cs="Arial"/>
          <w:sz w:val="22"/>
          <w:szCs w:val="22"/>
        </w:rPr>
        <w:t xml:space="preserve">Gov UK, (2025) ‘Equality Act 2010: guidance’, </w:t>
      </w:r>
      <w:r w:rsidRPr="00814DD9">
        <w:rPr>
          <w:rFonts w:ascii="Arial" w:hAnsi="Arial" w:cs="Arial"/>
          <w:i/>
          <w:sz w:val="22"/>
          <w:szCs w:val="22"/>
        </w:rPr>
        <w:t>Gov UK.</w:t>
      </w:r>
      <w:r w:rsidRPr="00814DD9">
        <w:rPr>
          <w:rFonts w:ascii="Arial" w:hAnsi="Arial" w:cs="Arial"/>
          <w:sz w:val="22"/>
          <w:szCs w:val="22"/>
        </w:rPr>
        <w:t xml:space="preserve"> Available at:</w:t>
      </w:r>
      <w:hyperlink r:id="rId19">
        <w:r w:rsidRPr="00814DD9">
          <w:rPr>
            <w:rFonts w:ascii="Arial" w:hAnsi="Arial" w:cs="Arial"/>
            <w:sz w:val="22"/>
            <w:szCs w:val="22"/>
          </w:rPr>
          <w:t xml:space="preserve"> </w:t>
        </w:r>
      </w:hyperlink>
      <w:hyperlink r:id="rId20">
        <w:r w:rsidRPr="00814DD9">
          <w:rPr>
            <w:rFonts w:ascii="Arial" w:hAnsi="Arial" w:cs="Arial"/>
            <w:color w:val="1155CC"/>
            <w:sz w:val="22"/>
            <w:szCs w:val="22"/>
            <w:u w:val="single"/>
          </w:rPr>
          <w:t>https://www.gov.uk/guidance/equality-act-2010-guidance</w:t>
        </w:r>
      </w:hyperlink>
      <w:r w:rsidRPr="00814DD9">
        <w:rPr>
          <w:rFonts w:ascii="Arial" w:hAnsi="Arial" w:cs="Arial"/>
          <w:sz w:val="22"/>
          <w:szCs w:val="22"/>
        </w:rPr>
        <w:t xml:space="preserve"> (Accessed: 5 November, 2025)</w:t>
      </w:r>
    </w:p>
    <w:p w14:paraId="0DE61A05" w14:textId="77777777" w:rsidR="00E84F30" w:rsidRPr="00814DD9" w:rsidRDefault="00296084">
      <w:pPr>
        <w:spacing w:before="240" w:after="240"/>
        <w:rPr>
          <w:rFonts w:ascii="Arial" w:hAnsi="Arial" w:cs="Arial"/>
          <w:sz w:val="22"/>
          <w:szCs w:val="22"/>
        </w:rPr>
      </w:pPr>
      <w:r w:rsidRPr="00814DD9">
        <w:rPr>
          <w:rFonts w:ascii="Arial" w:hAnsi="Arial" w:cs="Arial"/>
          <w:sz w:val="22"/>
          <w:szCs w:val="22"/>
        </w:rPr>
        <w:t xml:space="preserve">Larsson, R., (2024). </w:t>
      </w:r>
      <w:r w:rsidRPr="00814DD9">
        <w:rPr>
          <w:rFonts w:ascii="Arial" w:hAnsi="Arial" w:cs="Arial"/>
          <w:i/>
          <w:sz w:val="22"/>
          <w:szCs w:val="22"/>
        </w:rPr>
        <w:t>Making ‘</w:t>
      </w:r>
      <w:proofErr w:type="spellStart"/>
      <w:r w:rsidRPr="00814DD9">
        <w:rPr>
          <w:rFonts w:ascii="Arial" w:hAnsi="Arial" w:cs="Arial"/>
          <w:i/>
          <w:sz w:val="22"/>
          <w:szCs w:val="22"/>
        </w:rPr>
        <w:t>it’work</w:t>
      </w:r>
      <w:proofErr w:type="spellEnd"/>
      <w:r w:rsidRPr="00814DD9">
        <w:rPr>
          <w:rFonts w:ascii="Arial" w:hAnsi="Arial" w:cs="Arial"/>
          <w:i/>
          <w:sz w:val="22"/>
          <w:szCs w:val="22"/>
        </w:rPr>
        <w:t>: Nurses as essential linchpins in the home care context</w:t>
      </w:r>
      <w:r w:rsidRPr="00814DD9">
        <w:rPr>
          <w:rFonts w:ascii="Arial" w:hAnsi="Arial" w:cs="Arial"/>
          <w:sz w:val="22"/>
          <w:szCs w:val="22"/>
        </w:rPr>
        <w:t>. Lund University.</w:t>
      </w:r>
    </w:p>
    <w:p w14:paraId="4F80FB8C" w14:textId="77777777" w:rsidR="00E84F30" w:rsidRPr="00814DD9" w:rsidRDefault="00296084">
      <w:pPr>
        <w:spacing w:before="240" w:after="240"/>
        <w:rPr>
          <w:rFonts w:ascii="Arial" w:hAnsi="Arial" w:cs="Arial"/>
          <w:sz w:val="22"/>
          <w:szCs w:val="22"/>
        </w:rPr>
      </w:pPr>
      <w:r w:rsidRPr="00814DD9">
        <w:rPr>
          <w:rFonts w:ascii="Arial" w:hAnsi="Arial" w:cs="Arial"/>
          <w:sz w:val="22"/>
          <w:szCs w:val="22"/>
        </w:rPr>
        <w:t xml:space="preserve">NCBI, (2025). ‘Data privacy in healthcare: Global challenges and solutions’ </w:t>
      </w:r>
      <w:r w:rsidRPr="00814DD9">
        <w:rPr>
          <w:rFonts w:ascii="Arial" w:hAnsi="Arial" w:cs="Arial"/>
          <w:i/>
          <w:sz w:val="22"/>
          <w:szCs w:val="22"/>
        </w:rPr>
        <w:t>NCBI</w:t>
      </w:r>
      <w:r w:rsidRPr="00814DD9">
        <w:rPr>
          <w:rFonts w:ascii="Arial" w:hAnsi="Arial" w:cs="Arial"/>
          <w:sz w:val="22"/>
          <w:szCs w:val="22"/>
        </w:rPr>
        <w:t xml:space="preserve"> Available at:</w:t>
      </w:r>
      <w:hyperlink r:id="rId21">
        <w:r w:rsidRPr="00814DD9">
          <w:rPr>
            <w:rFonts w:ascii="Arial" w:hAnsi="Arial" w:cs="Arial"/>
            <w:sz w:val="22"/>
            <w:szCs w:val="22"/>
          </w:rPr>
          <w:t xml:space="preserve"> </w:t>
        </w:r>
      </w:hyperlink>
      <w:hyperlink r:id="rId22">
        <w:r w:rsidRPr="00814DD9">
          <w:rPr>
            <w:rFonts w:ascii="Arial" w:hAnsi="Arial" w:cs="Arial"/>
            <w:color w:val="1155CC"/>
            <w:sz w:val="22"/>
            <w:szCs w:val="22"/>
            <w:u w:val="single"/>
          </w:rPr>
          <w:t>https://pmc.ncbi.nlm.nih.gov/articles/PMC12138216/</w:t>
        </w:r>
      </w:hyperlink>
      <w:r w:rsidRPr="00814DD9">
        <w:rPr>
          <w:rFonts w:ascii="Arial" w:hAnsi="Arial" w:cs="Arial"/>
          <w:sz w:val="22"/>
          <w:szCs w:val="22"/>
        </w:rPr>
        <w:t xml:space="preserve"> (Accessed: 6 November, 2025)</w:t>
      </w:r>
    </w:p>
    <w:p w14:paraId="223EF983" w14:textId="77777777" w:rsidR="00E84F30" w:rsidRPr="00814DD9" w:rsidRDefault="00296084">
      <w:pPr>
        <w:spacing w:before="240" w:after="240"/>
        <w:rPr>
          <w:rFonts w:ascii="Arial" w:hAnsi="Arial" w:cs="Arial"/>
          <w:sz w:val="22"/>
          <w:szCs w:val="22"/>
        </w:rPr>
      </w:pPr>
      <w:r w:rsidRPr="00814DD9">
        <w:rPr>
          <w:rFonts w:ascii="Arial" w:hAnsi="Arial" w:cs="Arial"/>
          <w:sz w:val="22"/>
          <w:szCs w:val="22"/>
        </w:rPr>
        <w:t xml:space="preserve">NMC, (2025). ‘The Code’, </w:t>
      </w:r>
      <w:r w:rsidRPr="00814DD9">
        <w:rPr>
          <w:rFonts w:ascii="Arial" w:hAnsi="Arial" w:cs="Arial"/>
          <w:i/>
          <w:sz w:val="22"/>
          <w:szCs w:val="22"/>
        </w:rPr>
        <w:t>NMC</w:t>
      </w:r>
      <w:r w:rsidRPr="00814DD9">
        <w:rPr>
          <w:rFonts w:ascii="Arial" w:hAnsi="Arial" w:cs="Arial"/>
          <w:sz w:val="22"/>
          <w:szCs w:val="22"/>
        </w:rPr>
        <w:t xml:space="preserve"> Available at:</w:t>
      </w:r>
      <w:hyperlink r:id="rId23">
        <w:r w:rsidRPr="00814DD9">
          <w:rPr>
            <w:rFonts w:ascii="Arial" w:hAnsi="Arial" w:cs="Arial"/>
            <w:sz w:val="22"/>
            <w:szCs w:val="22"/>
          </w:rPr>
          <w:t xml:space="preserve"> </w:t>
        </w:r>
      </w:hyperlink>
      <w:hyperlink r:id="rId24">
        <w:r w:rsidRPr="00814DD9">
          <w:rPr>
            <w:rFonts w:ascii="Arial" w:hAnsi="Arial" w:cs="Arial"/>
            <w:color w:val="1155CC"/>
            <w:sz w:val="22"/>
            <w:szCs w:val="22"/>
            <w:u w:val="single"/>
          </w:rPr>
          <w:t>https://www.nmc.org.uk/standards/code/</w:t>
        </w:r>
      </w:hyperlink>
      <w:r w:rsidRPr="00814DD9">
        <w:rPr>
          <w:rFonts w:ascii="Arial" w:hAnsi="Arial" w:cs="Arial"/>
          <w:sz w:val="22"/>
          <w:szCs w:val="22"/>
        </w:rPr>
        <w:t xml:space="preserve"> (Accessed: 7 November, 2025)</w:t>
      </w:r>
    </w:p>
    <w:p w14:paraId="64F6CD49" w14:textId="77777777" w:rsidR="00E84F30" w:rsidRPr="00814DD9" w:rsidRDefault="00296084">
      <w:pPr>
        <w:spacing w:before="240" w:after="240"/>
        <w:rPr>
          <w:rFonts w:ascii="Arial" w:hAnsi="Arial" w:cs="Arial"/>
          <w:color w:val="1155CC"/>
          <w:sz w:val="22"/>
          <w:szCs w:val="22"/>
          <w:u w:val="single"/>
        </w:rPr>
      </w:pPr>
      <w:r w:rsidRPr="00814DD9">
        <w:rPr>
          <w:rFonts w:ascii="Arial" w:hAnsi="Arial" w:cs="Arial"/>
          <w:sz w:val="22"/>
          <w:szCs w:val="22"/>
        </w:rPr>
        <w:t xml:space="preserve">Nwagwu, W.E. and Akanji, H.A., (2024). ‘Information seeking behaviour of informal caregivers at the premier tertiary teaching hospital in Nigeria’, </w:t>
      </w:r>
      <w:r w:rsidRPr="00814DD9">
        <w:rPr>
          <w:rFonts w:ascii="Arial" w:hAnsi="Arial" w:cs="Arial"/>
          <w:i/>
          <w:sz w:val="22"/>
          <w:szCs w:val="22"/>
        </w:rPr>
        <w:t>Information Development</w:t>
      </w:r>
      <w:r w:rsidRPr="00814DD9">
        <w:rPr>
          <w:rFonts w:ascii="Arial" w:hAnsi="Arial" w:cs="Arial"/>
          <w:sz w:val="22"/>
          <w:szCs w:val="22"/>
        </w:rPr>
        <w:t>, p.02666669241264745.</w:t>
      </w:r>
      <w:hyperlink r:id="rId25">
        <w:r w:rsidRPr="00814DD9">
          <w:rPr>
            <w:rFonts w:ascii="Arial" w:hAnsi="Arial" w:cs="Arial"/>
            <w:sz w:val="22"/>
            <w:szCs w:val="22"/>
          </w:rPr>
          <w:t xml:space="preserve"> </w:t>
        </w:r>
      </w:hyperlink>
      <w:hyperlink r:id="rId26">
        <w:r w:rsidRPr="00814DD9">
          <w:rPr>
            <w:rFonts w:ascii="Arial" w:hAnsi="Arial" w:cs="Arial"/>
            <w:color w:val="1155CC"/>
            <w:sz w:val="22"/>
            <w:szCs w:val="22"/>
            <w:u w:val="single"/>
          </w:rPr>
          <w:t>https://journals.sagepub.com/doi/pdf/10.1177/02666669241264745</w:t>
        </w:r>
      </w:hyperlink>
    </w:p>
    <w:p w14:paraId="6B2E5A49" w14:textId="77777777" w:rsidR="00E84F30" w:rsidRPr="00814DD9" w:rsidRDefault="00296084">
      <w:pPr>
        <w:spacing w:before="240" w:after="240"/>
        <w:rPr>
          <w:rFonts w:ascii="Arial" w:hAnsi="Arial" w:cs="Arial"/>
          <w:color w:val="1155CC"/>
          <w:sz w:val="22"/>
          <w:szCs w:val="22"/>
          <w:u w:val="single"/>
        </w:rPr>
      </w:pPr>
      <w:r w:rsidRPr="00814DD9">
        <w:rPr>
          <w:rFonts w:ascii="Arial" w:hAnsi="Arial" w:cs="Arial"/>
          <w:sz w:val="22"/>
          <w:szCs w:val="22"/>
        </w:rPr>
        <w:t xml:space="preserve">Pandey, M., </w:t>
      </w:r>
      <w:proofErr w:type="spellStart"/>
      <w:r w:rsidRPr="00814DD9">
        <w:rPr>
          <w:rFonts w:ascii="Arial" w:hAnsi="Arial" w:cs="Arial"/>
          <w:sz w:val="22"/>
          <w:szCs w:val="22"/>
        </w:rPr>
        <w:t>Maina</w:t>
      </w:r>
      <w:proofErr w:type="spellEnd"/>
      <w:r w:rsidRPr="00814DD9">
        <w:rPr>
          <w:rFonts w:ascii="Arial" w:hAnsi="Arial" w:cs="Arial"/>
          <w:sz w:val="22"/>
          <w:szCs w:val="22"/>
        </w:rPr>
        <w:t xml:space="preserve">, R.G., </w:t>
      </w:r>
      <w:proofErr w:type="spellStart"/>
      <w:r w:rsidRPr="00814DD9">
        <w:rPr>
          <w:rFonts w:ascii="Arial" w:hAnsi="Arial" w:cs="Arial"/>
          <w:sz w:val="22"/>
          <w:szCs w:val="22"/>
        </w:rPr>
        <w:t>Amoyaw</w:t>
      </w:r>
      <w:proofErr w:type="spellEnd"/>
      <w:r w:rsidRPr="00814DD9">
        <w:rPr>
          <w:rFonts w:ascii="Arial" w:hAnsi="Arial" w:cs="Arial"/>
          <w:sz w:val="22"/>
          <w:szCs w:val="22"/>
        </w:rPr>
        <w:t xml:space="preserve">, J., Li, Y., Kamrul, R., Michaels, C.R. and Maroof, R., (2021). ‘Impacts of English language proficiency on healthcare access, use, and outcomes among immigrants: a qualitative study’, </w:t>
      </w:r>
      <w:r w:rsidRPr="00814DD9">
        <w:rPr>
          <w:rFonts w:ascii="Arial" w:hAnsi="Arial" w:cs="Arial"/>
          <w:i/>
          <w:sz w:val="22"/>
          <w:szCs w:val="22"/>
        </w:rPr>
        <w:t>BMC health services research</w:t>
      </w:r>
      <w:r w:rsidRPr="00814DD9">
        <w:rPr>
          <w:rFonts w:ascii="Arial" w:hAnsi="Arial" w:cs="Arial"/>
          <w:sz w:val="22"/>
          <w:szCs w:val="22"/>
        </w:rPr>
        <w:t>, 21(1), p.741.</w:t>
      </w:r>
      <w:hyperlink r:id="rId27">
        <w:r w:rsidRPr="00814DD9">
          <w:rPr>
            <w:rFonts w:ascii="Arial" w:hAnsi="Arial" w:cs="Arial"/>
            <w:sz w:val="22"/>
            <w:szCs w:val="22"/>
          </w:rPr>
          <w:t xml:space="preserve"> </w:t>
        </w:r>
      </w:hyperlink>
      <w:hyperlink r:id="rId28">
        <w:r w:rsidRPr="00814DD9">
          <w:rPr>
            <w:rFonts w:ascii="Arial" w:hAnsi="Arial" w:cs="Arial"/>
            <w:color w:val="1155CC"/>
            <w:sz w:val="22"/>
            <w:szCs w:val="22"/>
            <w:u w:val="single"/>
          </w:rPr>
          <w:t>https://link.springer.com/content/pdf/10.1186/s12913-021-06750-4.pdf</w:t>
        </w:r>
      </w:hyperlink>
    </w:p>
    <w:p w14:paraId="6C4A8A85" w14:textId="77777777" w:rsidR="00E84F30" w:rsidRPr="00814DD9" w:rsidRDefault="00296084">
      <w:pPr>
        <w:spacing w:before="240" w:after="240"/>
        <w:rPr>
          <w:rFonts w:ascii="Arial" w:hAnsi="Arial" w:cs="Arial"/>
          <w:color w:val="1155CC"/>
          <w:sz w:val="22"/>
          <w:szCs w:val="22"/>
          <w:u w:val="single"/>
        </w:rPr>
      </w:pPr>
      <w:r w:rsidRPr="00814DD9">
        <w:rPr>
          <w:rFonts w:ascii="Arial" w:hAnsi="Arial" w:cs="Arial"/>
          <w:sz w:val="22"/>
          <w:szCs w:val="22"/>
        </w:rPr>
        <w:lastRenderedPageBreak/>
        <w:t xml:space="preserve">Parker, S., Hartley, J., </w:t>
      </w:r>
      <w:proofErr w:type="spellStart"/>
      <w:r w:rsidRPr="00814DD9">
        <w:rPr>
          <w:rFonts w:ascii="Arial" w:hAnsi="Arial" w:cs="Arial"/>
          <w:sz w:val="22"/>
          <w:szCs w:val="22"/>
        </w:rPr>
        <w:t>Beashel</w:t>
      </w:r>
      <w:proofErr w:type="spellEnd"/>
      <w:r w:rsidRPr="00814DD9">
        <w:rPr>
          <w:rFonts w:ascii="Arial" w:hAnsi="Arial" w:cs="Arial"/>
          <w:sz w:val="22"/>
          <w:szCs w:val="22"/>
        </w:rPr>
        <w:t xml:space="preserve">, J. and Vo, Q., (2023). ‘Leading for public value in multi-agency collaboration’, </w:t>
      </w:r>
      <w:r w:rsidRPr="00814DD9">
        <w:rPr>
          <w:rFonts w:ascii="Arial" w:hAnsi="Arial" w:cs="Arial"/>
          <w:i/>
          <w:sz w:val="22"/>
          <w:szCs w:val="22"/>
        </w:rPr>
        <w:t>Public Policy and Administration</w:t>
      </w:r>
      <w:r w:rsidRPr="00814DD9">
        <w:rPr>
          <w:rFonts w:ascii="Arial" w:hAnsi="Arial" w:cs="Arial"/>
          <w:sz w:val="22"/>
          <w:szCs w:val="22"/>
        </w:rPr>
        <w:t>, 38(1), pp.83-106.</w:t>
      </w:r>
      <w:hyperlink r:id="rId29">
        <w:r w:rsidRPr="00814DD9">
          <w:rPr>
            <w:rFonts w:ascii="Arial" w:hAnsi="Arial" w:cs="Arial"/>
            <w:sz w:val="22"/>
            <w:szCs w:val="22"/>
          </w:rPr>
          <w:t xml:space="preserve"> </w:t>
        </w:r>
      </w:hyperlink>
      <w:hyperlink r:id="rId30">
        <w:r w:rsidRPr="00814DD9">
          <w:rPr>
            <w:rFonts w:ascii="Arial" w:hAnsi="Arial" w:cs="Arial"/>
            <w:color w:val="1155CC"/>
            <w:sz w:val="22"/>
            <w:szCs w:val="22"/>
            <w:u w:val="single"/>
          </w:rPr>
          <w:t>https://oro.open.ac.uk/75138/3/75138.pdf</w:t>
        </w:r>
      </w:hyperlink>
    </w:p>
    <w:p w14:paraId="02B0EEA8" w14:textId="77777777" w:rsidR="00E84F30" w:rsidRPr="00814DD9" w:rsidRDefault="00296084">
      <w:pPr>
        <w:spacing w:before="240" w:after="240"/>
        <w:rPr>
          <w:rFonts w:ascii="Arial" w:hAnsi="Arial" w:cs="Arial"/>
          <w:color w:val="1155CC"/>
          <w:sz w:val="22"/>
          <w:szCs w:val="22"/>
          <w:u w:val="single"/>
        </w:rPr>
      </w:pPr>
      <w:r w:rsidRPr="00814DD9">
        <w:rPr>
          <w:rFonts w:ascii="Arial" w:hAnsi="Arial" w:cs="Arial"/>
          <w:sz w:val="22"/>
          <w:szCs w:val="22"/>
        </w:rPr>
        <w:t xml:space="preserve">Savage, S., (2021). ‘7.03 Confidentiality and Data Protection Policy V4’. 0. </w:t>
      </w:r>
      <w:r w:rsidRPr="00814DD9">
        <w:rPr>
          <w:rFonts w:ascii="Arial" w:hAnsi="Arial" w:cs="Arial"/>
          <w:i/>
          <w:sz w:val="22"/>
          <w:szCs w:val="22"/>
        </w:rPr>
        <w:t>policy</w:t>
      </w:r>
      <w:r w:rsidRPr="00814DD9">
        <w:rPr>
          <w:rFonts w:ascii="Arial" w:hAnsi="Arial" w:cs="Arial"/>
          <w:sz w:val="22"/>
          <w:szCs w:val="22"/>
        </w:rPr>
        <w:t>, 3, p.1.</w:t>
      </w:r>
      <w:hyperlink r:id="rId31">
        <w:r w:rsidRPr="00814DD9">
          <w:rPr>
            <w:rFonts w:ascii="Arial" w:hAnsi="Arial" w:cs="Arial"/>
            <w:sz w:val="22"/>
            <w:szCs w:val="22"/>
          </w:rPr>
          <w:t xml:space="preserve"> </w:t>
        </w:r>
      </w:hyperlink>
      <w:hyperlink r:id="rId32">
        <w:r w:rsidRPr="00814DD9">
          <w:rPr>
            <w:rFonts w:ascii="Arial" w:hAnsi="Arial" w:cs="Arial"/>
            <w:color w:val="1155CC"/>
            <w:sz w:val="22"/>
            <w:szCs w:val="22"/>
            <w:u w:val="single"/>
          </w:rPr>
          <w:t>https://www.st-annes.org.uk/wp-content/uploads/2021/06/7.03-Confidentiality-and-Data-Protection-Policy-V4.0-January-2023.pdf</w:t>
        </w:r>
      </w:hyperlink>
    </w:p>
    <w:p w14:paraId="58C04A84" w14:textId="77777777" w:rsidR="00E84F30" w:rsidRPr="00814DD9" w:rsidRDefault="00296084">
      <w:pPr>
        <w:spacing w:before="240" w:after="240"/>
        <w:rPr>
          <w:rFonts w:ascii="Arial" w:hAnsi="Arial" w:cs="Arial"/>
          <w:color w:val="1155CC"/>
          <w:sz w:val="22"/>
          <w:szCs w:val="22"/>
          <w:u w:val="single"/>
        </w:rPr>
      </w:pPr>
      <w:r w:rsidRPr="00814DD9">
        <w:rPr>
          <w:rFonts w:ascii="Arial" w:hAnsi="Arial" w:cs="Arial"/>
          <w:sz w:val="22"/>
          <w:szCs w:val="22"/>
        </w:rPr>
        <w:t xml:space="preserve">Stephanou, M., (2023). ‘Caregiver burden: Support needed for those who support others and the National Health Service’, </w:t>
      </w:r>
      <w:r w:rsidRPr="00814DD9">
        <w:rPr>
          <w:rFonts w:ascii="Arial" w:hAnsi="Arial" w:cs="Arial"/>
          <w:i/>
          <w:sz w:val="22"/>
          <w:szCs w:val="22"/>
        </w:rPr>
        <w:t>Patient Experience Journal</w:t>
      </w:r>
      <w:r w:rsidRPr="00814DD9">
        <w:rPr>
          <w:rFonts w:ascii="Arial" w:hAnsi="Arial" w:cs="Arial"/>
          <w:sz w:val="22"/>
          <w:szCs w:val="22"/>
        </w:rPr>
        <w:t>, 10(2), pp.23-33.</w:t>
      </w:r>
      <w:hyperlink r:id="rId33">
        <w:r w:rsidRPr="00814DD9">
          <w:rPr>
            <w:rFonts w:ascii="Arial" w:hAnsi="Arial" w:cs="Arial"/>
            <w:sz w:val="22"/>
            <w:szCs w:val="22"/>
          </w:rPr>
          <w:t xml:space="preserve"> </w:t>
        </w:r>
      </w:hyperlink>
      <w:hyperlink r:id="rId34">
        <w:r w:rsidRPr="00814DD9">
          <w:rPr>
            <w:rFonts w:ascii="Arial" w:hAnsi="Arial" w:cs="Arial"/>
            <w:color w:val="1155CC"/>
            <w:sz w:val="22"/>
            <w:szCs w:val="22"/>
            <w:u w:val="single"/>
          </w:rPr>
          <w:t>https://pxjournal.org/cgi/viewcontent.cgi?article=1796&amp;context=journal</w:t>
        </w:r>
      </w:hyperlink>
    </w:p>
    <w:p w14:paraId="63F79F97" w14:textId="77777777" w:rsidR="00E84F30" w:rsidRPr="00814DD9" w:rsidRDefault="00296084">
      <w:pPr>
        <w:spacing w:before="240" w:after="240"/>
        <w:rPr>
          <w:rFonts w:ascii="Arial" w:hAnsi="Arial" w:cs="Arial"/>
          <w:color w:val="1155CC"/>
          <w:sz w:val="22"/>
          <w:szCs w:val="22"/>
          <w:u w:val="single"/>
        </w:rPr>
      </w:pPr>
      <w:r w:rsidRPr="00814DD9">
        <w:rPr>
          <w:rFonts w:ascii="Arial" w:hAnsi="Arial" w:cs="Arial"/>
          <w:sz w:val="22"/>
          <w:szCs w:val="22"/>
        </w:rPr>
        <w:t xml:space="preserve">Wager, K.A., Lee, F.W. and Glaser, J.P., (2021). </w:t>
      </w:r>
      <w:r w:rsidRPr="00814DD9">
        <w:rPr>
          <w:rFonts w:ascii="Arial" w:hAnsi="Arial" w:cs="Arial"/>
          <w:i/>
          <w:sz w:val="22"/>
          <w:szCs w:val="22"/>
        </w:rPr>
        <w:t>Health care information systems: a practical approach for health care management</w:t>
      </w:r>
      <w:r w:rsidRPr="00814DD9">
        <w:rPr>
          <w:rFonts w:ascii="Arial" w:hAnsi="Arial" w:cs="Arial"/>
          <w:sz w:val="22"/>
          <w:szCs w:val="22"/>
        </w:rPr>
        <w:t>. John Wiley &amp; Sons.</w:t>
      </w:r>
      <w:hyperlink r:id="rId35">
        <w:r w:rsidRPr="00814DD9">
          <w:rPr>
            <w:rFonts w:ascii="Arial" w:hAnsi="Arial" w:cs="Arial"/>
            <w:sz w:val="22"/>
            <w:szCs w:val="22"/>
          </w:rPr>
          <w:t xml:space="preserve"> </w:t>
        </w:r>
      </w:hyperlink>
      <w:hyperlink r:id="rId36">
        <w:r w:rsidRPr="00814DD9">
          <w:rPr>
            <w:rFonts w:ascii="Arial" w:hAnsi="Arial" w:cs="Arial"/>
            <w:color w:val="1155CC"/>
            <w:sz w:val="22"/>
            <w:szCs w:val="22"/>
            <w:u w:val="single"/>
          </w:rPr>
          <w:t>https://brazosport.simplesyllabus.com/api2/doc-pdf/7a4063zc5/2025-26-FA1-8-MHSM-3311-40-.pdf</w:t>
        </w:r>
      </w:hyperlink>
    </w:p>
    <w:p w14:paraId="2DB25B71" w14:textId="77777777" w:rsidR="00E84F30" w:rsidRPr="00814DD9" w:rsidRDefault="00296084">
      <w:pPr>
        <w:spacing w:before="240" w:after="240"/>
        <w:rPr>
          <w:rFonts w:ascii="Arial" w:hAnsi="Arial" w:cs="Arial"/>
          <w:color w:val="1155CC"/>
          <w:sz w:val="22"/>
          <w:szCs w:val="22"/>
          <w:u w:val="single"/>
        </w:rPr>
      </w:pPr>
      <w:r w:rsidRPr="00814DD9">
        <w:rPr>
          <w:rFonts w:ascii="Arial" w:hAnsi="Arial" w:cs="Arial"/>
          <w:sz w:val="22"/>
          <w:szCs w:val="22"/>
        </w:rPr>
        <w:t xml:space="preserve">Zanke, P. and Sontakke, D., (2024). ‘Safeguarding patient confidentiality in telemedicine: A systematic review of privacy and security risks, and best practices for data protection’. </w:t>
      </w:r>
      <w:r w:rsidRPr="00814DD9">
        <w:rPr>
          <w:rFonts w:ascii="Arial" w:hAnsi="Arial" w:cs="Arial"/>
          <w:i/>
          <w:sz w:val="22"/>
          <w:szCs w:val="22"/>
        </w:rPr>
        <w:t>Int. J. Current Sci. Res. Rev</w:t>
      </w:r>
      <w:r w:rsidRPr="00814DD9">
        <w:rPr>
          <w:rFonts w:ascii="Arial" w:hAnsi="Arial" w:cs="Arial"/>
          <w:sz w:val="22"/>
          <w:szCs w:val="22"/>
        </w:rPr>
        <w:t>, 7(6), pp.3910-3922.</w:t>
      </w:r>
      <w:hyperlink r:id="rId37">
        <w:r w:rsidRPr="00814DD9">
          <w:rPr>
            <w:rFonts w:ascii="Arial" w:hAnsi="Arial" w:cs="Arial"/>
            <w:sz w:val="22"/>
            <w:szCs w:val="22"/>
          </w:rPr>
          <w:t xml:space="preserve"> </w:t>
        </w:r>
      </w:hyperlink>
      <w:hyperlink r:id="rId38">
        <w:r w:rsidRPr="00814DD9">
          <w:rPr>
            <w:rFonts w:ascii="Arial" w:hAnsi="Arial" w:cs="Arial"/>
            <w:color w:val="1155CC"/>
            <w:sz w:val="22"/>
            <w:szCs w:val="22"/>
            <w:u w:val="single"/>
          </w:rPr>
          <w:t>https://pdfs.semanticscholar.org/363a/f6584d05016b25249fe28478a033ab5b2c4c.pdf</w:t>
        </w:r>
      </w:hyperlink>
    </w:p>
    <w:p w14:paraId="2E6AD3FF" w14:textId="77777777" w:rsidR="00E84F30" w:rsidRPr="00814DD9" w:rsidRDefault="00E84F30">
      <w:pPr>
        <w:rPr>
          <w:rFonts w:ascii="Arial" w:hAnsi="Arial" w:cs="Arial"/>
          <w:sz w:val="22"/>
          <w:szCs w:val="22"/>
        </w:rPr>
      </w:pPr>
    </w:p>
    <w:p w14:paraId="53539E39" w14:textId="77777777" w:rsidR="00E84F30" w:rsidRPr="00814DD9" w:rsidRDefault="00E84F30">
      <w:pPr>
        <w:rPr>
          <w:rFonts w:ascii="Arial" w:hAnsi="Arial" w:cs="Arial"/>
          <w:b/>
          <w:sz w:val="22"/>
          <w:szCs w:val="22"/>
        </w:rPr>
      </w:pPr>
    </w:p>
    <w:sectPr w:rsidR="00E84F30" w:rsidRPr="00814DD9" w:rsidSect="00D353BE">
      <w:footerReference w:type="default" r:id="rId3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A5702" w14:textId="77777777" w:rsidR="005875C4" w:rsidRDefault="005875C4" w:rsidP="00D353BE">
      <w:pPr>
        <w:spacing w:line="240" w:lineRule="auto"/>
      </w:pPr>
      <w:r>
        <w:separator/>
      </w:r>
    </w:p>
  </w:endnote>
  <w:endnote w:type="continuationSeparator" w:id="0">
    <w:p w14:paraId="306460D0" w14:textId="77777777" w:rsidR="005875C4" w:rsidRDefault="005875C4" w:rsidP="00D353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6968610B-5848-488F-90B3-395CCE608D0F}"/>
  </w:font>
  <w:font w:name="Cambria">
    <w:panose1 w:val="02040503050406030204"/>
    <w:charset w:val="00"/>
    <w:family w:val="roman"/>
    <w:pitch w:val="variable"/>
    <w:sig w:usb0="E00006FF" w:usb1="420024FF" w:usb2="02000000" w:usb3="00000000" w:csb0="0000019F" w:csb1="00000000"/>
    <w:embedRegular r:id="rId2" w:fontKey="{C60F31A1-594B-5B4A-A2AA-9869EECEDA9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6053067"/>
      <w:docPartObj>
        <w:docPartGallery w:val="Page Numbers (Bottom of Page)"/>
        <w:docPartUnique/>
      </w:docPartObj>
    </w:sdtPr>
    <w:sdtEndPr>
      <w:rPr>
        <w:noProof/>
        <w:sz w:val="20"/>
        <w:szCs w:val="20"/>
      </w:rPr>
    </w:sdtEndPr>
    <w:sdtContent>
      <w:p w14:paraId="1F9C0959" w14:textId="0C80E87A" w:rsidR="00D353BE" w:rsidRPr="00D353BE" w:rsidRDefault="00D353BE">
        <w:pPr>
          <w:pStyle w:val="Footer"/>
          <w:jc w:val="right"/>
          <w:rPr>
            <w:sz w:val="20"/>
            <w:szCs w:val="20"/>
          </w:rPr>
        </w:pPr>
        <w:r w:rsidRPr="00D353BE">
          <w:rPr>
            <w:sz w:val="20"/>
            <w:szCs w:val="20"/>
          </w:rPr>
          <w:fldChar w:fldCharType="begin"/>
        </w:r>
        <w:r w:rsidRPr="00D353BE">
          <w:rPr>
            <w:sz w:val="20"/>
            <w:szCs w:val="20"/>
          </w:rPr>
          <w:instrText xml:space="preserve"> PAGE   \* MERGEFORMAT </w:instrText>
        </w:r>
        <w:r w:rsidRPr="00D353BE">
          <w:rPr>
            <w:sz w:val="20"/>
            <w:szCs w:val="20"/>
          </w:rPr>
          <w:fldChar w:fldCharType="separate"/>
        </w:r>
        <w:r w:rsidRPr="00D353BE">
          <w:rPr>
            <w:noProof/>
            <w:sz w:val="20"/>
            <w:szCs w:val="20"/>
          </w:rPr>
          <w:t>2</w:t>
        </w:r>
        <w:r w:rsidRPr="00D353BE">
          <w:rPr>
            <w:noProof/>
            <w:sz w:val="20"/>
            <w:szCs w:val="20"/>
          </w:rPr>
          <w:fldChar w:fldCharType="end"/>
        </w:r>
      </w:p>
    </w:sdtContent>
  </w:sdt>
  <w:p w14:paraId="0FD33BB9" w14:textId="77777777" w:rsidR="00D353BE" w:rsidRDefault="00D353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D9B80" w14:textId="77777777" w:rsidR="005875C4" w:rsidRDefault="005875C4" w:rsidP="00D353BE">
      <w:pPr>
        <w:spacing w:line="240" w:lineRule="auto"/>
      </w:pPr>
      <w:r>
        <w:separator/>
      </w:r>
    </w:p>
  </w:footnote>
  <w:footnote w:type="continuationSeparator" w:id="0">
    <w:p w14:paraId="5AE90124" w14:textId="77777777" w:rsidR="005875C4" w:rsidRDefault="005875C4" w:rsidP="00D353B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F30"/>
    <w:rsid w:val="00082BF5"/>
    <w:rsid w:val="000D05EB"/>
    <w:rsid w:val="0016610A"/>
    <w:rsid w:val="00296084"/>
    <w:rsid w:val="002A259C"/>
    <w:rsid w:val="005875C4"/>
    <w:rsid w:val="00657899"/>
    <w:rsid w:val="006820E3"/>
    <w:rsid w:val="00814DD9"/>
    <w:rsid w:val="00835649"/>
    <w:rsid w:val="00893421"/>
    <w:rsid w:val="008A2117"/>
    <w:rsid w:val="0091578E"/>
    <w:rsid w:val="00954476"/>
    <w:rsid w:val="009A57EB"/>
    <w:rsid w:val="00A303A1"/>
    <w:rsid w:val="00C45B57"/>
    <w:rsid w:val="00C5715C"/>
    <w:rsid w:val="00D255E6"/>
    <w:rsid w:val="00D353BE"/>
    <w:rsid w:val="00DD289E"/>
    <w:rsid w:val="00E84F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B83D6"/>
  <w15:docId w15:val="{FC12F723-97DE-4771-AC37-FE1A9649C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outlineLvl w:val="0"/>
    </w:pPr>
    <w:rPr>
      <w:b/>
    </w:rPr>
  </w:style>
  <w:style w:type="paragraph" w:styleId="Heading2">
    <w:name w:val="heading 2"/>
    <w:basedOn w:val="Normal"/>
    <w:next w:val="Normal"/>
    <w:uiPriority w:val="9"/>
    <w:semiHidden/>
    <w:unhideWhenUsed/>
    <w:qFormat/>
    <w:pPr>
      <w:keepNext/>
      <w:keepLines/>
      <w:outlineLvl w:val="1"/>
    </w:pPr>
    <w:rPr>
      <w:b/>
      <w:highlight w:val="white"/>
    </w:rPr>
  </w:style>
  <w:style w:type="paragraph" w:styleId="Heading3">
    <w:name w:val="heading 3"/>
    <w:basedOn w:val="Normal"/>
    <w:next w:val="Normal"/>
    <w:uiPriority w:val="9"/>
    <w:semiHidden/>
    <w:unhideWhenUsed/>
    <w:qFormat/>
    <w:pPr>
      <w:keepNext/>
      <w:keepLines/>
      <w:outlineLvl w:val="2"/>
    </w:pPr>
    <w:rPr>
      <w:b/>
      <w:i/>
      <w:highlight w:val="whit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D353BE"/>
    <w:pPr>
      <w:tabs>
        <w:tab w:val="center" w:pos="4513"/>
        <w:tab w:val="right" w:pos="9026"/>
      </w:tabs>
      <w:spacing w:line="240" w:lineRule="auto"/>
    </w:pPr>
  </w:style>
  <w:style w:type="character" w:customStyle="1" w:styleId="HeaderChar">
    <w:name w:val="Header Char"/>
    <w:basedOn w:val="DefaultParagraphFont"/>
    <w:link w:val="Header"/>
    <w:uiPriority w:val="99"/>
    <w:rsid w:val="00D353BE"/>
  </w:style>
  <w:style w:type="paragraph" w:styleId="Footer">
    <w:name w:val="footer"/>
    <w:basedOn w:val="Normal"/>
    <w:link w:val="FooterChar"/>
    <w:uiPriority w:val="99"/>
    <w:unhideWhenUsed/>
    <w:rsid w:val="00D353BE"/>
    <w:pPr>
      <w:tabs>
        <w:tab w:val="center" w:pos="4513"/>
        <w:tab w:val="right" w:pos="9026"/>
      </w:tabs>
      <w:spacing w:line="240" w:lineRule="auto"/>
    </w:pPr>
  </w:style>
  <w:style w:type="character" w:customStyle="1" w:styleId="FooterChar">
    <w:name w:val="Footer Char"/>
    <w:basedOn w:val="DefaultParagraphFont"/>
    <w:link w:val="Footer"/>
    <w:uiPriority w:val="99"/>
    <w:rsid w:val="00D353BE"/>
  </w:style>
  <w:style w:type="paragraph" w:styleId="TOCHeading">
    <w:name w:val="TOC Heading"/>
    <w:basedOn w:val="Heading1"/>
    <w:next w:val="Normal"/>
    <w:uiPriority w:val="39"/>
    <w:unhideWhenUsed/>
    <w:qFormat/>
    <w:rsid w:val="00D353B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353BE"/>
    <w:pPr>
      <w:spacing w:after="100"/>
    </w:pPr>
  </w:style>
  <w:style w:type="character" w:styleId="Hyperlink">
    <w:name w:val="Hyperlink"/>
    <w:basedOn w:val="DefaultParagraphFont"/>
    <w:uiPriority w:val="99"/>
    <w:unhideWhenUsed/>
    <w:rsid w:val="00D353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pmc.ncbi.nlm.nih.gov/articles/PMC9634455/pdf/main.pdf" TargetMode="External"/><Relationship Id="rId18" Type="http://schemas.openxmlformats.org/officeDocument/2006/relationships/hyperlink" Target="https://caringforcare.co.uk/cqc-single-assessment-framework/" TargetMode="External"/><Relationship Id="rId26" Type="http://schemas.openxmlformats.org/officeDocument/2006/relationships/hyperlink" Target="https://journals.sagepub.com/doi/pdf/10.1177/02666669241264745" TargetMode="External"/><Relationship Id="rId39" Type="http://schemas.openxmlformats.org/officeDocument/2006/relationships/footer" Target="footer1.xml"/><Relationship Id="rId21" Type="http://schemas.openxmlformats.org/officeDocument/2006/relationships/hyperlink" Target="https://pmc.ncbi.nlm.nih.gov/articles/PMC12138216/" TargetMode="External"/><Relationship Id="rId34" Type="http://schemas.openxmlformats.org/officeDocument/2006/relationships/hyperlink" Target="https://pxjournal.org/cgi/viewcontent.cgi?article=1796&amp;context=journal"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journals.plos.org/plosone/article/file?id=10.1371/journal.pone.0254896&amp;type=printable" TargetMode="External"/><Relationship Id="rId20" Type="http://schemas.openxmlformats.org/officeDocument/2006/relationships/hyperlink" Target="https://www.gov.uk/guidance/equality-act-2010-guidance" TargetMode="External"/><Relationship Id="rId29" Type="http://schemas.openxmlformats.org/officeDocument/2006/relationships/hyperlink" Target="https://oro.open.ac.uk/75138/3/75138.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mc.ncbi.nlm.nih.gov/articles/PMC9634455/pdf/main.pdf" TargetMode="External"/><Relationship Id="rId24" Type="http://schemas.openxmlformats.org/officeDocument/2006/relationships/hyperlink" Target="https://www.nmc.org.uk/standards/code/" TargetMode="External"/><Relationship Id="rId32" Type="http://schemas.openxmlformats.org/officeDocument/2006/relationships/hyperlink" Target="https://www.st-annes.org.uk/wp-content/uploads/2021/06/7.03-Confidentiality-and-Data-Protection-Policy-V4.0-January-2023.pdf" TargetMode="External"/><Relationship Id="rId37" Type="http://schemas.openxmlformats.org/officeDocument/2006/relationships/hyperlink" Target="https://pdfs.semanticscholar.org/363a/f6584d05016b25249fe28478a033ab5b2c4c.pdf"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journals.plos.org/plosone/article/file?id=10.1371/journal.pone.0254896&amp;type=printable" TargetMode="External"/><Relationship Id="rId23" Type="http://schemas.openxmlformats.org/officeDocument/2006/relationships/hyperlink" Target="https://www.nmc.org.uk/standards/code/" TargetMode="External"/><Relationship Id="rId28" Type="http://schemas.openxmlformats.org/officeDocument/2006/relationships/hyperlink" Target="https://link.springer.com/content/pdf/10.1186/s12913-021-06750-4.pdf" TargetMode="External"/><Relationship Id="rId36" Type="http://schemas.openxmlformats.org/officeDocument/2006/relationships/hyperlink" Target="https://brazosport.simplesyllabus.com/api2/doc-pdf/7a4063zc5/2025-26-FA1-8-MHSM-3311-40-.pdf" TargetMode="External"/><Relationship Id="rId10" Type="http://schemas.openxmlformats.org/officeDocument/2006/relationships/image" Target="media/image4.png"/><Relationship Id="rId19" Type="http://schemas.openxmlformats.org/officeDocument/2006/relationships/hyperlink" Target="https://www.gov.uk/guidance/equality-act-2010-guidance" TargetMode="External"/><Relationship Id="rId31" Type="http://schemas.openxmlformats.org/officeDocument/2006/relationships/hyperlink" Target="https://www.st-annes.org.uk/wp-content/uploads/2021/06/7.03-Confidentiality-and-Data-Protection-Policy-V4.0-January-2023.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mc.ncbi.nlm.nih.gov/articles/PMC9634455/pdf/main.pdf" TargetMode="External"/><Relationship Id="rId22" Type="http://schemas.openxmlformats.org/officeDocument/2006/relationships/hyperlink" Target="https://pmc.ncbi.nlm.nih.gov/articles/PMC12138216/" TargetMode="External"/><Relationship Id="rId27" Type="http://schemas.openxmlformats.org/officeDocument/2006/relationships/hyperlink" Target="https://link.springer.com/content/pdf/10.1186/s12913-021-06750-4.pdf" TargetMode="External"/><Relationship Id="rId30" Type="http://schemas.openxmlformats.org/officeDocument/2006/relationships/hyperlink" Target="https://oro.open.ac.uk/75138/3/75138.pdf" TargetMode="External"/><Relationship Id="rId35" Type="http://schemas.openxmlformats.org/officeDocument/2006/relationships/hyperlink" Target="https://brazosport.simplesyllabus.com/api2/doc-pdf/7a4063zc5/2025-26-FA1-8-MHSM-3311-40-.pdf"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pmc.ncbi.nlm.nih.gov/articles/PMC9634455/pdf/main.pdf" TargetMode="External"/><Relationship Id="rId17" Type="http://schemas.openxmlformats.org/officeDocument/2006/relationships/hyperlink" Target="https://caringforcare.co.uk/cqc-single-assessment-framework/" TargetMode="External"/><Relationship Id="rId25" Type="http://schemas.openxmlformats.org/officeDocument/2006/relationships/hyperlink" Target="https://journals.sagepub.com/doi/pdf/10.1177/02666669241264745" TargetMode="External"/><Relationship Id="rId33" Type="http://schemas.openxmlformats.org/officeDocument/2006/relationships/hyperlink" Target="https://pxjournal.org/cgi/viewcontent.cgi?article=1796&amp;context=journal" TargetMode="External"/><Relationship Id="rId38" Type="http://schemas.openxmlformats.org/officeDocument/2006/relationships/hyperlink" Target="https://pdfs.semanticscholar.org/363a/f6584d05016b25249fe28478a033ab5b2c4c.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52F7E-4665-4920-8808-1FA8ED038F8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2546</Words>
  <Characters>14518</Characters>
  <Application>Microsoft Office Word</Application>
  <DocSecurity>0</DocSecurity>
  <Lines>120</Lines>
  <Paragraphs>34</Paragraphs>
  <ScaleCrop>false</ScaleCrop>
  <Company/>
  <LinksUpToDate>false</LinksUpToDate>
  <CharactersWithSpaces>17030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Armaan Yousaf</cp:lastModifiedBy>
  <cp:revision>2</cp:revision>
  <dcterms:created xsi:type="dcterms:W3CDTF">2025-11-17T00:29:00Z</dcterms:created>
  <dcterms:modified xsi:type="dcterms:W3CDTF">2025-11-17T00:29:00Z</dcterms:modified>
</cp:coreProperties>
</file>