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1DD85" w14:textId="77777777" w:rsidR="002021E3" w:rsidRPr="00D35F37" w:rsidRDefault="002021E3" w:rsidP="002021E3">
      <w:pPr>
        <w:spacing w:line="360" w:lineRule="auto"/>
        <w:jc w:val="center"/>
        <w:rPr>
          <w:rFonts w:ascii="Arial" w:hAnsi="Arial" w:cs="Arial"/>
          <w:b/>
          <w:bCs/>
          <w:sz w:val="24"/>
          <w:szCs w:val="24"/>
        </w:rPr>
      </w:pPr>
    </w:p>
    <w:p w14:paraId="6485E02F" w14:textId="77777777" w:rsidR="002021E3" w:rsidRPr="00D35F37" w:rsidRDefault="002021E3" w:rsidP="002021E3">
      <w:pPr>
        <w:spacing w:line="360" w:lineRule="auto"/>
        <w:jc w:val="center"/>
        <w:rPr>
          <w:rFonts w:ascii="Arial" w:hAnsi="Arial" w:cs="Arial"/>
          <w:b/>
          <w:bCs/>
          <w:sz w:val="24"/>
          <w:szCs w:val="24"/>
        </w:rPr>
      </w:pPr>
    </w:p>
    <w:p w14:paraId="4F51EF73" w14:textId="77777777" w:rsidR="00985E10" w:rsidRDefault="00985E10" w:rsidP="002021E3">
      <w:pPr>
        <w:spacing w:line="360" w:lineRule="auto"/>
        <w:jc w:val="center"/>
        <w:rPr>
          <w:rFonts w:ascii="Arial" w:hAnsi="Arial" w:cs="Arial"/>
          <w:b/>
          <w:bCs/>
          <w:sz w:val="24"/>
          <w:szCs w:val="24"/>
        </w:rPr>
      </w:pPr>
    </w:p>
    <w:p w14:paraId="013CEF7B" w14:textId="77777777" w:rsidR="00985E10" w:rsidRDefault="00985E10" w:rsidP="002021E3">
      <w:pPr>
        <w:spacing w:line="360" w:lineRule="auto"/>
        <w:jc w:val="center"/>
        <w:rPr>
          <w:rFonts w:ascii="Arial" w:hAnsi="Arial" w:cs="Arial"/>
          <w:b/>
          <w:bCs/>
          <w:sz w:val="24"/>
          <w:szCs w:val="24"/>
        </w:rPr>
      </w:pPr>
    </w:p>
    <w:p w14:paraId="5A8DD982" w14:textId="77777777" w:rsidR="00985E10" w:rsidRDefault="00985E10" w:rsidP="002021E3">
      <w:pPr>
        <w:spacing w:line="360" w:lineRule="auto"/>
        <w:jc w:val="center"/>
        <w:rPr>
          <w:rFonts w:ascii="Arial" w:hAnsi="Arial" w:cs="Arial"/>
          <w:b/>
          <w:bCs/>
          <w:sz w:val="24"/>
          <w:szCs w:val="24"/>
        </w:rPr>
      </w:pPr>
    </w:p>
    <w:p w14:paraId="7B6C9678" w14:textId="77777777" w:rsidR="00985E10" w:rsidRDefault="00985E10" w:rsidP="002021E3">
      <w:pPr>
        <w:spacing w:line="360" w:lineRule="auto"/>
        <w:jc w:val="center"/>
        <w:rPr>
          <w:rFonts w:ascii="Arial" w:hAnsi="Arial" w:cs="Arial"/>
          <w:b/>
          <w:bCs/>
          <w:sz w:val="24"/>
          <w:szCs w:val="24"/>
        </w:rPr>
      </w:pPr>
    </w:p>
    <w:p w14:paraId="0866FE9F" w14:textId="77777777" w:rsidR="00985E10" w:rsidRDefault="00985E10" w:rsidP="002021E3">
      <w:pPr>
        <w:spacing w:line="360" w:lineRule="auto"/>
        <w:jc w:val="center"/>
        <w:rPr>
          <w:rFonts w:ascii="Arial" w:hAnsi="Arial" w:cs="Arial"/>
          <w:b/>
          <w:bCs/>
          <w:sz w:val="24"/>
          <w:szCs w:val="24"/>
        </w:rPr>
      </w:pPr>
    </w:p>
    <w:p w14:paraId="0ADEEB45" w14:textId="77777777" w:rsidR="00985E10" w:rsidRDefault="00985E10" w:rsidP="002021E3">
      <w:pPr>
        <w:spacing w:line="360" w:lineRule="auto"/>
        <w:jc w:val="center"/>
        <w:rPr>
          <w:rFonts w:ascii="Arial" w:hAnsi="Arial" w:cs="Arial"/>
          <w:b/>
          <w:bCs/>
          <w:sz w:val="24"/>
          <w:szCs w:val="24"/>
        </w:rPr>
      </w:pPr>
    </w:p>
    <w:p w14:paraId="5216ED6C" w14:textId="77777777" w:rsidR="00985E10" w:rsidRDefault="00985E10" w:rsidP="002021E3">
      <w:pPr>
        <w:spacing w:line="360" w:lineRule="auto"/>
        <w:jc w:val="center"/>
        <w:rPr>
          <w:rFonts w:ascii="Arial" w:hAnsi="Arial" w:cs="Arial"/>
          <w:b/>
          <w:bCs/>
          <w:sz w:val="24"/>
          <w:szCs w:val="24"/>
        </w:rPr>
      </w:pPr>
    </w:p>
    <w:p w14:paraId="7988F1F3" w14:textId="77777777" w:rsidR="00985E10" w:rsidRDefault="00985E10" w:rsidP="002021E3">
      <w:pPr>
        <w:spacing w:line="360" w:lineRule="auto"/>
        <w:jc w:val="center"/>
        <w:rPr>
          <w:rFonts w:ascii="Arial" w:hAnsi="Arial" w:cs="Arial"/>
          <w:b/>
          <w:bCs/>
          <w:sz w:val="24"/>
          <w:szCs w:val="24"/>
        </w:rPr>
      </w:pPr>
    </w:p>
    <w:p w14:paraId="247DDB3F" w14:textId="77777777" w:rsidR="00985E10" w:rsidRDefault="00985E10" w:rsidP="002021E3">
      <w:pPr>
        <w:spacing w:line="360" w:lineRule="auto"/>
        <w:jc w:val="center"/>
        <w:rPr>
          <w:rFonts w:ascii="Arial" w:hAnsi="Arial" w:cs="Arial"/>
          <w:b/>
          <w:bCs/>
          <w:sz w:val="24"/>
          <w:szCs w:val="24"/>
        </w:rPr>
      </w:pPr>
    </w:p>
    <w:p w14:paraId="356A8103" w14:textId="77777777" w:rsidR="00985E10" w:rsidRDefault="00985E10" w:rsidP="002021E3">
      <w:pPr>
        <w:spacing w:line="360" w:lineRule="auto"/>
        <w:jc w:val="center"/>
        <w:rPr>
          <w:rFonts w:ascii="Arial" w:hAnsi="Arial" w:cs="Arial"/>
          <w:b/>
          <w:bCs/>
          <w:sz w:val="24"/>
          <w:szCs w:val="24"/>
        </w:rPr>
      </w:pPr>
    </w:p>
    <w:p w14:paraId="06C04A43" w14:textId="0B50CA38" w:rsidR="002021E3" w:rsidRPr="00D35F37" w:rsidRDefault="002021E3" w:rsidP="002021E3">
      <w:pPr>
        <w:spacing w:line="360" w:lineRule="auto"/>
        <w:jc w:val="center"/>
        <w:rPr>
          <w:rFonts w:ascii="Arial" w:hAnsi="Arial" w:cs="Arial"/>
          <w:b/>
          <w:bCs/>
          <w:sz w:val="24"/>
          <w:szCs w:val="24"/>
        </w:rPr>
      </w:pPr>
      <w:r w:rsidRPr="00D35F37">
        <w:rPr>
          <w:rFonts w:ascii="Arial" w:hAnsi="Arial" w:cs="Arial"/>
          <w:b/>
          <w:bCs/>
          <w:sz w:val="24"/>
          <w:szCs w:val="24"/>
        </w:rPr>
        <w:t>Introduction to Physiology (case study)</w:t>
      </w:r>
    </w:p>
    <w:p w14:paraId="13E373D0" w14:textId="77777777" w:rsidR="006C3941" w:rsidRPr="00D35F37" w:rsidRDefault="006C3941" w:rsidP="006C3941">
      <w:pPr>
        <w:spacing w:after="0" w:line="480" w:lineRule="auto"/>
        <w:rPr>
          <w:rFonts w:ascii="Arial" w:hAnsi="Arial" w:cs="Arial"/>
          <w:sz w:val="24"/>
          <w:szCs w:val="24"/>
        </w:rPr>
      </w:pPr>
    </w:p>
    <w:p w14:paraId="17DEC151" w14:textId="209553DC" w:rsidR="006C3941" w:rsidRPr="00D35F37" w:rsidRDefault="006C3941" w:rsidP="002021E3">
      <w:pPr>
        <w:spacing w:after="0" w:line="480" w:lineRule="auto"/>
        <w:jc w:val="center"/>
        <w:rPr>
          <w:rFonts w:ascii="Arial" w:hAnsi="Arial" w:cs="Arial"/>
          <w:sz w:val="24"/>
          <w:szCs w:val="24"/>
        </w:rPr>
      </w:pPr>
      <w:r w:rsidRPr="00D35F37">
        <w:rPr>
          <w:rFonts w:ascii="Arial" w:hAnsi="Arial" w:cs="Arial"/>
          <w:sz w:val="24"/>
          <w:szCs w:val="24"/>
        </w:rPr>
        <w:t>Student Name:</w:t>
      </w:r>
      <w:r w:rsidR="00637A82">
        <w:rPr>
          <w:rFonts w:ascii="Arial" w:hAnsi="Arial" w:cs="Arial"/>
          <w:sz w:val="24"/>
          <w:szCs w:val="24"/>
        </w:rPr>
        <w:t xml:space="preserve"> Ebong Obot</w:t>
      </w:r>
    </w:p>
    <w:p w14:paraId="57AAF03B" w14:textId="30F5CD55" w:rsidR="006C3941" w:rsidRPr="00D35F37" w:rsidRDefault="00637A82" w:rsidP="002021E3">
      <w:pPr>
        <w:spacing w:after="0" w:line="480" w:lineRule="auto"/>
        <w:jc w:val="center"/>
        <w:rPr>
          <w:rFonts w:ascii="Arial" w:hAnsi="Arial" w:cs="Arial"/>
          <w:sz w:val="24"/>
          <w:szCs w:val="24"/>
        </w:rPr>
      </w:pPr>
      <w:r>
        <w:rPr>
          <w:rFonts w:ascii="Arial" w:hAnsi="Arial" w:cs="Arial"/>
          <w:sz w:val="24"/>
          <w:szCs w:val="24"/>
        </w:rPr>
        <w:t>Student</w:t>
      </w:r>
      <w:r w:rsidR="006C3941" w:rsidRPr="00D35F37">
        <w:rPr>
          <w:rFonts w:ascii="Arial" w:hAnsi="Arial" w:cs="Arial"/>
          <w:sz w:val="24"/>
          <w:szCs w:val="24"/>
        </w:rPr>
        <w:t xml:space="preserve"> No:</w:t>
      </w:r>
      <w:r>
        <w:rPr>
          <w:rFonts w:ascii="Arial" w:hAnsi="Arial" w:cs="Arial"/>
          <w:sz w:val="24"/>
          <w:szCs w:val="24"/>
        </w:rPr>
        <w:t xml:space="preserve"> 1915035</w:t>
      </w:r>
    </w:p>
    <w:p w14:paraId="53CEDCED" w14:textId="4184E451" w:rsidR="006C3941" w:rsidRPr="00D35F37" w:rsidRDefault="00637A82" w:rsidP="002021E3">
      <w:pPr>
        <w:spacing w:after="0" w:line="480" w:lineRule="auto"/>
        <w:jc w:val="center"/>
        <w:rPr>
          <w:rFonts w:ascii="Arial" w:hAnsi="Arial" w:cs="Arial"/>
          <w:sz w:val="24"/>
          <w:szCs w:val="24"/>
        </w:rPr>
      </w:pPr>
      <w:r>
        <w:rPr>
          <w:rFonts w:ascii="Arial" w:hAnsi="Arial" w:cs="Arial"/>
          <w:sz w:val="24"/>
          <w:szCs w:val="24"/>
        </w:rPr>
        <w:t>Module Code: BMHP5003__BIRM</w:t>
      </w:r>
    </w:p>
    <w:p w14:paraId="41FE539A" w14:textId="4D3C6F12" w:rsidR="006C3941" w:rsidRPr="00D35F37" w:rsidRDefault="00637A82" w:rsidP="002021E3">
      <w:pPr>
        <w:spacing w:after="0" w:line="480" w:lineRule="auto"/>
        <w:jc w:val="center"/>
        <w:rPr>
          <w:rFonts w:ascii="Arial" w:hAnsi="Arial" w:cs="Arial"/>
          <w:sz w:val="24"/>
          <w:szCs w:val="24"/>
        </w:rPr>
      </w:pPr>
      <w:r>
        <w:rPr>
          <w:rFonts w:ascii="Arial" w:hAnsi="Arial" w:cs="Arial"/>
          <w:sz w:val="24"/>
          <w:szCs w:val="24"/>
        </w:rPr>
        <w:t>Lecturer: Rachael Rivers</w:t>
      </w:r>
    </w:p>
    <w:p w14:paraId="54DA1D2D" w14:textId="1323B552" w:rsidR="006C3941" w:rsidRPr="00D35F37" w:rsidRDefault="006C3941" w:rsidP="002021E3">
      <w:pPr>
        <w:spacing w:after="0" w:line="480" w:lineRule="auto"/>
        <w:jc w:val="center"/>
        <w:rPr>
          <w:rFonts w:ascii="Arial" w:hAnsi="Arial" w:cs="Arial"/>
          <w:sz w:val="24"/>
          <w:szCs w:val="24"/>
        </w:rPr>
      </w:pPr>
    </w:p>
    <w:p w14:paraId="4E9E2635" w14:textId="77777777" w:rsidR="006C3941" w:rsidRPr="00D35F37" w:rsidRDefault="006C3941" w:rsidP="006C3941">
      <w:pPr>
        <w:spacing w:after="0" w:line="480" w:lineRule="auto"/>
        <w:rPr>
          <w:rFonts w:ascii="Arial" w:hAnsi="Arial" w:cs="Arial"/>
          <w:sz w:val="24"/>
          <w:szCs w:val="24"/>
        </w:rPr>
      </w:pPr>
    </w:p>
    <w:p w14:paraId="242C9772" w14:textId="77777777" w:rsidR="006C3941" w:rsidRPr="00D35F37" w:rsidRDefault="006C3941" w:rsidP="006C3941">
      <w:pPr>
        <w:spacing w:after="0" w:line="480" w:lineRule="auto"/>
        <w:rPr>
          <w:rFonts w:ascii="Arial" w:hAnsi="Arial" w:cs="Arial"/>
          <w:sz w:val="24"/>
          <w:szCs w:val="24"/>
        </w:rPr>
      </w:pPr>
    </w:p>
    <w:p w14:paraId="5DBAC23C" w14:textId="77777777" w:rsidR="006C3941" w:rsidRPr="00D35F37" w:rsidRDefault="006C3941" w:rsidP="006C3941">
      <w:pPr>
        <w:spacing w:after="0" w:line="480" w:lineRule="auto"/>
        <w:rPr>
          <w:rFonts w:ascii="Arial" w:hAnsi="Arial" w:cs="Arial"/>
          <w:sz w:val="24"/>
          <w:szCs w:val="24"/>
        </w:rPr>
      </w:pPr>
    </w:p>
    <w:p w14:paraId="60BA5F1F" w14:textId="77777777" w:rsidR="006C3941" w:rsidRPr="00D35F37" w:rsidRDefault="006C3941" w:rsidP="006C3941">
      <w:pPr>
        <w:spacing w:after="0" w:line="480" w:lineRule="auto"/>
        <w:rPr>
          <w:rFonts w:ascii="Arial" w:hAnsi="Arial" w:cs="Arial"/>
          <w:sz w:val="24"/>
          <w:szCs w:val="24"/>
        </w:rPr>
      </w:pPr>
    </w:p>
    <w:p w14:paraId="68E0149B" w14:textId="77777777" w:rsidR="006C3941" w:rsidRPr="00D35F37" w:rsidRDefault="006C3941" w:rsidP="006C3941">
      <w:pPr>
        <w:spacing w:after="0" w:line="480" w:lineRule="auto"/>
        <w:rPr>
          <w:rFonts w:ascii="Arial" w:hAnsi="Arial" w:cs="Arial"/>
          <w:sz w:val="24"/>
          <w:szCs w:val="24"/>
        </w:rPr>
      </w:pPr>
    </w:p>
    <w:p w14:paraId="7783712C" w14:textId="77777777" w:rsidR="006C3941" w:rsidRPr="00D35F37" w:rsidRDefault="006C3941" w:rsidP="006C3941">
      <w:pPr>
        <w:spacing w:after="0" w:line="480" w:lineRule="auto"/>
        <w:rPr>
          <w:rFonts w:ascii="Arial" w:hAnsi="Arial" w:cs="Arial"/>
          <w:sz w:val="24"/>
          <w:szCs w:val="24"/>
        </w:rPr>
      </w:pPr>
    </w:p>
    <w:p w14:paraId="08999049" w14:textId="77777777" w:rsidR="006C3941" w:rsidRPr="00D35F37" w:rsidRDefault="006C3941" w:rsidP="006C3941">
      <w:pPr>
        <w:spacing w:after="0" w:line="480" w:lineRule="auto"/>
        <w:rPr>
          <w:rFonts w:ascii="Arial" w:hAnsi="Arial" w:cs="Arial"/>
          <w:sz w:val="24"/>
          <w:szCs w:val="24"/>
        </w:rPr>
      </w:pPr>
    </w:p>
    <w:p w14:paraId="0640F832" w14:textId="77777777" w:rsidR="006C3941" w:rsidRPr="00D35F37" w:rsidRDefault="006C3941" w:rsidP="006C3941">
      <w:pPr>
        <w:spacing w:after="0" w:line="480" w:lineRule="auto"/>
        <w:rPr>
          <w:rFonts w:ascii="Arial" w:hAnsi="Arial" w:cs="Arial"/>
          <w:sz w:val="24"/>
          <w:szCs w:val="24"/>
        </w:rPr>
      </w:pPr>
    </w:p>
    <w:p w14:paraId="057E4812" w14:textId="77777777" w:rsidR="006C3941" w:rsidRPr="00D35F37" w:rsidRDefault="006C3941" w:rsidP="006C3941">
      <w:pPr>
        <w:spacing w:after="0" w:line="480" w:lineRule="auto"/>
        <w:rPr>
          <w:rFonts w:ascii="Arial" w:hAnsi="Arial" w:cs="Arial"/>
          <w:sz w:val="24"/>
          <w:szCs w:val="24"/>
        </w:rPr>
      </w:pPr>
    </w:p>
    <w:p w14:paraId="589F8CF7" w14:textId="77777777" w:rsidR="006C3941" w:rsidRPr="00D35F37" w:rsidRDefault="006C3941" w:rsidP="006C3941">
      <w:pPr>
        <w:spacing w:after="0" w:line="480" w:lineRule="auto"/>
        <w:rPr>
          <w:rFonts w:ascii="Arial" w:hAnsi="Arial" w:cs="Arial"/>
          <w:sz w:val="24"/>
          <w:szCs w:val="24"/>
        </w:rPr>
      </w:pPr>
    </w:p>
    <w:p w14:paraId="7BEFC2EF" w14:textId="77777777" w:rsidR="006C3941" w:rsidRPr="00D35F37" w:rsidRDefault="006C3941" w:rsidP="006C3941">
      <w:pPr>
        <w:spacing w:after="0" w:line="480" w:lineRule="auto"/>
        <w:rPr>
          <w:rFonts w:ascii="Arial" w:hAnsi="Arial" w:cs="Arial"/>
          <w:sz w:val="24"/>
          <w:szCs w:val="24"/>
        </w:rPr>
      </w:pPr>
    </w:p>
    <w:p w14:paraId="3816378C" w14:textId="77777777" w:rsidR="006C3941" w:rsidRPr="00D35F37" w:rsidRDefault="006C3941" w:rsidP="006C3941">
      <w:pPr>
        <w:spacing w:after="0" w:line="480" w:lineRule="auto"/>
        <w:rPr>
          <w:rFonts w:ascii="Arial" w:hAnsi="Arial" w:cs="Arial"/>
          <w:sz w:val="24"/>
          <w:szCs w:val="24"/>
        </w:rPr>
      </w:pPr>
    </w:p>
    <w:p w14:paraId="475DBEEA" w14:textId="77777777" w:rsidR="006C3941" w:rsidRPr="00D35F37" w:rsidRDefault="006C3941" w:rsidP="006C3941">
      <w:pPr>
        <w:spacing w:after="0" w:line="480" w:lineRule="auto"/>
        <w:rPr>
          <w:rFonts w:ascii="Arial" w:hAnsi="Arial" w:cs="Arial"/>
          <w:sz w:val="24"/>
          <w:szCs w:val="24"/>
        </w:rPr>
      </w:pPr>
    </w:p>
    <w:p w14:paraId="7271F4AA" w14:textId="77777777" w:rsidR="006C3941" w:rsidRPr="00D35F37" w:rsidRDefault="006C3941" w:rsidP="006C3941">
      <w:pPr>
        <w:spacing w:after="0" w:line="480" w:lineRule="auto"/>
        <w:rPr>
          <w:rFonts w:ascii="Arial" w:hAnsi="Arial" w:cs="Arial"/>
          <w:sz w:val="24"/>
          <w:szCs w:val="24"/>
        </w:rPr>
      </w:pPr>
    </w:p>
    <w:p w14:paraId="4D70209F" w14:textId="4DC2A2FC" w:rsidR="002021E3" w:rsidRDefault="002021E3" w:rsidP="006C3941">
      <w:pPr>
        <w:spacing w:after="0" w:line="480" w:lineRule="auto"/>
        <w:rPr>
          <w:rFonts w:ascii="Arial" w:hAnsi="Arial" w:cs="Arial"/>
          <w:sz w:val="24"/>
          <w:szCs w:val="24"/>
        </w:rPr>
      </w:pPr>
    </w:p>
    <w:p w14:paraId="3EF388D8" w14:textId="77777777" w:rsidR="00D35F37" w:rsidRPr="00D35F37" w:rsidRDefault="00D35F37" w:rsidP="006C3941">
      <w:pPr>
        <w:spacing w:after="0" w:line="480" w:lineRule="auto"/>
        <w:rPr>
          <w:rFonts w:ascii="Arial" w:hAnsi="Arial" w:cs="Arial"/>
          <w:sz w:val="24"/>
          <w:szCs w:val="24"/>
        </w:rPr>
      </w:pPr>
    </w:p>
    <w:p w14:paraId="56062FD3" w14:textId="77777777" w:rsidR="00D35F37" w:rsidRPr="00D35F37" w:rsidRDefault="00D35F37" w:rsidP="00D35F37">
      <w:pPr>
        <w:spacing w:after="0" w:line="480" w:lineRule="auto"/>
        <w:rPr>
          <w:rFonts w:ascii="Arial" w:hAnsi="Arial" w:cs="Arial"/>
          <w:b/>
          <w:bCs/>
          <w:sz w:val="24"/>
          <w:szCs w:val="24"/>
        </w:rPr>
      </w:pPr>
      <w:r w:rsidRPr="00D35F37">
        <w:rPr>
          <w:rFonts w:ascii="Arial" w:hAnsi="Arial" w:cs="Arial"/>
          <w:b/>
          <w:bCs/>
          <w:sz w:val="24"/>
          <w:szCs w:val="24"/>
        </w:rPr>
        <w:t>Introduction</w:t>
      </w:r>
    </w:p>
    <w:p w14:paraId="46659562" w14:textId="3F5FDF59"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t>This essay aims to demonstrate an understanding of the physiology of the human body. Understanding the physiology of the body is critical in healthcare practice as it builds knowledge of people's lives, the treatment of diseases, and how one can cope with health infirmities (</w:t>
      </w:r>
      <w:proofErr w:type="spellStart"/>
      <w:r w:rsidRPr="00D35F37">
        <w:rPr>
          <w:rFonts w:ascii="Arial" w:hAnsi="Arial" w:cs="Arial"/>
          <w:sz w:val="24"/>
          <w:szCs w:val="24"/>
        </w:rPr>
        <w:t>Wingerd</w:t>
      </w:r>
      <w:proofErr w:type="spellEnd"/>
      <w:r w:rsidRPr="00D35F37">
        <w:rPr>
          <w:rFonts w:ascii="Arial" w:hAnsi="Arial" w:cs="Arial"/>
          <w:sz w:val="24"/>
          <w:szCs w:val="24"/>
        </w:rPr>
        <w:t xml:space="preserve"> and Taylor, 2020). Waugh and Grant (2022) add that healthcare workers should clearly understand the relationship between the functioning of the body and relevant physiology and anatomy, including knowledge and skills in patient data collection and care planning for patients in health and social care settings. A case study of a patient interviewed will be utilised to achieve the stated learning outcomes. The patient will be referred to by a pseudonym to preserve confidentiality as required under the Nursing and Midwifery Council (NMC, 2018) code. The essay starts with a brief outline of the case study, followed by an overview of the assessment report collected from the patient. The normal and abnormal physiological conditions identified will be outlined, including their implications for the patient's life. It will also outline evidence-based interventions that are sustainable to </w:t>
      </w:r>
      <w:r w:rsidRPr="00D35F37">
        <w:rPr>
          <w:rFonts w:ascii="Arial" w:hAnsi="Arial" w:cs="Arial"/>
          <w:sz w:val="24"/>
          <w:szCs w:val="24"/>
        </w:rPr>
        <w:lastRenderedPageBreak/>
        <w:t>improve the patient's health and well-being. The expected outcomes and course of action for the suggested interventions will also be discussed. This section will be underpinned by various legislations and policies that govern health promotion and prevention of the identified health needs. Lastly, a summary of learning points from the whole discussion will be provided.</w:t>
      </w:r>
    </w:p>
    <w:p w14:paraId="5C083C50" w14:textId="77777777" w:rsidR="00D35F37" w:rsidRPr="00D35F37" w:rsidRDefault="00D35F37" w:rsidP="00D35F37">
      <w:pPr>
        <w:spacing w:after="0" w:line="480" w:lineRule="auto"/>
        <w:rPr>
          <w:rFonts w:ascii="Arial" w:hAnsi="Arial" w:cs="Arial"/>
          <w:sz w:val="24"/>
          <w:szCs w:val="24"/>
        </w:rPr>
      </w:pPr>
    </w:p>
    <w:p w14:paraId="4220A160" w14:textId="274FE70F" w:rsidR="00D35F37" w:rsidRPr="00D35F37" w:rsidRDefault="00D35F37" w:rsidP="00D35F37">
      <w:pPr>
        <w:spacing w:after="0" w:line="480" w:lineRule="auto"/>
        <w:rPr>
          <w:rFonts w:ascii="Arial" w:hAnsi="Arial" w:cs="Arial"/>
          <w:b/>
          <w:bCs/>
          <w:sz w:val="24"/>
          <w:szCs w:val="24"/>
        </w:rPr>
      </w:pPr>
      <w:r w:rsidRPr="00D35F37">
        <w:rPr>
          <w:rFonts w:ascii="Arial" w:hAnsi="Arial" w:cs="Arial"/>
          <w:b/>
          <w:bCs/>
          <w:sz w:val="24"/>
          <w:szCs w:val="24"/>
        </w:rPr>
        <w:t>Case Study</w:t>
      </w:r>
    </w:p>
    <w:p w14:paraId="78DBB25E" w14:textId="77777777"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t>Bob, a 52-year-old, is a truck driver who lives alone in Birmingham City Centre. He has no relatives because his only brother and parents died ten years back. He is 5'9 and weighs 15 stone. Bob has a 27-year-old daughter called Dana, who is married and stays with her husband (Josh) and their two kids (Taylor and Alex) in Huddersfield. Bob divorced his wife five years ago. Consequently, he has opted to work long hours, including weekends and evenings, to keep himself 'busy' and distracted. He has been smoking cigarettes since he was 20 years old. He also drinks a bottle of whisky to help him sleep at night. Notably, Bob eats 'fast foods' due to lack of time and exhaustion. He also drinks coca cola drinks in plenty to re-energise himself. He also struggles with sleep on the road and ends up sleeping in the truck.</w:t>
      </w:r>
    </w:p>
    <w:p w14:paraId="1F56BFD4" w14:textId="77777777" w:rsidR="00D35F37" w:rsidRPr="00D35F37" w:rsidRDefault="00D35F37" w:rsidP="00D35F37">
      <w:pPr>
        <w:spacing w:after="0" w:line="480" w:lineRule="auto"/>
        <w:rPr>
          <w:rFonts w:ascii="Arial" w:hAnsi="Arial" w:cs="Arial"/>
          <w:sz w:val="24"/>
          <w:szCs w:val="24"/>
        </w:rPr>
      </w:pPr>
    </w:p>
    <w:p w14:paraId="5E09EF45" w14:textId="3D6EAD15" w:rsidR="00D35F37" w:rsidRPr="00D35F37" w:rsidRDefault="00D35F37" w:rsidP="00D35F37">
      <w:pPr>
        <w:spacing w:after="0" w:line="480" w:lineRule="auto"/>
        <w:rPr>
          <w:rFonts w:ascii="Arial" w:hAnsi="Arial" w:cs="Arial"/>
          <w:b/>
          <w:bCs/>
          <w:sz w:val="24"/>
          <w:szCs w:val="24"/>
        </w:rPr>
      </w:pPr>
      <w:r w:rsidRPr="00D35F37">
        <w:rPr>
          <w:rFonts w:ascii="Arial" w:hAnsi="Arial" w:cs="Arial"/>
          <w:b/>
          <w:bCs/>
          <w:sz w:val="24"/>
          <w:szCs w:val="24"/>
        </w:rPr>
        <w:t>Assessment Report</w:t>
      </w:r>
    </w:p>
    <w:p w14:paraId="3E2D204E" w14:textId="77777777"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t xml:space="preserve">From the questionnaire filled out by Bob, it is evident that Bob smokes about nine cigars per day. He has done this since he was around 20 years old. Cigarette smoking damages the alveoli and the airways of the lungs leading to respiratory complications such as chronic obstructive pulmonary disease (Nobis et al., 2019). Bob also faces a risk of lung cancer (van Oort et al., 2020). Evidence suggests that </w:t>
      </w:r>
      <w:r w:rsidRPr="00D35F37">
        <w:rPr>
          <w:rFonts w:ascii="Arial" w:hAnsi="Arial" w:cs="Arial"/>
          <w:sz w:val="24"/>
          <w:szCs w:val="24"/>
        </w:rPr>
        <w:lastRenderedPageBreak/>
        <w:t>cigarette smoking weakens the walls of the blood vessels, increasing the risk of blood clots, which increases the risk of hypotension (</w:t>
      </w:r>
      <w:proofErr w:type="spellStart"/>
      <w:r w:rsidRPr="00D35F37">
        <w:rPr>
          <w:rFonts w:ascii="Arial" w:hAnsi="Arial" w:cs="Arial"/>
          <w:sz w:val="24"/>
          <w:szCs w:val="24"/>
        </w:rPr>
        <w:t>Daaleman</w:t>
      </w:r>
      <w:proofErr w:type="spellEnd"/>
      <w:r w:rsidRPr="00D35F37">
        <w:rPr>
          <w:rFonts w:ascii="Arial" w:hAnsi="Arial" w:cs="Arial"/>
          <w:sz w:val="24"/>
          <w:szCs w:val="24"/>
        </w:rPr>
        <w:t xml:space="preserve"> and Helton, 2018). Notably, bob reported suffering from high blood pressure (HP). HP increases the risk of life-threatening conditions such as heart failure (Kim and Lee, 2019). This is because the cardiac muscles are exhausted by the need to increase their blood-pumping energy due to thinner blood vessels (Nobis et al., 2019). Similarly, HP can cause the bursting of blood vessels taking blood to critical organs such as the heart and the kidney (van Oort et al., 2020).</w:t>
      </w:r>
    </w:p>
    <w:p w14:paraId="643D1BF0" w14:textId="77777777" w:rsidR="00D35F37" w:rsidRPr="00D35F37" w:rsidRDefault="00D35F37" w:rsidP="00D35F37">
      <w:pPr>
        <w:spacing w:after="0" w:line="480" w:lineRule="auto"/>
        <w:rPr>
          <w:rFonts w:ascii="Arial" w:hAnsi="Arial" w:cs="Arial"/>
          <w:sz w:val="24"/>
          <w:szCs w:val="24"/>
        </w:rPr>
      </w:pPr>
    </w:p>
    <w:p w14:paraId="1765AA98" w14:textId="77777777"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t>From Bob's height of 5'9 and 15 stone, his BMI is 31.1, which shows that he is obese (NHS, 2023). Obesity exposed Bob to risks such as heart failure, diabetes, gallbladder disease, stroke, and coronary heart failure (</w:t>
      </w:r>
      <w:proofErr w:type="spellStart"/>
      <w:r w:rsidRPr="00D35F37">
        <w:rPr>
          <w:rFonts w:ascii="Arial" w:hAnsi="Arial" w:cs="Arial"/>
          <w:sz w:val="24"/>
          <w:szCs w:val="24"/>
        </w:rPr>
        <w:t>Scheelbeek</w:t>
      </w:r>
      <w:proofErr w:type="spellEnd"/>
      <w:r w:rsidRPr="00D35F37">
        <w:rPr>
          <w:rFonts w:ascii="Arial" w:hAnsi="Arial" w:cs="Arial"/>
          <w:sz w:val="24"/>
          <w:szCs w:val="24"/>
        </w:rPr>
        <w:t xml:space="preserve"> et al., 2019). Notably, Bob's father died of a heart attack, while his mother died of a stroke. According to Robinson et al. (2021), having a family history of stroke or stroke genetically predisposes an individual to those conditions. Therefore, Bob faces the risks of these cardiovascular complications partly due to his genetic predisposition and partly due to his smoking and alcohol-drinking behaviours (Waugh and Grant, 2022). Bob eats processed foods and carbonated drinks. Evidence shows that sugary drinks such as sods and processed foods increase an individual's body weight leading to obesity (</w:t>
      </w:r>
      <w:proofErr w:type="spellStart"/>
      <w:r w:rsidRPr="00D35F37">
        <w:rPr>
          <w:rFonts w:ascii="Arial" w:hAnsi="Arial" w:cs="Arial"/>
          <w:sz w:val="24"/>
          <w:szCs w:val="24"/>
        </w:rPr>
        <w:t>Burgoine</w:t>
      </w:r>
      <w:proofErr w:type="spellEnd"/>
      <w:r w:rsidRPr="00D35F37">
        <w:rPr>
          <w:rFonts w:ascii="Arial" w:hAnsi="Arial" w:cs="Arial"/>
          <w:sz w:val="24"/>
          <w:szCs w:val="24"/>
        </w:rPr>
        <w:t xml:space="preserve"> et al., 2018). Therefore, these diets worsen Bob's obesity condition. Also, as a truck driver, Bob spends most of his time seated. Physical inactivity leads to body weight gain and increases the risk of cardiovascular diseases (</w:t>
      </w:r>
      <w:proofErr w:type="spellStart"/>
      <w:r w:rsidRPr="00D35F37">
        <w:rPr>
          <w:rFonts w:ascii="Arial" w:hAnsi="Arial" w:cs="Arial"/>
          <w:sz w:val="24"/>
          <w:szCs w:val="24"/>
        </w:rPr>
        <w:t>Scheelbeek</w:t>
      </w:r>
      <w:proofErr w:type="spellEnd"/>
      <w:r w:rsidRPr="00D35F37">
        <w:rPr>
          <w:rFonts w:ascii="Arial" w:hAnsi="Arial" w:cs="Arial"/>
          <w:sz w:val="24"/>
          <w:szCs w:val="24"/>
        </w:rPr>
        <w:t xml:space="preserve"> et al., 2019).</w:t>
      </w:r>
    </w:p>
    <w:p w14:paraId="324E4BFB" w14:textId="77777777" w:rsidR="00D35F37" w:rsidRPr="00D35F37" w:rsidRDefault="00D35F37" w:rsidP="00D35F37">
      <w:pPr>
        <w:spacing w:after="0" w:line="480" w:lineRule="auto"/>
        <w:rPr>
          <w:rFonts w:ascii="Arial" w:hAnsi="Arial" w:cs="Arial"/>
          <w:sz w:val="24"/>
          <w:szCs w:val="24"/>
        </w:rPr>
      </w:pPr>
    </w:p>
    <w:p w14:paraId="00C5AFF5" w14:textId="77777777"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lastRenderedPageBreak/>
        <w:t>Bob struggles with sleep and ends up sleeping in a truck. Evidence shows that a chronic lack of quality sleep triples one's risk of cancer and heart disease (Sherry et al., 2022). Lack of quality sleep means that Bob is drowsy most of the time (Gregson, 2018). According to Sherry et al. (2022), drowsiness slows down a person's response rate; thus, bob faces a risk of causing accidents on the road. Also, a lack of quality sleep may impair cognitive functioning of Bob leading to impaired concentration, reasoning, problem-solving, and attention (Varela-Mato et al., 2019). Overall, Bob's smoking and alcohol use behaviours were motivated by social factors. First, he is battling grief and loss issues, having lost his only brother and both parents ten years ago. Research shows that grief issues cause emotional distress. Thus, one may turn to smoking or alcohol drinking to numb their feelings and thoughts (McKinlay et al., 2020). Similarly, Bob is battling relationship issues, having divorced his wife five years ago. In addition, Bob lives alone. Evidence shows that living alone can expose one to feelings of loneliness and depression, leading to suicidal ideation or drug and substance abuse (Shaw et al., 2021). This is evident in Bob, who, apart from alcohol use and smoking, depicts symptoms of depression such as feeling tired often and losing interest in cooking (Robb et al., 2020). Therefore, Bob needs sustainable interventions to manage his social, biological, and psychological issues.</w:t>
      </w:r>
    </w:p>
    <w:p w14:paraId="3AFC0054" w14:textId="77777777" w:rsidR="00D35F37" w:rsidRPr="00D35F37" w:rsidRDefault="00D35F37" w:rsidP="00D35F37">
      <w:pPr>
        <w:spacing w:after="0" w:line="480" w:lineRule="auto"/>
        <w:rPr>
          <w:rFonts w:ascii="Arial" w:hAnsi="Arial" w:cs="Arial"/>
          <w:sz w:val="24"/>
          <w:szCs w:val="24"/>
        </w:rPr>
      </w:pPr>
    </w:p>
    <w:p w14:paraId="70A56471" w14:textId="77777777" w:rsidR="00D35F37" w:rsidRPr="00D35F37" w:rsidRDefault="00D35F37" w:rsidP="00D35F37">
      <w:pPr>
        <w:spacing w:after="0" w:line="480" w:lineRule="auto"/>
        <w:rPr>
          <w:rFonts w:ascii="Arial" w:hAnsi="Arial" w:cs="Arial"/>
          <w:b/>
          <w:bCs/>
          <w:sz w:val="24"/>
          <w:szCs w:val="24"/>
        </w:rPr>
      </w:pPr>
      <w:r w:rsidRPr="00D35F37">
        <w:rPr>
          <w:rFonts w:ascii="Arial" w:hAnsi="Arial" w:cs="Arial"/>
          <w:b/>
          <w:bCs/>
          <w:sz w:val="24"/>
          <w:szCs w:val="24"/>
        </w:rPr>
        <w:t>Recommendations</w:t>
      </w:r>
    </w:p>
    <w:p w14:paraId="53C36CA3" w14:textId="77777777"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t xml:space="preserve">As noted, Bob has the health needs of obesity, smoking, and depression. The National Institute for Health and Care Excellence (NICE, 2022) recommends behavioural weight loss (BWL) for people with obesity. BWL primarily focuses on modifying an individual's energy intake behaviours in order to improve their body </w:t>
      </w:r>
      <w:r w:rsidRPr="00D35F37">
        <w:rPr>
          <w:rFonts w:ascii="Arial" w:hAnsi="Arial" w:cs="Arial"/>
          <w:sz w:val="24"/>
          <w:szCs w:val="24"/>
        </w:rPr>
        <w:lastRenderedPageBreak/>
        <w:t>weight (</w:t>
      </w:r>
      <w:proofErr w:type="spellStart"/>
      <w:r w:rsidRPr="00D35F37">
        <w:rPr>
          <w:rFonts w:ascii="Arial" w:hAnsi="Arial" w:cs="Arial"/>
          <w:sz w:val="24"/>
          <w:szCs w:val="24"/>
        </w:rPr>
        <w:t>Bombak</w:t>
      </w:r>
      <w:proofErr w:type="spellEnd"/>
      <w:r w:rsidRPr="00D35F37">
        <w:rPr>
          <w:rFonts w:ascii="Arial" w:hAnsi="Arial" w:cs="Arial"/>
          <w:sz w:val="24"/>
          <w:szCs w:val="24"/>
        </w:rPr>
        <w:t xml:space="preserve"> et al., 2019; Warr et al., 2021). For instance, Bob should be advised to reduce the intake of energy foods and instead increase energy expenditure (</w:t>
      </w:r>
      <w:proofErr w:type="spellStart"/>
      <w:r w:rsidRPr="00D35F37">
        <w:rPr>
          <w:rFonts w:ascii="Arial" w:hAnsi="Arial" w:cs="Arial"/>
          <w:sz w:val="24"/>
          <w:szCs w:val="24"/>
        </w:rPr>
        <w:t>Daaleman</w:t>
      </w:r>
      <w:proofErr w:type="spellEnd"/>
      <w:r w:rsidRPr="00D35F37">
        <w:rPr>
          <w:rFonts w:ascii="Arial" w:hAnsi="Arial" w:cs="Arial"/>
          <w:sz w:val="24"/>
          <w:szCs w:val="24"/>
        </w:rPr>
        <w:t xml:space="preserve"> and Helton, 2018). As noted, Bob likes consuming fast foods and coca cola sodas. Fast foods are mainly sugary and contain more fats which increase body weight (Public Health England, 2017). Consequently, Bob should be encouraged to consume more fruits and vegetables in place of processed foods (NICE, 2022). </w:t>
      </w:r>
    </w:p>
    <w:p w14:paraId="1FF35A63" w14:textId="77777777" w:rsidR="00D35F37" w:rsidRPr="00D35F37" w:rsidRDefault="00D35F37" w:rsidP="00D35F37">
      <w:pPr>
        <w:spacing w:after="0" w:line="480" w:lineRule="auto"/>
        <w:rPr>
          <w:rFonts w:ascii="Arial" w:hAnsi="Arial" w:cs="Arial"/>
          <w:sz w:val="24"/>
          <w:szCs w:val="24"/>
        </w:rPr>
      </w:pPr>
    </w:p>
    <w:p w14:paraId="140B24C3" w14:textId="0B2B8754"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t>However, respecting Bob's preferences, opinions, and views is part of the best healthcare practice (NMC, 2018). Therefore, bob should be offered various options of fruits and vegetables and allowed to choose one that befits his preferences. Bob can also be encouraged to join weight loss programs (</w:t>
      </w:r>
      <w:proofErr w:type="spellStart"/>
      <w:r w:rsidRPr="00D35F37">
        <w:rPr>
          <w:rFonts w:ascii="Arial" w:hAnsi="Arial" w:cs="Arial"/>
          <w:sz w:val="24"/>
          <w:szCs w:val="24"/>
        </w:rPr>
        <w:t>Bombak</w:t>
      </w:r>
      <w:proofErr w:type="spellEnd"/>
      <w:r w:rsidRPr="00D35F37">
        <w:rPr>
          <w:rFonts w:ascii="Arial" w:hAnsi="Arial" w:cs="Arial"/>
          <w:sz w:val="24"/>
          <w:szCs w:val="24"/>
        </w:rPr>
        <w:t xml:space="preserve"> et al., 2019). The Diabetes Prevention Project (DPP) holds that exercise, diet, and behaviour changes can lead to weight loss and prevent the onset of type 2 diabetes (NICE, 2022). Accordingly, Bob should be encouraged to indulge in physical activities such as cycling, swimming, and jogging, among others (Public Health England, 2017). An occupational therapist should collaborate with Bob to identify the exercises that he finds most interesting to him (</w:t>
      </w:r>
      <w:proofErr w:type="spellStart"/>
      <w:r w:rsidRPr="00D35F37">
        <w:rPr>
          <w:rFonts w:ascii="Arial" w:hAnsi="Arial" w:cs="Arial"/>
          <w:sz w:val="24"/>
          <w:szCs w:val="24"/>
        </w:rPr>
        <w:t>Wingerd</w:t>
      </w:r>
      <w:proofErr w:type="spellEnd"/>
      <w:r w:rsidRPr="00D35F37">
        <w:rPr>
          <w:rFonts w:ascii="Arial" w:hAnsi="Arial" w:cs="Arial"/>
          <w:sz w:val="24"/>
          <w:szCs w:val="24"/>
        </w:rPr>
        <w:t xml:space="preserve"> and Taylor, 2020). Evidence shows that apart from reducing weight, physical exercises lead to the secretion of endorphins (feel-good hormones) (Warr et al., 2021). These can improve Bob's mood thus, manage his depression symptoms.</w:t>
      </w:r>
    </w:p>
    <w:p w14:paraId="0A8DFAED" w14:textId="77777777" w:rsidR="00D35F37" w:rsidRPr="00D35F37" w:rsidRDefault="00D35F37" w:rsidP="00D35F37">
      <w:pPr>
        <w:spacing w:after="0" w:line="480" w:lineRule="auto"/>
        <w:rPr>
          <w:rFonts w:ascii="Arial" w:hAnsi="Arial" w:cs="Arial"/>
          <w:sz w:val="24"/>
          <w:szCs w:val="24"/>
        </w:rPr>
      </w:pPr>
    </w:p>
    <w:p w14:paraId="03DFFE6A" w14:textId="77777777"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t xml:space="preserve">Evidence shows that BWL improves an individual's psychological and health-related outcomes. For instance, </w:t>
      </w:r>
      <w:proofErr w:type="spellStart"/>
      <w:r w:rsidRPr="00D35F37">
        <w:rPr>
          <w:rFonts w:ascii="Arial" w:hAnsi="Arial" w:cs="Arial"/>
          <w:sz w:val="24"/>
          <w:szCs w:val="24"/>
        </w:rPr>
        <w:t>Bombak</w:t>
      </w:r>
      <w:proofErr w:type="spellEnd"/>
      <w:r w:rsidRPr="00D35F37">
        <w:rPr>
          <w:rFonts w:ascii="Arial" w:hAnsi="Arial" w:cs="Arial"/>
          <w:sz w:val="24"/>
          <w:szCs w:val="24"/>
        </w:rPr>
        <w:t xml:space="preserve"> et al. (2019) found that BWL leads to improved blood pressure, lipids, and glucose (Public Health England, 2017). For adults, BWL motivates them to adopt healthy diets and physical activities (Waugh and Grant, </w:t>
      </w:r>
      <w:r w:rsidRPr="00D35F37">
        <w:rPr>
          <w:rFonts w:ascii="Arial" w:hAnsi="Arial" w:cs="Arial"/>
          <w:sz w:val="24"/>
          <w:szCs w:val="24"/>
        </w:rPr>
        <w:lastRenderedPageBreak/>
        <w:t xml:space="preserve">2022). Psychosocial benefits of BWL include reduction of depression symptoms and improved quality of life (NICE, 2022). However, </w:t>
      </w:r>
      <w:proofErr w:type="spellStart"/>
      <w:r w:rsidRPr="00D35F37">
        <w:rPr>
          <w:rFonts w:ascii="Arial" w:hAnsi="Arial" w:cs="Arial"/>
          <w:sz w:val="24"/>
          <w:szCs w:val="24"/>
        </w:rPr>
        <w:t>Solmi</w:t>
      </w:r>
      <w:proofErr w:type="spellEnd"/>
      <w:r w:rsidRPr="00D35F37">
        <w:rPr>
          <w:rFonts w:ascii="Arial" w:hAnsi="Arial" w:cs="Arial"/>
          <w:sz w:val="24"/>
          <w:szCs w:val="24"/>
        </w:rPr>
        <w:t xml:space="preserve"> et al. (2018) argue that BWL can lead to adverse events such as extreme weight loss. Nonetheless, Bob should be educated and supported to ensure that his weight loss is gradual and that he embraces moderate dietary restrictions (Public Health England, 2017). Furthermore, Bob needs to be constantly monitored for early identification of any adverse events, such as increased eating disorders and rapid weight loss (</w:t>
      </w:r>
      <w:proofErr w:type="spellStart"/>
      <w:r w:rsidRPr="00D35F37">
        <w:rPr>
          <w:rFonts w:ascii="Arial" w:hAnsi="Arial" w:cs="Arial"/>
          <w:sz w:val="24"/>
          <w:szCs w:val="24"/>
        </w:rPr>
        <w:t>Bombak</w:t>
      </w:r>
      <w:proofErr w:type="spellEnd"/>
      <w:r w:rsidRPr="00D35F37">
        <w:rPr>
          <w:rFonts w:ascii="Arial" w:hAnsi="Arial" w:cs="Arial"/>
          <w:sz w:val="24"/>
          <w:szCs w:val="24"/>
        </w:rPr>
        <w:t xml:space="preserve"> et al., 2019).</w:t>
      </w:r>
    </w:p>
    <w:p w14:paraId="432FD158" w14:textId="77777777" w:rsidR="00D35F37" w:rsidRPr="00D35F37" w:rsidRDefault="00D35F37" w:rsidP="00D35F37">
      <w:pPr>
        <w:spacing w:after="0" w:line="480" w:lineRule="auto"/>
        <w:rPr>
          <w:rFonts w:ascii="Arial" w:hAnsi="Arial" w:cs="Arial"/>
          <w:sz w:val="24"/>
          <w:szCs w:val="24"/>
        </w:rPr>
      </w:pPr>
    </w:p>
    <w:p w14:paraId="1C7EF696" w14:textId="77777777"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t>Bob may also be prescribed medications such as Orlistat to reduce his weight to normal ranges (NICE, 2022). First, a dietician needs to collaborate with Bob to set his body weight goals (NMC, 2018; NICE, 2018). Consequently, Bob should be offered various medication options, including their benefits and potential side effects. This will help him to make a well-informed decision. For instance, Bob should be informed that Orlistat can lead to side effects such as oily poo and frequent pooing (</w:t>
      </w:r>
      <w:proofErr w:type="spellStart"/>
      <w:r w:rsidRPr="00D35F37">
        <w:rPr>
          <w:rFonts w:ascii="Arial" w:hAnsi="Arial" w:cs="Arial"/>
          <w:sz w:val="24"/>
          <w:szCs w:val="24"/>
        </w:rPr>
        <w:t>Avenell</w:t>
      </w:r>
      <w:proofErr w:type="spellEnd"/>
      <w:r w:rsidRPr="00D35F37">
        <w:rPr>
          <w:rFonts w:ascii="Arial" w:hAnsi="Arial" w:cs="Arial"/>
          <w:sz w:val="24"/>
          <w:szCs w:val="24"/>
        </w:rPr>
        <w:t xml:space="preserve"> et al., 2018). Orlistat is considered effective in most patients with BMI above 28 and causes a loss of up to 5% of the body weight by the end of 3 months (Public Health England, 2017). However, a failure to lose about 5% of body weight could mean that Orlistat is not effective on a particular patient (</w:t>
      </w:r>
      <w:proofErr w:type="spellStart"/>
      <w:r w:rsidRPr="00D35F37">
        <w:rPr>
          <w:rFonts w:ascii="Arial" w:hAnsi="Arial" w:cs="Arial"/>
          <w:sz w:val="24"/>
          <w:szCs w:val="24"/>
        </w:rPr>
        <w:t>Avenell</w:t>
      </w:r>
      <w:proofErr w:type="spellEnd"/>
      <w:r w:rsidRPr="00D35F37">
        <w:rPr>
          <w:rFonts w:ascii="Arial" w:hAnsi="Arial" w:cs="Arial"/>
          <w:sz w:val="24"/>
          <w:szCs w:val="24"/>
        </w:rPr>
        <w:t xml:space="preserve"> et al., 2018). In case of such a scenario, Bob may need to consider other options, such as liraglutide which works by making an individual feel fuller and less hungry (Bain et al., 2020). Notably, liraglutide is particularly suitable for Bob because he is at risk of stroke and already suffers from hypertension (Public Health England, 2017).</w:t>
      </w:r>
    </w:p>
    <w:p w14:paraId="4DC69542" w14:textId="77777777" w:rsidR="00D35F37" w:rsidRPr="00D35F37" w:rsidRDefault="00D35F37" w:rsidP="00D35F37">
      <w:pPr>
        <w:spacing w:after="0" w:line="480" w:lineRule="auto"/>
        <w:rPr>
          <w:rFonts w:ascii="Arial" w:hAnsi="Arial" w:cs="Arial"/>
          <w:sz w:val="24"/>
          <w:szCs w:val="24"/>
        </w:rPr>
      </w:pPr>
    </w:p>
    <w:p w14:paraId="5658EABA" w14:textId="77777777" w:rsidR="00D35F37" w:rsidRPr="00D35F37" w:rsidRDefault="00D35F37" w:rsidP="00D35F37">
      <w:pPr>
        <w:spacing w:after="0" w:line="480" w:lineRule="auto"/>
        <w:rPr>
          <w:rFonts w:ascii="Arial" w:hAnsi="Arial" w:cs="Arial"/>
          <w:sz w:val="24"/>
          <w:szCs w:val="24"/>
        </w:rPr>
      </w:pPr>
      <w:r w:rsidRPr="00D35F37">
        <w:rPr>
          <w:rFonts w:ascii="Arial" w:hAnsi="Arial" w:cs="Arial"/>
          <w:sz w:val="24"/>
          <w:szCs w:val="24"/>
        </w:rPr>
        <w:t xml:space="preserve">To address Bob's smoking habits, he needs to be informed about the available interventions and how to access them (NICE, 2021). He requires smoking treatment </w:t>
      </w:r>
      <w:r w:rsidRPr="00D35F37">
        <w:rPr>
          <w:rFonts w:ascii="Arial" w:hAnsi="Arial" w:cs="Arial"/>
          <w:sz w:val="24"/>
          <w:szCs w:val="24"/>
        </w:rPr>
        <w:lastRenderedPageBreak/>
        <w:t>and cognitive support services. Research shows that an individual who uses a combination of treatments and support from the NHS stop smoking service is up to 3 times more likely to quit smoking (Rajani et al., 2018). NICE (2022) recommends a prescription of bupropion or nicotine replacement therapy (NRT) for people who wish to stop smoking. NRT will offer Bob a way of continuing to supply his body with nicotine without suffering the effects of smoking (Hajek et al., 2019). Accordingly, he should be allowed to choose how to take it as either chewing gum, patches, nasal spray, or micro tabs, among others (</w:t>
      </w:r>
      <w:proofErr w:type="spellStart"/>
      <w:r w:rsidRPr="00D35F37">
        <w:rPr>
          <w:rFonts w:ascii="Arial" w:hAnsi="Arial" w:cs="Arial"/>
          <w:sz w:val="24"/>
          <w:szCs w:val="24"/>
        </w:rPr>
        <w:t>Gilbody</w:t>
      </w:r>
      <w:proofErr w:type="spellEnd"/>
      <w:r w:rsidRPr="00D35F37">
        <w:rPr>
          <w:rFonts w:ascii="Arial" w:hAnsi="Arial" w:cs="Arial"/>
          <w:sz w:val="24"/>
          <w:szCs w:val="24"/>
        </w:rPr>
        <w:t xml:space="preserve"> et al., 2021). NRT is appraised because it reduces one's addiction using low dosages of clean nicotine (Hajek et al., 2019). Bob may also receive cognitive therapy using techniques such as Cognitive Behaviour [CBT]. Through CBT, a psychotherapist will be able to educate and train Bob on how his thoughts influence his action of smoking (McClure et al., 2020). For instance, Bob is battling break up and grief issues. Therefore, Bob needs counselling to find meaning in his life once more (Tudor-</w:t>
      </w:r>
      <w:proofErr w:type="spellStart"/>
      <w:r w:rsidRPr="00D35F37">
        <w:rPr>
          <w:rFonts w:ascii="Arial" w:hAnsi="Arial" w:cs="Arial"/>
          <w:sz w:val="24"/>
          <w:szCs w:val="24"/>
        </w:rPr>
        <w:t>Sfetea</w:t>
      </w:r>
      <w:proofErr w:type="spellEnd"/>
      <w:r w:rsidRPr="00D35F37">
        <w:rPr>
          <w:rFonts w:ascii="Arial" w:hAnsi="Arial" w:cs="Arial"/>
          <w:sz w:val="24"/>
          <w:szCs w:val="24"/>
        </w:rPr>
        <w:t xml:space="preserve"> et al., 2018). The care team may signpost him to counselling services to help manage his grief and breakup issues (McClure et al., 2020). The Health Belief Model holds that an individual is more likely to take precautions or action if they believe that they are at risk of a particularly severe illness (</w:t>
      </w:r>
      <w:proofErr w:type="spellStart"/>
      <w:r w:rsidRPr="00D35F37">
        <w:rPr>
          <w:rFonts w:ascii="Arial" w:hAnsi="Arial" w:cs="Arial"/>
          <w:sz w:val="24"/>
          <w:szCs w:val="24"/>
        </w:rPr>
        <w:t>Wingerd</w:t>
      </w:r>
      <w:proofErr w:type="spellEnd"/>
      <w:r w:rsidRPr="00D35F37">
        <w:rPr>
          <w:rFonts w:ascii="Arial" w:hAnsi="Arial" w:cs="Arial"/>
          <w:sz w:val="24"/>
          <w:szCs w:val="24"/>
        </w:rPr>
        <w:t xml:space="preserve"> and Taylor, 2020). Therefore, Bob should be educated on the risks associated with smoking, such as COPD and lung cancer, which may prompt bob to be proactive in quitting the habit.</w:t>
      </w:r>
    </w:p>
    <w:p w14:paraId="2C31D509" w14:textId="77777777" w:rsidR="00D35F37" w:rsidRPr="00D35F37" w:rsidRDefault="00D35F37" w:rsidP="00D35F37">
      <w:pPr>
        <w:spacing w:after="0" w:line="480" w:lineRule="auto"/>
        <w:rPr>
          <w:rFonts w:ascii="Arial" w:hAnsi="Arial" w:cs="Arial"/>
          <w:sz w:val="24"/>
          <w:szCs w:val="24"/>
        </w:rPr>
      </w:pPr>
    </w:p>
    <w:p w14:paraId="0EC69097" w14:textId="77777777" w:rsidR="00D35F37" w:rsidRPr="00D35F37" w:rsidRDefault="00D35F37" w:rsidP="00D35F37">
      <w:pPr>
        <w:spacing w:after="0" w:line="480" w:lineRule="auto"/>
        <w:rPr>
          <w:rFonts w:ascii="Arial" w:hAnsi="Arial" w:cs="Arial"/>
          <w:b/>
          <w:bCs/>
          <w:sz w:val="24"/>
          <w:szCs w:val="24"/>
        </w:rPr>
      </w:pPr>
      <w:r w:rsidRPr="00D35F37">
        <w:rPr>
          <w:rFonts w:ascii="Arial" w:hAnsi="Arial" w:cs="Arial"/>
          <w:b/>
          <w:bCs/>
          <w:sz w:val="24"/>
          <w:szCs w:val="24"/>
        </w:rPr>
        <w:t>Conclusion</w:t>
      </w:r>
    </w:p>
    <w:p w14:paraId="6E4313FC" w14:textId="09480167" w:rsidR="006C3941" w:rsidRPr="00D35F37" w:rsidRDefault="00D35F37" w:rsidP="00D35F37">
      <w:pPr>
        <w:spacing w:after="0" w:line="480" w:lineRule="auto"/>
        <w:rPr>
          <w:rFonts w:ascii="Arial" w:hAnsi="Arial" w:cs="Arial"/>
          <w:sz w:val="24"/>
          <w:szCs w:val="24"/>
        </w:rPr>
      </w:pPr>
      <w:r w:rsidRPr="00D35F37">
        <w:rPr>
          <w:rFonts w:ascii="Arial" w:hAnsi="Arial" w:cs="Arial"/>
          <w:sz w:val="24"/>
          <w:szCs w:val="24"/>
        </w:rPr>
        <w:t xml:space="preserve">This essay has discussed Bob's health needs to demonstrate the knowledge of physiology. Understanding the anatomy of the human body is a key skill set required by every nurse. This will be instrumental, especially during patient assessment and </w:t>
      </w:r>
      <w:r w:rsidRPr="00D35F37">
        <w:rPr>
          <w:rFonts w:ascii="Arial" w:hAnsi="Arial" w:cs="Arial"/>
          <w:sz w:val="24"/>
          <w:szCs w:val="24"/>
        </w:rPr>
        <w:lastRenderedPageBreak/>
        <w:t xml:space="preserve">disease diagnosis. In Bob's case, he battles with smoking, grief and loss, breakup, and depression issues. Depression was inferred from his loss of interest in cooking and feeling unexplainable tiredness. Overall, the essay has demonstrated how the interaction between social, psychological, and physical factors contributes to one's overall health status. Bob's social challenges of grief and loss and breakup predispose him to smoke and alcohol drinking. Consequently, he suffers from hypertension, obesity, and depressive symptoms. The essay has recommended evidence-based interventions such as BWL, medications, and cognitive therapies to help Bob manage his health concerns. Generally, the essay has echoed the significance of service user involvement throughout the treatments and interventions </w:t>
      </w:r>
      <w:r>
        <w:rPr>
          <w:rFonts w:ascii="Arial" w:hAnsi="Arial" w:cs="Arial"/>
          <w:sz w:val="24"/>
          <w:szCs w:val="24"/>
        </w:rPr>
        <w:t xml:space="preserve">to </w:t>
      </w:r>
      <w:r w:rsidRPr="00D35F37">
        <w:rPr>
          <w:rFonts w:ascii="Arial" w:hAnsi="Arial" w:cs="Arial"/>
          <w:sz w:val="24"/>
          <w:szCs w:val="24"/>
        </w:rPr>
        <w:t>make the care plans person-centred and comprehensive.</w:t>
      </w:r>
    </w:p>
    <w:p w14:paraId="5DEA6C23" w14:textId="05435695" w:rsidR="00D35F37" w:rsidRPr="00D35F37" w:rsidRDefault="00D35F37" w:rsidP="00D35F37">
      <w:pPr>
        <w:spacing w:after="0" w:line="480" w:lineRule="auto"/>
        <w:rPr>
          <w:rFonts w:ascii="Arial" w:hAnsi="Arial" w:cs="Arial"/>
          <w:sz w:val="24"/>
          <w:szCs w:val="24"/>
        </w:rPr>
      </w:pPr>
    </w:p>
    <w:p w14:paraId="035D39C5" w14:textId="2A7DF16A" w:rsidR="00D35F37" w:rsidRPr="00D35F37" w:rsidRDefault="00D35F37" w:rsidP="00D35F37">
      <w:pPr>
        <w:spacing w:after="0" w:line="480" w:lineRule="auto"/>
        <w:rPr>
          <w:rFonts w:ascii="Arial" w:hAnsi="Arial" w:cs="Arial"/>
          <w:sz w:val="24"/>
          <w:szCs w:val="24"/>
        </w:rPr>
      </w:pPr>
    </w:p>
    <w:p w14:paraId="3CA347D9" w14:textId="5740C953" w:rsidR="00D35F37" w:rsidRDefault="00D35F37" w:rsidP="00D35F37">
      <w:pPr>
        <w:spacing w:after="0" w:line="480" w:lineRule="auto"/>
        <w:rPr>
          <w:rFonts w:ascii="Arial" w:hAnsi="Arial" w:cs="Arial"/>
          <w:sz w:val="24"/>
          <w:szCs w:val="24"/>
        </w:rPr>
      </w:pPr>
    </w:p>
    <w:p w14:paraId="6B7869BD" w14:textId="057D69C8" w:rsidR="00D35F37" w:rsidRDefault="00D35F37" w:rsidP="00D35F37">
      <w:pPr>
        <w:spacing w:after="0" w:line="480" w:lineRule="auto"/>
        <w:rPr>
          <w:rFonts w:ascii="Arial" w:hAnsi="Arial" w:cs="Arial"/>
          <w:sz w:val="24"/>
          <w:szCs w:val="24"/>
        </w:rPr>
      </w:pPr>
    </w:p>
    <w:p w14:paraId="374FC359" w14:textId="0A05EED3" w:rsidR="00D35F37" w:rsidRDefault="00D35F37" w:rsidP="00D35F37">
      <w:pPr>
        <w:spacing w:after="0" w:line="480" w:lineRule="auto"/>
        <w:rPr>
          <w:rFonts w:ascii="Arial" w:hAnsi="Arial" w:cs="Arial"/>
          <w:sz w:val="24"/>
          <w:szCs w:val="24"/>
        </w:rPr>
      </w:pPr>
    </w:p>
    <w:p w14:paraId="20A7BEB0" w14:textId="5E4B3BF4" w:rsidR="00D35F37" w:rsidRDefault="00D35F37" w:rsidP="00D35F37">
      <w:pPr>
        <w:spacing w:after="0" w:line="480" w:lineRule="auto"/>
        <w:rPr>
          <w:rFonts w:ascii="Arial" w:hAnsi="Arial" w:cs="Arial"/>
          <w:sz w:val="24"/>
          <w:szCs w:val="24"/>
        </w:rPr>
      </w:pPr>
    </w:p>
    <w:p w14:paraId="0747ED90" w14:textId="6D7172B2" w:rsidR="00D35F37" w:rsidRDefault="00D35F37" w:rsidP="00D35F37">
      <w:pPr>
        <w:spacing w:after="0" w:line="480" w:lineRule="auto"/>
        <w:rPr>
          <w:rFonts w:ascii="Arial" w:hAnsi="Arial" w:cs="Arial"/>
          <w:sz w:val="24"/>
          <w:szCs w:val="24"/>
        </w:rPr>
      </w:pPr>
    </w:p>
    <w:p w14:paraId="3449F826" w14:textId="14C1896C" w:rsidR="00D35F37" w:rsidRDefault="00D35F37" w:rsidP="00D35F37">
      <w:pPr>
        <w:spacing w:after="0" w:line="480" w:lineRule="auto"/>
        <w:rPr>
          <w:rFonts w:ascii="Arial" w:hAnsi="Arial" w:cs="Arial"/>
          <w:sz w:val="24"/>
          <w:szCs w:val="24"/>
        </w:rPr>
      </w:pPr>
    </w:p>
    <w:p w14:paraId="5FC1AFE0" w14:textId="248514B2" w:rsidR="00D35F37" w:rsidRDefault="00D35F37" w:rsidP="00D35F37">
      <w:pPr>
        <w:spacing w:after="0" w:line="480" w:lineRule="auto"/>
        <w:rPr>
          <w:rFonts w:ascii="Arial" w:hAnsi="Arial" w:cs="Arial"/>
          <w:sz w:val="24"/>
          <w:szCs w:val="24"/>
        </w:rPr>
      </w:pPr>
    </w:p>
    <w:p w14:paraId="2077AEDB" w14:textId="77777777" w:rsidR="00D35F37" w:rsidRPr="00D35F37" w:rsidRDefault="00D35F37" w:rsidP="00D35F37">
      <w:pPr>
        <w:spacing w:after="0" w:line="480" w:lineRule="auto"/>
        <w:rPr>
          <w:rFonts w:ascii="Arial" w:hAnsi="Arial" w:cs="Arial"/>
          <w:sz w:val="24"/>
          <w:szCs w:val="24"/>
        </w:rPr>
      </w:pPr>
    </w:p>
    <w:p w14:paraId="581692F0" w14:textId="2A6A8870" w:rsidR="00D35F37" w:rsidRDefault="00D35F37" w:rsidP="00D35F37">
      <w:pPr>
        <w:spacing w:after="0" w:line="480" w:lineRule="auto"/>
        <w:rPr>
          <w:rFonts w:ascii="Arial" w:hAnsi="Arial" w:cs="Arial"/>
          <w:b/>
          <w:bCs/>
          <w:sz w:val="24"/>
          <w:szCs w:val="24"/>
        </w:rPr>
      </w:pPr>
    </w:p>
    <w:p w14:paraId="5400F71F" w14:textId="44153036" w:rsidR="00D35F37" w:rsidRDefault="00D35F37" w:rsidP="00D35F37">
      <w:pPr>
        <w:spacing w:after="0" w:line="480" w:lineRule="auto"/>
        <w:rPr>
          <w:rFonts w:ascii="Arial" w:hAnsi="Arial" w:cs="Arial"/>
          <w:b/>
          <w:bCs/>
          <w:sz w:val="24"/>
          <w:szCs w:val="24"/>
        </w:rPr>
      </w:pPr>
    </w:p>
    <w:p w14:paraId="7BE75A2F" w14:textId="757BC3B8" w:rsidR="00D35F37" w:rsidRDefault="00D35F37" w:rsidP="00D35F37">
      <w:pPr>
        <w:spacing w:after="0" w:line="480" w:lineRule="auto"/>
        <w:rPr>
          <w:rFonts w:ascii="Arial" w:hAnsi="Arial" w:cs="Arial"/>
          <w:b/>
          <w:bCs/>
          <w:sz w:val="24"/>
          <w:szCs w:val="24"/>
        </w:rPr>
      </w:pPr>
    </w:p>
    <w:p w14:paraId="2810536B" w14:textId="155D072A" w:rsidR="00D35F37" w:rsidRDefault="00D35F37" w:rsidP="00D35F37">
      <w:pPr>
        <w:spacing w:after="0" w:line="480" w:lineRule="auto"/>
        <w:rPr>
          <w:rFonts w:ascii="Arial" w:hAnsi="Arial" w:cs="Arial"/>
          <w:b/>
          <w:bCs/>
          <w:sz w:val="24"/>
          <w:szCs w:val="24"/>
        </w:rPr>
      </w:pPr>
    </w:p>
    <w:p w14:paraId="2CE8A130" w14:textId="737C7A7D" w:rsidR="00D35F37" w:rsidRDefault="00D35F37" w:rsidP="00D35F37">
      <w:pPr>
        <w:spacing w:after="0" w:line="480" w:lineRule="auto"/>
        <w:rPr>
          <w:rFonts w:ascii="Arial" w:hAnsi="Arial" w:cs="Arial"/>
          <w:b/>
          <w:bCs/>
          <w:sz w:val="24"/>
          <w:szCs w:val="24"/>
        </w:rPr>
      </w:pPr>
    </w:p>
    <w:p w14:paraId="0973F544" w14:textId="4094DBE3" w:rsidR="00D35F37" w:rsidRDefault="00D35F37" w:rsidP="00D35F37">
      <w:pPr>
        <w:spacing w:after="0" w:line="480" w:lineRule="auto"/>
        <w:rPr>
          <w:rFonts w:ascii="Arial" w:hAnsi="Arial" w:cs="Arial"/>
          <w:b/>
          <w:bCs/>
          <w:sz w:val="24"/>
          <w:szCs w:val="24"/>
        </w:rPr>
      </w:pPr>
    </w:p>
    <w:p w14:paraId="29C4776C" w14:textId="7126298C" w:rsidR="00D35F37" w:rsidRDefault="00D35F37" w:rsidP="00D35F37">
      <w:pPr>
        <w:spacing w:after="0" w:line="480" w:lineRule="auto"/>
        <w:rPr>
          <w:rFonts w:ascii="Arial" w:hAnsi="Arial" w:cs="Arial"/>
          <w:b/>
          <w:bCs/>
          <w:sz w:val="24"/>
          <w:szCs w:val="24"/>
        </w:rPr>
      </w:pPr>
    </w:p>
    <w:p w14:paraId="6014CC5B" w14:textId="18F09980" w:rsidR="00D35F37" w:rsidRDefault="00D35F37" w:rsidP="00D35F37">
      <w:pPr>
        <w:spacing w:after="0" w:line="480" w:lineRule="auto"/>
        <w:rPr>
          <w:rFonts w:ascii="Arial" w:hAnsi="Arial" w:cs="Arial"/>
          <w:b/>
          <w:bCs/>
          <w:sz w:val="24"/>
          <w:szCs w:val="24"/>
        </w:rPr>
      </w:pPr>
    </w:p>
    <w:p w14:paraId="613D8031" w14:textId="0F6BB697" w:rsidR="00D35F37" w:rsidRDefault="00D35F37" w:rsidP="00D35F37">
      <w:pPr>
        <w:spacing w:after="0" w:line="480" w:lineRule="auto"/>
        <w:rPr>
          <w:rFonts w:ascii="Arial" w:hAnsi="Arial" w:cs="Arial"/>
          <w:b/>
          <w:bCs/>
          <w:sz w:val="24"/>
          <w:szCs w:val="24"/>
        </w:rPr>
      </w:pPr>
    </w:p>
    <w:p w14:paraId="324869B7" w14:textId="1F0C676D" w:rsidR="00D35F37" w:rsidRDefault="00D35F37" w:rsidP="00D35F37">
      <w:pPr>
        <w:spacing w:after="0" w:line="480" w:lineRule="auto"/>
        <w:rPr>
          <w:rFonts w:ascii="Arial" w:hAnsi="Arial" w:cs="Arial"/>
          <w:b/>
          <w:bCs/>
          <w:sz w:val="24"/>
          <w:szCs w:val="24"/>
        </w:rPr>
      </w:pPr>
    </w:p>
    <w:p w14:paraId="39E88130" w14:textId="27B0D7F2" w:rsidR="00D35F37" w:rsidRDefault="00D35F37" w:rsidP="00D35F37">
      <w:pPr>
        <w:spacing w:after="0" w:line="480" w:lineRule="auto"/>
        <w:rPr>
          <w:rFonts w:ascii="Arial" w:hAnsi="Arial" w:cs="Arial"/>
          <w:b/>
          <w:bCs/>
          <w:sz w:val="24"/>
          <w:szCs w:val="24"/>
        </w:rPr>
      </w:pPr>
    </w:p>
    <w:p w14:paraId="465919A8" w14:textId="633A2B74" w:rsidR="00D35F37" w:rsidRDefault="00D35F37" w:rsidP="00D35F37">
      <w:pPr>
        <w:spacing w:after="0" w:line="480" w:lineRule="auto"/>
        <w:rPr>
          <w:rFonts w:ascii="Arial" w:hAnsi="Arial" w:cs="Arial"/>
          <w:b/>
          <w:bCs/>
          <w:sz w:val="24"/>
          <w:szCs w:val="24"/>
        </w:rPr>
      </w:pPr>
    </w:p>
    <w:p w14:paraId="49A1F0C9" w14:textId="77777777" w:rsidR="00D35F37" w:rsidRPr="00D35F37" w:rsidRDefault="00D35F37" w:rsidP="00D35F37">
      <w:pPr>
        <w:spacing w:after="0" w:line="480" w:lineRule="auto"/>
        <w:rPr>
          <w:rFonts w:ascii="Arial" w:hAnsi="Arial" w:cs="Arial"/>
          <w:b/>
          <w:bCs/>
          <w:sz w:val="24"/>
          <w:szCs w:val="24"/>
        </w:rPr>
      </w:pPr>
    </w:p>
    <w:p w14:paraId="1E62ADF9" w14:textId="77777777" w:rsidR="006C3941" w:rsidRPr="00D35F37" w:rsidRDefault="006C3941" w:rsidP="006C3941">
      <w:pPr>
        <w:spacing w:line="360" w:lineRule="auto"/>
        <w:rPr>
          <w:rFonts w:ascii="Arial" w:hAnsi="Arial" w:cs="Arial"/>
          <w:b/>
          <w:bCs/>
          <w:sz w:val="24"/>
          <w:szCs w:val="24"/>
        </w:rPr>
      </w:pPr>
      <w:r w:rsidRPr="00D35F37">
        <w:rPr>
          <w:rFonts w:ascii="Arial" w:hAnsi="Arial" w:cs="Arial"/>
          <w:b/>
          <w:bCs/>
          <w:sz w:val="24"/>
          <w:szCs w:val="24"/>
        </w:rPr>
        <w:t>Reference List</w:t>
      </w:r>
    </w:p>
    <w:p w14:paraId="78782765" w14:textId="77777777" w:rsidR="00D35F37" w:rsidRPr="00D35F37" w:rsidRDefault="00D35F37" w:rsidP="00D35F37">
      <w:pPr>
        <w:spacing w:after="0" w:line="240" w:lineRule="auto"/>
        <w:rPr>
          <w:rFonts w:ascii="Arial" w:hAnsi="Arial" w:cs="Arial"/>
          <w:sz w:val="24"/>
          <w:szCs w:val="24"/>
          <w:shd w:val="clear" w:color="auto" w:fill="FFFFFF"/>
        </w:rPr>
      </w:pPr>
      <w:proofErr w:type="spellStart"/>
      <w:r w:rsidRPr="00D35F37">
        <w:rPr>
          <w:rFonts w:ascii="Arial" w:hAnsi="Arial" w:cs="Arial"/>
          <w:sz w:val="24"/>
          <w:szCs w:val="24"/>
          <w:shd w:val="clear" w:color="auto" w:fill="FFFFFF"/>
        </w:rPr>
        <w:t>Avenell</w:t>
      </w:r>
      <w:proofErr w:type="spellEnd"/>
      <w:r w:rsidRPr="00D35F37">
        <w:rPr>
          <w:rFonts w:ascii="Arial" w:hAnsi="Arial" w:cs="Arial"/>
          <w:sz w:val="24"/>
          <w:szCs w:val="24"/>
          <w:shd w:val="clear" w:color="auto" w:fill="FFFFFF"/>
        </w:rPr>
        <w:t xml:space="preserve">, A., Robertson, C., </w:t>
      </w:r>
      <w:proofErr w:type="spellStart"/>
      <w:r w:rsidRPr="00D35F37">
        <w:rPr>
          <w:rFonts w:ascii="Arial" w:hAnsi="Arial" w:cs="Arial"/>
          <w:sz w:val="24"/>
          <w:szCs w:val="24"/>
          <w:shd w:val="clear" w:color="auto" w:fill="FFFFFF"/>
        </w:rPr>
        <w:t>Skea</w:t>
      </w:r>
      <w:proofErr w:type="spellEnd"/>
      <w:r w:rsidRPr="00D35F37">
        <w:rPr>
          <w:rFonts w:ascii="Arial" w:hAnsi="Arial" w:cs="Arial"/>
          <w:sz w:val="24"/>
          <w:szCs w:val="24"/>
          <w:shd w:val="clear" w:color="auto" w:fill="FFFFFF"/>
        </w:rPr>
        <w:t xml:space="preserve">, Z., Jacobsen, E., Boyers, D., Cooper, D., Aceves-Martins, M., </w:t>
      </w:r>
      <w:proofErr w:type="spellStart"/>
      <w:r w:rsidRPr="00D35F37">
        <w:rPr>
          <w:rFonts w:ascii="Arial" w:hAnsi="Arial" w:cs="Arial"/>
          <w:sz w:val="24"/>
          <w:szCs w:val="24"/>
          <w:shd w:val="clear" w:color="auto" w:fill="FFFFFF"/>
        </w:rPr>
        <w:t>Retat</w:t>
      </w:r>
      <w:proofErr w:type="spellEnd"/>
      <w:r w:rsidRPr="00D35F37">
        <w:rPr>
          <w:rFonts w:ascii="Arial" w:hAnsi="Arial" w:cs="Arial"/>
          <w:sz w:val="24"/>
          <w:szCs w:val="24"/>
          <w:shd w:val="clear" w:color="auto" w:fill="FFFFFF"/>
        </w:rPr>
        <w:t>, L., Fraser, C., Aveyard, P. and Stewart, F., (2018). Bariatric surgery, lifestyle interventions and orlistat for severe obesity: the REBALANCE mixed-methods systematic review and economic evaluation. </w:t>
      </w:r>
      <w:r w:rsidRPr="00D35F37">
        <w:rPr>
          <w:rFonts w:ascii="Arial" w:hAnsi="Arial" w:cs="Arial"/>
          <w:i/>
          <w:iCs/>
          <w:sz w:val="24"/>
          <w:szCs w:val="24"/>
          <w:shd w:val="clear" w:color="auto" w:fill="FFFFFF"/>
        </w:rPr>
        <w:t>Health Technology Assessment</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22</w:t>
      </w:r>
      <w:r w:rsidRPr="00D35F37">
        <w:rPr>
          <w:rFonts w:ascii="Arial" w:hAnsi="Arial" w:cs="Arial"/>
          <w:sz w:val="24"/>
          <w:szCs w:val="24"/>
          <w:shd w:val="clear" w:color="auto" w:fill="FFFFFF"/>
        </w:rPr>
        <w:t>(68).</w:t>
      </w:r>
    </w:p>
    <w:p w14:paraId="3F35B545" w14:textId="77777777" w:rsidR="00D35F37" w:rsidRPr="00D35F37" w:rsidRDefault="00D35F37" w:rsidP="00D35F37">
      <w:pPr>
        <w:spacing w:after="0" w:line="240" w:lineRule="auto"/>
        <w:rPr>
          <w:rFonts w:ascii="Arial" w:hAnsi="Arial" w:cs="Arial"/>
          <w:sz w:val="24"/>
          <w:szCs w:val="24"/>
          <w:shd w:val="clear" w:color="auto" w:fill="FFFFFF"/>
        </w:rPr>
      </w:pPr>
    </w:p>
    <w:p w14:paraId="348C4CEC" w14:textId="5976D77D"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 xml:space="preserve">Bain, S.C., Hansen, B.B., Malkin, S.J., </w:t>
      </w:r>
      <w:proofErr w:type="spellStart"/>
      <w:r w:rsidRPr="00D35F37">
        <w:rPr>
          <w:rFonts w:ascii="Arial" w:hAnsi="Arial" w:cs="Arial"/>
          <w:sz w:val="24"/>
          <w:szCs w:val="24"/>
          <w:shd w:val="clear" w:color="auto" w:fill="FFFFFF"/>
        </w:rPr>
        <w:t>Nuhoho</w:t>
      </w:r>
      <w:proofErr w:type="spellEnd"/>
      <w:r w:rsidRPr="00D35F37">
        <w:rPr>
          <w:rFonts w:ascii="Arial" w:hAnsi="Arial" w:cs="Arial"/>
          <w:sz w:val="24"/>
          <w:szCs w:val="24"/>
          <w:shd w:val="clear" w:color="auto" w:fill="FFFFFF"/>
        </w:rPr>
        <w:t xml:space="preserve">, S., Valentine, W.J., Chubb, B., Hunt, B. and </w:t>
      </w:r>
      <w:proofErr w:type="spellStart"/>
      <w:r w:rsidRPr="00D35F37">
        <w:rPr>
          <w:rFonts w:ascii="Arial" w:hAnsi="Arial" w:cs="Arial"/>
          <w:sz w:val="24"/>
          <w:szCs w:val="24"/>
          <w:shd w:val="clear" w:color="auto" w:fill="FFFFFF"/>
        </w:rPr>
        <w:t>Capehorn</w:t>
      </w:r>
      <w:proofErr w:type="spellEnd"/>
      <w:r w:rsidRPr="00D35F37">
        <w:rPr>
          <w:rFonts w:ascii="Arial" w:hAnsi="Arial" w:cs="Arial"/>
          <w:sz w:val="24"/>
          <w:szCs w:val="24"/>
          <w:shd w:val="clear" w:color="auto" w:fill="FFFFFF"/>
        </w:rPr>
        <w:t xml:space="preserve">, M., (2020). Oral </w:t>
      </w:r>
      <w:proofErr w:type="spellStart"/>
      <w:r w:rsidRPr="00D35F37">
        <w:rPr>
          <w:rFonts w:ascii="Arial" w:hAnsi="Arial" w:cs="Arial"/>
          <w:sz w:val="24"/>
          <w:szCs w:val="24"/>
          <w:shd w:val="clear" w:color="auto" w:fill="FFFFFF"/>
        </w:rPr>
        <w:t>semaglutide</w:t>
      </w:r>
      <w:proofErr w:type="spellEnd"/>
      <w:r w:rsidRPr="00D35F37">
        <w:rPr>
          <w:rFonts w:ascii="Arial" w:hAnsi="Arial" w:cs="Arial"/>
          <w:sz w:val="24"/>
          <w:szCs w:val="24"/>
          <w:shd w:val="clear" w:color="auto" w:fill="FFFFFF"/>
        </w:rPr>
        <w:t xml:space="preserve"> versus empagliflozin, sitagliptin and liraglutide in the UK: long-term cost-effectiveness analyses based on the PIONEER clinical trial programme. </w:t>
      </w:r>
      <w:r w:rsidRPr="00D35F37">
        <w:rPr>
          <w:rFonts w:ascii="Arial" w:hAnsi="Arial" w:cs="Arial"/>
          <w:i/>
          <w:iCs/>
          <w:sz w:val="24"/>
          <w:szCs w:val="24"/>
          <w:shd w:val="clear" w:color="auto" w:fill="FFFFFF"/>
        </w:rPr>
        <w:t>Diabetes Therapy</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11</w:t>
      </w:r>
      <w:r w:rsidRPr="00D35F37">
        <w:rPr>
          <w:rFonts w:ascii="Arial" w:hAnsi="Arial" w:cs="Arial"/>
          <w:sz w:val="24"/>
          <w:szCs w:val="24"/>
          <w:shd w:val="clear" w:color="auto" w:fill="FFFFFF"/>
        </w:rPr>
        <w:t>, pp.259-277.</w:t>
      </w:r>
    </w:p>
    <w:p w14:paraId="2923B22B" w14:textId="77777777" w:rsidR="00D35F37" w:rsidRPr="00D35F37" w:rsidRDefault="00D35F37" w:rsidP="00D35F37">
      <w:pPr>
        <w:spacing w:after="0" w:line="240" w:lineRule="auto"/>
        <w:rPr>
          <w:rFonts w:ascii="Arial" w:hAnsi="Arial" w:cs="Arial"/>
          <w:sz w:val="24"/>
          <w:szCs w:val="24"/>
          <w:shd w:val="clear" w:color="auto" w:fill="FFFFFF"/>
        </w:rPr>
      </w:pPr>
    </w:p>
    <w:p w14:paraId="056FBDB3" w14:textId="19C4ACBE" w:rsidR="00D35F37" w:rsidRPr="00D35F37" w:rsidRDefault="00D35F37" w:rsidP="00D35F37">
      <w:pPr>
        <w:spacing w:after="0" w:line="240" w:lineRule="auto"/>
        <w:rPr>
          <w:rFonts w:ascii="Arial" w:hAnsi="Arial" w:cs="Arial"/>
          <w:sz w:val="24"/>
          <w:szCs w:val="24"/>
          <w:shd w:val="clear" w:color="auto" w:fill="FFFFFF"/>
        </w:rPr>
      </w:pPr>
      <w:proofErr w:type="spellStart"/>
      <w:r w:rsidRPr="00D35F37">
        <w:rPr>
          <w:rFonts w:ascii="Arial" w:hAnsi="Arial" w:cs="Arial"/>
          <w:sz w:val="24"/>
          <w:szCs w:val="24"/>
          <w:shd w:val="clear" w:color="auto" w:fill="FFFFFF"/>
        </w:rPr>
        <w:t>Bombak</w:t>
      </w:r>
      <w:proofErr w:type="spellEnd"/>
      <w:r w:rsidRPr="00D35F37">
        <w:rPr>
          <w:rFonts w:ascii="Arial" w:hAnsi="Arial" w:cs="Arial"/>
          <w:sz w:val="24"/>
          <w:szCs w:val="24"/>
          <w:shd w:val="clear" w:color="auto" w:fill="FFFFFF"/>
        </w:rPr>
        <w:t xml:space="preserve">, A., Monaghan, L.F. and Rich, E., (2019). Dietary approaches to weight-loss, Health </w:t>
      </w:r>
      <w:proofErr w:type="gramStart"/>
      <w:r w:rsidRPr="00D35F37">
        <w:rPr>
          <w:rFonts w:ascii="Arial" w:hAnsi="Arial" w:cs="Arial"/>
          <w:sz w:val="24"/>
          <w:szCs w:val="24"/>
          <w:shd w:val="clear" w:color="auto" w:fill="FFFFFF"/>
        </w:rPr>
        <w:t>At</w:t>
      </w:r>
      <w:proofErr w:type="gramEnd"/>
      <w:r w:rsidRPr="00D35F37">
        <w:rPr>
          <w:rFonts w:ascii="Arial" w:hAnsi="Arial" w:cs="Arial"/>
          <w:sz w:val="24"/>
          <w:szCs w:val="24"/>
          <w:shd w:val="clear" w:color="auto" w:fill="FFFFFF"/>
        </w:rPr>
        <w:t xml:space="preserve"> Every Size® and beyond: rethinking the war on obesity. </w:t>
      </w:r>
      <w:r w:rsidRPr="00D35F37">
        <w:rPr>
          <w:rFonts w:ascii="Arial" w:hAnsi="Arial" w:cs="Arial"/>
          <w:i/>
          <w:iCs/>
          <w:sz w:val="24"/>
          <w:szCs w:val="24"/>
          <w:shd w:val="clear" w:color="auto" w:fill="FFFFFF"/>
        </w:rPr>
        <w:t>Social Theory &amp; Health</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17</w:t>
      </w:r>
      <w:r w:rsidRPr="00D35F37">
        <w:rPr>
          <w:rFonts w:ascii="Arial" w:hAnsi="Arial" w:cs="Arial"/>
          <w:sz w:val="24"/>
          <w:szCs w:val="24"/>
          <w:shd w:val="clear" w:color="auto" w:fill="FFFFFF"/>
        </w:rPr>
        <w:t>, pp.89-108.</w:t>
      </w:r>
    </w:p>
    <w:p w14:paraId="1621624C" w14:textId="77777777" w:rsidR="00D35F37" w:rsidRPr="00D35F37" w:rsidRDefault="00D35F37" w:rsidP="00D35F37">
      <w:pPr>
        <w:spacing w:after="0" w:line="240" w:lineRule="auto"/>
        <w:rPr>
          <w:rFonts w:ascii="Arial" w:hAnsi="Arial" w:cs="Arial"/>
          <w:sz w:val="24"/>
          <w:szCs w:val="24"/>
          <w:shd w:val="clear" w:color="auto" w:fill="FFFFFF"/>
        </w:rPr>
      </w:pPr>
    </w:p>
    <w:p w14:paraId="2ACD25D7" w14:textId="6C97C9B0" w:rsidR="00D35F37" w:rsidRPr="00D35F37" w:rsidRDefault="00D35F37" w:rsidP="00D35F37">
      <w:pPr>
        <w:spacing w:after="0" w:line="240" w:lineRule="auto"/>
        <w:rPr>
          <w:rFonts w:ascii="Arial" w:hAnsi="Arial" w:cs="Arial"/>
          <w:sz w:val="24"/>
          <w:szCs w:val="24"/>
        </w:rPr>
      </w:pPr>
      <w:proofErr w:type="spellStart"/>
      <w:r w:rsidRPr="00D35F37">
        <w:rPr>
          <w:rFonts w:ascii="Arial" w:hAnsi="Arial" w:cs="Arial"/>
          <w:sz w:val="24"/>
          <w:szCs w:val="24"/>
          <w:shd w:val="clear" w:color="auto" w:fill="FFFFFF"/>
        </w:rPr>
        <w:t>Burgoine</w:t>
      </w:r>
      <w:proofErr w:type="spellEnd"/>
      <w:r w:rsidRPr="00D35F37">
        <w:rPr>
          <w:rFonts w:ascii="Arial" w:hAnsi="Arial" w:cs="Arial"/>
          <w:sz w:val="24"/>
          <w:szCs w:val="24"/>
          <w:shd w:val="clear" w:color="auto" w:fill="FFFFFF"/>
        </w:rPr>
        <w:t xml:space="preserve">, T., Sarkar, C., Webster, C.J. and </w:t>
      </w:r>
      <w:proofErr w:type="spellStart"/>
      <w:r w:rsidRPr="00D35F37">
        <w:rPr>
          <w:rFonts w:ascii="Arial" w:hAnsi="Arial" w:cs="Arial"/>
          <w:sz w:val="24"/>
          <w:szCs w:val="24"/>
          <w:shd w:val="clear" w:color="auto" w:fill="FFFFFF"/>
        </w:rPr>
        <w:t>Monsivais</w:t>
      </w:r>
      <w:proofErr w:type="spellEnd"/>
      <w:r w:rsidRPr="00D35F37">
        <w:rPr>
          <w:rFonts w:ascii="Arial" w:hAnsi="Arial" w:cs="Arial"/>
          <w:sz w:val="24"/>
          <w:szCs w:val="24"/>
          <w:shd w:val="clear" w:color="auto" w:fill="FFFFFF"/>
        </w:rPr>
        <w:t>, P., (2018). Examining the interaction of fast-food outlet exposure and income on diet and obesity: evidence from 51,361 UK Biobank participants. </w:t>
      </w:r>
      <w:r w:rsidRPr="00D35F37">
        <w:rPr>
          <w:rFonts w:ascii="Arial" w:hAnsi="Arial" w:cs="Arial"/>
          <w:i/>
          <w:iCs/>
          <w:sz w:val="24"/>
          <w:szCs w:val="24"/>
          <w:shd w:val="clear" w:color="auto" w:fill="FFFFFF"/>
        </w:rPr>
        <w:t xml:space="preserve">International Journal of </w:t>
      </w:r>
      <w:proofErr w:type="spellStart"/>
      <w:r w:rsidRPr="00D35F37">
        <w:rPr>
          <w:rFonts w:ascii="Arial" w:hAnsi="Arial" w:cs="Arial"/>
          <w:i/>
          <w:iCs/>
          <w:sz w:val="24"/>
          <w:szCs w:val="24"/>
          <w:shd w:val="clear" w:color="auto" w:fill="FFFFFF"/>
        </w:rPr>
        <w:t>Behavioral</w:t>
      </w:r>
      <w:proofErr w:type="spellEnd"/>
      <w:r w:rsidRPr="00D35F37">
        <w:rPr>
          <w:rFonts w:ascii="Arial" w:hAnsi="Arial" w:cs="Arial"/>
          <w:i/>
          <w:iCs/>
          <w:sz w:val="24"/>
          <w:szCs w:val="24"/>
          <w:shd w:val="clear" w:color="auto" w:fill="FFFFFF"/>
        </w:rPr>
        <w:t xml:space="preserve"> Nutrition and Physical Activity</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15</w:t>
      </w:r>
      <w:r w:rsidRPr="00D35F37">
        <w:rPr>
          <w:rFonts w:ascii="Arial" w:hAnsi="Arial" w:cs="Arial"/>
          <w:sz w:val="24"/>
          <w:szCs w:val="24"/>
          <w:shd w:val="clear" w:color="auto" w:fill="FFFFFF"/>
        </w:rPr>
        <w:t>(1), pp.1-12.</w:t>
      </w:r>
    </w:p>
    <w:p w14:paraId="38428FEA" w14:textId="77777777" w:rsidR="00D35F37" w:rsidRPr="00D35F37" w:rsidRDefault="00D35F37" w:rsidP="00D35F37">
      <w:pPr>
        <w:spacing w:after="0" w:line="240" w:lineRule="auto"/>
        <w:rPr>
          <w:rFonts w:ascii="Arial" w:hAnsi="Arial" w:cs="Arial"/>
          <w:sz w:val="24"/>
          <w:szCs w:val="24"/>
          <w:shd w:val="clear" w:color="auto" w:fill="FFFFFF"/>
        </w:rPr>
      </w:pPr>
    </w:p>
    <w:p w14:paraId="1B316A39" w14:textId="081211D3" w:rsidR="00D35F37" w:rsidRPr="00D35F37" w:rsidRDefault="00D35F37" w:rsidP="00D35F37">
      <w:pPr>
        <w:spacing w:after="0" w:line="240" w:lineRule="auto"/>
        <w:rPr>
          <w:rFonts w:ascii="Arial" w:hAnsi="Arial" w:cs="Arial"/>
          <w:sz w:val="24"/>
          <w:szCs w:val="24"/>
          <w:shd w:val="clear" w:color="auto" w:fill="FFFFFF"/>
        </w:rPr>
      </w:pPr>
      <w:proofErr w:type="spellStart"/>
      <w:r w:rsidRPr="00D35F37">
        <w:rPr>
          <w:rFonts w:ascii="Arial" w:hAnsi="Arial" w:cs="Arial"/>
          <w:sz w:val="24"/>
          <w:szCs w:val="24"/>
          <w:shd w:val="clear" w:color="auto" w:fill="FFFFFF"/>
        </w:rPr>
        <w:t>Daaleman</w:t>
      </w:r>
      <w:proofErr w:type="spellEnd"/>
      <w:r w:rsidRPr="00D35F37">
        <w:rPr>
          <w:rFonts w:ascii="Arial" w:hAnsi="Arial" w:cs="Arial"/>
          <w:sz w:val="24"/>
          <w:szCs w:val="24"/>
          <w:shd w:val="clear" w:color="auto" w:fill="FFFFFF"/>
        </w:rPr>
        <w:t xml:space="preserve">, P, T and Helton, R, M. (2018). </w:t>
      </w:r>
      <w:r w:rsidRPr="00D35F37">
        <w:rPr>
          <w:rFonts w:ascii="Arial" w:hAnsi="Arial" w:cs="Arial"/>
          <w:i/>
          <w:iCs/>
          <w:sz w:val="24"/>
          <w:szCs w:val="24"/>
          <w:shd w:val="clear" w:color="auto" w:fill="FFFFFF"/>
        </w:rPr>
        <w:t>Chronic illness care: Principles and practice</w:t>
      </w:r>
      <w:r w:rsidRPr="00D35F37">
        <w:rPr>
          <w:rFonts w:ascii="Arial" w:hAnsi="Arial" w:cs="Arial"/>
          <w:sz w:val="24"/>
          <w:szCs w:val="24"/>
          <w:shd w:val="clear" w:color="auto" w:fill="FFFFFF"/>
        </w:rPr>
        <w:t>. London: Springer</w:t>
      </w:r>
    </w:p>
    <w:p w14:paraId="297BA913" w14:textId="77777777" w:rsidR="00D35F37" w:rsidRPr="00D35F37" w:rsidRDefault="00D35F37" w:rsidP="00D35F37">
      <w:pPr>
        <w:spacing w:after="0" w:line="240" w:lineRule="auto"/>
        <w:rPr>
          <w:rFonts w:ascii="Arial" w:hAnsi="Arial" w:cs="Arial"/>
          <w:sz w:val="24"/>
          <w:szCs w:val="24"/>
          <w:shd w:val="clear" w:color="auto" w:fill="FFFFFF"/>
        </w:rPr>
      </w:pPr>
    </w:p>
    <w:p w14:paraId="51C4BA43" w14:textId="2F995C6E" w:rsidR="00D35F37" w:rsidRPr="00D35F37" w:rsidRDefault="00D35F37" w:rsidP="00D35F37">
      <w:pPr>
        <w:spacing w:after="0" w:line="240" w:lineRule="auto"/>
        <w:rPr>
          <w:rFonts w:ascii="Arial" w:hAnsi="Arial" w:cs="Arial"/>
          <w:sz w:val="24"/>
          <w:szCs w:val="24"/>
        </w:rPr>
      </w:pPr>
      <w:proofErr w:type="spellStart"/>
      <w:r w:rsidRPr="00D35F37">
        <w:rPr>
          <w:rFonts w:ascii="Arial" w:hAnsi="Arial" w:cs="Arial"/>
          <w:sz w:val="24"/>
          <w:szCs w:val="24"/>
          <w:shd w:val="clear" w:color="auto" w:fill="FFFFFF"/>
        </w:rPr>
        <w:t>Gilbody</w:t>
      </w:r>
      <w:proofErr w:type="spellEnd"/>
      <w:r w:rsidRPr="00D35F37">
        <w:rPr>
          <w:rFonts w:ascii="Arial" w:hAnsi="Arial" w:cs="Arial"/>
          <w:sz w:val="24"/>
          <w:szCs w:val="24"/>
          <w:shd w:val="clear" w:color="auto" w:fill="FFFFFF"/>
        </w:rPr>
        <w:t>, S., Peckham, E., Bailey, D., Arundel, C., Heron, P., Crosland, S., Fairhurst, C., Hewitt, C. and Li, J., (2021). Smoking cessation in severe mental illness: combined long-term quit rates from the UK SCIMITAR trials programme. </w:t>
      </w:r>
      <w:r w:rsidRPr="00D35F37">
        <w:rPr>
          <w:rFonts w:ascii="Arial" w:hAnsi="Arial" w:cs="Arial"/>
          <w:i/>
          <w:iCs/>
          <w:sz w:val="24"/>
          <w:szCs w:val="24"/>
          <w:shd w:val="clear" w:color="auto" w:fill="FFFFFF"/>
        </w:rPr>
        <w:t>The British journal of psychiatry</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218</w:t>
      </w:r>
      <w:r w:rsidRPr="00D35F37">
        <w:rPr>
          <w:rFonts w:ascii="Arial" w:hAnsi="Arial" w:cs="Arial"/>
          <w:sz w:val="24"/>
          <w:szCs w:val="24"/>
          <w:shd w:val="clear" w:color="auto" w:fill="FFFFFF"/>
        </w:rPr>
        <w:t>(2), pp.95-97.</w:t>
      </w:r>
    </w:p>
    <w:p w14:paraId="57B75734" w14:textId="77777777" w:rsidR="00D35F37" w:rsidRPr="00D35F37" w:rsidRDefault="00D35F37" w:rsidP="00D35F37">
      <w:pPr>
        <w:spacing w:after="0" w:line="240" w:lineRule="auto"/>
        <w:rPr>
          <w:rFonts w:ascii="Arial" w:hAnsi="Arial" w:cs="Arial"/>
          <w:sz w:val="24"/>
          <w:szCs w:val="24"/>
          <w:shd w:val="clear" w:color="auto" w:fill="FFFFFF"/>
        </w:rPr>
      </w:pPr>
    </w:p>
    <w:p w14:paraId="032A86F8" w14:textId="27BB4E4B"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shd w:val="clear" w:color="auto" w:fill="FFFFFF"/>
        </w:rPr>
        <w:t>Gregson, N., (2018). Mobilities, mobile work and habitation: truck drivers and the crisis in occupational auto-mobility in the UK. </w:t>
      </w:r>
      <w:r w:rsidRPr="00D35F37">
        <w:rPr>
          <w:rFonts w:ascii="Arial" w:hAnsi="Arial" w:cs="Arial"/>
          <w:i/>
          <w:iCs/>
          <w:sz w:val="24"/>
          <w:szCs w:val="24"/>
          <w:shd w:val="clear" w:color="auto" w:fill="FFFFFF"/>
        </w:rPr>
        <w:t>Mobilities</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13</w:t>
      </w:r>
      <w:r w:rsidRPr="00D35F37">
        <w:rPr>
          <w:rFonts w:ascii="Arial" w:hAnsi="Arial" w:cs="Arial"/>
          <w:sz w:val="24"/>
          <w:szCs w:val="24"/>
          <w:shd w:val="clear" w:color="auto" w:fill="FFFFFF"/>
        </w:rPr>
        <w:t>(3), pp.291-307.</w:t>
      </w:r>
    </w:p>
    <w:p w14:paraId="10765C30" w14:textId="77777777" w:rsidR="00D35F37" w:rsidRPr="00D35F37" w:rsidRDefault="00D35F37" w:rsidP="00D35F37">
      <w:pPr>
        <w:spacing w:after="0" w:line="240" w:lineRule="auto"/>
        <w:rPr>
          <w:rFonts w:ascii="Arial" w:hAnsi="Arial" w:cs="Arial"/>
          <w:sz w:val="24"/>
          <w:szCs w:val="24"/>
          <w:shd w:val="clear" w:color="auto" w:fill="FFFFFF"/>
        </w:rPr>
      </w:pPr>
    </w:p>
    <w:p w14:paraId="1188776B" w14:textId="34F75B4D"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 xml:space="preserve">Hajek, P., Phillips-Waller, A., </w:t>
      </w:r>
      <w:proofErr w:type="spellStart"/>
      <w:r w:rsidRPr="00D35F37">
        <w:rPr>
          <w:rFonts w:ascii="Arial" w:hAnsi="Arial" w:cs="Arial"/>
          <w:sz w:val="24"/>
          <w:szCs w:val="24"/>
          <w:shd w:val="clear" w:color="auto" w:fill="FFFFFF"/>
        </w:rPr>
        <w:t>Przulj</w:t>
      </w:r>
      <w:proofErr w:type="spellEnd"/>
      <w:r w:rsidRPr="00D35F37">
        <w:rPr>
          <w:rFonts w:ascii="Arial" w:hAnsi="Arial" w:cs="Arial"/>
          <w:sz w:val="24"/>
          <w:szCs w:val="24"/>
          <w:shd w:val="clear" w:color="auto" w:fill="FFFFFF"/>
        </w:rPr>
        <w:t xml:space="preserve">, D., Pesola, F., Smith, K.M., </w:t>
      </w:r>
      <w:proofErr w:type="spellStart"/>
      <w:r w:rsidRPr="00D35F37">
        <w:rPr>
          <w:rFonts w:ascii="Arial" w:hAnsi="Arial" w:cs="Arial"/>
          <w:sz w:val="24"/>
          <w:szCs w:val="24"/>
          <w:shd w:val="clear" w:color="auto" w:fill="FFFFFF"/>
        </w:rPr>
        <w:t>Bisal</w:t>
      </w:r>
      <w:proofErr w:type="spellEnd"/>
      <w:r w:rsidRPr="00D35F37">
        <w:rPr>
          <w:rFonts w:ascii="Arial" w:hAnsi="Arial" w:cs="Arial"/>
          <w:sz w:val="24"/>
          <w:szCs w:val="24"/>
          <w:shd w:val="clear" w:color="auto" w:fill="FFFFFF"/>
        </w:rPr>
        <w:t xml:space="preserve">, N., Li, J., Parrott, S., </w:t>
      </w:r>
      <w:proofErr w:type="spellStart"/>
      <w:r w:rsidRPr="00D35F37">
        <w:rPr>
          <w:rFonts w:ascii="Arial" w:hAnsi="Arial" w:cs="Arial"/>
          <w:sz w:val="24"/>
          <w:szCs w:val="24"/>
          <w:shd w:val="clear" w:color="auto" w:fill="FFFFFF"/>
        </w:rPr>
        <w:t>Sasieni</w:t>
      </w:r>
      <w:proofErr w:type="spellEnd"/>
      <w:r w:rsidRPr="00D35F37">
        <w:rPr>
          <w:rFonts w:ascii="Arial" w:hAnsi="Arial" w:cs="Arial"/>
          <w:sz w:val="24"/>
          <w:szCs w:val="24"/>
          <w:shd w:val="clear" w:color="auto" w:fill="FFFFFF"/>
        </w:rPr>
        <w:t>, P., Dawkins, L. and Ross, L., (2019). E-cigarettes compared with nicotine replacement therapy within the UK Stop Smoking Services: the TEC RCT. </w:t>
      </w:r>
      <w:r w:rsidRPr="00D35F37">
        <w:rPr>
          <w:rFonts w:ascii="Arial" w:hAnsi="Arial" w:cs="Arial"/>
          <w:i/>
          <w:iCs/>
          <w:sz w:val="24"/>
          <w:szCs w:val="24"/>
          <w:shd w:val="clear" w:color="auto" w:fill="FFFFFF"/>
        </w:rPr>
        <w:t>Health technology assessment (Winchester, England)</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23</w:t>
      </w:r>
      <w:r w:rsidRPr="00D35F37">
        <w:rPr>
          <w:rFonts w:ascii="Arial" w:hAnsi="Arial" w:cs="Arial"/>
          <w:sz w:val="24"/>
          <w:szCs w:val="24"/>
          <w:shd w:val="clear" w:color="auto" w:fill="FFFFFF"/>
        </w:rPr>
        <w:t>(43), p.1.</w:t>
      </w:r>
    </w:p>
    <w:p w14:paraId="47481FC3" w14:textId="77777777" w:rsidR="00D35F37" w:rsidRPr="00D35F37" w:rsidRDefault="00D35F37" w:rsidP="00D35F37">
      <w:pPr>
        <w:spacing w:after="0" w:line="240" w:lineRule="auto"/>
        <w:rPr>
          <w:rFonts w:ascii="Arial" w:hAnsi="Arial" w:cs="Arial"/>
          <w:sz w:val="24"/>
          <w:szCs w:val="24"/>
          <w:shd w:val="clear" w:color="auto" w:fill="FFFFFF"/>
        </w:rPr>
      </w:pPr>
    </w:p>
    <w:p w14:paraId="3B59F481" w14:textId="3EA7D2A0"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Kim, S.H. and Lee, J.S., (2019). The association of smoking and hypertension according to cotinine-verified smoking status in 25,150 Korean adults. </w:t>
      </w:r>
      <w:r w:rsidRPr="00D35F37">
        <w:rPr>
          <w:rFonts w:ascii="Arial" w:hAnsi="Arial" w:cs="Arial"/>
          <w:i/>
          <w:iCs/>
          <w:sz w:val="24"/>
          <w:szCs w:val="24"/>
          <w:shd w:val="clear" w:color="auto" w:fill="FFFFFF"/>
        </w:rPr>
        <w:t>Clinical and experimental hypertension</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41</w:t>
      </w:r>
      <w:r w:rsidRPr="00D35F37">
        <w:rPr>
          <w:rFonts w:ascii="Arial" w:hAnsi="Arial" w:cs="Arial"/>
          <w:sz w:val="24"/>
          <w:szCs w:val="24"/>
          <w:shd w:val="clear" w:color="auto" w:fill="FFFFFF"/>
        </w:rPr>
        <w:t>(5), pp.401-408.</w:t>
      </w:r>
    </w:p>
    <w:p w14:paraId="7488C984" w14:textId="77777777" w:rsidR="00D35F37" w:rsidRPr="00D35F37" w:rsidRDefault="00D35F37" w:rsidP="00D35F37">
      <w:pPr>
        <w:spacing w:after="0" w:line="240" w:lineRule="auto"/>
        <w:rPr>
          <w:rFonts w:ascii="Arial" w:hAnsi="Arial" w:cs="Arial"/>
          <w:sz w:val="24"/>
          <w:szCs w:val="24"/>
          <w:shd w:val="clear" w:color="auto" w:fill="FFFFFF"/>
        </w:rPr>
      </w:pPr>
    </w:p>
    <w:p w14:paraId="0505BEED" w14:textId="3344E16C"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shd w:val="clear" w:color="auto" w:fill="FFFFFF"/>
        </w:rPr>
        <w:t xml:space="preserve">McClure, J.B., Bricker, J., Mull, K. and Heffner, J.L., (2020). Comparative effectiveness of group-delivered acceptance and commitment therapy versus cognitive </w:t>
      </w:r>
      <w:proofErr w:type="spellStart"/>
      <w:r w:rsidRPr="00D35F37">
        <w:rPr>
          <w:rFonts w:ascii="Arial" w:hAnsi="Arial" w:cs="Arial"/>
          <w:sz w:val="24"/>
          <w:szCs w:val="24"/>
          <w:shd w:val="clear" w:color="auto" w:fill="FFFFFF"/>
        </w:rPr>
        <w:t>behavioral</w:t>
      </w:r>
      <w:proofErr w:type="spellEnd"/>
      <w:r w:rsidRPr="00D35F37">
        <w:rPr>
          <w:rFonts w:ascii="Arial" w:hAnsi="Arial" w:cs="Arial"/>
          <w:sz w:val="24"/>
          <w:szCs w:val="24"/>
          <w:shd w:val="clear" w:color="auto" w:fill="FFFFFF"/>
        </w:rPr>
        <w:t xml:space="preserve"> therapy for smoking cessation: a randomized controlled trial. </w:t>
      </w:r>
      <w:r w:rsidRPr="00D35F37">
        <w:rPr>
          <w:rFonts w:ascii="Arial" w:hAnsi="Arial" w:cs="Arial"/>
          <w:i/>
          <w:iCs/>
          <w:sz w:val="24"/>
          <w:szCs w:val="24"/>
          <w:shd w:val="clear" w:color="auto" w:fill="FFFFFF"/>
        </w:rPr>
        <w:t>Nicotine &amp; Tobacco Research</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22</w:t>
      </w:r>
      <w:r w:rsidRPr="00D35F37">
        <w:rPr>
          <w:rFonts w:ascii="Arial" w:hAnsi="Arial" w:cs="Arial"/>
          <w:sz w:val="24"/>
          <w:szCs w:val="24"/>
          <w:shd w:val="clear" w:color="auto" w:fill="FFFFFF"/>
        </w:rPr>
        <w:t>(3), pp.354-362.</w:t>
      </w:r>
    </w:p>
    <w:p w14:paraId="4F84C34B" w14:textId="77777777" w:rsidR="00D35F37" w:rsidRPr="00D35F37" w:rsidRDefault="00D35F37" w:rsidP="00D35F37">
      <w:pPr>
        <w:spacing w:after="0" w:line="240" w:lineRule="auto"/>
        <w:rPr>
          <w:rFonts w:ascii="Arial" w:hAnsi="Arial" w:cs="Arial"/>
          <w:sz w:val="24"/>
          <w:szCs w:val="24"/>
          <w:shd w:val="clear" w:color="auto" w:fill="FFFFFF"/>
        </w:rPr>
      </w:pPr>
    </w:p>
    <w:p w14:paraId="487A3734" w14:textId="486B1801"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shd w:val="clear" w:color="auto" w:fill="FFFFFF"/>
        </w:rPr>
        <w:t xml:space="preserve">McKinlay, A., </w:t>
      </w:r>
      <w:proofErr w:type="spellStart"/>
      <w:r w:rsidRPr="00D35F37">
        <w:rPr>
          <w:rFonts w:ascii="Arial" w:hAnsi="Arial" w:cs="Arial"/>
          <w:sz w:val="24"/>
          <w:szCs w:val="24"/>
          <w:shd w:val="clear" w:color="auto" w:fill="FFFFFF"/>
        </w:rPr>
        <w:t>Fancourt</w:t>
      </w:r>
      <w:proofErr w:type="spellEnd"/>
      <w:r w:rsidRPr="00D35F37">
        <w:rPr>
          <w:rFonts w:ascii="Arial" w:hAnsi="Arial" w:cs="Arial"/>
          <w:sz w:val="24"/>
          <w:szCs w:val="24"/>
          <w:shd w:val="clear" w:color="auto" w:fill="FFFFFF"/>
        </w:rPr>
        <w:t>, D. and Burton, A., (20200. “It makes you realise your own mortality.” A qualitative study on mental health of older adults in the UK during COVID-19. </w:t>
      </w:r>
      <w:proofErr w:type="spellStart"/>
      <w:r w:rsidRPr="00D35F37">
        <w:rPr>
          <w:rFonts w:ascii="Arial" w:hAnsi="Arial" w:cs="Arial"/>
          <w:i/>
          <w:iCs/>
          <w:sz w:val="24"/>
          <w:szCs w:val="24"/>
          <w:shd w:val="clear" w:color="auto" w:fill="FFFFFF"/>
        </w:rPr>
        <w:t>MedRxiv</w:t>
      </w:r>
      <w:proofErr w:type="spellEnd"/>
      <w:r w:rsidRPr="00D35F37">
        <w:rPr>
          <w:rFonts w:ascii="Arial" w:hAnsi="Arial" w:cs="Arial"/>
          <w:sz w:val="24"/>
          <w:szCs w:val="24"/>
          <w:shd w:val="clear" w:color="auto" w:fill="FFFFFF"/>
        </w:rPr>
        <w:t>, pp.2020-12.</w:t>
      </w:r>
    </w:p>
    <w:p w14:paraId="54E0A01B" w14:textId="77777777" w:rsidR="00D35F37" w:rsidRPr="00D35F37" w:rsidRDefault="00D35F37" w:rsidP="00D35F37">
      <w:pPr>
        <w:spacing w:after="0" w:line="240" w:lineRule="auto"/>
        <w:rPr>
          <w:rFonts w:ascii="Arial" w:hAnsi="Arial" w:cs="Arial"/>
          <w:sz w:val="24"/>
          <w:szCs w:val="24"/>
          <w:lang w:eastAsia="en-GB"/>
        </w:rPr>
      </w:pPr>
    </w:p>
    <w:p w14:paraId="13A4AD12" w14:textId="17989D8B" w:rsidR="00D35F37" w:rsidRPr="00D35F37" w:rsidRDefault="00D35F37" w:rsidP="00D35F37">
      <w:pPr>
        <w:spacing w:after="0" w:line="240" w:lineRule="auto"/>
        <w:rPr>
          <w:rFonts w:ascii="Arial" w:hAnsi="Arial" w:cs="Arial"/>
          <w:sz w:val="24"/>
          <w:szCs w:val="24"/>
          <w:lang w:eastAsia="en-GB"/>
        </w:rPr>
      </w:pPr>
      <w:r w:rsidRPr="00D35F37">
        <w:rPr>
          <w:rFonts w:ascii="Arial" w:hAnsi="Arial" w:cs="Arial"/>
          <w:sz w:val="24"/>
          <w:szCs w:val="24"/>
          <w:lang w:eastAsia="en-GB"/>
        </w:rPr>
        <w:t xml:space="preserve">National Health Service. (2023). </w:t>
      </w:r>
      <w:r w:rsidRPr="00D35F37">
        <w:rPr>
          <w:rFonts w:ascii="Arial" w:hAnsi="Arial" w:cs="Arial"/>
          <w:i/>
          <w:iCs/>
          <w:sz w:val="24"/>
          <w:szCs w:val="24"/>
          <w:lang w:eastAsia="en-GB"/>
        </w:rPr>
        <w:t>BMI healthy weight calculator.</w:t>
      </w:r>
      <w:r w:rsidRPr="00D35F37">
        <w:rPr>
          <w:rFonts w:ascii="Arial" w:hAnsi="Arial" w:cs="Arial"/>
          <w:sz w:val="24"/>
          <w:szCs w:val="24"/>
          <w:lang w:eastAsia="en-GB"/>
        </w:rPr>
        <w:t xml:space="preserve"> [online]. Available: https://www.nhs.uk/live-well/healthy-weight/bmi-calculator/ [Accessed: 20 February 2023]</w:t>
      </w:r>
    </w:p>
    <w:p w14:paraId="1AFA83A2" w14:textId="77777777" w:rsidR="00D35F37" w:rsidRPr="00D35F37" w:rsidRDefault="00D35F37" w:rsidP="00D35F37">
      <w:pPr>
        <w:spacing w:after="0" w:line="240" w:lineRule="auto"/>
        <w:rPr>
          <w:rFonts w:ascii="Arial" w:hAnsi="Arial" w:cs="Arial"/>
          <w:sz w:val="24"/>
          <w:szCs w:val="24"/>
        </w:rPr>
      </w:pPr>
    </w:p>
    <w:p w14:paraId="2F904396" w14:textId="2F20DE3D"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rPr>
        <w:t xml:space="preserve">National Institute for Health and Care Excellence. (2022). </w:t>
      </w:r>
      <w:r w:rsidRPr="00D35F37">
        <w:rPr>
          <w:rFonts w:ascii="Arial" w:hAnsi="Arial" w:cs="Arial"/>
          <w:i/>
          <w:iCs/>
          <w:sz w:val="24"/>
          <w:szCs w:val="24"/>
        </w:rPr>
        <w:t>Obesity: identification, assessment and management</w:t>
      </w:r>
      <w:r w:rsidRPr="00D35F37">
        <w:rPr>
          <w:rFonts w:ascii="Arial" w:hAnsi="Arial" w:cs="Arial"/>
          <w:sz w:val="24"/>
          <w:szCs w:val="24"/>
        </w:rPr>
        <w:t>. [online]. Available at: https://www.nice.org.uk/guidance/cg189/chapter/Recommendations [Accessed on 23 February 2023].</w:t>
      </w:r>
    </w:p>
    <w:p w14:paraId="6D855528" w14:textId="77777777" w:rsidR="00D35F37" w:rsidRPr="00D35F37" w:rsidRDefault="00D35F37" w:rsidP="00D35F37">
      <w:pPr>
        <w:spacing w:after="0" w:line="240" w:lineRule="auto"/>
        <w:rPr>
          <w:rFonts w:ascii="Arial" w:hAnsi="Arial" w:cs="Arial"/>
          <w:sz w:val="24"/>
          <w:szCs w:val="24"/>
          <w:shd w:val="clear" w:color="auto" w:fill="FFFFFF"/>
        </w:rPr>
      </w:pPr>
    </w:p>
    <w:p w14:paraId="4C7DA63C" w14:textId="226A9290"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Nobis, L., Manohar, S.G., Smith, S.M., Alfaro-Almagro, F., Jenkinson, M., Mackay, C.E. and Husain, M., (2019). Hippocampal volume across age: Nomograms derived from over 19,700 people in UK Biobank. </w:t>
      </w:r>
      <w:proofErr w:type="spellStart"/>
      <w:r w:rsidRPr="00D35F37">
        <w:rPr>
          <w:rFonts w:ascii="Arial" w:hAnsi="Arial" w:cs="Arial"/>
          <w:i/>
          <w:iCs/>
          <w:sz w:val="24"/>
          <w:szCs w:val="24"/>
          <w:shd w:val="clear" w:color="auto" w:fill="FFFFFF"/>
        </w:rPr>
        <w:t>NeuroImage</w:t>
      </w:r>
      <w:proofErr w:type="spellEnd"/>
      <w:r w:rsidRPr="00D35F37">
        <w:rPr>
          <w:rFonts w:ascii="Arial" w:hAnsi="Arial" w:cs="Arial"/>
          <w:i/>
          <w:iCs/>
          <w:sz w:val="24"/>
          <w:szCs w:val="24"/>
          <w:shd w:val="clear" w:color="auto" w:fill="FFFFFF"/>
        </w:rPr>
        <w:t>: Clinical</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23</w:t>
      </w:r>
      <w:r w:rsidRPr="00D35F37">
        <w:rPr>
          <w:rFonts w:ascii="Arial" w:hAnsi="Arial" w:cs="Arial"/>
          <w:sz w:val="24"/>
          <w:szCs w:val="24"/>
          <w:shd w:val="clear" w:color="auto" w:fill="FFFFFF"/>
        </w:rPr>
        <w:t>, p.101904.</w:t>
      </w:r>
    </w:p>
    <w:p w14:paraId="1E1B8FDB" w14:textId="77777777" w:rsidR="00D35F37" w:rsidRPr="00D35F37" w:rsidRDefault="00D35F37" w:rsidP="00D35F37">
      <w:pPr>
        <w:spacing w:after="0" w:line="240" w:lineRule="auto"/>
        <w:rPr>
          <w:rFonts w:ascii="Arial" w:hAnsi="Arial" w:cs="Arial"/>
          <w:sz w:val="24"/>
          <w:szCs w:val="24"/>
        </w:rPr>
      </w:pPr>
    </w:p>
    <w:p w14:paraId="0B5F3659" w14:textId="2AB28816"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rPr>
        <w:t xml:space="preserve">Nursing and Midwifery Council. (2018). </w:t>
      </w:r>
      <w:r w:rsidRPr="00D35F37">
        <w:rPr>
          <w:rFonts w:ascii="Arial" w:hAnsi="Arial" w:cs="Arial"/>
          <w:i/>
          <w:iCs/>
          <w:sz w:val="24"/>
          <w:szCs w:val="24"/>
        </w:rPr>
        <w:t>The Code: Professional standards of practice and behaviour for nurses, midwives and nursing associates</w:t>
      </w:r>
      <w:r w:rsidRPr="00D35F37">
        <w:rPr>
          <w:rFonts w:ascii="Arial" w:hAnsi="Arial" w:cs="Arial"/>
          <w:sz w:val="24"/>
          <w:szCs w:val="24"/>
        </w:rPr>
        <w:t>. [online]; Available at; https://www.nmc.org.uk/globalassets/sitedocuments/nmc-publications/nmc-code.pdf [Accessed: 20 February 2023]</w:t>
      </w:r>
    </w:p>
    <w:p w14:paraId="3D92256C" w14:textId="77777777" w:rsidR="00D35F37" w:rsidRPr="00D35F37" w:rsidRDefault="00D35F37" w:rsidP="00D35F37">
      <w:pPr>
        <w:spacing w:after="0" w:line="240" w:lineRule="auto"/>
        <w:rPr>
          <w:rFonts w:ascii="Arial" w:hAnsi="Arial" w:cs="Arial"/>
          <w:sz w:val="24"/>
          <w:szCs w:val="24"/>
          <w:shd w:val="clear" w:color="auto" w:fill="FFFFFF"/>
        </w:rPr>
      </w:pPr>
    </w:p>
    <w:p w14:paraId="5EB4B30C" w14:textId="01448AEC"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Pitman, A., Stevenson, F., King, M. and Osborn, D., (2020). Self-reported patterns of use of alcohol and drugs after suicide bereavement and other sudden losses: A mixed methods study of 1,854 young bereaved adults in the UK. </w:t>
      </w:r>
      <w:r w:rsidRPr="00D35F37">
        <w:rPr>
          <w:rFonts w:ascii="Arial" w:hAnsi="Arial" w:cs="Arial"/>
          <w:i/>
          <w:iCs/>
          <w:sz w:val="24"/>
          <w:szCs w:val="24"/>
          <w:shd w:val="clear" w:color="auto" w:fill="FFFFFF"/>
        </w:rPr>
        <w:t>Frontiers in psychology</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11</w:t>
      </w:r>
      <w:r w:rsidRPr="00D35F37">
        <w:rPr>
          <w:rFonts w:ascii="Arial" w:hAnsi="Arial" w:cs="Arial"/>
          <w:sz w:val="24"/>
          <w:szCs w:val="24"/>
          <w:shd w:val="clear" w:color="auto" w:fill="FFFFFF"/>
        </w:rPr>
        <w:t>, p.1024.</w:t>
      </w:r>
    </w:p>
    <w:p w14:paraId="38752621" w14:textId="77777777" w:rsidR="00D35F37" w:rsidRPr="00D35F37" w:rsidRDefault="00D35F37" w:rsidP="00D35F37">
      <w:pPr>
        <w:spacing w:after="0" w:line="240" w:lineRule="auto"/>
        <w:rPr>
          <w:rFonts w:ascii="Arial" w:hAnsi="Arial" w:cs="Arial"/>
          <w:sz w:val="24"/>
          <w:szCs w:val="24"/>
        </w:rPr>
      </w:pPr>
    </w:p>
    <w:p w14:paraId="5545AE79" w14:textId="5CF830CE"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rPr>
        <w:t xml:space="preserve">Public Health England. (2017). </w:t>
      </w:r>
      <w:r w:rsidRPr="00D35F37">
        <w:rPr>
          <w:rFonts w:ascii="Arial" w:hAnsi="Arial" w:cs="Arial"/>
          <w:i/>
          <w:iCs/>
          <w:sz w:val="24"/>
          <w:szCs w:val="24"/>
        </w:rPr>
        <w:t>Changing Behaviour: Techniques for Tier 2 Adult Weight Management Services</w:t>
      </w:r>
      <w:r w:rsidRPr="00D35F37">
        <w:rPr>
          <w:rFonts w:ascii="Arial" w:hAnsi="Arial" w:cs="Arial"/>
          <w:sz w:val="24"/>
          <w:szCs w:val="24"/>
        </w:rPr>
        <w:t xml:space="preserve">. [online]. Available at: https://assets.publishing.service.gov.uk/government/uploads/system/uploads/attachment_data/file/738214/adult_weight_management_changing_behaviour_techniques.pdf (accessed on 22nd February 2023). </w:t>
      </w:r>
    </w:p>
    <w:p w14:paraId="6E841A77" w14:textId="77777777" w:rsidR="00D35F37" w:rsidRPr="00D35F37" w:rsidRDefault="00D35F37" w:rsidP="00D35F37">
      <w:pPr>
        <w:spacing w:after="0" w:line="240" w:lineRule="auto"/>
        <w:rPr>
          <w:rFonts w:ascii="Arial" w:hAnsi="Arial" w:cs="Arial"/>
          <w:sz w:val="24"/>
          <w:szCs w:val="24"/>
          <w:shd w:val="clear" w:color="auto" w:fill="FFFFFF"/>
        </w:rPr>
      </w:pPr>
    </w:p>
    <w:p w14:paraId="6D432D00" w14:textId="51CE32EA"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lastRenderedPageBreak/>
        <w:t xml:space="preserve">Rajani, N.B., </w:t>
      </w:r>
      <w:proofErr w:type="spellStart"/>
      <w:r w:rsidRPr="00D35F37">
        <w:rPr>
          <w:rFonts w:ascii="Arial" w:hAnsi="Arial" w:cs="Arial"/>
          <w:sz w:val="24"/>
          <w:szCs w:val="24"/>
          <w:shd w:val="clear" w:color="auto" w:fill="FFFFFF"/>
        </w:rPr>
        <w:t>Weth</w:t>
      </w:r>
      <w:proofErr w:type="spellEnd"/>
      <w:r w:rsidRPr="00D35F37">
        <w:rPr>
          <w:rFonts w:ascii="Arial" w:hAnsi="Arial" w:cs="Arial"/>
          <w:sz w:val="24"/>
          <w:szCs w:val="24"/>
          <w:shd w:val="clear" w:color="auto" w:fill="FFFFFF"/>
        </w:rPr>
        <w:t xml:space="preserve">, D., </w:t>
      </w:r>
      <w:proofErr w:type="spellStart"/>
      <w:r w:rsidRPr="00D35F37">
        <w:rPr>
          <w:rFonts w:ascii="Arial" w:hAnsi="Arial" w:cs="Arial"/>
          <w:sz w:val="24"/>
          <w:szCs w:val="24"/>
          <w:shd w:val="clear" w:color="auto" w:fill="FFFFFF"/>
        </w:rPr>
        <w:t>Mastellos</w:t>
      </w:r>
      <w:proofErr w:type="spellEnd"/>
      <w:r w:rsidRPr="00D35F37">
        <w:rPr>
          <w:rFonts w:ascii="Arial" w:hAnsi="Arial" w:cs="Arial"/>
          <w:sz w:val="24"/>
          <w:szCs w:val="24"/>
          <w:shd w:val="clear" w:color="auto" w:fill="FFFFFF"/>
        </w:rPr>
        <w:t xml:space="preserve">, N. and </w:t>
      </w:r>
      <w:proofErr w:type="spellStart"/>
      <w:r w:rsidRPr="00D35F37">
        <w:rPr>
          <w:rFonts w:ascii="Arial" w:hAnsi="Arial" w:cs="Arial"/>
          <w:sz w:val="24"/>
          <w:szCs w:val="24"/>
          <w:shd w:val="clear" w:color="auto" w:fill="FFFFFF"/>
        </w:rPr>
        <w:t>Filippidis</w:t>
      </w:r>
      <w:proofErr w:type="spellEnd"/>
      <w:r w:rsidRPr="00D35F37">
        <w:rPr>
          <w:rFonts w:ascii="Arial" w:hAnsi="Arial" w:cs="Arial"/>
          <w:sz w:val="24"/>
          <w:szCs w:val="24"/>
          <w:shd w:val="clear" w:color="auto" w:fill="FFFFFF"/>
        </w:rPr>
        <w:t>, F.T., (2019). Use of gamification strategies and tactics in mobile applications for smoking cessation: a review of the UK mobile app market. </w:t>
      </w:r>
      <w:r w:rsidRPr="00D35F37">
        <w:rPr>
          <w:rFonts w:ascii="Arial" w:hAnsi="Arial" w:cs="Arial"/>
          <w:i/>
          <w:iCs/>
          <w:sz w:val="24"/>
          <w:szCs w:val="24"/>
          <w:shd w:val="clear" w:color="auto" w:fill="FFFFFF"/>
        </w:rPr>
        <w:t>BMJ open</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9</w:t>
      </w:r>
      <w:r w:rsidRPr="00D35F37">
        <w:rPr>
          <w:rFonts w:ascii="Arial" w:hAnsi="Arial" w:cs="Arial"/>
          <w:sz w:val="24"/>
          <w:szCs w:val="24"/>
          <w:shd w:val="clear" w:color="auto" w:fill="FFFFFF"/>
        </w:rPr>
        <w:t>(6), p.e027883.</w:t>
      </w:r>
    </w:p>
    <w:p w14:paraId="09C7D1F4" w14:textId="77777777" w:rsidR="00D35F37" w:rsidRPr="00D35F37" w:rsidRDefault="00D35F37" w:rsidP="00D35F37">
      <w:pPr>
        <w:spacing w:after="0" w:line="240" w:lineRule="auto"/>
        <w:rPr>
          <w:rFonts w:ascii="Arial" w:hAnsi="Arial" w:cs="Arial"/>
          <w:sz w:val="24"/>
          <w:szCs w:val="24"/>
          <w:shd w:val="clear" w:color="auto" w:fill="FFFFFF"/>
        </w:rPr>
      </w:pPr>
    </w:p>
    <w:p w14:paraId="4522390F" w14:textId="4A85CAF4"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Robb, C.E., De Jager, C.A., Ahmadi-</w:t>
      </w:r>
      <w:proofErr w:type="spellStart"/>
      <w:r w:rsidRPr="00D35F37">
        <w:rPr>
          <w:rFonts w:ascii="Arial" w:hAnsi="Arial" w:cs="Arial"/>
          <w:sz w:val="24"/>
          <w:szCs w:val="24"/>
          <w:shd w:val="clear" w:color="auto" w:fill="FFFFFF"/>
        </w:rPr>
        <w:t>Abhari</w:t>
      </w:r>
      <w:proofErr w:type="spellEnd"/>
      <w:r w:rsidRPr="00D35F37">
        <w:rPr>
          <w:rFonts w:ascii="Arial" w:hAnsi="Arial" w:cs="Arial"/>
          <w:sz w:val="24"/>
          <w:szCs w:val="24"/>
          <w:shd w:val="clear" w:color="auto" w:fill="FFFFFF"/>
        </w:rPr>
        <w:t xml:space="preserve">, S., </w:t>
      </w:r>
      <w:proofErr w:type="spellStart"/>
      <w:r w:rsidRPr="00D35F37">
        <w:rPr>
          <w:rFonts w:ascii="Arial" w:hAnsi="Arial" w:cs="Arial"/>
          <w:sz w:val="24"/>
          <w:szCs w:val="24"/>
          <w:shd w:val="clear" w:color="auto" w:fill="FFFFFF"/>
        </w:rPr>
        <w:t>Giannakopoulou</w:t>
      </w:r>
      <w:proofErr w:type="spellEnd"/>
      <w:r w:rsidRPr="00D35F37">
        <w:rPr>
          <w:rFonts w:ascii="Arial" w:hAnsi="Arial" w:cs="Arial"/>
          <w:sz w:val="24"/>
          <w:szCs w:val="24"/>
          <w:shd w:val="clear" w:color="auto" w:fill="FFFFFF"/>
        </w:rPr>
        <w:t xml:space="preserve">, P., </w:t>
      </w:r>
      <w:proofErr w:type="spellStart"/>
      <w:r w:rsidRPr="00D35F37">
        <w:rPr>
          <w:rFonts w:ascii="Arial" w:hAnsi="Arial" w:cs="Arial"/>
          <w:sz w:val="24"/>
          <w:szCs w:val="24"/>
          <w:shd w:val="clear" w:color="auto" w:fill="FFFFFF"/>
        </w:rPr>
        <w:t>Udeh</w:t>
      </w:r>
      <w:proofErr w:type="spellEnd"/>
      <w:r w:rsidRPr="00D35F37">
        <w:rPr>
          <w:rFonts w:ascii="Arial" w:hAnsi="Arial" w:cs="Arial"/>
          <w:sz w:val="24"/>
          <w:szCs w:val="24"/>
          <w:shd w:val="clear" w:color="auto" w:fill="FFFFFF"/>
        </w:rPr>
        <w:t>-Momoh, C., McKeand, J., Price, G., Car, J., Majeed, A., Ward, H. and Middleton, L., (2020). Associations of social isolation with anxiety and depression during the early COVID-19 pandemic: a survey of older adults in London, UK. </w:t>
      </w:r>
      <w:r w:rsidRPr="00D35F37">
        <w:rPr>
          <w:rFonts w:ascii="Arial" w:hAnsi="Arial" w:cs="Arial"/>
          <w:i/>
          <w:iCs/>
          <w:sz w:val="24"/>
          <w:szCs w:val="24"/>
          <w:shd w:val="clear" w:color="auto" w:fill="FFFFFF"/>
        </w:rPr>
        <w:t>Frontiers in psychiatry</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11</w:t>
      </w:r>
      <w:r w:rsidRPr="00D35F37">
        <w:rPr>
          <w:rFonts w:ascii="Arial" w:hAnsi="Arial" w:cs="Arial"/>
          <w:sz w:val="24"/>
          <w:szCs w:val="24"/>
          <w:shd w:val="clear" w:color="auto" w:fill="FFFFFF"/>
        </w:rPr>
        <w:t>, p.591120.</w:t>
      </w:r>
    </w:p>
    <w:p w14:paraId="283313A8" w14:textId="77777777" w:rsidR="00D35F37" w:rsidRPr="00D35F37" w:rsidRDefault="00D35F37" w:rsidP="00D35F37">
      <w:pPr>
        <w:spacing w:after="0" w:line="240" w:lineRule="auto"/>
        <w:rPr>
          <w:rFonts w:ascii="Arial" w:hAnsi="Arial" w:cs="Arial"/>
          <w:sz w:val="24"/>
          <w:szCs w:val="24"/>
          <w:shd w:val="clear" w:color="auto" w:fill="FFFFFF"/>
        </w:rPr>
      </w:pPr>
    </w:p>
    <w:p w14:paraId="4CF3C931" w14:textId="1FB2C4C2"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 xml:space="preserve">Robinson, E., </w:t>
      </w:r>
      <w:proofErr w:type="spellStart"/>
      <w:r w:rsidRPr="00D35F37">
        <w:rPr>
          <w:rFonts w:ascii="Arial" w:hAnsi="Arial" w:cs="Arial"/>
          <w:sz w:val="24"/>
          <w:szCs w:val="24"/>
          <w:shd w:val="clear" w:color="auto" w:fill="FFFFFF"/>
        </w:rPr>
        <w:t>Boyland</w:t>
      </w:r>
      <w:proofErr w:type="spellEnd"/>
      <w:r w:rsidRPr="00D35F37">
        <w:rPr>
          <w:rFonts w:ascii="Arial" w:hAnsi="Arial" w:cs="Arial"/>
          <w:sz w:val="24"/>
          <w:szCs w:val="24"/>
          <w:shd w:val="clear" w:color="auto" w:fill="FFFFFF"/>
        </w:rPr>
        <w:t>, E., Chisholm, A., Harrold, J., Maloney, N.G., Marty, L., Mead, B.R., Noonan, R. and Hardman, C.A., (2021). Obesity, eating behaviour and physical activity during COVID-19 lockdown: A study of UK adults. </w:t>
      </w:r>
      <w:r w:rsidRPr="00D35F37">
        <w:rPr>
          <w:rFonts w:ascii="Arial" w:hAnsi="Arial" w:cs="Arial"/>
          <w:i/>
          <w:iCs/>
          <w:sz w:val="24"/>
          <w:szCs w:val="24"/>
          <w:shd w:val="clear" w:color="auto" w:fill="FFFFFF"/>
        </w:rPr>
        <w:t>Appetite</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156</w:t>
      </w:r>
      <w:r w:rsidRPr="00D35F37">
        <w:rPr>
          <w:rFonts w:ascii="Arial" w:hAnsi="Arial" w:cs="Arial"/>
          <w:sz w:val="24"/>
          <w:szCs w:val="24"/>
          <w:shd w:val="clear" w:color="auto" w:fill="FFFFFF"/>
        </w:rPr>
        <w:t>, p.104853.</w:t>
      </w:r>
    </w:p>
    <w:p w14:paraId="3AD886A9" w14:textId="77777777" w:rsidR="00D35F37" w:rsidRPr="00D35F37" w:rsidRDefault="00D35F37" w:rsidP="00D35F37">
      <w:pPr>
        <w:spacing w:after="0" w:line="240" w:lineRule="auto"/>
        <w:rPr>
          <w:rFonts w:ascii="Arial" w:hAnsi="Arial" w:cs="Arial"/>
          <w:sz w:val="24"/>
          <w:szCs w:val="24"/>
          <w:shd w:val="clear" w:color="auto" w:fill="FFFFFF"/>
        </w:rPr>
      </w:pPr>
    </w:p>
    <w:p w14:paraId="3F7A4759" w14:textId="0064ECAE" w:rsidR="00D35F37" w:rsidRPr="00D35F37" w:rsidRDefault="00D35F37" w:rsidP="00D35F37">
      <w:pPr>
        <w:spacing w:after="0" w:line="240" w:lineRule="auto"/>
        <w:rPr>
          <w:rFonts w:ascii="Arial" w:hAnsi="Arial" w:cs="Arial"/>
          <w:sz w:val="24"/>
          <w:szCs w:val="24"/>
        </w:rPr>
      </w:pPr>
      <w:proofErr w:type="spellStart"/>
      <w:r w:rsidRPr="00D35F37">
        <w:rPr>
          <w:rFonts w:ascii="Arial" w:hAnsi="Arial" w:cs="Arial"/>
          <w:sz w:val="24"/>
          <w:szCs w:val="24"/>
          <w:shd w:val="clear" w:color="auto" w:fill="FFFFFF"/>
        </w:rPr>
        <w:t>Scheelbeek</w:t>
      </w:r>
      <w:proofErr w:type="spellEnd"/>
      <w:r w:rsidRPr="00D35F37">
        <w:rPr>
          <w:rFonts w:ascii="Arial" w:hAnsi="Arial" w:cs="Arial"/>
          <w:sz w:val="24"/>
          <w:szCs w:val="24"/>
          <w:shd w:val="clear" w:color="auto" w:fill="FFFFFF"/>
        </w:rPr>
        <w:t xml:space="preserve">, P.F., Cornelsen, L., Marteau, T.M., </w:t>
      </w:r>
      <w:proofErr w:type="spellStart"/>
      <w:r w:rsidRPr="00D35F37">
        <w:rPr>
          <w:rFonts w:ascii="Arial" w:hAnsi="Arial" w:cs="Arial"/>
          <w:sz w:val="24"/>
          <w:szCs w:val="24"/>
          <w:shd w:val="clear" w:color="auto" w:fill="FFFFFF"/>
        </w:rPr>
        <w:t>Jebb</w:t>
      </w:r>
      <w:proofErr w:type="spellEnd"/>
      <w:r w:rsidRPr="00D35F37">
        <w:rPr>
          <w:rFonts w:ascii="Arial" w:hAnsi="Arial" w:cs="Arial"/>
          <w:sz w:val="24"/>
          <w:szCs w:val="24"/>
          <w:shd w:val="clear" w:color="auto" w:fill="FFFFFF"/>
        </w:rPr>
        <w:t>, S.A. and Smith, R.D., (2019). Potential impact on prevalence of obesity in the UK of a 20% price increase in high sugar snacks: modelling study. </w:t>
      </w:r>
      <w:proofErr w:type="spellStart"/>
      <w:r w:rsidRPr="00D35F37">
        <w:rPr>
          <w:rFonts w:ascii="Arial" w:hAnsi="Arial" w:cs="Arial"/>
          <w:i/>
          <w:iCs/>
          <w:sz w:val="24"/>
          <w:szCs w:val="24"/>
          <w:shd w:val="clear" w:color="auto" w:fill="FFFFFF"/>
        </w:rPr>
        <w:t>bmj</w:t>
      </w:r>
      <w:proofErr w:type="spellEnd"/>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366</w:t>
      </w:r>
      <w:r w:rsidRPr="00D35F37">
        <w:rPr>
          <w:rFonts w:ascii="Arial" w:hAnsi="Arial" w:cs="Arial"/>
          <w:sz w:val="24"/>
          <w:szCs w:val="24"/>
          <w:shd w:val="clear" w:color="auto" w:fill="FFFFFF"/>
        </w:rPr>
        <w:t>.</w:t>
      </w:r>
    </w:p>
    <w:p w14:paraId="362D3C09" w14:textId="77777777" w:rsidR="00D35F37" w:rsidRPr="00D35F37" w:rsidRDefault="00D35F37" w:rsidP="00D35F37">
      <w:pPr>
        <w:spacing w:after="0" w:line="240" w:lineRule="auto"/>
        <w:rPr>
          <w:rFonts w:ascii="Arial" w:hAnsi="Arial" w:cs="Arial"/>
          <w:sz w:val="24"/>
          <w:szCs w:val="24"/>
          <w:shd w:val="clear" w:color="auto" w:fill="FFFFFF"/>
        </w:rPr>
      </w:pPr>
    </w:p>
    <w:p w14:paraId="51100669" w14:textId="1D4333F7"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 xml:space="preserve">Shaw, R.J., Cullen, B., Graham, N., Lyall, D.M., Mackay, D., </w:t>
      </w:r>
      <w:proofErr w:type="spellStart"/>
      <w:r w:rsidRPr="00D35F37">
        <w:rPr>
          <w:rFonts w:ascii="Arial" w:hAnsi="Arial" w:cs="Arial"/>
          <w:sz w:val="24"/>
          <w:szCs w:val="24"/>
          <w:shd w:val="clear" w:color="auto" w:fill="FFFFFF"/>
        </w:rPr>
        <w:t>Okolie</w:t>
      </w:r>
      <w:proofErr w:type="spellEnd"/>
      <w:r w:rsidRPr="00D35F37">
        <w:rPr>
          <w:rFonts w:ascii="Arial" w:hAnsi="Arial" w:cs="Arial"/>
          <w:sz w:val="24"/>
          <w:szCs w:val="24"/>
          <w:shd w:val="clear" w:color="auto" w:fill="FFFFFF"/>
        </w:rPr>
        <w:t>, C., Pearsall, R., Ward, J., John, A. and Smith, D.J., (2021). Living alone, loneliness and lack of emotional support as predictors of suicide and self-harm: A nine-year follow up of the UK Biobank cohort. </w:t>
      </w:r>
      <w:r w:rsidRPr="00D35F37">
        <w:rPr>
          <w:rFonts w:ascii="Arial" w:hAnsi="Arial" w:cs="Arial"/>
          <w:i/>
          <w:iCs/>
          <w:sz w:val="24"/>
          <w:szCs w:val="24"/>
          <w:shd w:val="clear" w:color="auto" w:fill="FFFFFF"/>
        </w:rPr>
        <w:t>Journal of Affective Disorders</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279</w:t>
      </w:r>
      <w:r w:rsidRPr="00D35F37">
        <w:rPr>
          <w:rFonts w:ascii="Arial" w:hAnsi="Arial" w:cs="Arial"/>
          <w:sz w:val="24"/>
          <w:szCs w:val="24"/>
          <w:shd w:val="clear" w:color="auto" w:fill="FFFFFF"/>
        </w:rPr>
        <w:t>, pp.316-323.</w:t>
      </w:r>
    </w:p>
    <w:p w14:paraId="379654E2" w14:textId="77777777" w:rsidR="00D35F37" w:rsidRPr="00D35F37" w:rsidRDefault="00D35F37" w:rsidP="00D35F37">
      <w:pPr>
        <w:spacing w:after="0" w:line="240" w:lineRule="auto"/>
        <w:rPr>
          <w:rFonts w:ascii="Arial" w:hAnsi="Arial" w:cs="Arial"/>
          <w:sz w:val="24"/>
          <w:szCs w:val="24"/>
          <w:shd w:val="clear" w:color="auto" w:fill="FFFFFF"/>
        </w:rPr>
      </w:pPr>
    </w:p>
    <w:p w14:paraId="6ED2C541" w14:textId="0C5F1ADD"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 xml:space="preserve">Sherry, A.P., </w:t>
      </w:r>
      <w:proofErr w:type="spellStart"/>
      <w:r w:rsidRPr="00D35F37">
        <w:rPr>
          <w:rFonts w:ascii="Arial" w:hAnsi="Arial" w:cs="Arial"/>
          <w:sz w:val="24"/>
          <w:szCs w:val="24"/>
          <w:shd w:val="clear" w:color="auto" w:fill="FFFFFF"/>
        </w:rPr>
        <w:t>Clemes</w:t>
      </w:r>
      <w:proofErr w:type="spellEnd"/>
      <w:r w:rsidRPr="00D35F37">
        <w:rPr>
          <w:rFonts w:ascii="Arial" w:hAnsi="Arial" w:cs="Arial"/>
          <w:sz w:val="24"/>
          <w:szCs w:val="24"/>
          <w:shd w:val="clear" w:color="auto" w:fill="FFFFFF"/>
        </w:rPr>
        <w:t xml:space="preserve">, S.A., Chen, Y.L., Edwardson, C., Gray, L.J., Guest, A., King, J., Rowlands, A.V., </w:t>
      </w:r>
      <w:proofErr w:type="spellStart"/>
      <w:r w:rsidRPr="00D35F37">
        <w:rPr>
          <w:rFonts w:ascii="Arial" w:hAnsi="Arial" w:cs="Arial"/>
          <w:sz w:val="24"/>
          <w:szCs w:val="24"/>
          <w:shd w:val="clear" w:color="auto" w:fill="FFFFFF"/>
        </w:rPr>
        <w:t>Ruettger</w:t>
      </w:r>
      <w:proofErr w:type="spellEnd"/>
      <w:r w:rsidRPr="00D35F37">
        <w:rPr>
          <w:rFonts w:ascii="Arial" w:hAnsi="Arial" w:cs="Arial"/>
          <w:sz w:val="24"/>
          <w:szCs w:val="24"/>
          <w:shd w:val="clear" w:color="auto" w:fill="FFFFFF"/>
        </w:rPr>
        <w:t xml:space="preserve">, K., </w:t>
      </w:r>
      <w:proofErr w:type="spellStart"/>
      <w:r w:rsidRPr="00D35F37">
        <w:rPr>
          <w:rFonts w:ascii="Arial" w:hAnsi="Arial" w:cs="Arial"/>
          <w:sz w:val="24"/>
          <w:szCs w:val="24"/>
          <w:shd w:val="clear" w:color="auto" w:fill="FFFFFF"/>
        </w:rPr>
        <w:t>Sayyah</w:t>
      </w:r>
      <w:proofErr w:type="spellEnd"/>
      <w:r w:rsidRPr="00D35F37">
        <w:rPr>
          <w:rFonts w:ascii="Arial" w:hAnsi="Arial" w:cs="Arial"/>
          <w:sz w:val="24"/>
          <w:szCs w:val="24"/>
          <w:shd w:val="clear" w:color="auto" w:fill="FFFFFF"/>
        </w:rPr>
        <w:t>, M. and Varela-Mato, V., (2022). Sleep duration and sleep efficiency in UK long-distance heavy goods vehicle drivers. </w:t>
      </w:r>
      <w:r w:rsidRPr="00D35F37">
        <w:rPr>
          <w:rFonts w:ascii="Arial" w:hAnsi="Arial" w:cs="Arial"/>
          <w:i/>
          <w:iCs/>
          <w:sz w:val="24"/>
          <w:szCs w:val="24"/>
          <w:shd w:val="clear" w:color="auto" w:fill="FFFFFF"/>
        </w:rPr>
        <w:t>Occupational and environmental medicine</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79</w:t>
      </w:r>
      <w:r w:rsidRPr="00D35F37">
        <w:rPr>
          <w:rFonts w:ascii="Arial" w:hAnsi="Arial" w:cs="Arial"/>
          <w:sz w:val="24"/>
          <w:szCs w:val="24"/>
          <w:shd w:val="clear" w:color="auto" w:fill="FFFFFF"/>
        </w:rPr>
        <w:t>(2), pp.109-115.</w:t>
      </w:r>
    </w:p>
    <w:p w14:paraId="1609ADD9" w14:textId="77777777" w:rsidR="00D35F37" w:rsidRPr="00D35F37" w:rsidRDefault="00D35F37" w:rsidP="00D35F37">
      <w:pPr>
        <w:spacing w:after="0" w:line="240" w:lineRule="auto"/>
        <w:rPr>
          <w:rFonts w:ascii="Arial" w:hAnsi="Arial" w:cs="Arial"/>
          <w:sz w:val="24"/>
          <w:szCs w:val="24"/>
          <w:shd w:val="clear" w:color="auto" w:fill="FFFFFF"/>
        </w:rPr>
      </w:pPr>
    </w:p>
    <w:p w14:paraId="26E64A06" w14:textId="1B1BD6BC" w:rsidR="00D35F37" w:rsidRPr="00D35F37" w:rsidRDefault="00D35F37" w:rsidP="00D35F37">
      <w:pPr>
        <w:spacing w:after="0" w:line="240" w:lineRule="auto"/>
        <w:rPr>
          <w:rFonts w:ascii="Arial" w:hAnsi="Arial" w:cs="Arial"/>
          <w:sz w:val="24"/>
          <w:szCs w:val="24"/>
          <w:shd w:val="clear" w:color="auto" w:fill="FFFFFF"/>
        </w:rPr>
      </w:pPr>
      <w:proofErr w:type="spellStart"/>
      <w:r w:rsidRPr="00D35F37">
        <w:rPr>
          <w:rFonts w:ascii="Arial" w:hAnsi="Arial" w:cs="Arial"/>
          <w:sz w:val="24"/>
          <w:szCs w:val="24"/>
          <w:shd w:val="clear" w:color="auto" w:fill="FFFFFF"/>
        </w:rPr>
        <w:t>Solmi</w:t>
      </w:r>
      <w:proofErr w:type="spellEnd"/>
      <w:r w:rsidRPr="00D35F37">
        <w:rPr>
          <w:rFonts w:ascii="Arial" w:hAnsi="Arial" w:cs="Arial"/>
          <w:sz w:val="24"/>
          <w:szCs w:val="24"/>
          <w:shd w:val="clear" w:color="auto" w:fill="FFFFFF"/>
        </w:rPr>
        <w:t>, F., Melamed, D., Lewis, G. and Kirkbride, J.B., (2018). Longitudinal associations between psychotic experiences and disordered eating behaviours in adolescence: a UK population-based study. </w:t>
      </w:r>
      <w:r w:rsidRPr="00D35F37">
        <w:rPr>
          <w:rFonts w:ascii="Arial" w:hAnsi="Arial" w:cs="Arial"/>
          <w:i/>
          <w:iCs/>
          <w:sz w:val="24"/>
          <w:szCs w:val="24"/>
          <w:shd w:val="clear" w:color="auto" w:fill="FFFFFF"/>
        </w:rPr>
        <w:t>The Lancet Child &amp; Adolescent Health</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2</w:t>
      </w:r>
      <w:r w:rsidRPr="00D35F37">
        <w:rPr>
          <w:rFonts w:ascii="Arial" w:hAnsi="Arial" w:cs="Arial"/>
          <w:sz w:val="24"/>
          <w:szCs w:val="24"/>
          <w:shd w:val="clear" w:color="auto" w:fill="FFFFFF"/>
        </w:rPr>
        <w:t>(8), pp.591-599.</w:t>
      </w:r>
    </w:p>
    <w:p w14:paraId="1E8CD032" w14:textId="77777777" w:rsidR="00D35F37" w:rsidRPr="00D35F37" w:rsidRDefault="00D35F37" w:rsidP="00D35F37">
      <w:pPr>
        <w:spacing w:after="0" w:line="240" w:lineRule="auto"/>
        <w:rPr>
          <w:rFonts w:ascii="Arial" w:hAnsi="Arial" w:cs="Arial"/>
          <w:sz w:val="24"/>
          <w:szCs w:val="24"/>
          <w:shd w:val="clear" w:color="auto" w:fill="FFFFFF"/>
        </w:rPr>
      </w:pPr>
    </w:p>
    <w:p w14:paraId="6BB281F2" w14:textId="12108361"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shd w:val="clear" w:color="auto" w:fill="FFFFFF"/>
        </w:rPr>
        <w:t>Tudor-</w:t>
      </w:r>
      <w:proofErr w:type="spellStart"/>
      <w:r w:rsidRPr="00D35F37">
        <w:rPr>
          <w:rFonts w:ascii="Arial" w:hAnsi="Arial" w:cs="Arial"/>
          <w:sz w:val="24"/>
          <w:szCs w:val="24"/>
          <w:shd w:val="clear" w:color="auto" w:fill="FFFFFF"/>
        </w:rPr>
        <w:t>Sfetea</w:t>
      </w:r>
      <w:proofErr w:type="spellEnd"/>
      <w:r w:rsidRPr="00D35F37">
        <w:rPr>
          <w:rFonts w:ascii="Arial" w:hAnsi="Arial" w:cs="Arial"/>
          <w:sz w:val="24"/>
          <w:szCs w:val="24"/>
          <w:shd w:val="clear" w:color="auto" w:fill="FFFFFF"/>
        </w:rPr>
        <w:t xml:space="preserve">, C., </w:t>
      </w:r>
      <w:proofErr w:type="spellStart"/>
      <w:r w:rsidRPr="00D35F37">
        <w:rPr>
          <w:rFonts w:ascii="Arial" w:hAnsi="Arial" w:cs="Arial"/>
          <w:sz w:val="24"/>
          <w:szCs w:val="24"/>
          <w:shd w:val="clear" w:color="auto" w:fill="FFFFFF"/>
        </w:rPr>
        <w:t>Rabee</w:t>
      </w:r>
      <w:proofErr w:type="spellEnd"/>
      <w:r w:rsidRPr="00D35F37">
        <w:rPr>
          <w:rFonts w:ascii="Arial" w:hAnsi="Arial" w:cs="Arial"/>
          <w:sz w:val="24"/>
          <w:szCs w:val="24"/>
          <w:shd w:val="clear" w:color="auto" w:fill="FFFFFF"/>
        </w:rPr>
        <w:t xml:space="preserve">, R., </w:t>
      </w:r>
      <w:proofErr w:type="spellStart"/>
      <w:r w:rsidRPr="00D35F37">
        <w:rPr>
          <w:rFonts w:ascii="Arial" w:hAnsi="Arial" w:cs="Arial"/>
          <w:sz w:val="24"/>
          <w:szCs w:val="24"/>
          <w:shd w:val="clear" w:color="auto" w:fill="FFFFFF"/>
        </w:rPr>
        <w:t>Najim</w:t>
      </w:r>
      <w:proofErr w:type="spellEnd"/>
      <w:r w:rsidRPr="00D35F37">
        <w:rPr>
          <w:rFonts w:ascii="Arial" w:hAnsi="Arial" w:cs="Arial"/>
          <w:sz w:val="24"/>
          <w:szCs w:val="24"/>
          <w:shd w:val="clear" w:color="auto" w:fill="FFFFFF"/>
        </w:rPr>
        <w:t xml:space="preserve">, M., Amin, N., Chadha, M., Jain, M., </w:t>
      </w:r>
      <w:proofErr w:type="spellStart"/>
      <w:r w:rsidRPr="00D35F37">
        <w:rPr>
          <w:rFonts w:ascii="Arial" w:hAnsi="Arial" w:cs="Arial"/>
          <w:sz w:val="24"/>
          <w:szCs w:val="24"/>
          <w:shd w:val="clear" w:color="auto" w:fill="FFFFFF"/>
        </w:rPr>
        <w:t>Karia</w:t>
      </w:r>
      <w:proofErr w:type="spellEnd"/>
      <w:r w:rsidRPr="00D35F37">
        <w:rPr>
          <w:rFonts w:ascii="Arial" w:hAnsi="Arial" w:cs="Arial"/>
          <w:sz w:val="24"/>
          <w:szCs w:val="24"/>
          <w:shd w:val="clear" w:color="auto" w:fill="FFFFFF"/>
        </w:rPr>
        <w:t xml:space="preserve">, K., Kothari, V., Patel, T., </w:t>
      </w:r>
      <w:proofErr w:type="spellStart"/>
      <w:r w:rsidRPr="00D35F37">
        <w:rPr>
          <w:rFonts w:ascii="Arial" w:hAnsi="Arial" w:cs="Arial"/>
          <w:sz w:val="24"/>
          <w:szCs w:val="24"/>
          <w:shd w:val="clear" w:color="auto" w:fill="FFFFFF"/>
        </w:rPr>
        <w:t>Suseeharan</w:t>
      </w:r>
      <w:proofErr w:type="spellEnd"/>
      <w:r w:rsidRPr="00D35F37">
        <w:rPr>
          <w:rFonts w:ascii="Arial" w:hAnsi="Arial" w:cs="Arial"/>
          <w:sz w:val="24"/>
          <w:szCs w:val="24"/>
          <w:shd w:val="clear" w:color="auto" w:fill="FFFFFF"/>
        </w:rPr>
        <w:t xml:space="preserve">, M. and Ahmed, M., (2018). Evaluation of two mobile health apps in the context of smoking cessation: qualitative study of cognitive </w:t>
      </w:r>
      <w:proofErr w:type="spellStart"/>
      <w:r w:rsidRPr="00D35F37">
        <w:rPr>
          <w:rFonts w:ascii="Arial" w:hAnsi="Arial" w:cs="Arial"/>
          <w:sz w:val="24"/>
          <w:szCs w:val="24"/>
          <w:shd w:val="clear" w:color="auto" w:fill="FFFFFF"/>
        </w:rPr>
        <w:t>behavioral</w:t>
      </w:r>
      <w:proofErr w:type="spellEnd"/>
      <w:r w:rsidRPr="00D35F37">
        <w:rPr>
          <w:rFonts w:ascii="Arial" w:hAnsi="Arial" w:cs="Arial"/>
          <w:sz w:val="24"/>
          <w:szCs w:val="24"/>
          <w:shd w:val="clear" w:color="auto" w:fill="FFFFFF"/>
        </w:rPr>
        <w:t xml:space="preserve"> therapy (CBT) versus non-CBT-based digital solutions. </w:t>
      </w:r>
      <w:r w:rsidRPr="00D35F37">
        <w:rPr>
          <w:rFonts w:ascii="Arial" w:hAnsi="Arial" w:cs="Arial"/>
          <w:i/>
          <w:iCs/>
          <w:sz w:val="24"/>
          <w:szCs w:val="24"/>
          <w:shd w:val="clear" w:color="auto" w:fill="FFFFFF"/>
        </w:rPr>
        <w:t xml:space="preserve">JMIR mHealth and </w:t>
      </w:r>
      <w:proofErr w:type="spellStart"/>
      <w:r w:rsidRPr="00D35F37">
        <w:rPr>
          <w:rFonts w:ascii="Arial" w:hAnsi="Arial" w:cs="Arial"/>
          <w:i/>
          <w:iCs/>
          <w:sz w:val="24"/>
          <w:szCs w:val="24"/>
          <w:shd w:val="clear" w:color="auto" w:fill="FFFFFF"/>
        </w:rPr>
        <w:t>uHealth</w:t>
      </w:r>
      <w:proofErr w:type="spellEnd"/>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6</w:t>
      </w:r>
      <w:r w:rsidRPr="00D35F37">
        <w:rPr>
          <w:rFonts w:ascii="Arial" w:hAnsi="Arial" w:cs="Arial"/>
          <w:sz w:val="24"/>
          <w:szCs w:val="24"/>
          <w:shd w:val="clear" w:color="auto" w:fill="FFFFFF"/>
        </w:rPr>
        <w:t>(4), p.e9405.</w:t>
      </w:r>
    </w:p>
    <w:p w14:paraId="006DDEFF" w14:textId="77777777" w:rsidR="00D35F37" w:rsidRPr="00D35F37" w:rsidRDefault="00D35F37" w:rsidP="00D35F37">
      <w:pPr>
        <w:spacing w:after="0" w:line="240" w:lineRule="auto"/>
        <w:rPr>
          <w:rFonts w:ascii="Arial" w:hAnsi="Arial" w:cs="Arial"/>
          <w:sz w:val="24"/>
          <w:szCs w:val="24"/>
          <w:shd w:val="clear" w:color="auto" w:fill="FFFFFF"/>
        </w:rPr>
      </w:pPr>
    </w:p>
    <w:p w14:paraId="3A3022D7" w14:textId="12953062" w:rsidR="00D35F37" w:rsidRPr="00D35F37" w:rsidRDefault="00D35F37" w:rsidP="00D35F37">
      <w:pPr>
        <w:spacing w:after="0" w:line="240" w:lineRule="auto"/>
        <w:rPr>
          <w:rFonts w:ascii="Arial" w:hAnsi="Arial" w:cs="Arial"/>
          <w:sz w:val="24"/>
          <w:szCs w:val="24"/>
          <w:shd w:val="clear" w:color="auto" w:fill="FFFFFF"/>
        </w:rPr>
      </w:pPr>
      <w:r w:rsidRPr="00D35F37">
        <w:rPr>
          <w:rFonts w:ascii="Arial" w:hAnsi="Arial" w:cs="Arial"/>
          <w:sz w:val="24"/>
          <w:szCs w:val="24"/>
          <w:shd w:val="clear" w:color="auto" w:fill="FFFFFF"/>
        </w:rPr>
        <w:t xml:space="preserve">van Oort, S., </w:t>
      </w:r>
      <w:proofErr w:type="spellStart"/>
      <w:r w:rsidRPr="00D35F37">
        <w:rPr>
          <w:rFonts w:ascii="Arial" w:hAnsi="Arial" w:cs="Arial"/>
          <w:sz w:val="24"/>
          <w:szCs w:val="24"/>
          <w:shd w:val="clear" w:color="auto" w:fill="FFFFFF"/>
        </w:rPr>
        <w:t>Beulens</w:t>
      </w:r>
      <w:proofErr w:type="spellEnd"/>
      <w:r w:rsidRPr="00D35F37">
        <w:rPr>
          <w:rFonts w:ascii="Arial" w:hAnsi="Arial" w:cs="Arial"/>
          <w:sz w:val="24"/>
          <w:szCs w:val="24"/>
          <w:shd w:val="clear" w:color="auto" w:fill="FFFFFF"/>
        </w:rPr>
        <w:t xml:space="preserve">, J.W., van </w:t>
      </w:r>
      <w:proofErr w:type="spellStart"/>
      <w:r w:rsidRPr="00D35F37">
        <w:rPr>
          <w:rFonts w:ascii="Arial" w:hAnsi="Arial" w:cs="Arial"/>
          <w:sz w:val="24"/>
          <w:szCs w:val="24"/>
          <w:shd w:val="clear" w:color="auto" w:fill="FFFFFF"/>
        </w:rPr>
        <w:t>Ballegooijen</w:t>
      </w:r>
      <w:proofErr w:type="spellEnd"/>
      <w:r w:rsidRPr="00D35F37">
        <w:rPr>
          <w:rFonts w:ascii="Arial" w:hAnsi="Arial" w:cs="Arial"/>
          <w:sz w:val="24"/>
          <w:szCs w:val="24"/>
          <w:shd w:val="clear" w:color="auto" w:fill="FFFFFF"/>
        </w:rPr>
        <w:t xml:space="preserve">, A.J., </w:t>
      </w:r>
      <w:proofErr w:type="spellStart"/>
      <w:r w:rsidRPr="00D35F37">
        <w:rPr>
          <w:rFonts w:ascii="Arial" w:hAnsi="Arial" w:cs="Arial"/>
          <w:sz w:val="24"/>
          <w:szCs w:val="24"/>
          <w:shd w:val="clear" w:color="auto" w:fill="FFFFFF"/>
        </w:rPr>
        <w:t>Grobbee</w:t>
      </w:r>
      <w:proofErr w:type="spellEnd"/>
      <w:r w:rsidRPr="00D35F37">
        <w:rPr>
          <w:rFonts w:ascii="Arial" w:hAnsi="Arial" w:cs="Arial"/>
          <w:sz w:val="24"/>
          <w:szCs w:val="24"/>
          <w:shd w:val="clear" w:color="auto" w:fill="FFFFFF"/>
        </w:rPr>
        <w:t xml:space="preserve">, D.E. and Larsson, S.C., (2020). Association of cardiovascular risk factors and lifestyle </w:t>
      </w:r>
      <w:proofErr w:type="spellStart"/>
      <w:r w:rsidRPr="00D35F37">
        <w:rPr>
          <w:rFonts w:ascii="Arial" w:hAnsi="Arial" w:cs="Arial"/>
          <w:sz w:val="24"/>
          <w:szCs w:val="24"/>
          <w:shd w:val="clear" w:color="auto" w:fill="FFFFFF"/>
        </w:rPr>
        <w:t>behaviors</w:t>
      </w:r>
      <w:proofErr w:type="spellEnd"/>
      <w:r w:rsidRPr="00D35F37">
        <w:rPr>
          <w:rFonts w:ascii="Arial" w:hAnsi="Arial" w:cs="Arial"/>
          <w:sz w:val="24"/>
          <w:szCs w:val="24"/>
          <w:shd w:val="clear" w:color="auto" w:fill="FFFFFF"/>
        </w:rPr>
        <w:t xml:space="preserve"> with hypertension: a mendelian randomization study. </w:t>
      </w:r>
      <w:r w:rsidRPr="00D35F37">
        <w:rPr>
          <w:rFonts w:ascii="Arial" w:hAnsi="Arial" w:cs="Arial"/>
          <w:i/>
          <w:iCs/>
          <w:sz w:val="24"/>
          <w:szCs w:val="24"/>
          <w:shd w:val="clear" w:color="auto" w:fill="FFFFFF"/>
        </w:rPr>
        <w:t>Hypertension</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76</w:t>
      </w:r>
      <w:r w:rsidRPr="00D35F37">
        <w:rPr>
          <w:rFonts w:ascii="Arial" w:hAnsi="Arial" w:cs="Arial"/>
          <w:sz w:val="24"/>
          <w:szCs w:val="24"/>
          <w:shd w:val="clear" w:color="auto" w:fill="FFFFFF"/>
        </w:rPr>
        <w:t>(6), pp.1971-1979.</w:t>
      </w:r>
    </w:p>
    <w:p w14:paraId="35622E40" w14:textId="77777777" w:rsidR="00D35F37" w:rsidRPr="00D35F37" w:rsidRDefault="00D35F37" w:rsidP="00D35F37">
      <w:pPr>
        <w:spacing w:after="0" w:line="240" w:lineRule="auto"/>
        <w:rPr>
          <w:rFonts w:ascii="Arial" w:hAnsi="Arial" w:cs="Arial"/>
          <w:sz w:val="24"/>
          <w:szCs w:val="24"/>
          <w:shd w:val="clear" w:color="auto" w:fill="FFFFFF"/>
        </w:rPr>
      </w:pPr>
    </w:p>
    <w:p w14:paraId="63B56ABE" w14:textId="19FDB700"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shd w:val="clear" w:color="auto" w:fill="FFFFFF"/>
        </w:rPr>
        <w:t xml:space="preserve">Varela-Mato, V., </w:t>
      </w:r>
      <w:proofErr w:type="spellStart"/>
      <w:r w:rsidRPr="00D35F37">
        <w:rPr>
          <w:rFonts w:ascii="Arial" w:hAnsi="Arial" w:cs="Arial"/>
          <w:sz w:val="24"/>
          <w:szCs w:val="24"/>
          <w:shd w:val="clear" w:color="auto" w:fill="FFFFFF"/>
        </w:rPr>
        <w:t>Clemes</w:t>
      </w:r>
      <w:proofErr w:type="spellEnd"/>
      <w:r w:rsidRPr="00D35F37">
        <w:rPr>
          <w:rFonts w:ascii="Arial" w:hAnsi="Arial" w:cs="Arial"/>
          <w:sz w:val="24"/>
          <w:szCs w:val="24"/>
          <w:shd w:val="clear" w:color="auto" w:fill="FFFFFF"/>
        </w:rPr>
        <w:t xml:space="preserve">, S.A., King, J. and Munir, F., (2019). Associations between musculoskeletal conditions risk, sedentary </w:t>
      </w:r>
      <w:proofErr w:type="spellStart"/>
      <w:r w:rsidRPr="00D35F37">
        <w:rPr>
          <w:rFonts w:ascii="Arial" w:hAnsi="Arial" w:cs="Arial"/>
          <w:sz w:val="24"/>
          <w:szCs w:val="24"/>
          <w:shd w:val="clear" w:color="auto" w:fill="FFFFFF"/>
        </w:rPr>
        <w:t>behavior</w:t>
      </w:r>
      <w:proofErr w:type="spellEnd"/>
      <w:r w:rsidRPr="00D35F37">
        <w:rPr>
          <w:rFonts w:ascii="Arial" w:hAnsi="Arial" w:cs="Arial"/>
          <w:sz w:val="24"/>
          <w:szCs w:val="24"/>
          <w:shd w:val="clear" w:color="auto" w:fill="FFFFFF"/>
        </w:rPr>
        <w:t>, sleep, and markers of mental health: a cross-sectional observational study in heavy goods vehicle drivers. musculoskeletal conditions risk in HGV drivers. </w:t>
      </w:r>
      <w:r w:rsidRPr="00D35F37">
        <w:rPr>
          <w:rFonts w:ascii="Arial" w:hAnsi="Arial" w:cs="Arial"/>
          <w:i/>
          <w:iCs/>
          <w:sz w:val="24"/>
          <w:szCs w:val="24"/>
          <w:shd w:val="clear" w:color="auto" w:fill="FFFFFF"/>
        </w:rPr>
        <w:t>Journal of Occupational and Environmental Medicine</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61</w:t>
      </w:r>
      <w:r w:rsidRPr="00D35F37">
        <w:rPr>
          <w:rFonts w:ascii="Arial" w:hAnsi="Arial" w:cs="Arial"/>
          <w:sz w:val="24"/>
          <w:szCs w:val="24"/>
          <w:shd w:val="clear" w:color="auto" w:fill="FFFFFF"/>
        </w:rPr>
        <w:t>(5), pp.437-443.</w:t>
      </w:r>
    </w:p>
    <w:p w14:paraId="52F4F23C" w14:textId="77777777" w:rsidR="00D35F37" w:rsidRPr="00D35F37" w:rsidRDefault="00D35F37" w:rsidP="00D35F37">
      <w:pPr>
        <w:spacing w:after="0" w:line="240" w:lineRule="auto"/>
        <w:rPr>
          <w:rFonts w:ascii="Arial" w:hAnsi="Arial" w:cs="Arial"/>
          <w:sz w:val="24"/>
          <w:szCs w:val="24"/>
          <w:shd w:val="clear" w:color="auto" w:fill="FFFFFF"/>
        </w:rPr>
      </w:pPr>
    </w:p>
    <w:p w14:paraId="41CCF6A8" w14:textId="058B7ADC"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shd w:val="clear" w:color="auto" w:fill="FFFFFF"/>
        </w:rPr>
        <w:lastRenderedPageBreak/>
        <w:t xml:space="preserve">Warr, W., Aveyard, P., Albury, C., Nicholson, B., Tudor, K., Hobbs, R., Roberts, N. and </w:t>
      </w:r>
      <w:proofErr w:type="spellStart"/>
      <w:r w:rsidRPr="00D35F37">
        <w:rPr>
          <w:rFonts w:ascii="Arial" w:hAnsi="Arial" w:cs="Arial"/>
          <w:sz w:val="24"/>
          <w:szCs w:val="24"/>
          <w:shd w:val="clear" w:color="auto" w:fill="FFFFFF"/>
        </w:rPr>
        <w:t>Ziebland</w:t>
      </w:r>
      <w:proofErr w:type="spellEnd"/>
      <w:r w:rsidRPr="00D35F37">
        <w:rPr>
          <w:rFonts w:ascii="Arial" w:hAnsi="Arial" w:cs="Arial"/>
          <w:sz w:val="24"/>
          <w:szCs w:val="24"/>
          <w:shd w:val="clear" w:color="auto" w:fill="FFFFFF"/>
        </w:rPr>
        <w:t>, S., (2021). A systematic review and thematic synthesis of qualitative studies exploring GPs' and nurses' perspectives on discussing weight with patients with overweight and obesity in primary care. </w:t>
      </w:r>
      <w:r w:rsidRPr="00D35F37">
        <w:rPr>
          <w:rFonts w:ascii="Arial" w:hAnsi="Arial" w:cs="Arial"/>
          <w:i/>
          <w:iCs/>
          <w:sz w:val="24"/>
          <w:szCs w:val="24"/>
          <w:shd w:val="clear" w:color="auto" w:fill="FFFFFF"/>
        </w:rPr>
        <w:t>Obesity Reviews</w:t>
      </w:r>
      <w:r w:rsidRPr="00D35F37">
        <w:rPr>
          <w:rFonts w:ascii="Arial" w:hAnsi="Arial" w:cs="Arial"/>
          <w:sz w:val="24"/>
          <w:szCs w:val="24"/>
          <w:shd w:val="clear" w:color="auto" w:fill="FFFFFF"/>
        </w:rPr>
        <w:t>, </w:t>
      </w:r>
      <w:r w:rsidRPr="00D35F37">
        <w:rPr>
          <w:rFonts w:ascii="Arial" w:hAnsi="Arial" w:cs="Arial"/>
          <w:i/>
          <w:iCs/>
          <w:sz w:val="24"/>
          <w:szCs w:val="24"/>
          <w:shd w:val="clear" w:color="auto" w:fill="FFFFFF"/>
        </w:rPr>
        <w:t>22</w:t>
      </w:r>
      <w:r w:rsidRPr="00D35F37">
        <w:rPr>
          <w:rFonts w:ascii="Arial" w:hAnsi="Arial" w:cs="Arial"/>
          <w:sz w:val="24"/>
          <w:szCs w:val="24"/>
          <w:shd w:val="clear" w:color="auto" w:fill="FFFFFF"/>
        </w:rPr>
        <w:t>(4), p.e13151.</w:t>
      </w:r>
    </w:p>
    <w:p w14:paraId="0E26E77E" w14:textId="77777777" w:rsidR="00D35F37" w:rsidRPr="00D35F37" w:rsidRDefault="00D35F37" w:rsidP="00D35F37">
      <w:pPr>
        <w:spacing w:after="0" w:line="240" w:lineRule="auto"/>
        <w:rPr>
          <w:rFonts w:ascii="Arial" w:hAnsi="Arial" w:cs="Arial"/>
          <w:sz w:val="24"/>
          <w:szCs w:val="24"/>
        </w:rPr>
      </w:pPr>
    </w:p>
    <w:p w14:paraId="6F1F59A1" w14:textId="0BAD3069" w:rsidR="00D35F37" w:rsidRPr="00D35F37" w:rsidRDefault="00D35F37" w:rsidP="00D35F37">
      <w:pPr>
        <w:spacing w:after="0" w:line="240" w:lineRule="auto"/>
        <w:rPr>
          <w:rFonts w:ascii="Arial" w:hAnsi="Arial" w:cs="Arial"/>
          <w:sz w:val="24"/>
          <w:szCs w:val="24"/>
        </w:rPr>
      </w:pPr>
      <w:r w:rsidRPr="00D35F37">
        <w:rPr>
          <w:rFonts w:ascii="Arial" w:hAnsi="Arial" w:cs="Arial"/>
          <w:sz w:val="24"/>
          <w:szCs w:val="24"/>
        </w:rPr>
        <w:t xml:space="preserve">Waugh, A and Grant, A. (2022). </w:t>
      </w:r>
      <w:r w:rsidRPr="00D35F37">
        <w:rPr>
          <w:rFonts w:ascii="Arial" w:hAnsi="Arial" w:cs="Arial"/>
          <w:i/>
          <w:iCs/>
          <w:sz w:val="24"/>
          <w:szCs w:val="24"/>
        </w:rPr>
        <w:t>Ross &amp; Wilson anatomy and physiology in health and illness - e-book</w:t>
      </w:r>
      <w:r w:rsidRPr="00D35F37">
        <w:rPr>
          <w:rFonts w:ascii="Arial" w:hAnsi="Arial" w:cs="Arial"/>
          <w:sz w:val="24"/>
          <w:szCs w:val="24"/>
        </w:rPr>
        <w:t>. London: Elsevier Health Sciences</w:t>
      </w:r>
    </w:p>
    <w:p w14:paraId="31AE6D8B" w14:textId="77777777" w:rsidR="00D35F37" w:rsidRPr="00D35F37" w:rsidRDefault="00D35F37" w:rsidP="00D35F37">
      <w:pPr>
        <w:spacing w:after="0" w:line="240" w:lineRule="auto"/>
        <w:rPr>
          <w:rFonts w:ascii="Arial" w:hAnsi="Arial" w:cs="Arial"/>
          <w:sz w:val="24"/>
          <w:szCs w:val="24"/>
        </w:rPr>
      </w:pPr>
    </w:p>
    <w:p w14:paraId="20BE6416" w14:textId="4312575D" w:rsidR="00D35F37" w:rsidRPr="00D35F37" w:rsidRDefault="00D35F37" w:rsidP="00D35F37">
      <w:pPr>
        <w:spacing w:after="0" w:line="240" w:lineRule="auto"/>
        <w:rPr>
          <w:rFonts w:ascii="Arial" w:hAnsi="Arial" w:cs="Arial"/>
          <w:sz w:val="24"/>
          <w:szCs w:val="24"/>
        </w:rPr>
      </w:pPr>
      <w:proofErr w:type="spellStart"/>
      <w:r w:rsidRPr="00D35F37">
        <w:rPr>
          <w:rFonts w:ascii="Arial" w:hAnsi="Arial" w:cs="Arial"/>
          <w:sz w:val="24"/>
          <w:szCs w:val="24"/>
        </w:rPr>
        <w:t>Wingerd</w:t>
      </w:r>
      <w:proofErr w:type="spellEnd"/>
      <w:r w:rsidRPr="00D35F37">
        <w:rPr>
          <w:rFonts w:ascii="Arial" w:hAnsi="Arial" w:cs="Arial"/>
          <w:sz w:val="24"/>
          <w:szCs w:val="24"/>
        </w:rPr>
        <w:t xml:space="preserve">, B and Taylor, B, P. (2020). </w:t>
      </w:r>
      <w:r w:rsidRPr="00D35F37">
        <w:rPr>
          <w:rFonts w:ascii="Arial" w:hAnsi="Arial" w:cs="Arial"/>
          <w:i/>
          <w:iCs/>
          <w:sz w:val="24"/>
          <w:szCs w:val="24"/>
        </w:rPr>
        <w:t>The human body: Concepts of anatomy and physiology</w:t>
      </w:r>
      <w:r w:rsidRPr="00D35F37">
        <w:rPr>
          <w:rFonts w:ascii="Arial" w:hAnsi="Arial" w:cs="Arial"/>
          <w:sz w:val="24"/>
          <w:szCs w:val="24"/>
        </w:rPr>
        <w:t>. London: Jones &amp; Bartlett Learning</w:t>
      </w:r>
    </w:p>
    <w:sectPr w:rsidR="00D35F37" w:rsidRPr="00D35F3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FC2F3" w14:textId="77777777" w:rsidR="00011C97" w:rsidRDefault="00011C97" w:rsidP="00D35F37">
      <w:pPr>
        <w:spacing w:after="0" w:line="240" w:lineRule="auto"/>
      </w:pPr>
      <w:r>
        <w:separator/>
      </w:r>
    </w:p>
  </w:endnote>
  <w:endnote w:type="continuationSeparator" w:id="0">
    <w:p w14:paraId="16F85CB9" w14:textId="77777777" w:rsidR="00011C97" w:rsidRDefault="00011C97" w:rsidP="00D35F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232703139"/>
      <w:docPartObj>
        <w:docPartGallery w:val="Page Numbers (Bottom of Page)"/>
        <w:docPartUnique/>
      </w:docPartObj>
    </w:sdtPr>
    <w:sdtEndPr>
      <w:rPr>
        <w:noProof/>
      </w:rPr>
    </w:sdtEndPr>
    <w:sdtContent>
      <w:p w14:paraId="7BDBB0DF" w14:textId="65172321" w:rsidR="00D35F37" w:rsidRPr="00D35F37" w:rsidRDefault="00D35F37" w:rsidP="00D35F37">
        <w:pPr>
          <w:pStyle w:val="Footer"/>
          <w:jc w:val="center"/>
          <w:rPr>
            <w:rFonts w:ascii="Arial" w:hAnsi="Arial" w:cs="Arial"/>
            <w:sz w:val="24"/>
            <w:szCs w:val="24"/>
          </w:rPr>
        </w:pPr>
        <w:r w:rsidRPr="00D35F37">
          <w:rPr>
            <w:rFonts w:ascii="Arial" w:hAnsi="Arial" w:cs="Arial"/>
            <w:sz w:val="24"/>
            <w:szCs w:val="24"/>
          </w:rPr>
          <w:fldChar w:fldCharType="begin"/>
        </w:r>
        <w:r w:rsidRPr="00D35F37">
          <w:rPr>
            <w:rFonts w:ascii="Arial" w:hAnsi="Arial" w:cs="Arial"/>
            <w:sz w:val="24"/>
            <w:szCs w:val="24"/>
          </w:rPr>
          <w:instrText xml:space="preserve"> PAGE   \* MERGEFORMAT </w:instrText>
        </w:r>
        <w:r w:rsidRPr="00D35F37">
          <w:rPr>
            <w:rFonts w:ascii="Arial" w:hAnsi="Arial" w:cs="Arial"/>
            <w:sz w:val="24"/>
            <w:szCs w:val="24"/>
          </w:rPr>
          <w:fldChar w:fldCharType="separate"/>
        </w:r>
        <w:r w:rsidRPr="00D35F37">
          <w:rPr>
            <w:rFonts w:ascii="Arial" w:hAnsi="Arial" w:cs="Arial"/>
            <w:noProof/>
            <w:sz w:val="24"/>
            <w:szCs w:val="24"/>
          </w:rPr>
          <w:t>2</w:t>
        </w:r>
        <w:r w:rsidRPr="00D35F37">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DE7EF" w14:textId="77777777" w:rsidR="00011C97" w:rsidRDefault="00011C97" w:rsidP="00D35F37">
      <w:pPr>
        <w:spacing w:after="0" w:line="240" w:lineRule="auto"/>
      </w:pPr>
      <w:r>
        <w:separator/>
      </w:r>
    </w:p>
  </w:footnote>
  <w:footnote w:type="continuationSeparator" w:id="0">
    <w:p w14:paraId="47F2B652" w14:textId="77777777" w:rsidR="00011C97" w:rsidRDefault="00011C97" w:rsidP="00D35F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91C"/>
    <w:rsid w:val="00011C97"/>
    <w:rsid w:val="00063AF2"/>
    <w:rsid w:val="001023A4"/>
    <w:rsid w:val="002021E3"/>
    <w:rsid w:val="002B7EA3"/>
    <w:rsid w:val="00637A82"/>
    <w:rsid w:val="0067491C"/>
    <w:rsid w:val="006C3941"/>
    <w:rsid w:val="006D64EF"/>
    <w:rsid w:val="007D5B0F"/>
    <w:rsid w:val="00967A5A"/>
    <w:rsid w:val="00985E10"/>
    <w:rsid w:val="00D35F37"/>
    <w:rsid w:val="00E53174"/>
    <w:rsid w:val="00EA025B"/>
    <w:rsid w:val="00EA66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6A81BF"/>
  <w15:chartTrackingRefBased/>
  <w15:docId w15:val="{EAE1CC39-7E53-40F9-B6FA-C3E9C0D35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9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1E3"/>
    <w:pPr>
      <w:ind w:left="720"/>
      <w:contextualSpacing/>
    </w:pPr>
  </w:style>
  <w:style w:type="paragraph" w:styleId="Header">
    <w:name w:val="header"/>
    <w:basedOn w:val="Normal"/>
    <w:link w:val="HeaderChar"/>
    <w:uiPriority w:val="99"/>
    <w:unhideWhenUsed/>
    <w:rsid w:val="00D35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F37"/>
  </w:style>
  <w:style w:type="paragraph" w:styleId="Footer">
    <w:name w:val="footer"/>
    <w:basedOn w:val="Normal"/>
    <w:link w:val="FooterChar"/>
    <w:uiPriority w:val="99"/>
    <w:unhideWhenUsed/>
    <w:rsid w:val="00D35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2FD8A-FE7B-4E66-9945-D52FC4509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3085</Words>
  <Characters>17589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Ebong Obot (1915035)</cp:lastModifiedBy>
  <cp:revision>2</cp:revision>
  <dcterms:created xsi:type="dcterms:W3CDTF">2023-02-27T14:16:00Z</dcterms:created>
  <dcterms:modified xsi:type="dcterms:W3CDTF">2023-02-27T14:16:00Z</dcterms:modified>
</cp:coreProperties>
</file>