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1F95E2C">
      <w:pPr>
        <w:pStyle w:val="11"/>
        <w:spacing w:before="240" w:beforeAutospacing="0" w:after="240" w:afterAutospacing="0" w:line="27" w:lineRule="atLeast"/>
        <w:jc w:val="center"/>
        <w:rPr>
          <w:rFonts w:hint="default" w:ascii="Arial" w:hAnsi="Arial" w:cs="Arial"/>
          <w:sz w:val="22"/>
          <w:szCs w:val="22"/>
        </w:rPr>
      </w:pPr>
      <w:r>
        <w:rPr>
          <w:rFonts w:hint="default" w:ascii="Arial" w:hAnsi="Arial" w:cs="Arial"/>
          <w:sz w:val="22"/>
          <w:szCs w:val="22"/>
          <w:shd w:val="clear" w:color="auto" w:fill="FFFFFF"/>
        </w:rPr>
        <w:t>Name: Syntyche Bishop</w:t>
      </w:r>
    </w:p>
    <w:p w14:paraId="069EA7DD">
      <w:pPr>
        <w:pStyle w:val="11"/>
        <w:spacing w:before="240" w:beforeAutospacing="0" w:after="240" w:afterAutospacing="0" w:line="27" w:lineRule="atLeast"/>
        <w:jc w:val="center"/>
        <w:rPr>
          <w:rFonts w:hint="default" w:ascii="Arial" w:hAnsi="Arial" w:cs="Arial"/>
          <w:sz w:val="22"/>
          <w:szCs w:val="22"/>
          <w:lang w:val="en-TT"/>
        </w:rPr>
      </w:pPr>
      <w:r>
        <w:rPr>
          <w:rFonts w:hint="default" w:ascii="Arial" w:hAnsi="Arial" w:cs="Arial"/>
          <w:sz w:val="22"/>
          <w:szCs w:val="22"/>
          <w:shd w:val="clear" w:color="auto" w:fill="FFFFFF"/>
        </w:rPr>
        <w:t xml:space="preserve">Supervisor: </w:t>
      </w:r>
      <w:r>
        <w:rPr>
          <w:rFonts w:hint="default" w:ascii="Arial" w:hAnsi="Arial" w:cs="Arial"/>
          <w:sz w:val="22"/>
          <w:szCs w:val="22"/>
          <w:shd w:val="clear" w:color="auto" w:fill="FFFFFF"/>
          <w:lang w:val="en-TT"/>
        </w:rPr>
        <w:t>Joshua Lee-Cummins</w:t>
      </w:r>
    </w:p>
    <w:p w14:paraId="0F9A6FBA">
      <w:pPr>
        <w:pStyle w:val="11"/>
        <w:spacing w:before="240" w:beforeAutospacing="0" w:after="240" w:afterAutospacing="0" w:line="27" w:lineRule="atLeast"/>
        <w:jc w:val="center"/>
        <w:rPr>
          <w:rFonts w:hint="default" w:ascii="Arial" w:hAnsi="Arial" w:cs="Arial"/>
          <w:sz w:val="22"/>
          <w:szCs w:val="22"/>
          <w:shd w:val="clear" w:color="auto" w:fill="FFFFFF"/>
        </w:rPr>
      </w:pPr>
      <w:r>
        <w:rPr>
          <w:rFonts w:hint="default" w:ascii="Arial" w:hAnsi="Arial" w:cs="Arial"/>
          <w:sz w:val="22"/>
          <w:szCs w:val="22"/>
          <w:shd w:val="clear" w:color="auto" w:fill="FFFFFF"/>
        </w:rPr>
        <w:t>Student No: 2332535</w:t>
      </w:r>
    </w:p>
    <w:p w14:paraId="32BCED04">
      <w:pPr>
        <w:pStyle w:val="11"/>
        <w:spacing w:before="240" w:beforeAutospacing="0" w:after="240" w:afterAutospacing="0" w:line="27" w:lineRule="atLeast"/>
        <w:jc w:val="center"/>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 xml:space="preserve">Module </w:t>
      </w:r>
      <w:r>
        <w:rPr>
          <w:rFonts w:hint="default" w:ascii="Arial" w:hAnsi="Arial" w:cs="Arial"/>
          <w:sz w:val="22"/>
          <w:szCs w:val="22"/>
          <w:shd w:val="clear" w:color="auto" w:fill="FFFFFF"/>
          <w:lang w:val="en-TT"/>
        </w:rPr>
        <w:t>5</w:t>
      </w:r>
      <w:r>
        <w:rPr>
          <w:rFonts w:hint="default" w:ascii="Arial" w:hAnsi="Arial" w:cs="Arial"/>
          <w:sz w:val="22"/>
          <w:szCs w:val="22"/>
          <w:shd w:val="clear" w:color="auto" w:fill="FFFFFF"/>
          <w:lang w:val="en-TT"/>
        </w:rPr>
        <w:t>: BMPF7074D</w:t>
      </w:r>
    </w:p>
    <w:p w14:paraId="14DD8002">
      <w:pPr>
        <w:pStyle w:val="11"/>
        <w:spacing w:before="240" w:beforeAutospacing="0" w:after="240" w:afterAutospacing="0" w:line="27" w:lineRule="atLeast"/>
        <w:jc w:val="center"/>
        <w:rPr>
          <w:rFonts w:hint="default" w:ascii="Arial" w:hAnsi="Arial" w:cs="Arial"/>
          <w:sz w:val="22"/>
          <w:szCs w:val="22"/>
        </w:rPr>
      </w:pPr>
      <w:r>
        <w:rPr>
          <w:rFonts w:hint="default" w:ascii="Arial" w:hAnsi="Arial" w:cs="Arial"/>
          <w:sz w:val="22"/>
          <w:szCs w:val="22"/>
          <w:shd w:val="clear" w:color="auto" w:fill="FFFFFF"/>
        </w:rPr>
        <w:t>Course: MA Professional Practice (Voice Pedagogy)</w:t>
      </w:r>
    </w:p>
    <w:p w14:paraId="10848021">
      <w:pPr>
        <w:pStyle w:val="11"/>
        <w:spacing w:before="240" w:beforeAutospacing="0" w:after="240" w:afterAutospacing="0" w:line="27" w:lineRule="atLeast"/>
        <w:jc w:val="center"/>
        <w:rPr>
          <w:rFonts w:hint="default" w:ascii="Arial" w:hAnsi="Arial" w:cs="Arial"/>
          <w:i/>
          <w:iCs/>
          <w:sz w:val="22"/>
          <w:szCs w:val="22"/>
          <w:shd w:val="clear" w:color="auto" w:fill="FFFFFF"/>
        </w:rPr>
      </w:pPr>
      <w:r>
        <w:rPr>
          <w:rFonts w:hint="default" w:ascii="Arial" w:hAnsi="Arial" w:cs="Arial"/>
          <w:sz w:val="22"/>
          <w:szCs w:val="22"/>
          <w:shd w:val="clear" w:color="auto" w:fill="FFFFFF"/>
        </w:rPr>
        <w:t xml:space="preserve">Topic: </w:t>
      </w:r>
      <w:r>
        <w:rPr>
          <w:rFonts w:hint="default" w:ascii="Arial" w:hAnsi="Arial" w:eastAsia="sans-serif" w:cs="Arial"/>
          <w:sz w:val="22"/>
          <w:szCs w:val="22"/>
          <w:shd w:val="clear" w:color="auto" w:fill="FFFFFF"/>
        </w:rPr>
        <w:t>Breath, Body, and Voice: A Short Course for Caribbean Performers Integrating Linklater and Fitzmaurice Techniques</w:t>
      </w:r>
      <w:r>
        <w:rPr>
          <w:rFonts w:hint="default" w:ascii="Arial" w:hAnsi="Arial" w:eastAsia="sans-serif" w:cs="Arial"/>
          <w:sz w:val="22"/>
          <w:szCs w:val="22"/>
          <w:shd w:val="clear" w:color="auto" w:fill="FFFFFF"/>
        </w:rPr>
        <w:br w:type="textWrapping"/>
      </w:r>
      <w:r>
        <w:rPr>
          <w:rFonts w:hint="default" w:ascii="Arial" w:hAnsi="Arial" w:eastAsia="sans-serif" w:cs="Arial"/>
          <w:i/>
          <w:iCs/>
          <w:sz w:val="22"/>
          <w:szCs w:val="22"/>
          <w:shd w:val="clear" w:color="auto" w:fill="FFFFFF"/>
          <w:lang w:val="en-TT"/>
        </w:rPr>
        <w:t xml:space="preserve">Towards Culturally Responsive Voice Pedagogy </w:t>
      </w:r>
      <w:r>
        <w:rPr>
          <w:rFonts w:hint="default" w:ascii="Arial" w:hAnsi="Arial" w:eastAsia="sans-serif" w:cs="Arial"/>
          <w:i/>
          <w:iCs/>
          <w:color w:val="444444"/>
          <w:sz w:val="22"/>
          <w:szCs w:val="22"/>
          <w:shd w:val="clear" w:color="auto" w:fill="FFFFFF"/>
        </w:rPr>
        <w:br w:type="textWrapping"/>
      </w:r>
    </w:p>
    <w:p w14:paraId="46343CB1">
      <w:pPr>
        <w:pStyle w:val="11"/>
        <w:spacing w:before="240" w:beforeAutospacing="0" w:after="240" w:afterAutospacing="0" w:line="27" w:lineRule="atLeast"/>
        <w:ind w:firstLine="660" w:firstLineChars="300"/>
        <w:jc w:val="center"/>
        <w:rPr>
          <w:rFonts w:hint="default" w:ascii="Arial" w:hAnsi="Arial" w:cs="Arial"/>
          <w:sz w:val="22"/>
          <w:szCs w:val="22"/>
          <w:lang w:val="en-TT"/>
        </w:rPr>
      </w:pPr>
      <w:r>
        <w:rPr>
          <w:rFonts w:hint="default" w:ascii="Arial" w:hAnsi="Arial" w:cs="Arial"/>
          <w:sz w:val="22"/>
          <w:szCs w:val="22"/>
          <w:shd w:val="clear" w:color="auto" w:fill="FFFFFF"/>
        </w:rPr>
        <w:t>Word count:</w:t>
      </w:r>
      <w:r>
        <w:rPr>
          <w:rFonts w:hint="default" w:ascii="Arial" w:hAnsi="Arial" w:cs="Arial"/>
          <w:sz w:val="22"/>
          <w:szCs w:val="22"/>
          <w:shd w:val="clear" w:color="auto" w:fill="FFFFFF"/>
          <w:lang w:val="en-TT"/>
        </w:rPr>
        <w:t xml:space="preserve"> </w:t>
      </w:r>
    </w:p>
    <w:p w14:paraId="5D092FCF">
      <w:pPr>
        <w:rPr>
          <w:rFonts w:ascii="Arial" w:hAnsi="Arial" w:eastAsia="SimSun" w:cs="Arial"/>
          <w:sz w:val="22"/>
          <w:szCs w:val="22"/>
          <w:lang w:val="en-TT"/>
        </w:rPr>
      </w:pPr>
    </w:p>
    <w:p w14:paraId="447C0C6A">
      <w:pPr>
        <w:rPr>
          <w:rFonts w:ascii="Arial" w:hAnsi="Arial" w:eastAsia="SimSun" w:cs="Arial"/>
          <w:sz w:val="22"/>
          <w:szCs w:val="22"/>
          <w:lang w:val="en-TT"/>
        </w:rPr>
      </w:pPr>
    </w:p>
    <w:p w14:paraId="7E3066A2">
      <w:pPr>
        <w:pStyle w:val="11"/>
        <w:spacing w:beforeAutospacing="0" w:afterAutospacing="0" w:line="360" w:lineRule="auto"/>
        <w:jc w:val="both"/>
        <w:rPr>
          <w:rFonts w:ascii="Arial" w:hAnsi="Arial" w:cs="Arial"/>
          <w:b/>
          <w:bCs/>
          <w:sz w:val="22"/>
          <w:szCs w:val="22"/>
          <w:shd w:val="clear" w:color="auto" w:fill="FFFFFF"/>
        </w:rPr>
      </w:pPr>
    </w:p>
    <w:p w14:paraId="3B468FB8">
      <w:pPr>
        <w:pStyle w:val="11"/>
        <w:spacing w:beforeAutospacing="0" w:afterAutospacing="0" w:line="360" w:lineRule="auto"/>
        <w:jc w:val="both"/>
        <w:rPr>
          <w:rFonts w:ascii="Arial" w:hAnsi="Arial" w:cs="Arial"/>
          <w:b/>
          <w:bCs/>
          <w:sz w:val="22"/>
          <w:szCs w:val="22"/>
          <w:shd w:val="clear" w:color="auto" w:fill="FFFFFF"/>
        </w:rPr>
      </w:pPr>
    </w:p>
    <w:p w14:paraId="624A93C7">
      <w:pPr>
        <w:pStyle w:val="11"/>
        <w:spacing w:beforeAutospacing="0" w:afterAutospacing="0" w:line="360" w:lineRule="auto"/>
        <w:jc w:val="both"/>
        <w:rPr>
          <w:rFonts w:ascii="Arial" w:hAnsi="Arial" w:cs="Arial"/>
          <w:b/>
          <w:bCs/>
          <w:sz w:val="22"/>
          <w:szCs w:val="22"/>
          <w:shd w:val="clear" w:color="auto" w:fill="FFFFFF"/>
        </w:rPr>
      </w:pPr>
    </w:p>
    <w:p w14:paraId="544D7006">
      <w:pPr>
        <w:pStyle w:val="11"/>
        <w:spacing w:beforeAutospacing="0" w:afterAutospacing="0" w:line="360" w:lineRule="auto"/>
        <w:jc w:val="both"/>
        <w:rPr>
          <w:rFonts w:ascii="Arial" w:hAnsi="Arial" w:cs="Arial"/>
          <w:b/>
          <w:bCs/>
          <w:sz w:val="22"/>
          <w:szCs w:val="22"/>
          <w:shd w:val="clear" w:color="auto" w:fill="FFFFFF"/>
        </w:rPr>
      </w:pPr>
    </w:p>
    <w:p w14:paraId="77C8D9C1">
      <w:pPr>
        <w:pStyle w:val="11"/>
        <w:spacing w:beforeAutospacing="0" w:afterAutospacing="0" w:line="360" w:lineRule="auto"/>
        <w:jc w:val="both"/>
        <w:rPr>
          <w:rFonts w:ascii="Arial" w:hAnsi="Arial" w:cs="Arial"/>
          <w:b/>
          <w:bCs/>
          <w:sz w:val="22"/>
          <w:szCs w:val="22"/>
          <w:shd w:val="clear" w:color="auto" w:fill="FFFFFF"/>
        </w:rPr>
      </w:pPr>
    </w:p>
    <w:p w14:paraId="65D55BE8">
      <w:pPr>
        <w:pStyle w:val="11"/>
        <w:spacing w:beforeAutospacing="0" w:afterAutospacing="0" w:line="360" w:lineRule="auto"/>
        <w:jc w:val="both"/>
        <w:rPr>
          <w:rFonts w:ascii="Arial" w:hAnsi="Arial" w:cs="Arial"/>
          <w:b/>
          <w:bCs/>
          <w:sz w:val="22"/>
          <w:szCs w:val="22"/>
          <w:shd w:val="clear" w:color="auto" w:fill="FFFFFF"/>
        </w:rPr>
      </w:pPr>
    </w:p>
    <w:p w14:paraId="7CE76B07">
      <w:pPr>
        <w:pStyle w:val="11"/>
        <w:spacing w:beforeAutospacing="0" w:afterAutospacing="0" w:line="360" w:lineRule="auto"/>
        <w:jc w:val="both"/>
        <w:rPr>
          <w:rFonts w:ascii="Arial" w:hAnsi="Arial" w:cs="Arial"/>
          <w:b/>
          <w:bCs/>
          <w:sz w:val="22"/>
          <w:szCs w:val="22"/>
          <w:shd w:val="clear" w:color="auto" w:fill="FFFFFF"/>
        </w:rPr>
      </w:pPr>
    </w:p>
    <w:p w14:paraId="72B2EE3F">
      <w:pPr>
        <w:pStyle w:val="11"/>
        <w:spacing w:beforeAutospacing="0" w:afterAutospacing="0" w:line="360" w:lineRule="auto"/>
        <w:jc w:val="both"/>
        <w:rPr>
          <w:rFonts w:ascii="Arial" w:hAnsi="Arial" w:cs="Arial"/>
          <w:b/>
          <w:bCs/>
          <w:sz w:val="22"/>
          <w:szCs w:val="22"/>
          <w:shd w:val="clear" w:color="auto" w:fill="FFFFFF"/>
        </w:rPr>
      </w:pPr>
    </w:p>
    <w:p w14:paraId="558AB027">
      <w:pPr>
        <w:pStyle w:val="11"/>
        <w:spacing w:beforeAutospacing="0" w:afterAutospacing="0" w:line="360" w:lineRule="auto"/>
        <w:jc w:val="both"/>
        <w:rPr>
          <w:rFonts w:ascii="Arial" w:hAnsi="Arial" w:cs="Arial"/>
          <w:b/>
          <w:bCs/>
          <w:sz w:val="22"/>
          <w:szCs w:val="22"/>
          <w:shd w:val="clear" w:color="auto" w:fill="FFFFFF"/>
        </w:rPr>
      </w:pPr>
    </w:p>
    <w:p w14:paraId="4B0C9D10">
      <w:pPr>
        <w:pStyle w:val="11"/>
        <w:spacing w:beforeAutospacing="0" w:afterAutospacing="0" w:line="360" w:lineRule="auto"/>
        <w:jc w:val="both"/>
        <w:rPr>
          <w:rFonts w:ascii="Arial" w:hAnsi="Arial" w:cs="Arial"/>
          <w:b/>
          <w:bCs/>
          <w:sz w:val="22"/>
          <w:szCs w:val="22"/>
          <w:shd w:val="clear" w:color="auto" w:fill="FFFFFF"/>
        </w:rPr>
      </w:pPr>
    </w:p>
    <w:p w14:paraId="4D8142A6">
      <w:pPr>
        <w:pStyle w:val="11"/>
        <w:spacing w:beforeAutospacing="0" w:afterAutospacing="0" w:line="360" w:lineRule="auto"/>
        <w:jc w:val="both"/>
        <w:rPr>
          <w:rFonts w:ascii="Arial" w:hAnsi="Arial" w:cs="Arial"/>
          <w:b/>
          <w:bCs/>
          <w:sz w:val="22"/>
          <w:szCs w:val="22"/>
          <w:shd w:val="clear" w:color="auto" w:fill="FFFFFF"/>
        </w:rPr>
      </w:pPr>
    </w:p>
    <w:p w14:paraId="6F063C70">
      <w:pPr>
        <w:pStyle w:val="11"/>
        <w:spacing w:beforeAutospacing="0" w:afterAutospacing="0" w:line="360" w:lineRule="auto"/>
        <w:jc w:val="both"/>
        <w:rPr>
          <w:rFonts w:ascii="Arial" w:hAnsi="Arial" w:cs="Arial"/>
          <w:b/>
          <w:bCs/>
          <w:sz w:val="22"/>
          <w:szCs w:val="22"/>
          <w:shd w:val="clear" w:color="auto" w:fill="FFFFFF"/>
        </w:rPr>
      </w:pPr>
    </w:p>
    <w:p w14:paraId="2F79E5FB">
      <w:pPr>
        <w:pStyle w:val="11"/>
        <w:spacing w:beforeAutospacing="0" w:afterAutospacing="0" w:line="360" w:lineRule="auto"/>
        <w:jc w:val="both"/>
        <w:rPr>
          <w:rFonts w:ascii="Arial" w:hAnsi="Arial" w:cs="Arial"/>
          <w:b/>
          <w:bCs/>
          <w:sz w:val="22"/>
          <w:szCs w:val="22"/>
          <w:shd w:val="clear" w:color="auto" w:fill="FFFFFF"/>
        </w:rPr>
      </w:pPr>
    </w:p>
    <w:p w14:paraId="6582767E">
      <w:pPr>
        <w:pStyle w:val="11"/>
        <w:spacing w:beforeAutospacing="0" w:afterAutospacing="0" w:line="360" w:lineRule="auto"/>
        <w:jc w:val="both"/>
        <w:rPr>
          <w:rFonts w:ascii="Arial" w:hAnsi="Arial" w:cs="Arial"/>
          <w:b/>
          <w:bCs/>
          <w:sz w:val="22"/>
          <w:szCs w:val="22"/>
          <w:shd w:val="clear" w:color="auto" w:fill="FFFFFF"/>
        </w:rPr>
      </w:pPr>
    </w:p>
    <w:p w14:paraId="303AAE68">
      <w:pPr>
        <w:pStyle w:val="11"/>
        <w:spacing w:beforeAutospacing="0" w:afterAutospacing="0" w:line="360" w:lineRule="auto"/>
        <w:jc w:val="both"/>
        <w:rPr>
          <w:rFonts w:ascii="Arial" w:hAnsi="Arial" w:cs="Arial"/>
          <w:b/>
          <w:bCs/>
          <w:sz w:val="22"/>
          <w:szCs w:val="22"/>
          <w:shd w:val="clear" w:color="auto" w:fill="FFFFFF"/>
        </w:rPr>
      </w:pPr>
    </w:p>
    <w:p w14:paraId="50FD2E2A">
      <w:pPr>
        <w:pStyle w:val="11"/>
        <w:spacing w:beforeAutospacing="0" w:afterAutospacing="0" w:line="360" w:lineRule="auto"/>
        <w:jc w:val="both"/>
        <w:rPr>
          <w:rFonts w:ascii="Arial" w:hAnsi="Arial" w:cs="Arial"/>
          <w:b/>
          <w:bCs/>
          <w:sz w:val="22"/>
          <w:szCs w:val="22"/>
          <w:shd w:val="clear" w:color="auto" w:fill="FFFFFF"/>
        </w:rPr>
      </w:pPr>
    </w:p>
    <w:p w14:paraId="44EB1A36">
      <w:pPr>
        <w:pStyle w:val="11"/>
        <w:spacing w:beforeAutospacing="0" w:afterAutospacing="0" w:line="360" w:lineRule="auto"/>
        <w:jc w:val="both"/>
        <w:rPr>
          <w:rFonts w:ascii="Arial" w:hAnsi="Arial" w:cs="Arial"/>
          <w:b/>
          <w:bCs/>
          <w:sz w:val="22"/>
          <w:szCs w:val="22"/>
          <w:shd w:val="clear" w:color="auto" w:fill="FFFFFF"/>
        </w:rPr>
      </w:pPr>
    </w:p>
    <w:p w14:paraId="4D52EF5A">
      <w:pPr>
        <w:pStyle w:val="11"/>
        <w:spacing w:beforeAutospacing="0" w:afterAutospacing="0" w:line="360" w:lineRule="auto"/>
        <w:jc w:val="both"/>
        <w:rPr>
          <w:rFonts w:ascii="Arial" w:hAnsi="Arial" w:cs="Arial"/>
          <w:b/>
          <w:bCs/>
          <w:sz w:val="22"/>
          <w:szCs w:val="22"/>
          <w:shd w:val="clear" w:color="auto" w:fill="FFFFFF"/>
        </w:rPr>
      </w:pPr>
    </w:p>
    <w:p w14:paraId="6D46984B">
      <w:pPr>
        <w:pStyle w:val="11"/>
        <w:spacing w:beforeAutospacing="0" w:afterAutospacing="0" w:line="360" w:lineRule="auto"/>
        <w:jc w:val="both"/>
        <w:rPr>
          <w:rFonts w:ascii="Arial" w:hAnsi="Arial" w:cs="Arial"/>
          <w:b/>
          <w:bCs/>
          <w:sz w:val="22"/>
          <w:szCs w:val="22"/>
          <w:shd w:val="clear" w:color="auto" w:fill="FFFFFF"/>
        </w:rPr>
      </w:pPr>
    </w:p>
    <w:p w14:paraId="60F2A30D">
      <w:pPr>
        <w:pStyle w:val="11"/>
        <w:spacing w:beforeAutospacing="0" w:afterAutospacing="0" w:line="360" w:lineRule="auto"/>
        <w:jc w:val="both"/>
        <w:rPr>
          <w:rFonts w:ascii="Arial" w:hAnsi="Arial" w:cs="Arial"/>
          <w:b/>
          <w:bCs/>
          <w:sz w:val="22"/>
          <w:szCs w:val="22"/>
          <w:shd w:val="clear" w:color="auto" w:fill="FFFFFF"/>
        </w:rPr>
      </w:pPr>
    </w:p>
    <w:p w14:paraId="1E933A25">
      <w:pPr>
        <w:pStyle w:val="11"/>
        <w:spacing w:beforeAutospacing="0" w:afterAutospacing="0" w:line="360" w:lineRule="auto"/>
        <w:jc w:val="both"/>
        <w:rPr>
          <w:rFonts w:ascii="Arial" w:hAnsi="Arial" w:cs="Arial"/>
          <w:b/>
          <w:bCs/>
          <w:sz w:val="22"/>
          <w:szCs w:val="22"/>
          <w:shd w:val="clear" w:color="auto" w:fill="FFFFFF"/>
        </w:rPr>
      </w:pPr>
    </w:p>
    <w:p w14:paraId="3F651CE3">
      <w:pPr>
        <w:pStyle w:val="11"/>
        <w:spacing w:beforeAutospacing="0" w:afterAutospacing="0" w:line="360" w:lineRule="auto"/>
        <w:jc w:val="both"/>
        <w:rPr>
          <w:rFonts w:ascii="Arial" w:hAnsi="Arial" w:cs="Arial"/>
          <w:b/>
          <w:bCs/>
          <w:sz w:val="22"/>
          <w:szCs w:val="22"/>
          <w:shd w:val="clear" w:color="auto" w:fill="FFFFFF"/>
        </w:rPr>
      </w:pPr>
    </w:p>
    <w:p w14:paraId="77DEA5B6">
      <w:pPr>
        <w:pStyle w:val="11"/>
        <w:spacing w:beforeAutospacing="0" w:afterAutospacing="0" w:line="360" w:lineRule="auto"/>
        <w:jc w:val="both"/>
        <w:rPr>
          <w:rFonts w:ascii="Arial" w:hAnsi="Arial" w:cs="Arial"/>
          <w:b/>
          <w:bCs/>
          <w:sz w:val="22"/>
          <w:szCs w:val="22"/>
          <w:shd w:val="clear" w:color="auto" w:fill="FFFFFF"/>
        </w:rPr>
      </w:pPr>
    </w:p>
    <w:p w14:paraId="7C959532">
      <w:pPr>
        <w:pStyle w:val="11"/>
        <w:spacing w:beforeAutospacing="0" w:afterAutospacing="0" w:line="360" w:lineRule="auto"/>
        <w:jc w:val="both"/>
        <w:rPr>
          <w:rFonts w:ascii="Arial" w:hAnsi="Arial" w:cs="Arial"/>
          <w:b/>
          <w:bCs/>
          <w:sz w:val="22"/>
          <w:szCs w:val="22"/>
          <w:shd w:val="clear" w:color="auto" w:fill="FFFFFF"/>
        </w:rPr>
      </w:pPr>
    </w:p>
    <w:p w14:paraId="47B79D01">
      <w:pPr>
        <w:pStyle w:val="11"/>
        <w:spacing w:beforeAutospacing="0" w:afterAutospacing="0" w:line="360" w:lineRule="auto"/>
        <w:jc w:val="both"/>
        <w:rPr>
          <w:rFonts w:ascii="Arial" w:hAnsi="Arial" w:cs="Arial"/>
          <w:b/>
          <w:bCs/>
          <w:sz w:val="22"/>
          <w:szCs w:val="22"/>
          <w:shd w:val="clear" w:color="auto" w:fill="FFFFFF"/>
          <w:lang w:val="en-TT"/>
        </w:rPr>
        <w:sectPr>
          <w:pgSz w:w="11906" w:h="16838"/>
          <w:pgMar w:top="1440" w:right="1800" w:bottom="1440" w:left="1800" w:header="720" w:footer="720" w:gutter="0"/>
          <w:pgNumType w:fmt="decimal"/>
          <w:cols w:space="720" w:num="1"/>
          <w:docGrid w:linePitch="360" w:charSpace="0"/>
        </w:sectPr>
      </w:pPr>
    </w:p>
    <w:p w14:paraId="684B20B1">
      <w:pPr>
        <w:pStyle w:val="11"/>
        <w:spacing w:beforeAutospacing="0" w:afterAutospacing="0" w:line="360" w:lineRule="auto"/>
        <w:jc w:val="both"/>
        <w:rPr>
          <w:rFonts w:hint="default" w:ascii="Arial" w:hAnsi="Arial" w:cs="Arial"/>
          <w:b/>
          <w:bCs/>
          <w:sz w:val="22"/>
          <w:szCs w:val="22"/>
          <w:shd w:val="clear" w:color="auto" w:fill="FFFFFF"/>
          <w:lang w:val="en-TT"/>
        </w:rPr>
      </w:pPr>
      <w:r>
        <w:rPr>
          <w:rFonts w:hint="default" w:ascii="Arial" w:hAnsi="Arial" w:cs="Arial"/>
          <w:b/>
          <w:bCs/>
          <w:sz w:val="22"/>
          <w:szCs w:val="22"/>
          <w:shd w:val="clear" w:color="auto" w:fill="FFFFFF"/>
          <w:lang w:val="en-TT"/>
        </w:rPr>
        <w:t>Table of Contents</w:t>
      </w:r>
    </w:p>
    <w:p w14:paraId="25321965">
      <w:pPr>
        <w:pStyle w:val="11"/>
        <w:spacing w:beforeAutospacing="0" w:afterAutospacing="0" w:line="360" w:lineRule="auto"/>
        <w:jc w:val="both"/>
        <w:rPr>
          <w:rFonts w:hint="default" w:ascii="Arial" w:hAnsi="Arial" w:cs="Arial"/>
          <w:b/>
          <w:bCs/>
          <w:sz w:val="22"/>
          <w:szCs w:val="22"/>
          <w:shd w:val="clear" w:color="auto" w:fill="FFFFFF"/>
        </w:rPr>
      </w:pPr>
    </w:p>
    <w:p w14:paraId="0E04EB2C">
      <w:pPr>
        <w:pStyle w:val="11"/>
        <w:spacing w:beforeAutospacing="0" w:afterAutospacing="0" w:line="360" w:lineRule="auto"/>
        <w:jc w:val="both"/>
        <w:rPr>
          <w:rFonts w:hint="default" w:ascii="Arial" w:hAnsi="Arial" w:cs="Arial"/>
          <w:b/>
          <w:bCs/>
          <w:sz w:val="22"/>
          <w:szCs w:val="22"/>
          <w:shd w:val="clear" w:color="auto" w:fill="FFFFFF"/>
        </w:rPr>
      </w:pPr>
    </w:p>
    <w:p w14:paraId="6DBEA24A">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Introduction and Rationale  ………………………………………………………….. 1</w:t>
      </w:r>
    </w:p>
    <w:p w14:paraId="4564F0A3">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Planned Programme of Study ……………………………………………………….. 2</w:t>
      </w:r>
    </w:p>
    <w:p w14:paraId="616DFB3B">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Theoretical Influences  ……………………………………………..</w:t>
      </w:r>
    </w:p>
    <w:p w14:paraId="3825309E">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Best Practices Influences ………………………………………….</w:t>
      </w:r>
    </w:p>
    <w:p w14:paraId="2E7FC823">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Justification of Grey Literature …………………………………….</w:t>
      </w:r>
    </w:p>
    <w:p w14:paraId="4C706B84">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Methodological Influences …………………………………………</w:t>
      </w:r>
    </w:p>
    <w:p w14:paraId="5998AD5F">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Gantt Chart ………………………………………………………….</w:t>
      </w:r>
    </w:p>
    <w:p w14:paraId="549041E7">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Ethical Considerations ……………………………………………..</w:t>
      </w:r>
    </w:p>
    <w:p w14:paraId="251DA9B5">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Aim and Objectives …………………………………………………</w:t>
      </w:r>
    </w:p>
    <w:p w14:paraId="7E043FA5">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Learning Outcomes …………………………………………………</w:t>
      </w:r>
    </w:p>
    <w:p w14:paraId="040A944E">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Assessment Criteria ………………………………………………..</w:t>
      </w:r>
    </w:p>
    <w:p w14:paraId="24E83573">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Timescales and Review Dates ……………………………………</w:t>
      </w:r>
    </w:p>
    <w:p w14:paraId="244A6AEE">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Methodology …………………………………………………………</w:t>
      </w:r>
    </w:p>
    <w:p w14:paraId="41CEBC9A">
      <w:pPr>
        <w:pStyle w:val="11"/>
        <w:spacing w:beforeAutospacing="0" w:afterAutospacing="0" w:line="360" w:lineRule="auto"/>
        <w:ind w:firstLine="440" w:firstLineChars="200"/>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Inclusion and Exclusion Criteria …………………………………..</w:t>
      </w:r>
    </w:p>
    <w:p w14:paraId="7B5750B2">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 xml:space="preserve">Project Report </w:t>
      </w:r>
    </w:p>
    <w:p w14:paraId="1B27F977">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 xml:space="preserve">       Introduction …………………………………………………………..</w:t>
      </w:r>
    </w:p>
    <w:p w14:paraId="5FBFA749">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 xml:space="preserve">       Know That ……………………………………………………………</w:t>
      </w:r>
    </w:p>
    <w:p w14:paraId="568187A4">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 xml:space="preserve">       Know How ……………………………………………………………</w:t>
      </w:r>
    </w:p>
    <w:p w14:paraId="423D7C8A">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 xml:space="preserve">       Know What …………………………………………………………..</w:t>
      </w:r>
    </w:p>
    <w:p w14:paraId="4BDF8B6E">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Reflective Conclusion ……………………………………………………</w:t>
      </w:r>
    </w:p>
    <w:p w14:paraId="59F4D7DF">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Critical Reflection …………………………………………………………</w:t>
      </w:r>
    </w:p>
    <w:p w14:paraId="210A68D8">
      <w:pPr>
        <w:pStyle w:val="11"/>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lang w:val="en-TT"/>
        </w:rPr>
        <w:t>Reference List …………………………………………………………….</w:t>
      </w:r>
    </w:p>
    <w:p w14:paraId="7C32FDC7">
      <w:pPr>
        <w:pStyle w:val="11"/>
        <w:spacing w:beforeAutospacing="0" w:afterAutospacing="0" w:line="360" w:lineRule="auto"/>
        <w:jc w:val="both"/>
        <w:rPr>
          <w:rFonts w:hint="default" w:ascii="Arial" w:hAnsi="Arial" w:cs="Arial"/>
          <w:sz w:val="22"/>
          <w:szCs w:val="22"/>
          <w:shd w:val="clear" w:color="auto" w:fill="FFFFFF"/>
          <w:lang w:val="en-TT"/>
        </w:rPr>
        <w:sectPr>
          <w:footerReference r:id="rId3" w:type="default"/>
          <w:pgSz w:w="11906" w:h="16838"/>
          <w:pgMar w:top="1440" w:right="1800" w:bottom="1440" w:left="1800" w:header="720" w:footer="720" w:gutter="0"/>
          <w:pgNumType w:fmt="decimal" w:start="1"/>
          <w:cols w:space="720" w:num="1"/>
          <w:docGrid w:linePitch="360" w:charSpace="0"/>
        </w:sectPr>
      </w:pPr>
      <w:r>
        <w:rPr>
          <w:rFonts w:hint="default" w:ascii="Arial" w:hAnsi="Arial" w:cs="Arial"/>
          <w:sz w:val="22"/>
          <w:szCs w:val="22"/>
          <w:shd w:val="clear" w:color="auto" w:fill="FFFFFF"/>
          <w:lang w:val="en-TT"/>
        </w:rPr>
        <w:t>Appendices ……………………………………</w:t>
      </w:r>
    </w:p>
    <w:p w14:paraId="5B552A0E">
      <w:pPr>
        <w:pStyle w:val="11"/>
        <w:keepNext w:val="0"/>
        <w:keepLines w:val="0"/>
        <w:widowControl/>
        <w:suppressLineNumbers w:val="0"/>
        <w:spacing w:before="0" w:beforeAutospacing="1" w:after="0" w:afterAutospacing="1" w:line="360" w:lineRule="auto"/>
        <w:ind w:right="0"/>
        <w:jc w:val="both"/>
        <w:rPr>
          <w:rFonts w:hint="default" w:ascii="Arial" w:hAnsi="Arial" w:cs="Arial"/>
          <w:sz w:val="22"/>
          <w:szCs w:val="22"/>
        </w:rPr>
      </w:pPr>
      <w:r>
        <w:rPr>
          <w:rFonts w:hint="default" w:ascii="Arial" w:hAnsi="Arial" w:cs="Arial"/>
          <w:b/>
          <w:bCs/>
          <w:sz w:val="22"/>
          <w:szCs w:val="22"/>
          <w:shd w:val="clear" w:color="auto" w:fill="FFFFFF"/>
        </w:rPr>
        <w:t>Introduction and Rationale</w:t>
      </w:r>
      <w:r>
        <w:rPr>
          <w:rFonts w:hint="default" w:ascii="Arial" w:hAnsi="Arial" w:cs="Arial"/>
          <w:b/>
          <w:bCs/>
          <w:sz w:val="22"/>
          <w:szCs w:val="22"/>
          <w:shd w:val="clear" w:color="auto" w:fill="FFFFFF"/>
        </w:rPr>
        <w:br w:type="textWrapping"/>
      </w:r>
      <w:r>
        <w:rPr>
          <w:rFonts w:hint="default" w:ascii="Arial" w:hAnsi="Arial" w:cs="Arial"/>
          <w:sz w:val="22"/>
          <w:szCs w:val="22"/>
          <w:shd w:val="clear" w:color="auto" w:fill="FFFFFF"/>
        </w:rPr>
        <w:br w:type="textWrapping"/>
      </w:r>
      <w:r>
        <w:rPr>
          <w:rFonts w:hint="default" w:ascii="Arial" w:hAnsi="Arial" w:cs="Arial"/>
          <w:sz w:val="22"/>
          <w:szCs w:val="22"/>
        </w:rPr>
        <w:t>Research undertaken in a previous module identified a significant gap in Caribbean vocal pedagogical scholarship. In response, this project seeks to contribute to the development of research that is specific to Caribbean voices, performance practices, and performer training.</w:t>
      </w:r>
    </w:p>
    <w:p w14:paraId="135FD943">
      <w:pPr>
        <w:pStyle w:val="11"/>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 xml:space="preserve">As an actress and performance coach from Trinidad and Tobago, I have observed recurring challenges among Caribbean performers in relation to breath support, vocal projection, and sustainable vocal technique. While Caribbean culture is often </w:t>
      </w:r>
      <w:r>
        <w:rPr>
          <w:rFonts w:hint="default" w:ascii="Arial" w:hAnsi="Arial" w:cs="Arial"/>
          <w:sz w:val="22"/>
          <w:szCs w:val="22"/>
          <w:lang w:val="en-TT"/>
        </w:rPr>
        <w:t>characterized</w:t>
      </w:r>
      <w:r>
        <w:rPr>
          <w:rFonts w:hint="default" w:ascii="Arial" w:hAnsi="Arial" w:cs="Arial"/>
          <w:sz w:val="22"/>
          <w:szCs w:val="22"/>
        </w:rPr>
        <w:t xml:space="preserve"> by expressive communication and strong vocal presence, these qualities do not always translate effectively to performance settings, where greater vocal control and efficiency are required.</w:t>
      </w:r>
    </w:p>
    <w:p w14:paraId="1A3F51A9">
      <w:pPr>
        <w:pStyle w:val="11"/>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The project is informed by the historical and cultural realities of the Caribbean, where the legacies of African enslavement and East Indian indentureship continue to shape identity, expression, and embodied experience. Consequently, approaches that address both physical and psychological patterns of tension may be particularly valuable within performer training.</w:t>
      </w:r>
    </w:p>
    <w:p w14:paraId="74645A02">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Voice-training methods such as Kristin Linklater’s </w:t>
      </w:r>
      <w:r>
        <w:rPr>
          <w:rStyle w:val="7"/>
          <w:rFonts w:hint="default" w:ascii="Arial" w:hAnsi="Arial" w:cs="Arial"/>
          <w:sz w:val="22"/>
          <w:szCs w:val="22"/>
        </w:rPr>
        <w:t>Freeing the Natural Voice</w:t>
      </w:r>
      <w:r>
        <w:rPr>
          <w:rFonts w:hint="default" w:ascii="Arial" w:hAnsi="Arial" w:cs="Arial"/>
          <w:sz w:val="22"/>
          <w:szCs w:val="22"/>
        </w:rPr>
        <w:t xml:space="preserve"> and Catherine Fitzmaurice’s </w:t>
      </w:r>
      <w:r>
        <w:rPr>
          <w:rFonts w:hint="default" w:ascii="Arial" w:hAnsi="Arial" w:cs="Arial"/>
          <w:sz w:val="22"/>
          <w:szCs w:val="22"/>
          <w:lang w:val="en-TT"/>
        </w:rPr>
        <w:t>Voicework</w:t>
      </w:r>
      <w:r>
        <w:rPr>
          <w:rFonts w:hint="default" w:ascii="Arial" w:hAnsi="Arial" w:cs="Arial"/>
          <w:sz w:val="22"/>
          <w:szCs w:val="22"/>
        </w:rPr>
        <w:t xml:space="preserve"> provide established frameworks for developing vocal freedom, embodiment, and expressive communication. Building on previous research, this project explores how these approaches can be integrated with Caribbean cultural practices to create a more culturally responsive model of voice training. The resulting artefact is an interactive online short course designed to support Caribbean performers while contributing to the ongoing development of Caribbean-centred voice pedagogy.</w:t>
      </w:r>
    </w:p>
    <w:p w14:paraId="7F54879D">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p>
    <w:p w14:paraId="0868B82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Planned Programme of Study</w:t>
      </w:r>
    </w:p>
    <w:p w14:paraId="70D16E97">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rPr>
        <w:t xml:space="preserve">Research Question: How can Linklater 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be applied within a Caribbean performance context to inform the development of a short course for voice training?</w:t>
      </w:r>
    </w:p>
    <w:p w14:paraId="45B9611D">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p>
    <w:p w14:paraId="05ABC9B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Theoretical influences</w:t>
      </w:r>
    </w:p>
    <w:p w14:paraId="3DE3768C">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Linklater Voice Method 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form the primary theoretical influences informing this artefact. Jackson (2017) describes theory as a system of ideas and explanations that helps make sense of a subject, while noting that theoretical knowledge has traditionally been privileged over practical knowledge. Practice-based research challenges this distinction by </w:t>
      </w:r>
      <w:r>
        <w:rPr>
          <w:rFonts w:hint="default" w:ascii="Arial" w:hAnsi="Arial" w:cs="Arial"/>
          <w:i w:val="0"/>
          <w:iCs w:val="0"/>
          <w:color w:val="000000"/>
          <w:sz w:val="22"/>
          <w:szCs w:val="22"/>
          <w:u w:val="none"/>
          <w:shd w:val="clear" w:fill="FFFFFF"/>
          <w:vertAlign w:val="baseline"/>
          <w:lang w:val="en-TT"/>
        </w:rPr>
        <w:t>recognizing</w:t>
      </w:r>
      <w:r>
        <w:rPr>
          <w:rFonts w:hint="default" w:ascii="Arial" w:hAnsi="Arial" w:cs="Arial"/>
          <w:i w:val="0"/>
          <w:iCs w:val="0"/>
          <w:color w:val="000000"/>
          <w:sz w:val="22"/>
          <w:szCs w:val="22"/>
          <w:u w:val="none"/>
          <w:shd w:val="clear" w:fill="FFFFFF"/>
          <w:vertAlign w:val="baseline"/>
        </w:rPr>
        <w:t xml:space="preserve"> creative practice as a legitimate source of knowledge production.</w:t>
      </w:r>
    </w:p>
    <w:p w14:paraId="14F370F7">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This artefact bridges theory and practice through the development of an online short course centred on breath, body, and voice within a Caribbean performance context. Caribbean culture is a dynamic and evolving expression of identity, reflected in its languages, religions, festivals, artistic traditions, values, customs, sports, and other forms of self-expression (CARICOM, 2026). The project adopts a practice-based approach informed by academic research and professional experience, drawing on the demonstrated effectiveness of Linklater and Fitzmaurice practices in developing vocal awareness, embodiment, vocal freedom, and expressive communication (Carter and White, 2019).</w:t>
      </w:r>
    </w:p>
    <w:p w14:paraId="291DFF0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 artefact is further informed by somatic practice, Caribbean performance traditions, and digital pedagogy. Somatic approaches position the body as central to vocal expression and performer awareness (Mullan, 2012), while Caribbean traditions contribute an emphasis on rhythm, storytelling, expressivity, and embodied communication. Digital pedagogy informs the structure and accessibility of the course through its online delivery via Google Classroom (Bećirović, 2023).</w:t>
      </w:r>
    </w:p>
    <w:p w14:paraId="0470AF17">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 integration of these influences reflects the view that effective voice training must be adaptable and responsive to the needs of specific performers and contexts rather than relying on a single universal methodology (Shewell and Sansom, 2024). This is particularly relevant within Caribbean performer training, where vocal expression, speech patterns, rhythm, and communication styles may differ from the predominantly European and American frameworks that underpin many traditional actor-training methods.</w:t>
      </w:r>
    </w:p>
    <w:p w14:paraId="2FAA0AF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Kristin Linklater is widely </w:t>
      </w:r>
      <w:r>
        <w:rPr>
          <w:rFonts w:hint="default" w:ascii="Arial" w:hAnsi="Arial" w:cs="Arial"/>
          <w:i w:val="0"/>
          <w:iCs w:val="0"/>
          <w:color w:val="000000"/>
          <w:sz w:val="22"/>
          <w:szCs w:val="22"/>
          <w:u w:val="none"/>
          <w:shd w:val="clear" w:fill="FFFFFF"/>
          <w:vertAlign w:val="baseline"/>
          <w:lang w:val="en-TT"/>
        </w:rPr>
        <w:t>recognized</w:t>
      </w:r>
      <w:r>
        <w:rPr>
          <w:rFonts w:hint="default" w:ascii="Arial" w:hAnsi="Arial" w:cs="Arial"/>
          <w:i w:val="0"/>
          <w:iCs w:val="0"/>
          <w:color w:val="000000"/>
          <w:sz w:val="22"/>
          <w:szCs w:val="22"/>
          <w:u w:val="none"/>
          <w:shd w:val="clear" w:fill="FFFFFF"/>
          <w:vertAlign w:val="baseline"/>
        </w:rPr>
        <w:t xml:space="preserve"> as a foundational figure in contemporary actor voice training (Cronin and Crowley, 2023). Her work </w:t>
      </w:r>
      <w:r>
        <w:rPr>
          <w:rFonts w:hint="default" w:ascii="Arial" w:hAnsi="Arial" w:cs="Arial"/>
          <w:i w:val="0"/>
          <w:iCs w:val="0"/>
          <w:color w:val="000000"/>
          <w:sz w:val="22"/>
          <w:szCs w:val="22"/>
          <w:u w:val="none"/>
          <w:shd w:val="clear" w:fill="FFFFFF"/>
          <w:vertAlign w:val="baseline"/>
          <w:lang w:val="en-TT"/>
        </w:rPr>
        <w:t>emphasizes</w:t>
      </w:r>
      <w:r>
        <w:rPr>
          <w:rFonts w:hint="default" w:ascii="Arial" w:hAnsi="Arial" w:cs="Arial"/>
          <w:i w:val="0"/>
          <w:iCs w:val="0"/>
          <w:color w:val="000000"/>
          <w:sz w:val="22"/>
          <w:szCs w:val="22"/>
          <w:u w:val="none"/>
          <w:shd w:val="clear" w:fill="FFFFFF"/>
          <w:vertAlign w:val="baseline"/>
        </w:rPr>
        <w:t xml:space="preserve"> the release of physical and psychological tension to access a freer and more authentic voice. Similarly,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explores the relationship between body, breath, voice, imagination, and language to cultivate expressive and authentic communication (Fitzmaurice, 2025). Together, these approaches provide the conceptual and practical foundation for the artefact and support the integration of embodied voice practices within a Caribbean-centred performer training environment.</w:t>
      </w:r>
    </w:p>
    <w:p w14:paraId="78DA3F64">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p>
    <w:p w14:paraId="03BDD7E5">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 xml:space="preserve">Best </w:t>
      </w:r>
      <w:r>
        <w:rPr>
          <w:rFonts w:hint="default" w:ascii="Arial" w:hAnsi="Arial" w:cs="Arial"/>
          <w:b/>
          <w:bCs/>
          <w:i w:val="0"/>
          <w:iCs w:val="0"/>
          <w:color w:val="000000"/>
          <w:sz w:val="22"/>
          <w:szCs w:val="22"/>
          <w:u w:val="none"/>
          <w:shd w:val="clear" w:fill="FFFFFF"/>
          <w:vertAlign w:val="baseline"/>
          <w:lang w:val="en-TT"/>
        </w:rPr>
        <w:t>P</w:t>
      </w:r>
      <w:r>
        <w:rPr>
          <w:rFonts w:hint="default" w:ascii="Arial" w:hAnsi="Arial" w:cs="Arial"/>
          <w:b/>
          <w:bCs/>
          <w:i w:val="0"/>
          <w:iCs w:val="0"/>
          <w:color w:val="000000"/>
          <w:sz w:val="22"/>
          <w:szCs w:val="22"/>
          <w:u w:val="none"/>
          <w:shd w:val="clear" w:fill="FFFFFF"/>
          <w:vertAlign w:val="baseline"/>
        </w:rPr>
        <w:t xml:space="preserve">ractice </w:t>
      </w:r>
      <w:r>
        <w:rPr>
          <w:rFonts w:hint="default" w:ascii="Arial" w:hAnsi="Arial" w:cs="Arial"/>
          <w:b/>
          <w:bCs/>
          <w:i w:val="0"/>
          <w:iCs w:val="0"/>
          <w:color w:val="000000"/>
          <w:sz w:val="22"/>
          <w:szCs w:val="22"/>
          <w:u w:val="none"/>
          <w:shd w:val="clear" w:fill="FFFFFF"/>
          <w:vertAlign w:val="baseline"/>
          <w:lang w:val="en-TT"/>
        </w:rPr>
        <w:t>I</w:t>
      </w:r>
      <w:r>
        <w:rPr>
          <w:rFonts w:hint="default" w:ascii="Arial" w:hAnsi="Arial" w:cs="Arial"/>
          <w:b/>
          <w:bCs/>
          <w:i w:val="0"/>
          <w:iCs w:val="0"/>
          <w:color w:val="000000"/>
          <w:sz w:val="22"/>
          <w:szCs w:val="22"/>
          <w:u w:val="none"/>
          <w:shd w:val="clear" w:fill="FFFFFF"/>
          <w:vertAlign w:val="baseline"/>
        </w:rPr>
        <w:t>nfluences</w:t>
      </w:r>
    </w:p>
    <w:p w14:paraId="3211A4C0">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 development of virtual learning environments, interactive teaching practices, and digital tools for artistic creation continues to transform arts education (Ji and Shen, 2025). Similarly, advances in web technologies have increased the accessibility and visibility of grey literature, making it a valuable resource for researchers (De Blaaij, 2004). As this study adopts a practice-based approach, grey literature provides an important source of practitioner knowledge and professional insight. In addition, best-practice resources from the National Institute on Deafness and Other Communication Disorders and Science-Informed Voice Pedagogy Resources inform the development of the artefact.</w:t>
      </w:r>
    </w:p>
    <w:p w14:paraId="4E870911">
      <w:pPr>
        <w:pStyle w:val="4"/>
        <w:keepNext w:val="0"/>
        <w:keepLines w:val="0"/>
        <w:widowControl/>
        <w:suppressLineNumbers w:val="0"/>
        <w:bidi w:val="0"/>
        <w:spacing w:before="280" w:beforeAutospacing="0" w:after="80" w:afterAutospacing="0" w:line="360" w:lineRule="auto"/>
        <w:jc w:val="both"/>
        <w:rPr>
          <w:rFonts w:hint="default" w:ascii="Arial" w:hAnsi="Arial" w:cs="Arial"/>
          <w:sz w:val="22"/>
          <w:szCs w:val="22"/>
        </w:rPr>
      </w:pPr>
      <w:r>
        <w:rPr>
          <w:rFonts w:hint="default" w:ascii="Arial" w:hAnsi="Arial" w:cs="Arial"/>
          <w:b w:val="0"/>
          <w:bCs w:val="0"/>
          <w:i/>
          <w:iCs/>
          <w:color w:val="000000"/>
          <w:sz w:val="22"/>
          <w:szCs w:val="22"/>
          <w:u w:val="single"/>
          <w:shd w:val="clear" w:fill="FFFFFF"/>
          <w:vertAlign w:val="baseline"/>
        </w:rPr>
        <w:t>Justification for Grey Literature</w:t>
      </w:r>
    </w:p>
    <w:p w14:paraId="556AB4AD">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Grey literature encompasses materials produced outside traditional academic and commercial publishing channels, including practitioner reflections, reports, and dissertations (Young, Premji et al., 2023). Although it does not undergo formal peer review and therefore requires careful critical evaluation (UIU, 2026), it offers timely and practice-oriented perspectives that may not be available in academic publications (Auger, 2017).</w:t>
      </w:r>
    </w:p>
    <w:p w14:paraId="1F9062E5">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 inclusion of grey literature is particularly important to this study because practice-based research values practitioner knowledge alongside academic scholarship. Furthermore, the limited body of Caribbean voice pedagogy research means that relevant knowledge is often found within practitioner writings and other non-traditional sources. Including grey literature therefore broadens the scope of the review and contributes to a more comprehensive understanding of the available evidence (Mahood, Van Eerd et al., 2014).</w:t>
      </w:r>
    </w:p>
    <w:p w14:paraId="71EC397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Despite concerns regarding quality assurance, grey literature can reduce publication bias, improve the timeliness of reviews, and provide a more balanced representation of existing knowledge (Paez, 2017). Consequently, this study draws upon both peer-reviewed and grey literature to ensure a comprehensive and critically informed evaluation of the field. The grey literature included in this study comprises practitioner reflections, dissertations, and professional resources relevant to voice pedagogy and performer training.</w:t>
      </w:r>
    </w:p>
    <w:p w14:paraId="01F8EB8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360" w:lineRule="auto"/>
        <w:jc w:val="both"/>
        <w:rPr>
          <w:rFonts w:hint="default" w:ascii="Arial" w:hAnsi="Arial" w:cs="Arial"/>
          <w:b/>
          <w:bCs/>
          <w:i w:val="0"/>
          <w:iCs w:val="0"/>
          <w:color w:val="000000"/>
          <w:sz w:val="22"/>
          <w:szCs w:val="22"/>
          <w:u w:val="none"/>
          <w:shd w:val="clear" w:fill="FFFFFF"/>
          <w:vertAlign w:val="baseline"/>
        </w:rPr>
      </w:pPr>
    </w:p>
    <w:p w14:paraId="360E215D">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360" w:lineRule="auto"/>
        <w:jc w:val="both"/>
        <w:rPr>
          <w:rFonts w:hint="default" w:ascii="Arial" w:hAnsi="Arial" w:cs="Arial"/>
          <w:b/>
          <w:bCs/>
          <w:i w:val="0"/>
          <w:iCs w:val="0"/>
          <w:color w:val="000000"/>
          <w:sz w:val="22"/>
          <w:szCs w:val="22"/>
          <w:u w:val="none"/>
          <w:shd w:val="clear" w:fill="FFFFFF"/>
          <w:vertAlign w:val="baseline"/>
        </w:rPr>
      </w:pPr>
      <w:r>
        <w:rPr>
          <w:rFonts w:hint="default" w:ascii="Arial" w:hAnsi="Arial" w:cs="Arial"/>
          <w:b/>
          <w:bCs/>
          <w:i w:val="0"/>
          <w:iCs w:val="0"/>
          <w:color w:val="000000"/>
          <w:sz w:val="22"/>
          <w:szCs w:val="22"/>
          <w:u w:val="none"/>
          <w:shd w:val="clear" w:fill="FFFFFF"/>
          <w:vertAlign w:val="baseline"/>
        </w:rPr>
        <w:t>Methodological Influences</w:t>
      </w:r>
    </w:p>
    <w:p w14:paraId="6B128033">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360" w:lineRule="auto"/>
        <w:jc w:val="both"/>
        <w:rPr>
          <w:rFonts w:hint="default" w:ascii="Arial" w:hAnsi="Arial" w:cs="Arial"/>
          <w:b/>
          <w:bCs/>
          <w:i w:val="0"/>
          <w:iCs w:val="0"/>
          <w:color w:val="000000"/>
          <w:sz w:val="22"/>
          <w:szCs w:val="22"/>
          <w:u w:val="none"/>
          <w:shd w:val="clear" w:fill="FFFFFF"/>
          <w:vertAlign w:val="baseline"/>
        </w:rPr>
      </w:pPr>
    </w:p>
    <w:p w14:paraId="6082BFC6">
      <w:pPr>
        <w:pStyle w:val="11"/>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methodological approach underpinning this artefact will combine theoretical knowledge, best-practice guidance, practitioner experience, and Caribbean cultural knowledge. Drawing on a practice-based research framework, the project will bring the Linklater Voice Method 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into dialogue with somatic practice, Caribbean performance traditions, and digital pedagogy to inform both the content and delivery of the course. This integration will support the development of a culturally responsive online learning experience that will </w:t>
      </w:r>
      <w:r>
        <w:rPr>
          <w:rFonts w:hint="default" w:ascii="Arial" w:hAnsi="Arial" w:cs="Arial"/>
          <w:i w:val="0"/>
          <w:iCs w:val="0"/>
          <w:color w:val="000000"/>
          <w:sz w:val="22"/>
          <w:szCs w:val="22"/>
          <w:u w:val="none"/>
          <w:shd w:val="clear" w:fill="FFFFFF"/>
          <w:vertAlign w:val="baseline"/>
          <w:lang w:val="en-TT"/>
        </w:rPr>
        <w:t>prioritize</w:t>
      </w:r>
      <w:r>
        <w:rPr>
          <w:rFonts w:hint="default" w:ascii="Arial" w:hAnsi="Arial" w:cs="Arial"/>
          <w:i w:val="0"/>
          <w:iCs w:val="0"/>
          <w:color w:val="000000"/>
          <w:sz w:val="22"/>
          <w:szCs w:val="22"/>
          <w:u w:val="none"/>
          <w:shd w:val="clear" w:fill="FFFFFF"/>
          <w:vertAlign w:val="baseline"/>
        </w:rPr>
        <w:t xml:space="preserve"> embodiment, vocal freedom, accessibility, and participant engagement while </w:t>
      </w:r>
      <w:r>
        <w:rPr>
          <w:rFonts w:hint="default" w:ascii="Arial" w:hAnsi="Arial" w:cs="Arial"/>
          <w:i w:val="0"/>
          <w:iCs w:val="0"/>
          <w:color w:val="000000"/>
          <w:sz w:val="22"/>
          <w:szCs w:val="22"/>
          <w:u w:val="none"/>
          <w:shd w:val="clear" w:fill="FFFFFF"/>
          <w:vertAlign w:val="baseline"/>
          <w:lang w:val="en-TT"/>
        </w:rPr>
        <w:t>recognizing</w:t>
      </w:r>
      <w:r>
        <w:rPr>
          <w:rFonts w:hint="default" w:ascii="Arial" w:hAnsi="Arial" w:cs="Arial"/>
          <w:i w:val="0"/>
          <w:iCs w:val="0"/>
          <w:color w:val="000000"/>
          <w:sz w:val="22"/>
          <w:szCs w:val="22"/>
          <w:u w:val="none"/>
          <w:shd w:val="clear" w:fill="FFFFFF"/>
          <w:vertAlign w:val="baseline"/>
        </w:rPr>
        <w:t xml:space="preserve"> Caribbean cultural practices as valuable sources of performer-training knowledge. </w:t>
      </w:r>
    </w:p>
    <w:p w14:paraId="747E9744">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p>
    <w:p w14:paraId="2346F313">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Gantt Chart</w:t>
      </w:r>
    </w:p>
    <w:p w14:paraId="168E6DE3">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 Gantt chart below will provide a structured framework for managing the project timeline, supporting the efficient allocation of time, personnel, and other available resources throughout the research and artefact development process (Ramachandran and Karthick, 2019).</w:t>
      </w:r>
    </w:p>
    <w:p w14:paraId="6883D31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drawing>
          <wp:inline distT="0" distB="0" distL="114300" distR="114300">
            <wp:extent cx="5943600" cy="1685925"/>
            <wp:effectExtent l="0" t="0" r="0" b="952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6"/>
                    <a:stretch>
                      <a:fillRect/>
                    </a:stretch>
                  </pic:blipFill>
                  <pic:spPr>
                    <a:xfrm>
                      <a:off x="0" y="0"/>
                      <a:ext cx="5943600" cy="1685925"/>
                    </a:xfrm>
                    <a:prstGeom prst="rect">
                      <a:avLst/>
                    </a:prstGeom>
                    <a:noFill/>
                    <a:ln w="9525">
                      <a:noFill/>
                    </a:ln>
                  </pic:spPr>
                </pic:pic>
              </a:graphicData>
            </a:graphic>
          </wp:inline>
        </w:drawing>
      </w:r>
    </w:p>
    <w:p w14:paraId="2D87C60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Chart 1.1 is a timescale for time manage</w:t>
      </w:r>
    </w:p>
    <w:p w14:paraId="609FC125">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p>
    <w:p w14:paraId="6A8CA535">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Ethical Considerations</w:t>
      </w:r>
    </w:p>
    <w:p w14:paraId="3099E994">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Ethical practice informs the design and delivery of this artefact. Particular attention is given to participant wellbeing by encouraging individuals to engage with breath, body, and voice exercises within their own physical and emotional limits. The course also promotes accessibility and inclusivity by </w:t>
      </w:r>
      <w:r>
        <w:rPr>
          <w:rFonts w:hint="default" w:ascii="Arial" w:hAnsi="Arial" w:cs="Arial"/>
          <w:i w:val="0"/>
          <w:iCs w:val="0"/>
          <w:color w:val="000000"/>
          <w:sz w:val="22"/>
          <w:szCs w:val="22"/>
          <w:u w:val="none"/>
          <w:shd w:val="clear" w:fill="FFFFFF"/>
          <w:vertAlign w:val="baseline"/>
          <w:lang w:val="en-TT"/>
        </w:rPr>
        <w:t>recognizing</w:t>
      </w:r>
      <w:r>
        <w:rPr>
          <w:rFonts w:hint="default" w:ascii="Arial" w:hAnsi="Arial" w:cs="Arial"/>
          <w:i w:val="0"/>
          <w:iCs w:val="0"/>
          <w:color w:val="000000"/>
          <w:sz w:val="22"/>
          <w:szCs w:val="22"/>
          <w:u w:val="none"/>
          <w:shd w:val="clear" w:fill="FFFFFF"/>
          <w:vertAlign w:val="baseline"/>
        </w:rPr>
        <w:t xml:space="preserve"> diverse levels of experience, abilities, and cultural backgrounds.</w:t>
      </w:r>
    </w:p>
    <w:p w14:paraId="770B7807">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As the artefact integrates Caribbean cultural practices, care is taken to represent these traditions respectfully and acknowledge their cultural significance. In addition, any participant recordings, reflections, or submitted materials are managed in accordance with principles of privacy and confidentiality. Participants are provided with clear guidance regarding course activities and are free to withdraw from exercises that cause discomfort. These considerations support the creation of a safe, respectful, and culturally responsive learning environment.</w:t>
      </w:r>
    </w:p>
    <w:p w14:paraId="73E43AB8">
      <w:pPr>
        <w:keepNext w:val="0"/>
        <w:keepLines w:val="0"/>
        <w:widowControl/>
        <w:suppressLineNumbers w:val="0"/>
        <w:spacing w:line="360" w:lineRule="auto"/>
        <w:jc w:val="both"/>
        <w:rPr>
          <w:rFonts w:hint="default" w:ascii="Arial" w:hAnsi="Arial" w:cs="Arial"/>
          <w:sz w:val="22"/>
          <w:szCs w:val="22"/>
        </w:rPr>
      </w:pPr>
    </w:p>
    <w:p w14:paraId="1D7D3331">
      <w:pPr>
        <w:pStyle w:val="11"/>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Aim</w:t>
      </w:r>
      <w:r>
        <w:rPr>
          <w:rFonts w:hint="default" w:ascii="Arial" w:hAnsi="Arial" w:cs="Arial"/>
          <w:b/>
          <w:bCs/>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t xml:space="preserve">To develop an effective short course in voice training for Caribbean performers, informed by the application of Linklater </w:t>
      </w:r>
      <w:r>
        <w:rPr>
          <w:rFonts w:hint="default" w:ascii="Arial" w:hAnsi="Arial" w:cs="Arial"/>
          <w:i w:val="0"/>
          <w:iCs w:val="0"/>
          <w:color w:val="000000"/>
          <w:sz w:val="22"/>
          <w:szCs w:val="22"/>
          <w:u w:val="none"/>
          <w:shd w:val="clear" w:fill="FFFFFF"/>
          <w:vertAlign w:val="baseline"/>
          <w:lang w:val="en-TT"/>
        </w:rPr>
        <w:t xml:space="preserve">Voice Method </w:t>
      </w:r>
      <w:r>
        <w:rPr>
          <w:rFonts w:hint="default" w:ascii="Arial" w:hAnsi="Arial" w:cs="Arial"/>
          <w:i w:val="0"/>
          <w:iCs w:val="0"/>
          <w:color w:val="000000"/>
          <w:sz w:val="22"/>
          <w:szCs w:val="22"/>
          <w:u w:val="none"/>
          <w:shd w:val="clear" w:fill="FFFFFF"/>
          <w:vertAlign w:val="baseline"/>
        </w:rPr>
        <w:t xml:space="preserve">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within a Caribbean performance context.</w:t>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b/>
          <w:bCs/>
          <w:i w:val="0"/>
          <w:iCs w:val="0"/>
          <w:color w:val="000000"/>
          <w:sz w:val="22"/>
          <w:szCs w:val="22"/>
          <w:u w:val="none"/>
          <w:shd w:val="clear" w:fill="FFFFFF"/>
          <w:vertAlign w:val="baseline"/>
        </w:rPr>
        <w:t>Objectives</w:t>
      </w:r>
      <w:r>
        <w:rPr>
          <w:rFonts w:hint="default" w:ascii="Arial" w:hAnsi="Arial" w:cs="Arial"/>
          <w:b/>
          <w:bCs/>
          <w:i w:val="0"/>
          <w:iCs w:val="0"/>
          <w:color w:val="000000"/>
          <w:sz w:val="22"/>
          <w:szCs w:val="22"/>
          <w:u w:val="none"/>
          <w:shd w:val="clear" w:fill="FFFFFF"/>
          <w:vertAlign w:val="baseline"/>
        </w:rPr>
        <w:br w:type="textWrapping"/>
      </w:r>
      <w:r>
        <w:rPr>
          <w:rFonts w:hint="default" w:ascii="Arial" w:hAnsi="Arial" w:cs="Arial"/>
          <w:b/>
          <w:bCs/>
          <w:i w:val="0"/>
          <w:iCs w:val="0"/>
          <w:color w:val="000000"/>
          <w:sz w:val="22"/>
          <w:szCs w:val="22"/>
          <w:u w:val="none"/>
          <w:shd w:val="clear" w:fill="FFFFFF"/>
          <w:vertAlign w:val="baseline"/>
        </w:rPr>
        <w:br w:type="textWrapping"/>
      </w:r>
      <w:r>
        <w:rPr>
          <w:rFonts w:hint="default" w:ascii="Arial" w:hAnsi="Arial" w:cs="Arial"/>
          <w:sz w:val="22"/>
          <w:szCs w:val="22"/>
        </w:rPr>
        <w:t>To critically evaluate key principles of Linklater Voice Method and Fitzmaurice Voicework, with particular emphasis on breath and voice.</w:t>
      </w:r>
    </w:p>
    <w:p w14:paraId="02EEFAB8">
      <w:pPr>
        <w:pStyle w:val="11"/>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To interrogate and analyse Caribbean cultural and performance practices that may inform embodied approaches to voice training.</w:t>
      </w:r>
    </w:p>
    <w:p w14:paraId="7C7070C8">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To critically examine how selected principles from Linklater Voice Method, Fitzmaurice </w:t>
      </w:r>
      <w:r>
        <w:rPr>
          <w:rFonts w:hint="default" w:ascii="Arial" w:hAnsi="Arial" w:cs="Arial"/>
          <w:sz w:val="22"/>
          <w:szCs w:val="22"/>
          <w:lang w:val="en-TT"/>
        </w:rPr>
        <w:t>Voicework</w:t>
      </w:r>
      <w:r>
        <w:rPr>
          <w:rFonts w:hint="default" w:ascii="Arial" w:hAnsi="Arial" w:cs="Arial"/>
          <w:sz w:val="22"/>
          <w:szCs w:val="22"/>
        </w:rPr>
        <w:t>, and Caribbean performance practices can be integrated into the design of a structured short course for Caribbean performers.</w:t>
      </w:r>
    </w:p>
    <w:p w14:paraId="5028F0BE">
      <w:pPr>
        <w:pStyle w:val="11"/>
        <w:keepNext w:val="0"/>
        <w:keepLines w:val="0"/>
        <w:widowControl/>
        <w:numPr>
          <w:ilvl w:val="0"/>
          <w:numId w:val="0"/>
        </w:numPr>
        <w:suppressLineNumbers w:val="0"/>
        <w:bidi w:val="0"/>
        <w:spacing w:before="240" w:beforeAutospacing="0" w:after="240" w:afterAutospacing="0" w:line="360" w:lineRule="auto"/>
        <w:ind w:leftChars="0" w:right="0" w:rightChars="0"/>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Learning Outcomes:</w:t>
      </w:r>
      <w:r>
        <w:rPr>
          <w:rFonts w:hint="default" w:ascii="Arial" w:hAnsi="Arial" w:cs="Arial"/>
          <w:b/>
          <w:bCs/>
          <w:i w:val="0"/>
          <w:iCs w:val="0"/>
          <w:color w:val="000000"/>
          <w:sz w:val="22"/>
          <w:szCs w:val="22"/>
          <w:u w:val="none"/>
          <w:shd w:val="clear" w:fill="FFFFFF"/>
          <w:vertAlign w:val="baseline"/>
        </w:rPr>
        <w:br w:type="textWrapping"/>
      </w:r>
      <w:r>
        <w:rPr>
          <w:rFonts w:hint="default" w:ascii="Arial" w:hAnsi="Arial" w:cs="Arial"/>
          <w:b/>
          <w:bCs/>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t xml:space="preserve">Demonstrate a critical understanding of the principles of Linklater 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in relation to breath and voice.</w:t>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t>Analyse key characteristics of Caribbean practice, particularly in relation to vocal expression and embodied communication.</w:t>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t xml:space="preserve">Apply selected </w:t>
      </w:r>
      <w:r>
        <w:rPr>
          <w:rFonts w:hint="default" w:ascii="Arial" w:hAnsi="Arial" w:cs="Arial"/>
          <w:i w:val="0"/>
          <w:iCs w:val="0"/>
          <w:color w:val="000000"/>
          <w:sz w:val="22"/>
          <w:szCs w:val="22"/>
          <w:u w:val="none"/>
          <w:shd w:val="clear" w:fill="FFFFFF"/>
          <w:vertAlign w:val="baseline"/>
          <w:lang w:val="en-TT"/>
        </w:rPr>
        <w:t>voice work</w:t>
      </w:r>
      <w:r>
        <w:rPr>
          <w:rFonts w:hint="default" w:ascii="Arial" w:hAnsi="Arial" w:cs="Arial"/>
          <w:i w:val="0"/>
          <w:iCs w:val="0"/>
          <w:color w:val="000000"/>
          <w:sz w:val="22"/>
          <w:szCs w:val="22"/>
          <w:u w:val="none"/>
          <w:shd w:val="clear" w:fill="FFFFFF"/>
          <w:vertAlign w:val="baseline"/>
        </w:rPr>
        <w:t xml:space="preserve"> principles through practical exercises informed by Caribbean cultural practices.</w:t>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br w:type="textWrapping"/>
      </w:r>
      <w:r>
        <w:rPr>
          <w:rFonts w:hint="default" w:ascii="Arial" w:hAnsi="Arial" w:cs="Arial"/>
          <w:i w:val="0"/>
          <w:iCs w:val="0"/>
          <w:color w:val="000000"/>
          <w:sz w:val="22"/>
          <w:szCs w:val="22"/>
          <w:u w:val="none"/>
          <w:shd w:val="clear" w:fill="FFFFFF"/>
          <w:vertAlign w:val="baseline"/>
        </w:rPr>
        <w:t>Evaluate the effectiveness of breath-based techniques in supporting vocal freedom and performance.</w:t>
      </w:r>
    </w:p>
    <w:p w14:paraId="6310DFED">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w:t>
      </w:r>
    </w:p>
    <w:p w14:paraId="135D12E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Assessment Criteria</w:t>
      </w:r>
      <w:r>
        <w:rPr>
          <w:rFonts w:hint="default" w:ascii="Arial" w:hAnsi="Arial" w:cs="Arial"/>
          <w:i w:val="0"/>
          <w:iCs w:val="0"/>
          <w:color w:val="000000"/>
          <w:sz w:val="22"/>
          <w:szCs w:val="22"/>
          <w:u w:val="none"/>
          <w:shd w:val="clear" w:fill="FFFFFF"/>
          <w:vertAlign w:val="baseline"/>
        </w:rPr>
        <w:t> </w:t>
      </w:r>
    </w:p>
    <w:p w14:paraId="2FDCA4BC">
      <w:pPr>
        <w:pStyle w:val="11"/>
        <w:keepNext w:val="0"/>
        <w:keepLines w:val="0"/>
        <w:widowControl/>
        <w:suppressLineNumbers w:val="0"/>
        <w:bidi w:val="0"/>
        <w:spacing w:before="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Assessment refers to the process of evaluating the quality and standard of work through informed professional judgement (Woolf, 2004). The success of the artefact will be evaluated through two interconnected domains: process and efficacy. Process evaluation will examine the extent to which the artefact integrates the theoretical, pedagogical, and cultural influences underpinning the study, including the Linklater Voice Method,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somatic practice, Caribbean cultural practices, and digital pedagogy. Efficacy evaluation will assess the extent to which the artefact achieves its aims and objectives, particularly in promoting breath awareness, embodiment, vocal expression, and culturally responsive performer training for Caribbean actors. Evaluation will be informed by ongoing reference to the project aims and objectives, critical reflection, and consideration of the artefact’s potential application within professional performer-training contexts. </w:t>
      </w:r>
    </w:p>
    <w:p w14:paraId="1CDA0E80">
      <w:pPr>
        <w:pStyle w:val="11"/>
        <w:keepNext w:val="0"/>
        <w:keepLines w:val="0"/>
        <w:widowControl/>
        <w:suppressLineNumbers w:val="0"/>
        <w:bidi w:val="0"/>
        <w:spacing w:before="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p>
    <w:p w14:paraId="3C947532">
      <w:pPr>
        <w:pStyle w:val="11"/>
        <w:keepNext w:val="0"/>
        <w:keepLines w:val="0"/>
        <w:widowControl/>
        <w:suppressLineNumbers w:val="0"/>
        <w:bidi w:val="0"/>
        <w:spacing w:before="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Timescales and review dates</w:t>
      </w:r>
    </w:p>
    <w:p w14:paraId="2DD58F7A">
      <w:pPr>
        <w:keepNext w:val="0"/>
        <w:keepLines w:val="0"/>
        <w:widowControl/>
        <w:suppressLineNumbers w:val="0"/>
        <w:spacing w:line="360" w:lineRule="auto"/>
        <w:jc w:val="both"/>
        <w:rPr>
          <w:rFonts w:hint="default" w:ascii="Arial" w:hAnsi="Arial" w:cs="Arial"/>
          <w:sz w:val="22"/>
          <w:szCs w:val="22"/>
        </w:rPr>
      </w:pPr>
    </w:p>
    <w:tbl>
      <w:tblPr>
        <w:tblStyle w:val="6"/>
        <w:tblW w:w="936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811"/>
        <w:gridCol w:w="5798"/>
        <w:gridCol w:w="1751"/>
      </w:tblGrid>
      <w:tr w14:paraId="2F34147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004CF4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Phase</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368F66B">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Activity</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4342A35">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Timeline</w:t>
            </w:r>
          </w:p>
        </w:tc>
      </w:tr>
      <w:tr w14:paraId="0AA3DD4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11C0975">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Lectures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43D3366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Attend weekly lectures about what is expected for module 5, and details about what the course entails.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F6F9BF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March 2026</w:t>
            </w:r>
          </w:p>
        </w:tc>
      </w:tr>
      <w:tr w14:paraId="3D8678B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829DE40">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Research </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3B6EBEC">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Search and review literature on Linklater, Fitzmaurice, somatics, Caribbean performance practices, and digital pedagogy.</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43EB69B7">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March 2026</w:t>
            </w:r>
          </w:p>
        </w:tc>
      </w:tr>
      <w:tr w14:paraId="600BD29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9364498">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Tutorial</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12D54B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Attend monthly tutorials. If more is needed it will be requested.</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E5B42C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March, April and May 2026</w:t>
            </w:r>
          </w:p>
        </w:tc>
      </w:tr>
      <w:tr w14:paraId="185A723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6CD8167">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Write Introduction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40769E2">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Decide on a topic and write an introduction and rationale.</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41B919D">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1st, 2026</w:t>
            </w:r>
          </w:p>
        </w:tc>
      </w:tr>
      <w:tr w14:paraId="6FA357C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344D42B">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Artefact Concept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72FF444">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Explore what can be done.</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8D372CF">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3rd-5th, 2026</w:t>
            </w:r>
          </w:p>
        </w:tc>
      </w:tr>
      <w:tr w14:paraId="0E30871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A112DF3">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Research</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7640868">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Do more research.</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A3DD460">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2026</w:t>
            </w:r>
          </w:p>
        </w:tc>
      </w:tr>
      <w:tr w14:paraId="4BE3BD2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5B16BB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Finalize Artefact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4D55C05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Solidify choice.</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B67DFC9">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15th, 2026</w:t>
            </w:r>
          </w:p>
        </w:tc>
      </w:tr>
      <w:tr w14:paraId="3C83E38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FE4F08D">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Research Design </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A687D6C">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Develop methodology, inclusion/exclusion criteria, and ethical considerations.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DE3DD11">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16th-17th, 2026</w:t>
            </w:r>
          </w:p>
        </w:tc>
      </w:tr>
      <w:tr w14:paraId="7BF3233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345758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Artefact Planning </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B1AC880">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Determine course structure, learning outcomes, and unit content.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C72D18D">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18th-19th, 2026</w:t>
            </w:r>
          </w:p>
        </w:tc>
      </w:tr>
      <w:tr w14:paraId="507BA0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97F18F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Content Development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B3CB4C9">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Create exercises, videos, reflective activities, and supporting resources.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B86B3D2">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24th-26th, 2026</w:t>
            </w:r>
          </w:p>
        </w:tc>
      </w:tr>
      <w:tr w14:paraId="57ECACF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74D76CB">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Digital Development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5D4264F">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Build and </w:t>
            </w:r>
            <w:r>
              <w:rPr>
                <w:rFonts w:hint="default" w:ascii="Arial" w:hAnsi="Arial" w:cs="Arial"/>
                <w:i w:val="0"/>
                <w:iCs w:val="0"/>
                <w:color w:val="000000"/>
                <w:sz w:val="22"/>
                <w:szCs w:val="22"/>
                <w:u w:val="none"/>
                <w:shd w:val="clear" w:fill="FFFFFF"/>
                <w:vertAlign w:val="baseline"/>
                <w:lang w:val="en-TT"/>
              </w:rPr>
              <w:t>organize</w:t>
            </w:r>
            <w:r>
              <w:rPr>
                <w:rFonts w:hint="default" w:ascii="Arial" w:hAnsi="Arial" w:cs="Arial"/>
                <w:i w:val="0"/>
                <w:iCs w:val="0"/>
                <w:color w:val="000000"/>
                <w:sz w:val="22"/>
                <w:szCs w:val="22"/>
                <w:u w:val="none"/>
                <w:shd w:val="clear" w:fill="FFFFFF"/>
                <w:vertAlign w:val="baseline"/>
              </w:rPr>
              <w:t xml:space="preserve"> the Google Classroom environment.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01BA82DC">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27th-May 3rd, 2026</w:t>
            </w:r>
          </w:p>
        </w:tc>
      </w:tr>
      <w:tr w14:paraId="6EE289A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4FF5632B">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Artefact Refinement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6A68CE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Review content, revise exercises, and ensure cultural relevance.</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BFD7CD4">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May 8th-10th, 2026</w:t>
            </w:r>
          </w:p>
        </w:tc>
      </w:tr>
      <w:tr w14:paraId="59A03F7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A4B5FFD">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Write Component 1</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BA6737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Complete planned programme of study.</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59DEB38">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April 21st-23rd, 2026</w:t>
            </w:r>
          </w:p>
        </w:tc>
      </w:tr>
      <w:tr w14:paraId="727460A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038E1AF9">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Write Component 2</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0C22283E">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Complete the project report. </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4F76028">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May 11th-16th, 2026</w:t>
            </w:r>
          </w:p>
        </w:tc>
      </w:tr>
      <w:tr w14:paraId="2F1AB17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3EE2ACAF">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Evaluation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4EC63B4">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Critically reflect on the artefact using aims, objectives, Nelson's Arts Praxis, and Kolb's Reflective Model.</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517E687">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May 17th-18th, 2026</w:t>
            </w:r>
          </w:p>
        </w:tc>
      </w:tr>
      <w:tr w14:paraId="0C2A034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8425EE1">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Draft Submission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0A0E6FEA">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Submit draft on May 18th.</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F53E3D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Submit!</w:t>
            </w:r>
          </w:p>
        </w:tc>
      </w:tr>
      <w:tr w14:paraId="496744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25087895">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Final Submission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48B15D12">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Submit final on June 1st.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E80DB56">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Submit!</w:t>
            </w:r>
          </w:p>
        </w:tc>
      </w:tr>
      <w:tr w14:paraId="1EE85C0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6516A34">
            <w:pPr>
              <w:keepNext w:val="0"/>
              <w:keepLines w:val="0"/>
              <w:widowControl/>
              <w:suppressLineNumbers w:val="0"/>
              <w:bidi w:val="0"/>
              <w:spacing w:line="360" w:lineRule="auto"/>
              <w:jc w:val="both"/>
              <w:textAlignment w:val="top"/>
              <w:rPr>
                <w:rFonts w:hint="default" w:ascii="Arial" w:hAnsi="Arial" w:cs="Arial"/>
                <w:sz w:val="22"/>
                <w:szCs w:val="22"/>
                <w:lang w:val="en-TT"/>
              </w:rPr>
            </w:pP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535D64EE">
            <w:pPr>
              <w:keepNext w:val="0"/>
              <w:keepLines w:val="0"/>
              <w:widowControl/>
              <w:suppressLineNumbers w:val="0"/>
              <w:bidi w:val="0"/>
              <w:spacing w:line="360" w:lineRule="auto"/>
              <w:jc w:val="both"/>
              <w:textAlignment w:val="top"/>
              <w:rPr>
                <w:rFonts w:hint="default" w:ascii="Arial" w:hAnsi="Arial" w:cs="Arial"/>
                <w:sz w:val="22"/>
                <w:szCs w:val="22"/>
                <w:lang w:val="en-TT"/>
              </w:rPr>
            </w:pPr>
            <w:r>
              <w:rPr>
                <w:rFonts w:hint="default" w:ascii="Arial" w:hAnsi="Arial" w:cs="Arial"/>
                <w:sz w:val="22"/>
                <w:szCs w:val="22"/>
                <w:lang w:val="en-TT"/>
              </w:rPr>
              <w:t>Prepare for Module 6</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6CEC7024">
            <w:pPr>
              <w:keepNext w:val="0"/>
              <w:keepLines w:val="0"/>
              <w:widowControl/>
              <w:suppressLineNumbers w:val="0"/>
              <w:bidi w:val="0"/>
              <w:spacing w:line="360" w:lineRule="auto"/>
              <w:jc w:val="both"/>
              <w:textAlignment w:val="top"/>
              <w:rPr>
                <w:rFonts w:hint="default" w:ascii="Arial" w:hAnsi="Arial" w:cs="Arial"/>
                <w:sz w:val="22"/>
                <w:szCs w:val="22"/>
              </w:rPr>
            </w:pPr>
          </w:p>
        </w:tc>
      </w:tr>
      <w:tr w14:paraId="310ECCC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90" w:hRule="atLeast"/>
        </w:trPr>
        <w:tc>
          <w:tcPr>
            <w:tcW w:w="1811"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032D41E6">
            <w:pPr>
              <w:keepNext w:val="0"/>
              <w:keepLines w:val="0"/>
              <w:widowControl/>
              <w:suppressLineNumbers w:val="0"/>
              <w:bidi w:val="0"/>
              <w:spacing w:line="360" w:lineRule="auto"/>
              <w:jc w:val="both"/>
              <w:textAlignment w:val="top"/>
              <w:rPr>
                <w:rFonts w:hint="default" w:ascii="Arial" w:hAnsi="Arial" w:cs="Arial"/>
                <w:sz w:val="22"/>
                <w:szCs w:val="22"/>
              </w:rPr>
            </w:pP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1867BDD7">
            <w:pPr>
              <w:keepNext w:val="0"/>
              <w:keepLines w:val="0"/>
              <w:widowControl/>
              <w:suppressLineNumbers w:val="0"/>
              <w:bidi w:val="0"/>
              <w:spacing w:line="360" w:lineRule="auto"/>
              <w:jc w:val="both"/>
              <w:textAlignment w:val="top"/>
              <w:rPr>
                <w:rFonts w:hint="default" w:ascii="Arial" w:hAnsi="Arial" w:cs="Arial"/>
                <w:sz w:val="22"/>
                <w:szCs w:val="22"/>
              </w:rPr>
            </w:pP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vAlign w:val="top"/>
          </w:tcPr>
          <w:p w14:paraId="7EF6ED81">
            <w:pPr>
              <w:keepNext w:val="0"/>
              <w:keepLines w:val="0"/>
              <w:widowControl/>
              <w:suppressLineNumbers w:val="0"/>
              <w:bidi w:val="0"/>
              <w:spacing w:line="360" w:lineRule="auto"/>
              <w:jc w:val="both"/>
              <w:textAlignment w:val="top"/>
              <w:rPr>
                <w:rFonts w:hint="default" w:ascii="Arial" w:hAnsi="Arial" w:cs="Arial"/>
                <w:sz w:val="22"/>
                <w:szCs w:val="22"/>
              </w:rPr>
            </w:pPr>
          </w:p>
        </w:tc>
      </w:tr>
    </w:tbl>
    <w:p w14:paraId="7C865D00">
      <w:pPr>
        <w:keepNext w:val="0"/>
        <w:keepLines w:val="0"/>
        <w:widowControl/>
        <w:suppressLineNumbers w:val="0"/>
        <w:spacing w:after="240" w:afterAutospacing="0" w:line="360" w:lineRule="auto"/>
        <w:jc w:val="both"/>
        <w:rPr>
          <w:rFonts w:hint="default" w:ascii="Arial" w:hAnsi="Arial" w:cs="Arial"/>
          <w:sz w:val="22"/>
          <w:szCs w:val="22"/>
        </w:rPr>
      </w:pP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cs="Arial"/>
          <w:b/>
          <w:bCs/>
          <w:i w:val="0"/>
          <w:iCs w:val="0"/>
          <w:color w:val="000000"/>
          <w:sz w:val="22"/>
          <w:szCs w:val="22"/>
          <w:u w:val="none"/>
          <w:shd w:val="clear" w:fill="FFFFFF"/>
          <w:vertAlign w:val="baseline"/>
        </w:rPr>
        <w:t>Methodology</w:t>
      </w:r>
    </w:p>
    <w:p w14:paraId="5E6CE21D">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Research is undertaken to address problems, generate new knowledge, and deepen understanding (Nelson, 2013). This study addresses a gap in Caribbean-specific actor voice training, where limited research exists on culturally responsive voice pedagogy for Caribbean performers. To support the interdisciplinary nature of the research, a multi-model methodological framework incorporating interpretivist, practice-based, phenomenological, and reflective approaches was employed.</w:t>
      </w:r>
    </w:p>
    <w:p w14:paraId="2555EBA4">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study is situated within an interpretivist paradigm, which </w:t>
      </w:r>
      <w:r>
        <w:rPr>
          <w:rFonts w:hint="default" w:ascii="Arial" w:hAnsi="Arial" w:cs="Arial"/>
          <w:i w:val="0"/>
          <w:iCs w:val="0"/>
          <w:color w:val="000000"/>
          <w:sz w:val="22"/>
          <w:szCs w:val="22"/>
          <w:u w:val="none"/>
          <w:shd w:val="clear" w:fill="FFFFFF"/>
          <w:vertAlign w:val="baseline"/>
          <w:lang w:val="en-TT"/>
        </w:rPr>
        <w:t>prioritizes</w:t>
      </w:r>
      <w:r>
        <w:rPr>
          <w:rFonts w:hint="default" w:ascii="Arial" w:hAnsi="Arial" w:cs="Arial"/>
          <w:i w:val="0"/>
          <w:iCs w:val="0"/>
          <w:color w:val="000000"/>
          <w:sz w:val="22"/>
          <w:szCs w:val="22"/>
          <w:u w:val="none"/>
          <w:shd w:val="clear" w:fill="FFFFFF"/>
          <w:vertAlign w:val="baseline"/>
        </w:rPr>
        <w:t xml:space="preserve"> the understanding of lived experiences, meanings, and social contexts (Elster, 2007; Chandler and Munday, 2020). Rather than seeking objective or universal truths, the research explores how Caribbean performers experience and interpret breath, voice, and embodiment within performance practice. This perspective is particularly relevant given that voice and performance are shaped by cultural identity, historical context, and individual lived experience.</w:t>
      </w:r>
    </w:p>
    <w:p w14:paraId="15FEF90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A practice-based research methodology was adopted through the creation of an original online short course, </w:t>
      </w:r>
      <w:r>
        <w:rPr>
          <w:rFonts w:hint="default" w:ascii="Arial" w:hAnsi="Arial" w:cs="Arial"/>
          <w:i/>
          <w:iCs/>
          <w:color w:val="000000"/>
          <w:sz w:val="22"/>
          <w:szCs w:val="22"/>
          <w:u w:val="none"/>
          <w:shd w:val="clear" w:fill="FFFFFF"/>
          <w:vertAlign w:val="baseline"/>
        </w:rPr>
        <w:t>Breath in Performance: Unlocking the Caribbean Actor’s Voice</w:t>
      </w:r>
      <w:r>
        <w:rPr>
          <w:rFonts w:hint="default" w:ascii="Arial" w:hAnsi="Arial" w:cs="Arial"/>
          <w:i w:val="0"/>
          <w:iCs w:val="0"/>
          <w:color w:val="000000"/>
          <w:sz w:val="22"/>
          <w:szCs w:val="22"/>
          <w:u w:val="none"/>
          <w:shd w:val="clear" w:fill="FFFFFF"/>
          <w:vertAlign w:val="baseline"/>
        </w:rPr>
        <w:t>. The artefact serves as both a creative outcome and a pedagogical investigation into breath-centred voice training. Practice-based research bridges the gap between theory and practice, generating knowledge through creative activity and critical reflection (Crooke and Olswang, 2015). As Candy (2006) notes, practice-based research is distinguished by the creative artefact constituting the primary contribution to knowledge.</w:t>
      </w:r>
    </w:p>
    <w:p w14:paraId="5C015A28">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study is further informed by praxis, which </w:t>
      </w:r>
      <w:r>
        <w:rPr>
          <w:rFonts w:hint="default" w:ascii="Arial" w:hAnsi="Arial" w:cs="Arial"/>
          <w:i w:val="0"/>
          <w:iCs w:val="0"/>
          <w:color w:val="000000"/>
          <w:sz w:val="22"/>
          <w:szCs w:val="22"/>
          <w:u w:val="none"/>
          <w:shd w:val="clear" w:fill="FFFFFF"/>
          <w:vertAlign w:val="baseline"/>
          <w:lang w:val="en-TT"/>
        </w:rPr>
        <w:t>emphasizes</w:t>
      </w:r>
      <w:r>
        <w:rPr>
          <w:rFonts w:hint="default" w:ascii="Arial" w:hAnsi="Arial" w:cs="Arial"/>
          <w:i w:val="0"/>
          <w:iCs w:val="0"/>
          <w:color w:val="000000"/>
          <w:sz w:val="22"/>
          <w:szCs w:val="22"/>
          <w:u w:val="none"/>
          <w:shd w:val="clear" w:fill="FFFFFF"/>
          <w:vertAlign w:val="baseline"/>
        </w:rPr>
        <w:t xml:space="preserve"> the integration of theory and practice while </w:t>
      </w:r>
      <w:r>
        <w:rPr>
          <w:rFonts w:hint="default" w:ascii="Arial" w:hAnsi="Arial" w:cs="Arial"/>
          <w:i w:val="0"/>
          <w:iCs w:val="0"/>
          <w:color w:val="000000"/>
          <w:sz w:val="22"/>
          <w:szCs w:val="22"/>
          <w:u w:val="none"/>
          <w:shd w:val="clear" w:fill="FFFFFF"/>
          <w:vertAlign w:val="baseline"/>
          <w:lang w:val="en-TT"/>
        </w:rPr>
        <w:t>recognizing</w:t>
      </w:r>
      <w:r>
        <w:rPr>
          <w:rFonts w:hint="default" w:ascii="Arial" w:hAnsi="Arial" w:cs="Arial"/>
          <w:i w:val="0"/>
          <w:iCs w:val="0"/>
          <w:color w:val="000000"/>
          <w:sz w:val="22"/>
          <w:szCs w:val="22"/>
          <w:u w:val="none"/>
          <w:shd w:val="clear" w:fill="FFFFFF"/>
          <w:vertAlign w:val="baseline"/>
        </w:rPr>
        <w:t xml:space="preserve"> the transformative potential of practical activity (Wainwright, 2022). This perspective supports the relationship between embodied voice practice, Caribbean cultural performance traditions, and pedagogical design throughout the development of the artefact.</w:t>
      </w:r>
    </w:p>
    <w:p w14:paraId="25803D2D">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 phenomenological-hermeneutic lens is also adopted to examine participants’ lived experiences and interpretations of breath-centred performance practice. Phenomenology seeks to understand experience from the perspective of those who live it (Connelly, 2010), while hermeneutics focuses on the interpretation of meaning within human experience (Chandler and Munday, 2020). This approach is particularly relevant as the study incorporates embodied Caribbean cultural practices, including traditional Carnival characters, extempo, and Spiritual Baptist traditions, all of which engage the body, voice, emotion, and cultural memory. Reflective activities within the course encourage participants to examine their experiences of breath, embodiment, and vocal expression.</w:t>
      </w:r>
    </w:p>
    <w:p w14:paraId="3BCB4E4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Finally, Nelson’s Model of Arts Praxis informed the examination of theoretical, practical, and reflective knowledge throughout the development of the artefact, while Kolb’s Reflective Learning Model supported the critical evaluation of the design and implementation process.</w:t>
      </w:r>
    </w:p>
    <w:p w14:paraId="458ACA84">
      <w:pPr>
        <w:pStyle w:val="4"/>
        <w:keepNext w:val="0"/>
        <w:keepLines w:val="0"/>
        <w:widowControl/>
        <w:suppressLineNumbers w:val="0"/>
        <w:bidi w:val="0"/>
        <w:spacing w:before="280" w:beforeAutospacing="0" w:after="80" w:afterAutospacing="0" w:line="360" w:lineRule="auto"/>
        <w:jc w:val="both"/>
        <w:rPr>
          <w:rFonts w:hint="default" w:ascii="Arial" w:hAnsi="Arial" w:cs="Arial"/>
          <w:b/>
          <w:bCs/>
          <w:i w:val="0"/>
          <w:iCs w:val="0"/>
          <w:sz w:val="22"/>
          <w:szCs w:val="22"/>
          <w:u w:val="none"/>
        </w:rPr>
      </w:pPr>
      <w:r>
        <w:rPr>
          <w:rFonts w:hint="default" w:ascii="Arial" w:hAnsi="Arial" w:cs="Arial"/>
          <w:b/>
          <w:bCs/>
          <w:i w:val="0"/>
          <w:iCs w:val="0"/>
          <w:color w:val="000000"/>
          <w:sz w:val="22"/>
          <w:szCs w:val="22"/>
          <w:u w:val="none"/>
          <w:shd w:val="clear" w:fill="FFFFFF"/>
          <w:vertAlign w:val="baseline"/>
        </w:rPr>
        <w:t>Literature Search, Inclusion and Exclusion Criteria</w:t>
      </w:r>
    </w:p>
    <w:p w14:paraId="33396E6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To inform the development of the artefact, literature was identified through searches of Google Scholar, Google, UWTSD and other library databases, as well as relevant grey literature sources. Key search terms included “Linklater Voice Method,”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“actor voice training,” “breath-centred voice training,” “somatic practice,” “embodied learning,” “Caribbean culture,” “Caribbean performance,” “traditional Carnival characters,” and “digital pedagogy.” These terms were selected to support the development of the course’s body, breath, voice, and cultural expression components. Priority was given to sources published between 2000 and 2026, while seminal works were included where relevant.</w:t>
      </w:r>
    </w:p>
    <w:p w14:paraId="1DB4F350">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Included sources focused on voice training, breath work, embodiment, somatic practice, actor training, performance practice, arts and digital pedagogy, and qualitative, practice-based, interpretivist, or phenomenological approaches. Literature relating to the Linklater Voice Method, Fitzmaurice Voicework, Kolb’s Reflective Learning Model, Nelson’s Trio of Knowledges, Caribbean cultural contexts, embodied practice, and culturally responsive pedagogy was also included. Sources comprised peer-reviewed journal articles, books, theses, conference papers, and relevant English-language grey literature.</w:t>
      </w:r>
    </w:p>
    <w:p w14:paraId="039E799B">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rPr>
        <w:t>Sources were excluded if they focused primarily on clinical voice disorders unrelated to performer training, lacked relevance to acting, voice pedagogy, embodiment, or performance practice, or relied exclusively on technical scientific measurement without consideration of lived experience. Duplicate sources, materials lacking sufficient academic credibility, and publications without accessible English translations were also excluded. This process ensured that the theoretical, practical, and pedagogical resources selected were aligned with the artefact’s aims and development.</w:t>
      </w:r>
    </w:p>
    <w:p w14:paraId="105DB7A2">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p>
    <w:p w14:paraId="76712C3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Project Report</w:t>
      </w:r>
    </w:p>
    <w:p w14:paraId="565F7FAD">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Research Question: How can Linklater 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be applied within a Caribbean performance context to inform the development of a short course for voice training?</w:t>
      </w:r>
    </w:p>
    <w:p w14:paraId="6F5387AE">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shd w:val="clear" w:fill="FFFFFF"/>
          <w:vertAlign w:val="baseline"/>
        </w:rPr>
      </w:pPr>
      <w:r>
        <w:rPr>
          <w:rFonts w:hint="default" w:ascii="Arial" w:hAnsi="Arial" w:cs="Arial"/>
          <w:b/>
          <w:bCs/>
          <w:i w:val="0"/>
          <w:iCs w:val="0"/>
          <w:color w:val="000000"/>
          <w:sz w:val="22"/>
          <w:szCs w:val="22"/>
          <w:u w:val="none"/>
          <w:shd w:val="clear" w:fill="FFFFFF"/>
          <w:vertAlign w:val="baseline"/>
        </w:rPr>
        <w:t>Introduction</w:t>
      </w:r>
    </w:p>
    <w:p w14:paraId="29712FA0">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This component critically examines the development of </w:t>
      </w:r>
      <w:r>
        <w:rPr>
          <w:rStyle w:val="7"/>
          <w:rFonts w:hint="default" w:ascii="Arial" w:hAnsi="Arial" w:cs="Arial"/>
          <w:sz w:val="22"/>
          <w:szCs w:val="22"/>
        </w:rPr>
        <w:t>Breath in Performance: Unlocking the Caribbean Actor's Voice</w:t>
      </w:r>
      <w:r>
        <w:rPr>
          <w:rFonts w:hint="default" w:ascii="Arial" w:hAnsi="Arial" w:cs="Arial"/>
          <w:sz w:val="22"/>
          <w:szCs w:val="22"/>
        </w:rPr>
        <w:t>, an online short course designed to support Caribbean performers through the integration of principles from the Linklater Voice Method and Fitzmaurice Voicework within a Caribbean performance context. While Component One established the rationale, aims, and conceptual foundations of the project, this section evaluates the theoretical, practical, and reflective processes that informed the creation of the artefact.</w:t>
      </w:r>
    </w:p>
    <w:p w14:paraId="5701CB0D">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The project emerged from both professional experience and a </w:t>
      </w:r>
      <w:r>
        <w:rPr>
          <w:rFonts w:hint="default" w:ascii="Arial" w:hAnsi="Arial" w:cs="Arial"/>
          <w:sz w:val="22"/>
          <w:szCs w:val="22"/>
          <w:lang w:val="en-TT"/>
        </w:rPr>
        <w:t>recognized</w:t>
      </w:r>
      <w:r>
        <w:rPr>
          <w:rFonts w:hint="default" w:ascii="Arial" w:hAnsi="Arial" w:cs="Arial"/>
          <w:sz w:val="22"/>
          <w:szCs w:val="22"/>
        </w:rPr>
        <w:t xml:space="preserve"> gap within Caribbean performer training literature. As a Caribbean actress and performance coach, the researcher has observed that many performers experience difficulties with breath support, vocal projection, and vocal sustainability despite possessing strong natural expressivity. At the same time, there remains limited scholarship and few voice-training resources specifically designed for Caribbean performers. In response, the artefact sought to develop a culturally responsive approach to voice training that acknowledges both established voice pedagogies and Caribbean performance traditions.</w:t>
      </w:r>
    </w:p>
    <w:p w14:paraId="0123BB1E">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eastAsia="SimSun" w:cs="Arial"/>
          <w:sz w:val="22"/>
          <w:szCs w:val="22"/>
        </w:rPr>
        <w:t xml:space="preserve">The aim of the project was to develop an effective short course in voice training for Caribbean performers, informed by the application of the Linklater Voice Method and Fitzmaurice Voicework within a Caribbean performance context. To achieve this aim, the study critically evaluated key principles of both methodologies, with particular emphasis on breath and voice; interrogated and </w:t>
      </w:r>
      <w:r>
        <w:rPr>
          <w:rFonts w:hint="default" w:ascii="Arial" w:hAnsi="Arial" w:cs="Arial"/>
          <w:sz w:val="22"/>
          <w:szCs w:val="22"/>
          <w:lang w:val="en-TT"/>
        </w:rPr>
        <w:t>analyzed</w:t>
      </w:r>
      <w:r>
        <w:rPr>
          <w:rFonts w:hint="default" w:ascii="Arial" w:hAnsi="Arial" w:eastAsia="SimSun" w:cs="Arial"/>
          <w:sz w:val="22"/>
          <w:szCs w:val="22"/>
        </w:rPr>
        <w:t xml:space="preserve"> Caribbean cultural and performance practices that may inform embodied approaches to voice training; and critically examined how selected principles from Linklater Voice Method, Fitzmaurice Voicework, and Caribbean performance practices could be integrated into the design of a structured short course for Caribbean performers. Through these objectives, the project sought to contribute to the development of culturally responsive voice pedagogy while addressing the limited availability of Caribbean-centred performer-training resources.</w:t>
      </w:r>
    </w:p>
    <w:p w14:paraId="31057F4E">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The artefact was informed primarily by the Linklater Voice Method and Fitzmaurice Voicework, which </w:t>
      </w:r>
      <w:r>
        <w:rPr>
          <w:rFonts w:hint="default" w:ascii="Arial" w:hAnsi="Arial" w:cs="Arial"/>
          <w:sz w:val="22"/>
          <w:szCs w:val="22"/>
          <w:lang w:val="en-TT"/>
        </w:rPr>
        <w:t>emphasize</w:t>
      </w:r>
      <w:r>
        <w:rPr>
          <w:rFonts w:hint="default" w:ascii="Arial" w:hAnsi="Arial" w:cs="Arial"/>
          <w:sz w:val="22"/>
          <w:szCs w:val="22"/>
        </w:rPr>
        <w:t xml:space="preserve"> the interconnected relationship between body, breath, voice, and expression. These approaches were examined alongside Caribbean cultural practices, including Carnival traditions, oral performance, rhythm, and embodied forms of communication. The project therefore explored how internationally </w:t>
      </w:r>
      <w:r>
        <w:rPr>
          <w:rFonts w:hint="default" w:ascii="Arial" w:hAnsi="Arial" w:cs="Arial"/>
          <w:sz w:val="22"/>
          <w:szCs w:val="22"/>
          <w:lang w:val="en-TT"/>
        </w:rPr>
        <w:t>recognized</w:t>
      </w:r>
      <w:r>
        <w:rPr>
          <w:rFonts w:hint="default" w:ascii="Arial" w:hAnsi="Arial" w:cs="Arial"/>
          <w:sz w:val="22"/>
          <w:szCs w:val="22"/>
        </w:rPr>
        <w:t xml:space="preserve"> voice-training methodologies might be meaningfully situated within Caribbean cultural contexts to support performer development and contribute to ongoing conversations surrounding </w:t>
      </w:r>
      <w:r>
        <w:rPr>
          <w:rFonts w:hint="default" w:ascii="Arial" w:hAnsi="Arial" w:cs="Arial"/>
          <w:sz w:val="22"/>
          <w:szCs w:val="22"/>
          <w:lang w:val="en-TT"/>
        </w:rPr>
        <w:t>decolonizing</w:t>
      </w:r>
      <w:r>
        <w:rPr>
          <w:rFonts w:hint="default" w:ascii="Arial" w:hAnsi="Arial" w:cs="Arial"/>
          <w:sz w:val="22"/>
          <w:szCs w:val="22"/>
        </w:rPr>
        <w:t xml:space="preserve"> performer pedagogy.</w:t>
      </w:r>
    </w:p>
    <w:p w14:paraId="0C4BCB8F">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The development of the artefact was guided by a practice-based research methodology informed by principles of Practice as Research (PaR), which </w:t>
      </w:r>
      <w:r>
        <w:rPr>
          <w:rFonts w:hint="default" w:ascii="Arial" w:hAnsi="Arial" w:cs="Arial"/>
          <w:sz w:val="22"/>
          <w:szCs w:val="22"/>
          <w:lang w:val="en-TT"/>
        </w:rPr>
        <w:t>recognizes</w:t>
      </w:r>
      <w:r>
        <w:rPr>
          <w:rFonts w:hint="default" w:ascii="Arial" w:hAnsi="Arial" w:cs="Arial"/>
          <w:sz w:val="22"/>
          <w:szCs w:val="22"/>
        </w:rPr>
        <w:t xml:space="preserve"> creative practice as a means of generating knowledge (Candy, 2006). A narrative review supported the investigation of voice pedagogy, somatic practice, Caribbean performance traditions, and digital learning. The project was further framed through Nelson's (2022) Model of Arts Praxis, which explores knowledge through the interconnected lenses of </w:t>
      </w:r>
      <w:r>
        <w:rPr>
          <w:rStyle w:val="7"/>
          <w:rFonts w:hint="default" w:ascii="Arial" w:hAnsi="Arial" w:cs="Arial"/>
          <w:sz w:val="22"/>
          <w:szCs w:val="22"/>
        </w:rPr>
        <w:t>know-that</w:t>
      </w:r>
      <w:r>
        <w:rPr>
          <w:rFonts w:hint="default" w:ascii="Arial" w:hAnsi="Arial" w:cs="Arial"/>
          <w:sz w:val="22"/>
          <w:szCs w:val="22"/>
        </w:rPr>
        <w:t xml:space="preserve"> (theoretical knowledge), </w:t>
      </w:r>
      <w:r>
        <w:rPr>
          <w:rStyle w:val="7"/>
          <w:rFonts w:hint="default" w:ascii="Arial" w:hAnsi="Arial" w:cs="Arial"/>
          <w:sz w:val="22"/>
          <w:szCs w:val="22"/>
        </w:rPr>
        <w:t>know-how</w:t>
      </w:r>
      <w:r>
        <w:rPr>
          <w:rFonts w:hint="default" w:ascii="Arial" w:hAnsi="Arial" w:cs="Arial"/>
          <w:sz w:val="22"/>
          <w:szCs w:val="22"/>
        </w:rPr>
        <w:t xml:space="preserve"> (practical knowledge), and </w:t>
      </w:r>
      <w:r>
        <w:rPr>
          <w:rStyle w:val="7"/>
          <w:rFonts w:hint="default" w:ascii="Arial" w:hAnsi="Arial" w:cs="Arial"/>
          <w:sz w:val="22"/>
          <w:szCs w:val="22"/>
        </w:rPr>
        <w:t>know-what</w:t>
      </w:r>
      <w:r>
        <w:rPr>
          <w:rFonts w:hint="default" w:ascii="Arial" w:hAnsi="Arial" w:cs="Arial"/>
          <w:sz w:val="22"/>
          <w:szCs w:val="22"/>
        </w:rPr>
        <w:t xml:space="preserve"> (factual and conceptual knowledge). Kolb's Experiential Learning Cycle additionally informed the reflective evaluation of the development process.</w:t>
      </w:r>
    </w:p>
    <w:p w14:paraId="43DBE96A">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Initially conceived as a practical toolkit, the project evolved into a structured online short course through ongoing research, experimentation, and reflection. This shift reflected the recognition that performers benefit not only from access to resources but also from guided opportunities for embodied practice, reflection, and skill development. The increasing role of digital technologies within education further supported the decision to adopt an online format, allowing for greater accessibility and flexibility for Caribbean performers.</w:t>
      </w:r>
    </w:p>
    <w:p w14:paraId="04330C3F">
      <w:pPr>
        <w:pStyle w:val="11"/>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Through the application of Nelson's Trio of Knowledge and Kolb's reflective framework, this component critically evaluates the effectiveness of the artefact, examines how its aims and objectives were addressed, and reflects on its potential contribution to culturally responsive voice training within the Caribbean.</w:t>
      </w:r>
    </w:p>
    <w:p w14:paraId="316EEE00">
      <w:pPr>
        <w:pStyle w:val="11"/>
        <w:keepNext w:val="0"/>
        <w:keepLines w:val="0"/>
        <w:widowControl/>
        <w:suppressLineNumbers w:val="0"/>
        <w:spacing w:line="360" w:lineRule="auto"/>
        <w:jc w:val="both"/>
        <w:rPr>
          <w:rFonts w:hint="default" w:ascii="Arial" w:hAnsi="Arial" w:cs="Arial"/>
          <w:sz w:val="22"/>
          <w:szCs w:val="22"/>
        </w:rPr>
      </w:pPr>
    </w:p>
    <w:p w14:paraId="024343E4">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lang w:val="en-TT"/>
        </w:rPr>
      </w:pPr>
      <w:r>
        <w:rPr>
          <w:rFonts w:hint="default" w:ascii="Arial" w:hAnsi="Arial" w:cs="Arial"/>
          <w:b/>
          <w:bCs/>
          <w:i w:val="0"/>
          <w:iCs w:val="0"/>
          <w:color w:val="000000"/>
          <w:sz w:val="22"/>
          <w:szCs w:val="22"/>
          <w:u w:val="none"/>
          <w:shd w:val="clear" w:fill="FFFFFF"/>
          <w:vertAlign w:val="baseline"/>
        </w:rPr>
        <w:t xml:space="preserve">Know </w:t>
      </w:r>
      <w:r>
        <w:rPr>
          <w:rFonts w:hint="default" w:ascii="Arial" w:hAnsi="Arial" w:cs="Arial"/>
          <w:b/>
          <w:bCs/>
          <w:i w:val="0"/>
          <w:iCs w:val="0"/>
          <w:color w:val="000000"/>
          <w:sz w:val="22"/>
          <w:szCs w:val="22"/>
          <w:u w:val="none"/>
          <w:shd w:val="clear" w:fill="FFFFFF"/>
          <w:vertAlign w:val="baseline"/>
          <w:lang w:val="en-TT"/>
        </w:rPr>
        <w:t>T</w:t>
      </w:r>
      <w:r>
        <w:rPr>
          <w:rFonts w:hint="default" w:ascii="Arial" w:hAnsi="Arial" w:cs="Arial"/>
          <w:b/>
          <w:bCs/>
          <w:i w:val="0"/>
          <w:iCs w:val="0"/>
          <w:color w:val="000000"/>
          <w:sz w:val="22"/>
          <w:szCs w:val="22"/>
          <w:u w:val="none"/>
          <w:shd w:val="clear" w:fill="FFFFFF"/>
          <w:vertAlign w:val="baseline"/>
        </w:rPr>
        <w:t>hat</w:t>
      </w:r>
      <w:r>
        <w:rPr>
          <w:rFonts w:hint="default" w:ascii="Arial" w:hAnsi="Arial" w:cs="Arial"/>
          <w:b/>
          <w:bCs/>
          <w:i w:val="0"/>
          <w:iCs w:val="0"/>
          <w:color w:val="000000"/>
          <w:sz w:val="22"/>
          <w:szCs w:val="22"/>
          <w:u w:val="none"/>
          <w:shd w:val="clear" w:fill="FFFFFF"/>
          <w:vertAlign w:val="baseline"/>
          <w:lang w:val="en-TT"/>
        </w:rPr>
        <w:t xml:space="preserve"> (Theoretical Knowledge)</w:t>
      </w:r>
    </w:p>
    <w:p w14:paraId="32EDACE7">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Within Nelson’s Model of Arts Praxis, </w:t>
      </w:r>
      <w:r>
        <w:rPr>
          <w:rFonts w:hint="default" w:ascii="Arial" w:hAnsi="Arial" w:cs="Arial"/>
          <w:i/>
          <w:iCs/>
          <w:color w:val="000000"/>
          <w:sz w:val="22"/>
          <w:szCs w:val="22"/>
          <w:u w:val="none"/>
          <w:shd w:val="clear" w:fill="FFFFFF"/>
          <w:vertAlign w:val="baseline"/>
        </w:rPr>
        <w:t>know-that</w:t>
      </w:r>
      <w:r>
        <w:rPr>
          <w:rFonts w:hint="default" w:ascii="Arial" w:hAnsi="Arial" w:cs="Arial"/>
          <w:i w:val="0"/>
          <w:iCs w:val="0"/>
          <w:color w:val="000000"/>
          <w:sz w:val="22"/>
          <w:szCs w:val="22"/>
          <w:u w:val="none"/>
          <w:shd w:val="clear" w:fill="FFFFFF"/>
          <w:vertAlign w:val="baseline"/>
        </w:rPr>
        <w:t xml:space="preserve"> refers to the theoretical, conceptual, and reflective knowledge that informs creative practice and artefact development (Nelson, 2022). The creation of </w:t>
      </w:r>
      <w:r>
        <w:rPr>
          <w:rFonts w:hint="default" w:ascii="Arial" w:hAnsi="Arial" w:cs="Arial"/>
          <w:i/>
          <w:iCs/>
          <w:color w:val="000000"/>
          <w:sz w:val="22"/>
          <w:szCs w:val="22"/>
          <w:u w:val="none"/>
          <w:shd w:val="clear" w:fill="FFFFFF"/>
          <w:vertAlign w:val="baseline"/>
        </w:rPr>
        <w:t>Breath in Performance: Unlocking the Caribbean Actor’s Voice</w:t>
      </w:r>
      <w:r>
        <w:rPr>
          <w:rFonts w:hint="default" w:ascii="Arial" w:hAnsi="Arial" w:cs="Arial"/>
          <w:i w:val="0"/>
          <w:iCs w:val="0"/>
          <w:color w:val="000000"/>
          <w:sz w:val="22"/>
          <w:szCs w:val="22"/>
          <w:u w:val="none"/>
          <w:shd w:val="clear" w:fill="FFFFFF"/>
          <w:vertAlign w:val="baseline"/>
        </w:rPr>
        <w:t xml:space="preserve"> was informed by voice pedagogy, somatic practice, Caribbean performance traditions, and digital pedagogy. Together, these frameworks supported the development of a culturally responsive approach to Caribbean performer training.</w:t>
      </w:r>
    </w:p>
    <w:p w14:paraId="3A0B0DA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lang w:val="en-TT"/>
        </w:rPr>
      </w:pPr>
      <w:r>
        <w:rPr>
          <w:rFonts w:hint="default" w:ascii="Arial" w:hAnsi="Arial" w:cs="Arial"/>
          <w:i w:val="0"/>
          <w:iCs w:val="0"/>
          <w:color w:val="000000"/>
          <w:sz w:val="22"/>
          <w:szCs w:val="22"/>
          <w:u w:val="none"/>
          <w:shd w:val="clear" w:fill="FFFFFF"/>
          <w:vertAlign w:val="baseline"/>
        </w:rPr>
        <w:t xml:space="preserve">Sansom (2019) explains that voice pedagogy encompasses a broad range of teaching and training practices, with roots in Western singing, public speaking, and actor training traditions. While these approaches have significantly influenced performer training, this project </w:t>
      </w:r>
      <w:r>
        <w:rPr>
          <w:rFonts w:hint="default" w:ascii="Arial" w:hAnsi="Arial" w:cs="Arial"/>
          <w:i w:val="0"/>
          <w:iCs w:val="0"/>
          <w:color w:val="000000"/>
          <w:sz w:val="22"/>
          <w:szCs w:val="22"/>
          <w:u w:val="none"/>
          <w:shd w:val="clear" w:fill="FFFFFF"/>
          <w:vertAlign w:val="baseline"/>
          <w:lang w:val="en-TT"/>
        </w:rPr>
        <w:t>recognizes</w:t>
      </w:r>
      <w:r>
        <w:rPr>
          <w:rFonts w:hint="default" w:ascii="Arial" w:hAnsi="Arial" w:cs="Arial"/>
          <w:i w:val="0"/>
          <w:iCs w:val="0"/>
          <w:color w:val="000000"/>
          <w:sz w:val="22"/>
          <w:szCs w:val="22"/>
          <w:u w:val="none"/>
          <w:shd w:val="clear" w:fill="FFFFFF"/>
          <w:vertAlign w:val="baseline"/>
        </w:rPr>
        <w:t xml:space="preserve"> the importance of developing methods that respond to Caribbean cultural contexts and lived experiences</w:t>
      </w:r>
      <w:r>
        <w:rPr>
          <w:rFonts w:hint="default" w:ascii="Arial" w:hAnsi="Arial" w:cs="Arial"/>
          <w:i w:val="0"/>
          <w:iCs w:val="0"/>
          <w:color w:val="000000"/>
          <w:sz w:val="22"/>
          <w:szCs w:val="22"/>
          <w:u w:val="none"/>
          <w:shd w:val="clear" w:fill="FFFFFF"/>
          <w:vertAlign w:val="baseline"/>
          <w:lang w:val="en-TT"/>
        </w:rPr>
        <w:t>. This approach was chosen because performers may respond more effectively to work that is familiar to them.</w:t>
      </w:r>
    </w:p>
    <w:p w14:paraId="1933A18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Somatic practice also informed the artefact. As an umbrella term for body-mind approaches that explore bodily sensation, awareness, and embodied experience (Roseman-Halsband, Saumaa et al., 2018), somatics provides a useful framework for understanding the relationship between body, breath, and voice. This is particularly relevant within the Caribbean context, given the region’s histories of slavery, displacement, and indentureship (CARICOM, 2026). These experiences continue to shape cultural identities and embodied forms of expression. Consequently, somatic techniques were incorporated to encourage bodily awareness, reduce habitual tension, and support authentic vocal expression.</w:t>
      </w:r>
    </w:p>
    <w:p w14:paraId="172B1924">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Caribbean performance traditions, particularly Carnival, further informed the artefact. Carnival emerged from African, Indigenous, and European influences and developed into a powerful expression of resistance, cultural memory, and self-expression (Northeastern University, 2026). The integration of Carnival-inspired practices sought to create a culturally responsive learning environment grounded in familiar forms of Caribbean movement, rhythm, embodiment, and expression. These theoretical influences shaped both the structure and delivery of the course, informing decisions relating to embodiment, accessibility, participant engagement, and performer training.</w:t>
      </w:r>
    </w:p>
    <w:p w14:paraId="3557C3BF">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artefact was primarily informed by the Linklater Voice Method and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both of which </w:t>
      </w:r>
      <w:r>
        <w:rPr>
          <w:rFonts w:hint="default" w:ascii="Arial" w:hAnsi="Arial" w:cs="Arial"/>
          <w:i w:val="0"/>
          <w:iCs w:val="0"/>
          <w:color w:val="000000"/>
          <w:sz w:val="22"/>
          <w:szCs w:val="22"/>
          <w:u w:val="none"/>
          <w:shd w:val="clear" w:fill="FFFFFF"/>
          <w:vertAlign w:val="baseline"/>
          <w:lang w:val="en-TT"/>
        </w:rPr>
        <w:t>emphasize</w:t>
      </w:r>
      <w:r>
        <w:rPr>
          <w:rFonts w:hint="default" w:ascii="Arial" w:hAnsi="Arial" w:cs="Arial"/>
          <w:i w:val="0"/>
          <w:iCs w:val="0"/>
          <w:color w:val="000000"/>
          <w:sz w:val="22"/>
          <w:szCs w:val="22"/>
          <w:u w:val="none"/>
          <w:shd w:val="clear" w:fill="FFFFFF"/>
          <w:vertAlign w:val="baseline"/>
        </w:rPr>
        <w:t xml:space="preserve"> the interconnected relationship between breath, body, voice, and expression (Linklater, 2023). Linklater’s philosophy focuses on freeing the natural voice through the release of physical and vocal tension, enabling authentic emotional and vocal expression (Linklater, 2006). This principle aligned closely with the project's aim of encouraging Caribbean performers to develop greater vocal freedom through embodied awareness rather than performative imitation. Her concept of “vocal dynamics” further informed exercises designed to expand expressive range and responsiveness (Linklater, 2016).</w:t>
      </w:r>
    </w:p>
    <w:p w14:paraId="3427E67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Similarly, Fitzmaurice </w:t>
      </w:r>
      <w:r>
        <w:rPr>
          <w:rFonts w:hint="default" w:ascii="Arial" w:hAnsi="Arial" w:cs="Arial"/>
          <w:i w:val="0"/>
          <w:iCs w:val="0"/>
          <w:color w:val="000000"/>
          <w:sz w:val="22"/>
          <w:szCs w:val="22"/>
          <w:u w:val="none"/>
          <w:shd w:val="clear" w:fill="FFFFFF"/>
          <w:vertAlign w:val="baseline"/>
          <w:lang w:val="en-TT"/>
        </w:rPr>
        <w:t>Voicework</w:t>
      </w:r>
      <w:r>
        <w:rPr>
          <w:rFonts w:hint="default" w:ascii="Arial" w:hAnsi="Arial" w:cs="Arial"/>
          <w:i w:val="0"/>
          <w:iCs w:val="0"/>
          <w:color w:val="000000"/>
          <w:sz w:val="22"/>
          <w:szCs w:val="22"/>
          <w:u w:val="none"/>
          <w:shd w:val="clear" w:fill="FFFFFF"/>
          <w:vertAlign w:val="baseline"/>
        </w:rPr>
        <w:t xml:space="preserve"> explores the relationship between body, breath, voice, imagination, and language, cultivating voices capable of communicating intention and emotion with authenticity (Fitzmaurice, 2026). The processes of destructuring, restructuring, and </w:t>
      </w:r>
      <w:r>
        <w:rPr>
          <w:rFonts w:hint="default" w:ascii="Arial" w:hAnsi="Arial" w:cs="Arial"/>
          <w:i w:val="0"/>
          <w:iCs w:val="0"/>
          <w:color w:val="000000"/>
          <w:sz w:val="22"/>
          <w:szCs w:val="22"/>
          <w:u w:val="none"/>
          <w:shd w:val="clear" w:fill="FFFFFF"/>
          <w:vertAlign w:val="baseline"/>
          <w:lang w:val="en-TT"/>
        </w:rPr>
        <w:t>Tremorwork</w:t>
      </w:r>
      <w:r>
        <w:rPr>
          <w:rFonts w:hint="default" w:ascii="Arial" w:hAnsi="Arial" w:cs="Arial"/>
          <w:i w:val="0"/>
          <w:iCs w:val="0"/>
          <w:color w:val="000000"/>
          <w:sz w:val="22"/>
          <w:szCs w:val="22"/>
          <w:u w:val="none"/>
          <w:shd w:val="clear" w:fill="FFFFFF"/>
          <w:vertAlign w:val="baseline"/>
        </w:rPr>
        <w:t xml:space="preserve"> were particularly influential because they encourage performers to release habitual tension patterns and develop greater embodied awareness (Morrison, Kotzubei et al., 2023). Together, Linklater and Fitzmaurice informed the development of exercises promoting vocal freedom, resonance, physical awareness, and expressive communication.</w:t>
      </w:r>
    </w:p>
    <w:p w14:paraId="71AA1DFD">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rPr>
        <w:t xml:space="preserve">The development process also highlighted the importance of </w:t>
      </w:r>
      <w:r>
        <w:rPr>
          <w:rFonts w:hint="default" w:ascii="Arial" w:hAnsi="Arial" w:cs="Arial"/>
          <w:i w:val="0"/>
          <w:iCs w:val="0"/>
          <w:color w:val="000000"/>
          <w:sz w:val="22"/>
          <w:szCs w:val="22"/>
          <w:u w:val="none"/>
          <w:shd w:val="clear" w:fill="FFFFFF"/>
          <w:vertAlign w:val="baseline"/>
          <w:lang w:val="en-TT"/>
        </w:rPr>
        <w:t>integrating</w:t>
      </w:r>
      <w:r>
        <w:rPr>
          <w:rFonts w:hint="default" w:ascii="Arial" w:hAnsi="Arial" w:cs="Arial"/>
          <w:i w:val="0"/>
          <w:iCs w:val="0"/>
          <w:color w:val="000000"/>
          <w:sz w:val="22"/>
          <w:szCs w:val="22"/>
          <w:u w:val="none"/>
          <w:shd w:val="clear" w:fill="FFFFFF"/>
          <w:vertAlign w:val="baseline"/>
        </w:rPr>
        <w:t xml:space="preserve"> these predominantly </w:t>
      </w:r>
      <w:r>
        <w:rPr>
          <w:rFonts w:hint="default" w:ascii="Arial" w:hAnsi="Arial" w:cs="Arial"/>
          <w:i w:val="0"/>
          <w:iCs w:val="0"/>
          <w:color w:val="000000"/>
          <w:sz w:val="22"/>
          <w:szCs w:val="22"/>
          <w:u w:val="none"/>
          <w:shd w:val="clear" w:fill="FFFFFF"/>
          <w:vertAlign w:val="baseline"/>
          <w:lang w:val="en-TT"/>
        </w:rPr>
        <w:t>w</w:t>
      </w:r>
      <w:r>
        <w:rPr>
          <w:rFonts w:hint="default" w:ascii="Arial" w:hAnsi="Arial" w:cs="Arial"/>
          <w:i w:val="0"/>
          <w:iCs w:val="0"/>
          <w:color w:val="000000"/>
          <w:sz w:val="22"/>
          <w:szCs w:val="22"/>
          <w:u w:val="none"/>
          <w:shd w:val="clear" w:fill="FFFFFF"/>
          <w:vertAlign w:val="baseline"/>
        </w:rPr>
        <w:t>estern methodologies to Caribbean communicative styles and performance traditions. Consequently, traditional exercises were integrated with culturally familiar practices. For example, aspects of Jab Molassie (known as Jab Jab in Grenada and Guadeloupe) were incorporated because of their strong connections to vocal release, physical expressivity, resistance, and cultural resilience (Guardian, 2026)</w:t>
      </w:r>
      <w:r>
        <w:rPr>
          <w:rFonts w:hint="default" w:ascii="Arial" w:hAnsi="Arial" w:cs="Arial"/>
          <w:i w:val="0"/>
          <w:iCs w:val="0"/>
          <w:color w:val="000000"/>
          <w:sz w:val="22"/>
          <w:szCs w:val="22"/>
          <w:u w:val="none"/>
          <w:shd w:val="clear" w:fill="FFFFFF"/>
          <w:vertAlign w:val="baseline"/>
          <w:lang w:val="en-TT"/>
        </w:rPr>
        <w:t xml:space="preserve">, which positions the research of these cultural practices within a framework that allows it to move beyond a purely historical examination of oppression, and instead celebrate the creative and cultural practices that emerged in response to it. </w:t>
      </w:r>
      <w:r>
        <w:rPr>
          <w:rFonts w:hint="default" w:ascii="Arial" w:hAnsi="Arial" w:cs="Arial"/>
          <w:i w:val="0"/>
          <w:iCs w:val="0"/>
          <w:color w:val="000000"/>
          <w:sz w:val="22"/>
          <w:szCs w:val="22"/>
          <w:u w:val="none"/>
          <w:shd w:val="clear" w:fill="FFFFFF"/>
          <w:vertAlign w:val="baseline"/>
        </w:rPr>
        <w:t xml:space="preserve">Breath-centred exercises were similarly </w:t>
      </w:r>
      <w:r>
        <w:rPr>
          <w:rFonts w:hint="default" w:ascii="Arial" w:hAnsi="Arial" w:cs="Arial"/>
          <w:i w:val="0"/>
          <w:iCs w:val="0"/>
          <w:color w:val="000000"/>
          <w:sz w:val="22"/>
          <w:szCs w:val="22"/>
          <w:u w:val="none"/>
          <w:shd w:val="clear" w:fill="FFFFFF"/>
          <w:vertAlign w:val="baseline"/>
          <w:lang w:val="en-TT"/>
        </w:rPr>
        <w:t>emphasized</w:t>
      </w:r>
      <w:r>
        <w:rPr>
          <w:rFonts w:hint="default" w:ascii="Arial" w:hAnsi="Arial" w:cs="Arial"/>
          <w:i w:val="0"/>
          <w:iCs w:val="0"/>
          <w:color w:val="000000"/>
          <w:sz w:val="22"/>
          <w:szCs w:val="22"/>
          <w:u w:val="none"/>
          <w:shd w:val="clear" w:fill="FFFFFF"/>
          <w:vertAlign w:val="baseline"/>
        </w:rPr>
        <w:t xml:space="preserve"> throughout the course, reflecting Linklater’s assertion that breath forms the foundation of vocal freedom and authentic expression (Linklater, 2016).</w:t>
      </w:r>
    </w:p>
    <w:p w14:paraId="0C4B3B17">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eastAsia="SimSun" w:cs="Arial"/>
          <w:sz w:val="22"/>
          <w:szCs w:val="22"/>
        </w:rPr>
        <w:t xml:space="preserve">The course was structured into four units: </w:t>
      </w:r>
      <w:r>
        <w:rPr>
          <w:rStyle w:val="7"/>
          <w:rFonts w:hint="default" w:ascii="Arial" w:hAnsi="Arial" w:eastAsia="SimSun" w:cs="Arial"/>
          <w:sz w:val="22"/>
          <w:szCs w:val="22"/>
        </w:rPr>
        <w:t>Body Awareness and Release</w:t>
      </w:r>
      <w:r>
        <w:rPr>
          <w:rFonts w:hint="default" w:ascii="Arial" w:hAnsi="Arial" w:eastAsia="SimSun" w:cs="Arial"/>
          <w:sz w:val="22"/>
          <w:szCs w:val="22"/>
        </w:rPr>
        <w:t xml:space="preserve">, </w:t>
      </w:r>
      <w:r>
        <w:rPr>
          <w:rStyle w:val="7"/>
          <w:rFonts w:hint="default" w:ascii="Arial" w:hAnsi="Arial" w:eastAsia="SimSun" w:cs="Arial"/>
          <w:sz w:val="22"/>
          <w:szCs w:val="22"/>
        </w:rPr>
        <w:t>Breath Awareness and Release</w:t>
      </w:r>
      <w:r>
        <w:rPr>
          <w:rFonts w:hint="default" w:ascii="Arial" w:hAnsi="Arial" w:eastAsia="SimSun" w:cs="Arial"/>
          <w:sz w:val="22"/>
          <w:szCs w:val="22"/>
        </w:rPr>
        <w:t xml:space="preserve">, </w:t>
      </w:r>
      <w:r>
        <w:rPr>
          <w:rStyle w:val="7"/>
          <w:rFonts w:hint="default" w:ascii="Arial" w:hAnsi="Arial" w:eastAsia="SimSun" w:cs="Arial"/>
          <w:sz w:val="22"/>
          <w:szCs w:val="22"/>
        </w:rPr>
        <w:t>Breath to Sound</w:t>
      </w:r>
      <w:r>
        <w:rPr>
          <w:rFonts w:hint="default" w:ascii="Arial" w:hAnsi="Arial" w:eastAsia="SimSun" w:cs="Arial"/>
          <w:sz w:val="22"/>
          <w:szCs w:val="22"/>
        </w:rPr>
        <w:t xml:space="preserve">, and </w:t>
      </w:r>
      <w:r>
        <w:rPr>
          <w:rStyle w:val="7"/>
          <w:rFonts w:hint="default" w:ascii="Arial" w:hAnsi="Arial" w:eastAsia="SimSun" w:cs="Arial"/>
          <w:sz w:val="22"/>
          <w:szCs w:val="22"/>
        </w:rPr>
        <w:t>Caribbean Expressiveness</w:t>
      </w:r>
      <w:r>
        <w:rPr>
          <w:rFonts w:hint="default" w:ascii="Arial" w:hAnsi="Arial" w:eastAsia="SimSun" w:cs="Arial"/>
          <w:sz w:val="22"/>
          <w:szCs w:val="22"/>
        </w:rPr>
        <w:t xml:space="preserve">. This sequencing reflects established principles of voice pedagogy, particularly those outlined by Linklater in </w:t>
      </w:r>
      <w:r>
        <w:rPr>
          <w:rStyle w:val="7"/>
          <w:rFonts w:hint="default" w:ascii="Arial" w:hAnsi="Arial" w:eastAsia="SimSun" w:cs="Arial"/>
          <w:sz w:val="22"/>
          <w:szCs w:val="22"/>
        </w:rPr>
        <w:t>Freeing the Natural Voice</w:t>
      </w:r>
      <w:r>
        <w:rPr>
          <w:rFonts w:hint="default" w:ascii="Arial" w:hAnsi="Arial" w:eastAsia="SimSun" w:cs="Arial"/>
          <w:sz w:val="22"/>
          <w:szCs w:val="22"/>
        </w:rPr>
        <w:t xml:space="preserve"> (2006), by </w:t>
      </w:r>
      <w:r>
        <w:rPr>
          <w:rFonts w:hint="default" w:ascii="Arial" w:hAnsi="Arial" w:cs="Arial"/>
          <w:sz w:val="22"/>
          <w:szCs w:val="22"/>
          <w:lang w:val="en-TT"/>
        </w:rPr>
        <w:t>prioritizing</w:t>
      </w:r>
      <w:r>
        <w:rPr>
          <w:rFonts w:hint="default" w:ascii="Arial" w:hAnsi="Arial" w:eastAsia="SimSun" w:cs="Arial"/>
          <w:sz w:val="22"/>
          <w:szCs w:val="22"/>
        </w:rPr>
        <w:t xml:space="preserve"> the release of physical tension and progressing from bodily awareness and grounding towards increasingly expressive vocal work. Such a progression supports the gradual development of embodied vocal practice, enabling performers to build awareness, freedom, and confidence in their vocal expression.</w:t>
      </w:r>
    </w:p>
    <w:p w14:paraId="052CD260">
      <w:pPr>
        <w:pStyle w:val="3"/>
        <w:keepNext w:val="0"/>
        <w:keepLines w:val="0"/>
        <w:widowControl/>
        <w:suppressLineNumbers w:val="0"/>
        <w:bidi w:val="0"/>
        <w:spacing w:before="360" w:beforeAutospacing="0" w:after="80" w:afterAutospacing="0" w:line="360" w:lineRule="auto"/>
        <w:jc w:val="both"/>
        <w:rPr>
          <w:rFonts w:hint="default" w:ascii="Arial" w:hAnsi="Arial" w:cs="Arial"/>
          <w:b w:val="0"/>
          <w:bCs w:val="0"/>
          <w:sz w:val="22"/>
          <w:szCs w:val="22"/>
        </w:rPr>
      </w:pPr>
      <w:r>
        <w:rPr>
          <w:rFonts w:hint="default" w:ascii="Arial" w:hAnsi="Arial" w:cs="Arial"/>
          <w:b w:val="0"/>
          <w:bCs w:val="0"/>
          <w:i/>
          <w:iCs/>
          <w:color w:val="000000"/>
          <w:sz w:val="22"/>
          <w:szCs w:val="22"/>
          <w:u w:val="single"/>
          <w:shd w:val="clear" w:fill="FFFFFF"/>
          <w:vertAlign w:val="baseline"/>
        </w:rPr>
        <w:t>Digital Technologies</w:t>
      </w:r>
    </w:p>
    <w:p w14:paraId="203E6DA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Digital pedagogy also informed the artefact’s design. The integration of digital technologies into teaching and learning continues to generate debate regarding accessibility, engagement, and educational effectiveness (Tan, Voogt et al., 2024). Research suggests that online learning environments can reinforce learning and increase flexibility, although challenges such as technological limitations, sound quality, and reduced opportunities for face-to-face interaction remain (McGuinness and Fulton, 2019).</w:t>
      </w:r>
    </w:p>
    <w:p w14:paraId="530DC253">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These considerations were particularly relevant given the embodied nature of breath, body, and voice training. While such practices often benefit from direct observation and immediate feedback, online delivery offers important advantages in terms of accessibility, flexibility, and learner autonomy. Participants are able to engage with materials at their own pace, revisit exercises, upload recordings, and participate in reflective activities that support self-directed learning.</w:t>
      </w:r>
    </w:p>
    <w:p w14:paraId="0770E4A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Google Classroom was selected because it provided an accessible and cost-effective platform for asynchronous learning. The platform enables participants to access resources, submit activities, and engage with course content beyond the constraints of a traditional classroom environment. This aligned with the project's aim of increasing access to voice training for Caribbean performers who may face geographical, financial, or scheduling barriers.</w:t>
      </w:r>
    </w:p>
    <w:p w14:paraId="12BCA607">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At the same time, the development process highlighted limitations associated with online delivery, particularly the reduced opportunities for real-time observation, physical correction, and facilitator responsiveness. To address these challenges, the course incorporates clear instructional guidance, reflective activities, and opportunities for recorded feedback. While the artefact demonstrates the potential of digital learning, it also reinforces the value of blended approaches that combine online accessibility with face-to-face performer training.</w:t>
      </w:r>
    </w:p>
    <w:p w14:paraId="00BCD21A">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Collectively, these theoretical and conceptual influences provided the foundation for the artefact and informed its approach to embodiment, voice training, cultural relevance, and accessibility. Through the integration of voice pedagogy, somatic practice, Caribbean performance traditions, and digital learning, the project seeks to contribute to the development of culturally responsive performer training within the Caribbean context.</w:t>
      </w:r>
    </w:p>
    <w:p w14:paraId="3A93076F">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lang w:val="en-TT"/>
        </w:rPr>
      </w:pPr>
      <w:r>
        <w:rPr>
          <w:rFonts w:hint="default" w:ascii="Arial" w:hAnsi="Arial" w:cs="Arial"/>
          <w:b/>
          <w:bCs/>
          <w:i w:val="0"/>
          <w:iCs w:val="0"/>
          <w:color w:val="000000"/>
          <w:sz w:val="22"/>
          <w:szCs w:val="22"/>
          <w:u w:val="none"/>
          <w:shd w:val="clear" w:fill="FFFFFF"/>
          <w:vertAlign w:val="baseline"/>
        </w:rPr>
        <w:t>Know How</w:t>
      </w:r>
      <w:r>
        <w:rPr>
          <w:rFonts w:hint="default" w:ascii="Arial" w:hAnsi="Arial" w:cs="Arial"/>
          <w:b/>
          <w:bCs/>
          <w:i w:val="0"/>
          <w:iCs w:val="0"/>
          <w:color w:val="000000"/>
          <w:sz w:val="22"/>
          <w:szCs w:val="22"/>
          <w:u w:val="none"/>
          <w:shd w:val="clear" w:fill="FFFFFF"/>
          <w:vertAlign w:val="baseline"/>
          <w:lang w:val="en-TT"/>
        </w:rPr>
        <w:t xml:space="preserve"> (Practical Knowledge)</w:t>
      </w:r>
    </w:p>
    <w:p w14:paraId="0D6A0182">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Nelson (2022) describes </w:t>
      </w:r>
      <w:r>
        <w:rPr>
          <w:rFonts w:hint="default" w:ascii="Arial" w:hAnsi="Arial" w:cs="Arial"/>
          <w:i/>
          <w:iCs/>
          <w:color w:val="000000"/>
          <w:sz w:val="22"/>
          <w:szCs w:val="22"/>
          <w:u w:val="none"/>
          <w:shd w:val="clear" w:fill="FFFFFF"/>
          <w:vertAlign w:val="baseline"/>
        </w:rPr>
        <w:t>know-how</w:t>
      </w:r>
      <w:r>
        <w:rPr>
          <w:rFonts w:hint="default" w:ascii="Arial" w:hAnsi="Arial" w:cs="Arial"/>
          <w:i w:val="0"/>
          <w:iCs w:val="0"/>
          <w:color w:val="000000"/>
          <w:sz w:val="22"/>
          <w:szCs w:val="22"/>
          <w:u w:val="none"/>
          <w:shd w:val="clear" w:fill="FFFFFF"/>
          <w:vertAlign w:val="baseline"/>
        </w:rPr>
        <w:t xml:space="preserve"> as the procedural knowledge, practical skills, and embodied experience demonstrated through creative practice and artefact development. The creation of </w:t>
      </w:r>
      <w:r>
        <w:rPr>
          <w:rFonts w:hint="default" w:ascii="Arial" w:hAnsi="Arial" w:cs="Arial"/>
          <w:i/>
          <w:iCs/>
          <w:color w:val="000000"/>
          <w:sz w:val="22"/>
          <w:szCs w:val="22"/>
          <w:u w:val="none"/>
          <w:shd w:val="clear" w:fill="FFFFFF"/>
          <w:vertAlign w:val="baseline"/>
        </w:rPr>
        <w:t>Breath in Performance: Unlocking the Caribbean Actor’s Voice</w:t>
      </w:r>
      <w:r>
        <w:rPr>
          <w:rFonts w:hint="default" w:ascii="Arial" w:hAnsi="Arial" w:cs="Arial"/>
          <w:i w:val="0"/>
          <w:iCs w:val="0"/>
          <w:color w:val="000000"/>
          <w:sz w:val="22"/>
          <w:szCs w:val="22"/>
          <w:u w:val="none"/>
          <w:shd w:val="clear" w:fill="FFFFFF"/>
          <w:vertAlign w:val="baseline"/>
        </w:rPr>
        <w:t xml:space="preserve"> was informed by the researcher's practical experience as an actress, vocal coach, and performer engaging with breath-centred and embodied voice practices. This experiential knowledge shaped the integration, sequencing, and delivery of exercises throughout the course, while informing decisions related to participant engagement, cultural accessibility, and digital facilitation.</w:t>
      </w:r>
    </w:p>
    <w:p w14:paraId="72A159A1">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rPr>
        <w:t>The development of the artefact relied heavily on embodied experimentation and reflective practice (see Figures 1 and 2</w:t>
      </w:r>
      <w:r>
        <w:rPr>
          <w:rFonts w:hint="default" w:ascii="Arial" w:hAnsi="Arial" w:cs="Arial"/>
          <w:i w:val="0"/>
          <w:iCs w:val="0"/>
          <w:color w:val="000000"/>
          <w:sz w:val="22"/>
          <w:szCs w:val="22"/>
          <w:u w:val="none"/>
          <w:shd w:val="clear" w:fill="FFFFFF"/>
          <w:vertAlign w:val="baseline"/>
          <w:lang w:val="en-TT"/>
        </w:rPr>
        <w:t xml:space="preserve"> below</w:t>
      </w:r>
      <w:r>
        <w:rPr>
          <w:rFonts w:hint="default" w:ascii="Arial" w:hAnsi="Arial" w:cs="Arial"/>
          <w:i w:val="0"/>
          <w:iCs w:val="0"/>
          <w:color w:val="000000"/>
          <w:sz w:val="22"/>
          <w:szCs w:val="22"/>
          <w:u w:val="none"/>
          <w:shd w:val="clear" w:fill="FFFFFF"/>
          <w:vertAlign w:val="baseline"/>
        </w:rPr>
        <w:t>). Through practical engagement with Linklater and Fitzmaurice techniques, the researcher explored Caribbean cultural and performance practices that shared similarities with aspects of these methodologies. Reflection was then used to evaluate which exercises were most effective, accessible, and culturally relevant within a Caribbean performance context. Based on this evaluation, selected movement and vocal exercises were adapted to better align with Caribbean expressive traditions, rhythms, and communication styles.</w:t>
      </w:r>
    </w:p>
    <w:p w14:paraId="114653A3">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drawing>
          <wp:inline distT="0" distB="0" distL="114300" distR="114300">
            <wp:extent cx="5269865" cy="2261235"/>
            <wp:effectExtent l="0" t="0" r="6985" b="5715"/>
            <wp:docPr id="34" name="Picture 34" descr="Screenshot 2026-06-12 183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Screenshot 2026-06-12 183433"/>
                    <pic:cNvPicPr>
                      <a:picLocks noChangeAspect="1"/>
                    </pic:cNvPicPr>
                  </pic:nvPicPr>
                  <pic:blipFill>
                    <a:blip r:embed="rId7"/>
                    <a:stretch>
                      <a:fillRect/>
                    </a:stretch>
                  </pic:blipFill>
                  <pic:spPr>
                    <a:xfrm>
                      <a:off x="0" y="0"/>
                      <a:ext cx="5269865" cy="2261235"/>
                    </a:xfrm>
                    <a:prstGeom prst="rect">
                      <a:avLst/>
                    </a:prstGeom>
                  </pic:spPr>
                </pic:pic>
              </a:graphicData>
            </a:graphic>
          </wp:inline>
        </w:drawing>
      </w:r>
    </w:p>
    <w:p w14:paraId="7B616A99">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t>Figure 1. Embodied Experimentation</w:t>
      </w:r>
    </w:p>
    <w:p w14:paraId="16765F49">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p>
    <w:p w14:paraId="76C986C0">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drawing>
          <wp:inline distT="0" distB="0" distL="114300" distR="114300">
            <wp:extent cx="5270500" cy="1372235"/>
            <wp:effectExtent l="0" t="0" r="6350" b="18415"/>
            <wp:docPr id="35" name="Picture 35" descr="Screenshot 2026-06-12 184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Screenshot 2026-06-12 184300"/>
                    <pic:cNvPicPr>
                      <a:picLocks noChangeAspect="1"/>
                    </pic:cNvPicPr>
                  </pic:nvPicPr>
                  <pic:blipFill>
                    <a:blip r:embed="rId8"/>
                    <a:stretch>
                      <a:fillRect/>
                    </a:stretch>
                  </pic:blipFill>
                  <pic:spPr>
                    <a:xfrm>
                      <a:off x="0" y="0"/>
                      <a:ext cx="5270500" cy="1372235"/>
                    </a:xfrm>
                    <a:prstGeom prst="rect">
                      <a:avLst/>
                    </a:prstGeom>
                  </pic:spPr>
                </pic:pic>
              </a:graphicData>
            </a:graphic>
          </wp:inline>
        </w:drawing>
      </w:r>
    </w:p>
    <w:p w14:paraId="04E8B428">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t>Figure 2: Observation and Reflection</w:t>
      </w:r>
    </w:p>
    <w:p w14:paraId="78325672">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p>
    <w:p w14:paraId="75DA62E2">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One practice that demonstrated similarities to Fitzmaurice Tremorwork was </w:t>
      </w:r>
      <w:r>
        <w:rPr>
          <w:rFonts w:hint="default" w:ascii="Arial" w:hAnsi="Arial" w:cs="Arial"/>
          <w:i/>
          <w:iCs/>
          <w:color w:val="000000"/>
          <w:sz w:val="22"/>
          <w:szCs w:val="22"/>
          <w:u w:val="none"/>
          <w:shd w:val="clear" w:fill="FFFFFF"/>
          <w:vertAlign w:val="baseline"/>
        </w:rPr>
        <w:t>doption</w:t>
      </w:r>
      <w:r>
        <w:rPr>
          <w:rFonts w:hint="default" w:ascii="Arial" w:hAnsi="Arial" w:cs="Arial"/>
          <w:i w:val="0"/>
          <w:iCs w:val="0"/>
          <w:color w:val="000000"/>
          <w:sz w:val="22"/>
          <w:szCs w:val="22"/>
          <w:u w:val="none"/>
          <w:shd w:val="clear" w:fill="FFFFFF"/>
          <w:vertAlign w:val="baseline"/>
        </w:rPr>
        <w:t xml:space="preserve">. Previous workshop experiences revealed that some participants felt hesitant engaging with the practice because of its association with Spiritual Baptist traditions and varying levels of cultural or religious familiarity. To increase accessibility, the researcher chose to focus on the vocal elements of the practice rather than its religious context. In practice, the technique was observed to support resonance, projection, and vocal release. This experience led the researcher to </w:t>
      </w:r>
      <w:r>
        <w:rPr>
          <w:rFonts w:hint="default" w:ascii="Arial" w:hAnsi="Arial" w:cs="Arial"/>
          <w:i w:val="0"/>
          <w:iCs w:val="0"/>
          <w:color w:val="000000"/>
          <w:sz w:val="22"/>
          <w:szCs w:val="22"/>
          <w:u w:val="none"/>
          <w:shd w:val="clear" w:fill="FFFFFF"/>
          <w:vertAlign w:val="baseline"/>
          <w:lang w:val="en-TT"/>
        </w:rPr>
        <w:t>recognize</w:t>
      </w:r>
      <w:r>
        <w:rPr>
          <w:rFonts w:hint="default" w:ascii="Arial" w:hAnsi="Arial" w:cs="Arial"/>
          <w:i w:val="0"/>
          <w:iCs w:val="0"/>
          <w:color w:val="000000"/>
          <w:sz w:val="22"/>
          <w:szCs w:val="22"/>
          <w:u w:val="none"/>
          <w:shd w:val="clear" w:fill="FFFFFF"/>
          <w:vertAlign w:val="baseline"/>
        </w:rPr>
        <w:t xml:space="preserve"> that cultural familiarity cannot be assumed, even within a Caribbean context. Consequently, exercises were adapted to </w:t>
      </w:r>
      <w:r>
        <w:rPr>
          <w:rFonts w:hint="default" w:ascii="Arial" w:hAnsi="Arial" w:cs="Arial"/>
          <w:i w:val="0"/>
          <w:iCs w:val="0"/>
          <w:color w:val="000000"/>
          <w:sz w:val="22"/>
          <w:szCs w:val="22"/>
          <w:u w:val="none"/>
          <w:shd w:val="clear" w:fill="FFFFFF"/>
          <w:vertAlign w:val="baseline"/>
          <w:lang w:val="en-TT"/>
        </w:rPr>
        <w:t>prioritize</w:t>
      </w:r>
      <w:r>
        <w:rPr>
          <w:rFonts w:hint="default" w:ascii="Arial" w:hAnsi="Arial" w:cs="Arial"/>
          <w:i w:val="0"/>
          <w:iCs w:val="0"/>
          <w:color w:val="000000"/>
          <w:sz w:val="22"/>
          <w:szCs w:val="22"/>
          <w:u w:val="none"/>
          <w:shd w:val="clear" w:fill="FFFFFF"/>
          <w:vertAlign w:val="baseline"/>
        </w:rPr>
        <w:t xml:space="preserve"> accessibility while retaining their embodied and expressive value.</w:t>
      </w:r>
    </w:p>
    <w:p w14:paraId="152FE34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Workshop experience also highlighted the importance of a gradual progression from body awareness and breath release towards vocal projection and expressive performance. This informed the sequencing of the course, ensuring that participants first developed physical and breath awareness before progressing to more expressive vocal work.</w:t>
      </w:r>
    </w:p>
    <w:p w14:paraId="284D09D5">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rPr>
        <w:t xml:space="preserve">Although many of the cultural practices incorporated into the course originated in Trinidad and Tobago, the researcher consciously identified connections with traditions found throughout the wider Caribbean. Due to the cultural diversity of Trinidad and Tobago, many of these practices possess similarities to traditions present across other Caribbean islands. For example, the traditional Carnival character Jab Molassie exists in several Caribbean territories or remains culturally recognizable throughout the region. Similarly, Dame Lorraine, although referred to by different names across islands, retains its satirical function of mocking colonial authority and the plantation elite. These practices along with </w:t>
      </w:r>
      <w:r>
        <w:rPr>
          <w:rFonts w:hint="default" w:ascii="Arial" w:hAnsi="Arial" w:cs="Arial"/>
          <w:i/>
          <w:iCs/>
          <w:color w:val="000000"/>
          <w:sz w:val="22"/>
          <w:szCs w:val="22"/>
          <w:u w:val="none"/>
          <w:shd w:val="clear" w:fill="FFFFFF"/>
          <w:vertAlign w:val="baseline"/>
        </w:rPr>
        <w:t>doption</w:t>
      </w:r>
      <w:r>
        <w:rPr>
          <w:rFonts w:hint="default" w:ascii="Arial" w:hAnsi="Arial" w:cs="Arial"/>
          <w:i w:val="0"/>
          <w:iCs w:val="0"/>
          <w:color w:val="000000"/>
          <w:sz w:val="22"/>
          <w:szCs w:val="22"/>
          <w:u w:val="none"/>
          <w:shd w:val="clear" w:fill="FFFFFF"/>
          <w:vertAlign w:val="baseline"/>
        </w:rPr>
        <w:t xml:space="preserve"> and extempo were selected because of their strong connections to physicality, rhythm, breath work, and vocal expression. These practices further informed the design of exercises that encouraged participants to explore their voices through culturally relevant forms of movement and expression before applying these discoveries to text and reflective activities. Participants are also required to record themselves completing exercises, reflect on their experiences, and submit their work for feedback. This process supports the development of self-awareness while encouraging critical engagement with embodied vocal practice</w:t>
      </w:r>
      <w:r>
        <w:rPr>
          <w:rFonts w:hint="default" w:ascii="Arial" w:hAnsi="Arial" w:cs="Arial"/>
          <w:i w:val="0"/>
          <w:iCs w:val="0"/>
          <w:color w:val="000000"/>
          <w:sz w:val="22"/>
          <w:szCs w:val="22"/>
          <w:u w:val="none"/>
          <w:shd w:val="clear" w:fill="FFFFFF"/>
          <w:vertAlign w:val="baseline"/>
          <w:lang w:val="en-TT"/>
        </w:rPr>
        <w:t>,</w:t>
      </w:r>
      <w:r>
        <w:rPr>
          <w:rFonts w:hint="default" w:ascii="Arial" w:hAnsi="Arial" w:cs="Arial"/>
          <w:i w:val="0"/>
          <w:iCs w:val="0"/>
          <w:color w:val="000000"/>
          <w:sz w:val="22"/>
          <w:szCs w:val="22"/>
          <w:u w:val="none"/>
          <w:shd w:val="clear" w:fill="FFFFFF"/>
          <w:vertAlign w:val="baseline"/>
        </w:rPr>
        <w:t xml:space="preserve"> </w:t>
      </w:r>
      <w:r>
        <w:rPr>
          <w:rFonts w:hint="default" w:ascii="Arial" w:hAnsi="Arial" w:cs="Arial"/>
          <w:i w:val="0"/>
          <w:iCs w:val="0"/>
          <w:color w:val="000000"/>
          <w:sz w:val="22"/>
          <w:szCs w:val="22"/>
          <w:u w:val="none"/>
          <w:shd w:val="clear" w:fill="FFFFFF"/>
          <w:vertAlign w:val="baseline"/>
          <w:lang w:val="en-TT"/>
        </w:rPr>
        <w:t>(</w:t>
      </w:r>
      <w:r>
        <w:rPr>
          <w:rFonts w:hint="default" w:ascii="Arial" w:hAnsi="Arial" w:cs="Arial"/>
          <w:i w:val="0"/>
          <w:iCs w:val="0"/>
          <w:color w:val="000000"/>
          <w:sz w:val="22"/>
          <w:szCs w:val="22"/>
          <w:u w:val="none"/>
          <w:shd w:val="clear" w:fill="FFFFFF"/>
          <w:vertAlign w:val="baseline"/>
        </w:rPr>
        <w:t>See figure</w:t>
      </w:r>
      <w:r>
        <w:rPr>
          <w:rFonts w:hint="default" w:ascii="Arial" w:hAnsi="Arial" w:cs="Arial"/>
          <w:i w:val="0"/>
          <w:iCs w:val="0"/>
          <w:color w:val="000000"/>
          <w:sz w:val="22"/>
          <w:szCs w:val="22"/>
          <w:u w:val="none"/>
          <w:shd w:val="clear" w:fill="FFFFFF"/>
          <w:vertAlign w:val="baseline"/>
          <w:lang w:val="en-TT"/>
        </w:rPr>
        <w:t xml:space="preserve"> 3).</w:t>
      </w:r>
    </w:p>
    <w:p w14:paraId="5AC28B88">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p>
    <w:p w14:paraId="47773707">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drawing>
          <wp:inline distT="0" distB="0" distL="114300" distR="114300">
            <wp:extent cx="5270500" cy="2000885"/>
            <wp:effectExtent l="0" t="0" r="6350" b="18415"/>
            <wp:docPr id="36" name="Picture 36" descr="Screenshot 2026-06-12 184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Screenshot 2026-06-12 184543"/>
                    <pic:cNvPicPr>
                      <a:picLocks noChangeAspect="1"/>
                    </pic:cNvPicPr>
                  </pic:nvPicPr>
                  <pic:blipFill>
                    <a:blip r:embed="rId9"/>
                    <a:stretch>
                      <a:fillRect/>
                    </a:stretch>
                  </pic:blipFill>
                  <pic:spPr>
                    <a:xfrm>
                      <a:off x="0" y="0"/>
                      <a:ext cx="5270500" cy="2000885"/>
                    </a:xfrm>
                    <a:prstGeom prst="rect">
                      <a:avLst/>
                    </a:prstGeom>
                  </pic:spPr>
                </pic:pic>
              </a:graphicData>
            </a:graphic>
          </wp:inline>
        </w:drawing>
      </w:r>
    </w:p>
    <w:p w14:paraId="0733214F">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t>Figure 3:  Integration of cultural practice</w:t>
      </w:r>
    </w:p>
    <w:p w14:paraId="45D2E27F">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p>
    <w:p w14:paraId="3DAAA8CA">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While the inclusion of a broader range of regional practices could strengthen the course's inclusivity, the selected traditions were chosen for their strong embodied and expressive qualities and their recognisability across much of the Caribbean. This decision reflected the practical constraints of the project while maintaining alignment with its aim of developing culturally responsive performer training.</w:t>
      </w:r>
    </w:p>
    <w:p w14:paraId="3407EB60">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online delivery of the course also required the application of practical digital and pedagogical skills. Google Classroom was selected to support accessibility, self-paced learning, and participant engagement. After evaluating alternative platforms, the researcher determined that although Canvas LMS and Moodle offered greater opportunities for visual </w:t>
      </w:r>
      <w:r>
        <w:rPr>
          <w:rFonts w:hint="default" w:ascii="Arial" w:hAnsi="Arial" w:cs="Arial"/>
          <w:i w:val="0"/>
          <w:iCs w:val="0"/>
          <w:color w:val="000000"/>
          <w:sz w:val="22"/>
          <w:szCs w:val="22"/>
          <w:u w:val="none"/>
          <w:shd w:val="clear" w:fill="FFFFFF"/>
          <w:vertAlign w:val="baseline"/>
          <w:lang w:val="en-TT"/>
        </w:rPr>
        <w:t>customization</w:t>
      </w:r>
      <w:r>
        <w:rPr>
          <w:rFonts w:hint="default" w:ascii="Arial" w:hAnsi="Arial" w:cs="Arial"/>
          <w:i w:val="0"/>
          <w:iCs w:val="0"/>
          <w:color w:val="000000"/>
          <w:sz w:val="22"/>
          <w:szCs w:val="22"/>
          <w:u w:val="none"/>
          <w:shd w:val="clear" w:fill="FFFFFF"/>
          <w:vertAlign w:val="baseline"/>
        </w:rPr>
        <w:t xml:space="preserve"> and course design, they would require additional time, resources, and potentially financial investment. Google Classroom therefore provided the most practical balance between accessibility, affordability, and functionality, reflecting the realities of artefact development within the project's available resources.</w:t>
      </w:r>
    </w:p>
    <w:p w14:paraId="7F54F420">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 researcher initially expressed concern that participants might not experience the immediacy and spontaneity of in-person social interaction (Stanford, 2026). However, Strasberg (2020) argues that while live theatre and face-to-face performer training remain important components of actor development, online learning environments can provide accessible opportunities for continued practice, reflection, and skills development. The incorporation of recorded submissions, reflective activities, and facilitator feedback was therefore intended to foster engagement and support learning within the digital environment.</w:t>
      </w:r>
    </w:p>
    <w:p w14:paraId="570088B4">
      <w:pPr>
        <w:pStyle w:val="2"/>
        <w:keepNext w:val="0"/>
        <w:keepLines w:val="0"/>
        <w:widowControl/>
        <w:suppressLineNumbers w:val="0"/>
        <w:bidi w:val="0"/>
        <w:spacing w:before="480" w:beforeAutospacing="0" w:after="120" w:afterAutospacing="0" w:line="360" w:lineRule="auto"/>
        <w:jc w:val="both"/>
        <w:rPr>
          <w:rFonts w:hint="default" w:ascii="Arial" w:hAnsi="Arial" w:cs="Arial"/>
          <w:sz w:val="22"/>
          <w:szCs w:val="22"/>
          <w:lang w:val="en-TT"/>
        </w:rPr>
      </w:pPr>
      <w:r>
        <w:rPr>
          <w:rFonts w:hint="default" w:ascii="Arial" w:hAnsi="Arial" w:cs="Arial"/>
          <w:b/>
          <w:bCs/>
          <w:i w:val="0"/>
          <w:iCs w:val="0"/>
          <w:color w:val="000000"/>
          <w:sz w:val="22"/>
          <w:szCs w:val="22"/>
          <w:u w:val="none"/>
          <w:shd w:val="clear" w:fill="FFFFFF"/>
          <w:vertAlign w:val="baseline"/>
        </w:rPr>
        <w:t>Know-What</w:t>
      </w:r>
      <w:r>
        <w:rPr>
          <w:rFonts w:hint="default" w:ascii="Arial" w:hAnsi="Arial" w:cs="Arial"/>
          <w:b/>
          <w:bCs/>
          <w:i w:val="0"/>
          <w:iCs w:val="0"/>
          <w:color w:val="000000"/>
          <w:sz w:val="22"/>
          <w:szCs w:val="22"/>
          <w:u w:val="none"/>
          <w:shd w:val="clear" w:fill="FFFFFF"/>
          <w:vertAlign w:val="baseline"/>
          <w:lang w:val="en-TT"/>
        </w:rPr>
        <w:t xml:space="preserve"> (Factual and Conceptual Knowledge)</w:t>
      </w:r>
    </w:p>
    <w:p w14:paraId="2AE83A7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Nelson (2022) describes </w:t>
      </w:r>
      <w:r>
        <w:rPr>
          <w:rFonts w:hint="default" w:ascii="Arial" w:hAnsi="Arial" w:cs="Arial"/>
          <w:i/>
          <w:iCs/>
          <w:color w:val="000000"/>
          <w:sz w:val="22"/>
          <w:szCs w:val="22"/>
          <w:u w:val="none"/>
          <w:shd w:val="clear" w:fill="FFFFFF"/>
          <w:vertAlign w:val="baseline"/>
        </w:rPr>
        <w:t>know-what</w:t>
      </w:r>
      <w:r>
        <w:rPr>
          <w:rFonts w:hint="default" w:ascii="Arial" w:hAnsi="Arial" w:cs="Arial"/>
          <w:i w:val="0"/>
          <w:iCs w:val="0"/>
          <w:color w:val="000000"/>
          <w:sz w:val="22"/>
          <w:szCs w:val="22"/>
          <w:u w:val="none"/>
          <w:shd w:val="clear" w:fill="FFFFFF"/>
          <w:vertAlign w:val="baseline"/>
        </w:rPr>
        <w:t xml:space="preserve"> as the factual and conceptual knowledge embedded within an artefact and the extent to which that knowledge communicates the project's aims. In </w:t>
      </w:r>
      <w:r>
        <w:rPr>
          <w:rFonts w:hint="default" w:ascii="Arial" w:hAnsi="Arial" w:cs="Arial"/>
          <w:i/>
          <w:iCs/>
          <w:color w:val="000000"/>
          <w:sz w:val="22"/>
          <w:szCs w:val="22"/>
          <w:u w:val="none"/>
          <w:shd w:val="clear" w:fill="FFFFFF"/>
          <w:vertAlign w:val="baseline"/>
        </w:rPr>
        <w:t>Breath in Performance: Unlocking the Caribbean Actor's Voice</w:t>
      </w:r>
      <w:r>
        <w:rPr>
          <w:rFonts w:hint="default" w:ascii="Arial" w:hAnsi="Arial" w:cs="Arial"/>
          <w:i w:val="0"/>
          <w:iCs w:val="0"/>
          <w:color w:val="000000"/>
          <w:sz w:val="22"/>
          <w:szCs w:val="22"/>
          <w:u w:val="none"/>
          <w:shd w:val="clear" w:fill="FFFFFF"/>
          <w:vertAlign w:val="baseline"/>
        </w:rPr>
        <w:t>, knowledge drawn from voice pedagogy, somatic practice, Caribbean cultural performance, and digital learning informed both the structure and content of the course. The artefact therefore functions not only as a training resource but also as an exploration of culturally responsive performer training within a Caribbean context.</w:t>
      </w:r>
    </w:p>
    <w:p w14:paraId="0B50EF90">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course is </w:t>
      </w:r>
      <w:r>
        <w:rPr>
          <w:rFonts w:hint="default" w:ascii="Arial" w:hAnsi="Arial" w:cs="Arial"/>
          <w:i w:val="0"/>
          <w:iCs w:val="0"/>
          <w:color w:val="000000"/>
          <w:sz w:val="22"/>
          <w:szCs w:val="22"/>
          <w:u w:val="none"/>
          <w:shd w:val="clear" w:fill="FFFFFF"/>
          <w:vertAlign w:val="baseline"/>
          <w:lang w:val="en-TT"/>
        </w:rPr>
        <w:t>organized</w:t>
      </w:r>
      <w:r>
        <w:rPr>
          <w:rFonts w:hint="default" w:ascii="Arial" w:hAnsi="Arial" w:cs="Arial"/>
          <w:i w:val="0"/>
          <w:iCs w:val="0"/>
          <w:color w:val="000000"/>
          <w:sz w:val="22"/>
          <w:szCs w:val="22"/>
          <w:u w:val="none"/>
          <w:shd w:val="clear" w:fill="FFFFFF"/>
          <w:vertAlign w:val="baseline"/>
        </w:rPr>
        <w:t xml:space="preserve"> into four units:</w:t>
      </w:r>
    </w:p>
    <w:p w14:paraId="2F0205D4">
      <w:pPr>
        <w:pStyle w:val="11"/>
        <w:keepNext w:val="0"/>
        <w:keepLines w:val="0"/>
        <w:widowControl/>
        <w:numPr>
          <w:ilvl w:val="0"/>
          <w:numId w:val="1"/>
        </w:numPr>
        <w:suppressLineNumbers w:val="0"/>
        <w:bidi w:val="0"/>
        <w:spacing w:before="240" w:beforeAutospacing="0" w:after="240" w:afterAutospacing="0" w:line="360" w:lineRule="auto"/>
        <w:ind w:left="420" w:leftChars="0" w:hanging="420" w:firstLineChars="0"/>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Body Awareness and Release</w:t>
      </w:r>
    </w:p>
    <w:p w14:paraId="56092194">
      <w:pPr>
        <w:pStyle w:val="11"/>
        <w:keepNext w:val="0"/>
        <w:keepLines w:val="0"/>
        <w:widowControl/>
        <w:numPr>
          <w:ilvl w:val="0"/>
          <w:numId w:val="1"/>
        </w:numPr>
        <w:suppressLineNumbers w:val="0"/>
        <w:bidi w:val="0"/>
        <w:spacing w:before="240" w:beforeAutospacing="0" w:after="240" w:afterAutospacing="0" w:line="360" w:lineRule="auto"/>
        <w:ind w:left="420" w:leftChars="0" w:hanging="420" w:firstLineChars="0"/>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Breath Awareness and Release</w:t>
      </w:r>
    </w:p>
    <w:p w14:paraId="01827AB6">
      <w:pPr>
        <w:pStyle w:val="11"/>
        <w:keepNext w:val="0"/>
        <w:keepLines w:val="0"/>
        <w:widowControl/>
        <w:numPr>
          <w:ilvl w:val="0"/>
          <w:numId w:val="1"/>
        </w:numPr>
        <w:suppressLineNumbers w:val="0"/>
        <w:bidi w:val="0"/>
        <w:spacing w:before="240" w:beforeAutospacing="0" w:after="240" w:afterAutospacing="0" w:line="360" w:lineRule="auto"/>
        <w:ind w:left="420" w:leftChars="0" w:hanging="420" w:firstLineChars="0"/>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Breath to Sound</w:t>
      </w:r>
    </w:p>
    <w:p w14:paraId="52CEB3CB">
      <w:pPr>
        <w:pStyle w:val="11"/>
        <w:keepNext w:val="0"/>
        <w:keepLines w:val="0"/>
        <w:widowControl/>
        <w:numPr>
          <w:ilvl w:val="0"/>
          <w:numId w:val="1"/>
        </w:numPr>
        <w:suppressLineNumbers w:val="0"/>
        <w:bidi w:val="0"/>
        <w:spacing w:before="240" w:beforeAutospacing="0" w:after="240" w:afterAutospacing="0" w:line="360" w:lineRule="auto"/>
        <w:ind w:left="420" w:leftChars="0" w:hanging="420" w:firstLineChars="0"/>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Caribbean Expressiveness</w:t>
      </w:r>
    </w:p>
    <w:p w14:paraId="53D58B68">
      <w:pPr>
        <w:pStyle w:val="3"/>
        <w:keepNext w:val="0"/>
        <w:keepLines w:val="0"/>
        <w:widowControl/>
        <w:suppressLineNumbers w:val="0"/>
        <w:bidi w:val="0"/>
        <w:spacing w:before="360" w:beforeAutospacing="0" w:after="80" w:afterAutospacing="0" w:line="360" w:lineRule="auto"/>
        <w:jc w:val="both"/>
        <w:rPr>
          <w:rFonts w:hint="default" w:ascii="Arial" w:hAnsi="Arial" w:cs="Arial"/>
          <w:b w:val="0"/>
          <w:bCs w:val="0"/>
          <w:i/>
          <w:iCs/>
          <w:sz w:val="22"/>
          <w:szCs w:val="22"/>
          <w:u w:val="single"/>
        </w:rPr>
      </w:pPr>
      <w:r>
        <w:rPr>
          <w:rFonts w:hint="default" w:ascii="Arial" w:hAnsi="Arial" w:cs="Arial"/>
          <w:b w:val="0"/>
          <w:bCs w:val="0"/>
          <w:i/>
          <w:iCs/>
          <w:color w:val="000000"/>
          <w:sz w:val="22"/>
          <w:szCs w:val="22"/>
          <w:u w:val="single"/>
          <w:shd w:val="clear" w:fill="FFFFFF"/>
          <w:vertAlign w:val="baseline"/>
        </w:rPr>
        <w:t>Body Awareness and Release</w:t>
      </w:r>
    </w:p>
    <w:p w14:paraId="4F102BF5">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This unit focuses on helping performers identify and release physical tension that may restrict breath, movement, and vocal expression. Mehling, Wrubel et al. (2011) identify body awareness as a key principle underpinning many mind-body practices, linking it to improved physical, psychological, and emotional functioning. Similarly, Saumaa (2026) argues that somatic practices foster greater awareness of internal sensations, movement patterns, and physical responses, supporting embodied learning and self-discovery.</w:t>
      </w:r>
    </w:p>
    <w:p w14:paraId="6CBBDEEC">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Stress commonly manifests through muscular contraction (Walters, 2014; OrthoCarolina, 2026), and without intervention these patterns may negatively affect physical and vocal functioning. Consequently, the artefact incorporates </w:t>
      </w:r>
      <w:r>
        <w:rPr>
          <w:rFonts w:hint="default" w:ascii="Arial" w:hAnsi="Arial" w:cs="Arial"/>
          <w:i w:val="0"/>
          <w:iCs w:val="0"/>
          <w:color w:val="000000"/>
          <w:sz w:val="22"/>
          <w:szCs w:val="22"/>
          <w:u w:val="none"/>
          <w:shd w:val="clear" w:fill="FFFFFF"/>
          <w:vertAlign w:val="baseline"/>
          <w:lang w:val="en-TT"/>
        </w:rPr>
        <w:t>breath work</w:t>
      </w:r>
      <w:r>
        <w:rPr>
          <w:rFonts w:hint="default" w:ascii="Arial" w:hAnsi="Arial" w:cs="Arial"/>
          <w:i w:val="0"/>
          <w:iCs w:val="0"/>
          <w:color w:val="000000"/>
          <w:sz w:val="22"/>
          <w:szCs w:val="22"/>
          <w:u w:val="none"/>
          <w:shd w:val="clear" w:fill="FFFFFF"/>
          <w:vertAlign w:val="baseline"/>
        </w:rPr>
        <w:t xml:space="preserve">, movement activities, grounding exercises, and elements of </w:t>
      </w:r>
      <w:r>
        <w:rPr>
          <w:rFonts w:hint="default" w:ascii="Arial" w:hAnsi="Arial" w:cs="Arial"/>
          <w:i w:val="0"/>
          <w:iCs w:val="0"/>
          <w:color w:val="000000"/>
          <w:sz w:val="22"/>
          <w:szCs w:val="22"/>
          <w:u w:val="none"/>
          <w:shd w:val="clear" w:fill="FFFFFF"/>
          <w:vertAlign w:val="baseline"/>
          <w:lang w:val="en-TT"/>
        </w:rPr>
        <w:t>Tremor work</w:t>
      </w:r>
      <w:r>
        <w:rPr>
          <w:rFonts w:hint="default" w:ascii="Arial" w:hAnsi="Arial" w:cs="Arial"/>
          <w:i w:val="0"/>
          <w:iCs w:val="0"/>
          <w:color w:val="000000"/>
          <w:sz w:val="22"/>
          <w:szCs w:val="22"/>
          <w:u w:val="none"/>
          <w:shd w:val="clear" w:fill="FFFFFF"/>
          <w:vertAlign w:val="baseline"/>
        </w:rPr>
        <w:t xml:space="preserve"> to encourage physical release and freer vocal expression. References to Carnival traditions further situate this work within culturally familiar forms of Caribbean embodiment and performance.</w:t>
      </w:r>
    </w:p>
    <w:p w14:paraId="19546A8F">
      <w:pPr>
        <w:pStyle w:val="3"/>
        <w:keepNext w:val="0"/>
        <w:keepLines w:val="0"/>
        <w:widowControl/>
        <w:suppressLineNumbers w:val="0"/>
        <w:bidi w:val="0"/>
        <w:spacing w:before="360" w:beforeAutospacing="0" w:after="80" w:afterAutospacing="0" w:line="360" w:lineRule="auto"/>
        <w:jc w:val="both"/>
        <w:rPr>
          <w:rFonts w:hint="default" w:ascii="Arial" w:hAnsi="Arial" w:cs="Arial"/>
          <w:b w:val="0"/>
          <w:bCs w:val="0"/>
          <w:i/>
          <w:iCs/>
          <w:sz w:val="22"/>
          <w:szCs w:val="22"/>
          <w:u w:val="single"/>
        </w:rPr>
      </w:pPr>
      <w:r>
        <w:rPr>
          <w:rFonts w:hint="default" w:ascii="Arial" w:hAnsi="Arial" w:cs="Arial"/>
          <w:b w:val="0"/>
          <w:bCs w:val="0"/>
          <w:i/>
          <w:iCs/>
          <w:color w:val="000000"/>
          <w:sz w:val="22"/>
          <w:szCs w:val="22"/>
          <w:u w:val="single"/>
          <w:shd w:val="clear" w:fill="FFFFFF"/>
          <w:vertAlign w:val="baseline"/>
        </w:rPr>
        <w:t>Breath Awareness and Release and Breath to Sound</w:t>
      </w:r>
    </w:p>
    <w:p w14:paraId="6C3FB61F">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These units position breath as the foundation of vocal development. Attention is frequently directed towards breath as a central point of awareness (Prpa, Tatar et al., 2018), while voice-training and somatic approaches commonly view the voice as emerging from released breath and bodily impulse rather than force or excessive muscular effort</w:t>
      </w:r>
      <w:r>
        <w:rPr>
          <w:rFonts w:hint="default" w:ascii="Arial" w:hAnsi="Arial" w:cs="Arial"/>
          <w:i w:val="0"/>
          <w:iCs w:val="0"/>
          <w:color w:val="000000"/>
          <w:sz w:val="22"/>
          <w:szCs w:val="22"/>
          <w:u w:val="none"/>
          <w:shd w:val="clear" w:fill="FFFFFF"/>
          <w:vertAlign w:val="baseline"/>
          <w:lang w:val="en-TT"/>
        </w:rPr>
        <w:t xml:space="preserve"> (McAllister-Viel, 2009)</w:t>
      </w:r>
      <w:r>
        <w:rPr>
          <w:rFonts w:hint="default" w:ascii="Arial" w:hAnsi="Arial" w:cs="Arial"/>
          <w:i w:val="0"/>
          <w:iCs w:val="0"/>
          <w:color w:val="000000"/>
          <w:sz w:val="22"/>
          <w:szCs w:val="22"/>
          <w:u w:val="none"/>
          <w:shd w:val="clear" w:fill="FFFFFF"/>
          <w:vertAlign w:val="baseline"/>
        </w:rPr>
        <w:t>.</w:t>
      </w:r>
    </w:p>
    <w:p w14:paraId="78448978">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Restricted breathing patterns may result from anxiety, habitual tension, poor alignment, or performance-related stress (Kollwitz, 2016). Breath-centred work seeks to address these habits by encouraging relaxation, grounding, and respiratory awareness, ultimately supporting resonance, projection, vocal confidence, and expressive authenticity (Biassoni, Vismara et al., 2025).</w:t>
      </w:r>
    </w:p>
    <w:p w14:paraId="789AA52C">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To encourage cultural relevance, the units incorporate elements of doption and extempo, both of which </w:t>
      </w:r>
      <w:r>
        <w:rPr>
          <w:rFonts w:hint="default" w:ascii="Arial" w:hAnsi="Arial" w:cs="Arial"/>
          <w:i w:val="0"/>
          <w:iCs w:val="0"/>
          <w:color w:val="000000"/>
          <w:sz w:val="22"/>
          <w:szCs w:val="22"/>
          <w:u w:val="none"/>
          <w:shd w:val="clear" w:fill="FFFFFF"/>
          <w:vertAlign w:val="baseline"/>
          <w:lang w:val="en-TT"/>
        </w:rPr>
        <w:t>emphasize</w:t>
      </w:r>
      <w:r>
        <w:rPr>
          <w:rFonts w:hint="default" w:ascii="Arial" w:hAnsi="Arial" w:cs="Arial"/>
          <w:i w:val="0"/>
          <w:iCs w:val="0"/>
          <w:color w:val="000000"/>
          <w:sz w:val="22"/>
          <w:szCs w:val="22"/>
          <w:u w:val="none"/>
          <w:shd w:val="clear" w:fill="FFFFFF"/>
          <w:vertAlign w:val="baseline"/>
        </w:rPr>
        <w:t xml:space="preserve"> breath, rhythm, and vocal expression. Their inclusion reflects the close relationship between breath, storytelling, musicality, and oral traditions within Caribbean culture. The conceptual focus of these units emerged from observations of performers experiencing difficulties with breath support and vocal projection, positioning breath awareness as a key component of sustainable vocal practice.</w:t>
      </w:r>
    </w:p>
    <w:p w14:paraId="544FF1A8">
      <w:pPr>
        <w:pStyle w:val="3"/>
        <w:keepNext w:val="0"/>
        <w:keepLines w:val="0"/>
        <w:widowControl/>
        <w:suppressLineNumbers w:val="0"/>
        <w:bidi w:val="0"/>
        <w:spacing w:before="360" w:beforeAutospacing="0" w:after="80" w:afterAutospacing="0" w:line="360" w:lineRule="auto"/>
        <w:jc w:val="both"/>
        <w:rPr>
          <w:rFonts w:hint="default" w:ascii="Arial" w:hAnsi="Arial" w:cs="Arial"/>
          <w:b w:val="0"/>
          <w:bCs w:val="0"/>
          <w:i/>
          <w:iCs/>
          <w:sz w:val="22"/>
          <w:szCs w:val="22"/>
          <w:u w:val="single"/>
        </w:rPr>
      </w:pPr>
      <w:r>
        <w:rPr>
          <w:rFonts w:hint="default" w:ascii="Arial" w:hAnsi="Arial" w:cs="Arial"/>
          <w:b w:val="0"/>
          <w:bCs w:val="0"/>
          <w:i/>
          <w:iCs/>
          <w:color w:val="000000"/>
          <w:sz w:val="22"/>
          <w:szCs w:val="22"/>
          <w:u w:val="single"/>
          <w:shd w:val="clear" w:fill="FFFFFF"/>
          <w:vertAlign w:val="baseline"/>
        </w:rPr>
        <w:t>Caribbean Expressiveness</w:t>
      </w:r>
    </w:p>
    <w:p w14:paraId="41BD984B">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Caribbean expressiveness extends beyond speech to include gesture, movement, rhythm, and embodied communication. Vocal inflection, tonal variation, and physical expressivity frequently contribute to the richness of communication across the region. Consequently, the integration of cultural and religi</w:t>
      </w:r>
      <w:r>
        <w:rPr>
          <w:rFonts w:hint="default" w:ascii="Arial" w:hAnsi="Arial" w:cs="Arial"/>
          <w:i w:val="0"/>
          <w:iCs w:val="0"/>
          <w:color w:val="000000"/>
          <w:sz w:val="22"/>
          <w:szCs w:val="22"/>
          <w:u w:val="none"/>
          <w:shd w:val="clear" w:fill="FFFFFF"/>
          <w:vertAlign w:val="baseline"/>
          <w:lang w:val="en-TT"/>
        </w:rPr>
        <w:t>o</w:t>
      </w:r>
      <w:r>
        <w:rPr>
          <w:rFonts w:hint="default" w:ascii="Arial" w:hAnsi="Arial" w:cs="Arial"/>
          <w:i w:val="0"/>
          <w:iCs w:val="0"/>
          <w:color w:val="000000"/>
          <w:sz w:val="22"/>
          <w:szCs w:val="22"/>
          <w:u w:val="none"/>
          <w:shd w:val="clear" w:fill="FFFFFF"/>
          <w:vertAlign w:val="baseline"/>
        </w:rPr>
        <w:t>us practices was considered an important aspect of the course design.</w:t>
      </w:r>
    </w:p>
    <w:p w14:paraId="2EEDA2AE">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rPr>
        <w:t>Traditional Carnival characters emerged from African, European, and Indigenous influences and evolved during slavery as expressions of identity, resistance, satire, and cultural preservation (Visit Trinidad, 2025)</w:t>
      </w:r>
      <w:r>
        <w:rPr>
          <w:rFonts w:hint="default" w:ascii="Arial" w:hAnsi="Arial" w:cs="Arial"/>
          <w:i w:val="0"/>
          <w:iCs w:val="0"/>
          <w:color w:val="000000"/>
          <w:sz w:val="22"/>
          <w:szCs w:val="22"/>
          <w:u w:val="none"/>
          <w:shd w:val="clear" w:fill="FFFFFF"/>
          <w:vertAlign w:val="baseline"/>
          <w:lang w:val="en-TT"/>
        </w:rPr>
        <w:t xml:space="preserve"> (See image 1 and 2 below)</w:t>
      </w:r>
      <w:r>
        <w:rPr>
          <w:rFonts w:hint="default" w:ascii="Arial" w:hAnsi="Arial" w:cs="Arial"/>
          <w:i w:val="0"/>
          <w:iCs w:val="0"/>
          <w:color w:val="000000"/>
          <w:sz w:val="22"/>
          <w:szCs w:val="22"/>
          <w:u w:val="none"/>
          <w:shd w:val="clear" w:fill="FFFFFF"/>
          <w:vertAlign w:val="baseline"/>
        </w:rPr>
        <w:t xml:space="preserve">. Similarly, doption involves rhythmic </w:t>
      </w:r>
      <w:r>
        <w:rPr>
          <w:rFonts w:hint="default" w:ascii="Arial" w:hAnsi="Arial" w:cs="Arial"/>
          <w:i w:val="0"/>
          <w:iCs w:val="0"/>
          <w:color w:val="000000"/>
          <w:sz w:val="22"/>
          <w:szCs w:val="22"/>
          <w:u w:val="none"/>
          <w:shd w:val="clear" w:fill="FFFFFF"/>
          <w:vertAlign w:val="baseline"/>
          <w:lang w:val="en-TT"/>
        </w:rPr>
        <w:t>vocalizations</w:t>
      </w:r>
      <w:r>
        <w:rPr>
          <w:rFonts w:hint="default" w:ascii="Arial" w:hAnsi="Arial" w:cs="Arial"/>
          <w:i w:val="0"/>
          <w:iCs w:val="0"/>
          <w:color w:val="000000"/>
          <w:sz w:val="22"/>
          <w:szCs w:val="22"/>
          <w:u w:val="none"/>
          <w:shd w:val="clear" w:fill="FFFFFF"/>
          <w:vertAlign w:val="baseline"/>
        </w:rPr>
        <w:t xml:space="preserve"> during prayer and spiritual practice, combining breath, voice, and bodily expression in an embodied form of worship (NALIS, 2026). Extempo, an improvised lyrical form of Calypso, further highlights the importance of rhythm, spontaneity, storytelling, and vocal confidence within Caribbean performance traditions (Darmanie, 2018).</w:t>
      </w:r>
    </w:p>
    <w:p w14:paraId="42EA8498">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lang w:val="en-TT"/>
        </w:rPr>
        <w:t>Image 1: Dame Lorraine</w:t>
      </w:r>
    </w:p>
    <w:p w14:paraId="1DAC4C1E">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drawing>
          <wp:inline distT="0" distB="0" distL="114300" distR="114300">
            <wp:extent cx="2994660" cy="2677160"/>
            <wp:effectExtent l="0" t="0" r="15240" b="8890"/>
            <wp:docPr id="38" name="Picture 38" descr="IMG_0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IMG_0423"/>
                    <pic:cNvPicPr>
                      <a:picLocks noChangeAspect="1"/>
                    </pic:cNvPicPr>
                  </pic:nvPicPr>
                  <pic:blipFill>
                    <a:blip r:embed="rId10"/>
                    <a:stretch>
                      <a:fillRect/>
                    </a:stretch>
                  </pic:blipFill>
                  <pic:spPr>
                    <a:xfrm>
                      <a:off x="0" y="0"/>
                      <a:ext cx="2994660" cy="2677160"/>
                    </a:xfrm>
                    <a:prstGeom prst="rect">
                      <a:avLst/>
                    </a:prstGeom>
                  </pic:spPr>
                </pic:pic>
              </a:graphicData>
            </a:graphic>
          </wp:inline>
        </w:drawing>
      </w:r>
    </w:p>
    <w:p w14:paraId="084F05D3">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bookmarkStart w:id="0" w:name="_GoBack"/>
      <w:bookmarkEnd w:id="0"/>
      <w:r>
        <w:rPr>
          <w:rFonts w:hint="default" w:ascii="Arial" w:hAnsi="Arial" w:cs="Arial"/>
          <w:i w:val="0"/>
          <w:iCs w:val="0"/>
          <w:color w:val="000000"/>
          <w:sz w:val="22"/>
          <w:szCs w:val="22"/>
          <w:u w:val="none"/>
          <w:shd w:val="clear" w:fill="FFFFFF"/>
          <w:vertAlign w:val="baseline"/>
          <w:lang w:val="en-TT"/>
        </w:rPr>
        <w:t>Image 2: Jab Jab (Jab Malassie)</w:t>
      </w:r>
    </w:p>
    <w:p w14:paraId="094B48EB">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drawing>
          <wp:inline distT="0" distB="0" distL="114300" distR="114300">
            <wp:extent cx="4492625" cy="3003550"/>
            <wp:effectExtent l="0" t="0" r="3175" b="6350"/>
            <wp:docPr id="39" name="Picture 39" descr="IMG_0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G_0467"/>
                    <pic:cNvPicPr>
                      <a:picLocks noChangeAspect="1"/>
                    </pic:cNvPicPr>
                  </pic:nvPicPr>
                  <pic:blipFill>
                    <a:blip r:embed="rId11"/>
                    <a:stretch>
                      <a:fillRect/>
                    </a:stretch>
                  </pic:blipFill>
                  <pic:spPr>
                    <a:xfrm>
                      <a:off x="0" y="0"/>
                      <a:ext cx="4492625" cy="3003550"/>
                    </a:xfrm>
                    <a:prstGeom prst="rect">
                      <a:avLst/>
                    </a:prstGeom>
                  </pic:spPr>
                </pic:pic>
              </a:graphicData>
            </a:graphic>
          </wp:inline>
        </w:drawing>
      </w:r>
    </w:p>
    <w:p w14:paraId="7D2CC391">
      <w:pPr>
        <w:pStyle w:val="11"/>
        <w:keepNext w:val="0"/>
        <w:keepLines w:val="0"/>
        <w:widowControl/>
        <w:suppressLineNumbers w:val="0"/>
        <w:bidi w:val="0"/>
        <w:spacing w:before="240" w:beforeAutospacing="0" w:after="240" w:afterAutospacing="0" w:line="360" w:lineRule="auto"/>
        <w:jc w:val="both"/>
        <w:rPr>
          <w:rFonts w:hint="default" w:ascii="Arial" w:hAnsi="Arial" w:cs="Arial"/>
          <w:b w:val="0"/>
          <w:bCs w:val="0"/>
          <w:i/>
          <w:iCs/>
          <w:color w:val="000000"/>
          <w:sz w:val="22"/>
          <w:szCs w:val="22"/>
          <w:u w:val="single"/>
          <w:shd w:val="clear" w:fill="FFFFFF"/>
          <w:vertAlign w:val="baseline"/>
        </w:rPr>
      </w:pPr>
      <w:r>
        <w:rPr>
          <w:rFonts w:hint="default" w:ascii="Arial" w:hAnsi="Arial" w:cs="Arial"/>
          <w:i w:val="0"/>
          <w:iCs w:val="0"/>
          <w:color w:val="000000"/>
          <w:sz w:val="22"/>
          <w:szCs w:val="22"/>
          <w:u w:val="none"/>
          <w:shd w:val="clear" w:fill="FFFFFF"/>
          <w:vertAlign w:val="baseline"/>
        </w:rPr>
        <w:t xml:space="preserve">Many of these practices developed as responses to colonial oppression and functioned as forms of resistance and social commentary. Their inclusion therefore reflects not only their value as voice-training tools but also their significance as expressions of Caribbean identity and cultural resilience. In this sense, the artefact contributes to wider discussions surrounding culturally responsive and </w:t>
      </w:r>
      <w:r>
        <w:rPr>
          <w:rFonts w:hint="default" w:ascii="Arial" w:hAnsi="Arial" w:cs="Arial"/>
          <w:i w:val="0"/>
          <w:iCs w:val="0"/>
          <w:color w:val="000000"/>
          <w:sz w:val="22"/>
          <w:szCs w:val="22"/>
          <w:u w:val="none"/>
          <w:shd w:val="clear" w:fill="FFFFFF"/>
          <w:vertAlign w:val="baseline"/>
          <w:lang w:val="en-TT"/>
        </w:rPr>
        <w:t>decolonizing</w:t>
      </w:r>
      <w:r>
        <w:rPr>
          <w:rFonts w:hint="default" w:ascii="Arial" w:hAnsi="Arial" w:cs="Arial"/>
          <w:i w:val="0"/>
          <w:iCs w:val="0"/>
          <w:color w:val="000000"/>
          <w:sz w:val="22"/>
          <w:szCs w:val="22"/>
          <w:u w:val="none"/>
          <w:shd w:val="clear" w:fill="FFFFFF"/>
          <w:vertAlign w:val="baseline"/>
        </w:rPr>
        <w:t xml:space="preserve"> approaches to performer training.</w:t>
      </w:r>
    </w:p>
    <w:p w14:paraId="1F3A0B0C">
      <w:pPr>
        <w:pStyle w:val="3"/>
        <w:keepNext w:val="0"/>
        <w:keepLines w:val="0"/>
        <w:widowControl/>
        <w:suppressLineNumbers w:val="0"/>
        <w:bidi w:val="0"/>
        <w:spacing w:before="360" w:beforeAutospacing="0" w:after="80" w:afterAutospacing="0" w:line="360" w:lineRule="auto"/>
        <w:jc w:val="both"/>
        <w:rPr>
          <w:rFonts w:hint="default" w:ascii="Arial" w:hAnsi="Arial" w:cs="Arial"/>
          <w:b w:val="0"/>
          <w:bCs w:val="0"/>
          <w:i/>
          <w:iCs/>
          <w:sz w:val="22"/>
          <w:szCs w:val="22"/>
          <w:u w:val="single"/>
        </w:rPr>
      </w:pPr>
      <w:r>
        <w:rPr>
          <w:rFonts w:hint="default" w:ascii="Arial" w:hAnsi="Arial" w:cs="Arial"/>
          <w:b w:val="0"/>
          <w:bCs w:val="0"/>
          <w:i/>
          <w:iCs/>
          <w:color w:val="000000"/>
          <w:sz w:val="22"/>
          <w:szCs w:val="22"/>
          <w:u w:val="single"/>
          <w:shd w:val="clear" w:fill="FFFFFF"/>
          <w:vertAlign w:val="baseline"/>
        </w:rPr>
        <w:t>Summary</w:t>
      </w:r>
    </w:p>
    <w:p w14:paraId="463E9562">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rPr>
      </w:pPr>
      <w:r>
        <w:rPr>
          <w:rFonts w:hint="default" w:ascii="Arial" w:hAnsi="Arial" w:cs="Arial"/>
          <w:i w:val="0"/>
          <w:iCs w:val="0"/>
          <w:color w:val="000000"/>
          <w:sz w:val="22"/>
          <w:szCs w:val="22"/>
          <w:u w:val="none"/>
          <w:shd w:val="clear" w:fill="FFFFFF"/>
          <w:vertAlign w:val="baseline"/>
        </w:rPr>
        <w:t xml:space="preserve">Collectively, these units demonstrate how factual and contextual knowledge from voice pedagogy, somatic practice, and Caribbean cultural traditions informed the design of the artefact. The content supports the project's aim of developing a culturally responsive voice-training resource for Caribbean performers through the integration of Linklater Voice Method, Fitzmaurice </w:t>
      </w:r>
      <w:r>
        <w:rPr>
          <w:rFonts w:hint="default" w:ascii="Arial" w:hAnsi="Arial" w:cs="Arial"/>
          <w:i w:val="0"/>
          <w:iCs w:val="0"/>
          <w:color w:val="000000"/>
          <w:sz w:val="22"/>
          <w:szCs w:val="22"/>
          <w:u w:val="none"/>
          <w:shd w:val="clear" w:fill="FFFFFF"/>
          <w:vertAlign w:val="baseline"/>
          <w:lang w:val="en-TT"/>
        </w:rPr>
        <w:t>Voice work</w:t>
      </w:r>
      <w:r>
        <w:rPr>
          <w:rFonts w:hint="default" w:ascii="Arial" w:hAnsi="Arial" w:cs="Arial"/>
          <w:i w:val="0"/>
          <w:iCs w:val="0"/>
          <w:color w:val="000000"/>
          <w:sz w:val="22"/>
          <w:szCs w:val="22"/>
          <w:u w:val="none"/>
          <w:shd w:val="clear" w:fill="FFFFFF"/>
          <w:vertAlign w:val="baseline"/>
        </w:rPr>
        <w:t>, and Caribbean performance practices. Through this integration, the artefact seeks to encourage embodied learning, vocal development, and greater engagement with Caribbean forms of expression. The effectiveness and implications of these choices are explored further in the reflective conclusion and critical reflection sections that follow.</w:t>
      </w:r>
    </w:p>
    <w:p w14:paraId="756A581C">
      <w:pPr>
        <w:pStyle w:val="11"/>
        <w:keepNext w:val="0"/>
        <w:keepLines w:val="0"/>
        <w:widowControl/>
        <w:suppressLineNumbers w:val="0"/>
        <w:bidi w:val="0"/>
        <w:spacing w:before="0" w:beforeAutospacing="0" w:after="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Reflective Conclusion</w:t>
      </w:r>
    </w:p>
    <w:p w14:paraId="1FBAF9A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development of </w:t>
      </w:r>
      <w:r>
        <w:rPr>
          <w:rFonts w:hint="default" w:ascii="Arial" w:hAnsi="Arial" w:cs="Arial"/>
          <w:i/>
          <w:iCs/>
          <w:color w:val="000000"/>
          <w:sz w:val="22"/>
          <w:szCs w:val="22"/>
          <w:u w:val="none"/>
          <w:shd w:val="clear" w:fill="FFFFFF"/>
          <w:vertAlign w:val="baseline"/>
        </w:rPr>
        <w:t>Breath in Performance: Unlocking the Caribbean Actor’s Voice</w:t>
      </w:r>
      <w:r>
        <w:rPr>
          <w:rFonts w:hint="default" w:ascii="Arial" w:hAnsi="Arial" w:cs="Arial"/>
          <w:i w:val="0"/>
          <w:iCs w:val="0"/>
          <w:color w:val="000000"/>
          <w:sz w:val="22"/>
          <w:szCs w:val="22"/>
          <w:u w:val="none"/>
          <w:shd w:val="clear" w:fill="FFFFFF"/>
          <w:vertAlign w:val="baseline"/>
        </w:rPr>
        <w:t xml:space="preserve"> highlighted the value of integrating body, breath, voice, and culturally relevant performance practices within actor training. Throughout the planning, development, and reflective phases, the research reinforced the importance of embodied learning and demonstrated how voice pedagogy, somatic practice, and Caribbean cultural traditions can collectively inform performer training. The literature reviewed throughout the project suggests that body awareness and somatic approaches can enhance physical, emotional, and vocal functioning (Mehling, Wrubel et al., 2011; Saumaa, 2026), while breath-centred practices support relaxation, vocal freedom, and embodied presence (Prpa, Tatar et al., 2018). These findings informed the design of exercises aimed at reducing tension, increasing bodily awareness, and encouraging authentic vocal expression.</w:t>
      </w:r>
    </w:p>
    <w:p w14:paraId="6FD876AA">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project successfully met its overall aim of developing a short course informed by Linklater Voice Method and Fitzmaurice </w:t>
      </w:r>
      <w:r>
        <w:rPr>
          <w:rFonts w:hint="default" w:ascii="Arial" w:hAnsi="Arial" w:cs="Arial"/>
          <w:i w:val="0"/>
          <w:iCs w:val="0"/>
          <w:color w:val="000000"/>
          <w:sz w:val="22"/>
          <w:szCs w:val="22"/>
          <w:u w:val="none"/>
          <w:shd w:val="clear" w:fill="FFFFFF"/>
          <w:vertAlign w:val="baseline"/>
          <w:lang w:val="en-TT"/>
        </w:rPr>
        <w:t>Voice work</w:t>
      </w:r>
      <w:r>
        <w:rPr>
          <w:rFonts w:hint="default" w:ascii="Arial" w:hAnsi="Arial" w:cs="Arial"/>
          <w:i w:val="0"/>
          <w:iCs w:val="0"/>
          <w:color w:val="000000"/>
          <w:sz w:val="22"/>
          <w:szCs w:val="22"/>
          <w:u w:val="none"/>
          <w:shd w:val="clear" w:fill="FFFFFF"/>
          <w:vertAlign w:val="baseline"/>
        </w:rPr>
        <w:t xml:space="preserve"> within a Caribbean performance context. The objectives were addressed through the critical evaluation of both methodologies, the examination of Caribbean cultural and performance practices, and the integration of these influences into a structured online learning resource. The resulting artefact demonstrates how internationally </w:t>
      </w:r>
      <w:r>
        <w:rPr>
          <w:rFonts w:hint="default" w:ascii="Arial" w:hAnsi="Arial" w:cs="Arial"/>
          <w:i w:val="0"/>
          <w:iCs w:val="0"/>
          <w:color w:val="000000"/>
          <w:sz w:val="22"/>
          <w:szCs w:val="22"/>
          <w:u w:val="none"/>
          <w:shd w:val="clear" w:fill="FFFFFF"/>
          <w:vertAlign w:val="baseline"/>
          <w:lang w:val="en-TT"/>
        </w:rPr>
        <w:t>recognized</w:t>
      </w:r>
      <w:r>
        <w:rPr>
          <w:rFonts w:hint="default" w:ascii="Arial" w:hAnsi="Arial" w:cs="Arial"/>
          <w:i w:val="0"/>
          <w:iCs w:val="0"/>
          <w:color w:val="000000"/>
          <w:sz w:val="22"/>
          <w:szCs w:val="22"/>
          <w:u w:val="none"/>
          <w:shd w:val="clear" w:fill="FFFFFF"/>
          <w:vertAlign w:val="baseline"/>
        </w:rPr>
        <w:t xml:space="preserve"> voice-training approaches can be combined with culturally familiar forms of expression to support Caribbean performers.</w:t>
      </w:r>
    </w:p>
    <w:p w14:paraId="37920C64">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The project successfully achieved its aim of developing a short course in voice training for Caribbean performers informed by Linklater Voice Method and Fitzmaurice </w:t>
      </w:r>
      <w:r>
        <w:rPr>
          <w:rFonts w:hint="default" w:ascii="Arial" w:hAnsi="Arial" w:cs="Arial"/>
          <w:i w:val="0"/>
          <w:iCs w:val="0"/>
          <w:color w:val="000000"/>
          <w:sz w:val="22"/>
          <w:szCs w:val="22"/>
          <w:u w:val="none"/>
          <w:shd w:val="clear" w:fill="FFFFFF"/>
          <w:vertAlign w:val="baseline"/>
          <w:lang w:val="en-TT"/>
        </w:rPr>
        <w:t>Voice work</w:t>
      </w:r>
      <w:r>
        <w:rPr>
          <w:rFonts w:hint="default" w:ascii="Arial" w:hAnsi="Arial" w:cs="Arial"/>
          <w:i w:val="0"/>
          <w:iCs w:val="0"/>
          <w:color w:val="000000"/>
          <w:sz w:val="22"/>
          <w:szCs w:val="22"/>
          <w:u w:val="none"/>
          <w:shd w:val="clear" w:fill="FFFFFF"/>
          <w:vertAlign w:val="baseline"/>
        </w:rPr>
        <w:t xml:space="preserve"> within a Caribbean performance context. The objectives were met through the critical evaluation of key principles from both methodologies, particularly their approaches to breath, embodiment, vocal freedom, and expression; the interrogation and analysis of Caribbean cultural and performance practices; and the integration of these influences into a structured online learning resource. The learning outcomes were also achieved through the development of practical exercises that demonstrated an understanding of Linklater and Fitzmaurice </w:t>
      </w:r>
      <w:r>
        <w:rPr>
          <w:rFonts w:hint="default" w:ascii="Arial" w:hAnsi="Arial" w:cs="Arial"/>
          <w:i w:val="0"/>
          <w:iCs w:val="0"/>
          <w:color w:val="000000"/>
          <w:sz w:val="22"/>
          <w:szCs w:val="22"/>
          <w:u w:val="none"/>
          <w:shd w:val="clear" w:fill="FFFFFF"/>
          <w:vertAlign w:val="baseline"/>
          <w:lang w:val="en-TT"/>
        </w:rPr>
        <w:t>voice work</w:t>
      </w:r>
      <w:r>
        <w:rPr>
          <w:rFonts w:hint="default" w:ascii="Arial" w:hAnsi="Arial" w:cs="Arial"/>
          <w:i w:val="0"/>
          <w:iCs w:val="0"/>
          <w:color w:val="000000"/>
          <w:sz w:val="22"/>
          <w:szCs w:val="22"/>
          <w:u w:val="none"/>
          <w:shd w:val="clear" w:fill="FFFFFF"/>
          <w:vertAlign w:val="baseline"/>
        </w:rPr>
        <w:t xml:space="preserve">, explored Caribbean approaches to vocal expression and embodied communication, applied voice-training principles within culturally relevant activities, and evaluated the potential of breath-centred practices to support vocal freedom and performance. Collectively, the artefact demonstrates how internationally </w:t>
      </w:r>
      <w:r>
        <w:rPr>
          <w:rFonts w:hint="default" w:ascii="Arial" w:hAnsi="Arial" w:cs="Arial"/>
          <w:i w:val="0"/>
          <w:iCs w:val="0"/>
          <w:color w:val="000000"/>
          <w:sz w:val="22"/>
          <w:szCs w:val="22"/>
          <w:u w:val="none"/>
          <w:shd w:val="clear" w:fill="FFFFFF"/>
          <w:vertAlign w:val="baseline"/>
          <w:lang w:val="en-TT"/>
        </w:rPr>
        <w:t>recognized</w:t>
      </w:r>
      <w:r>
        <w:rPr>
          <w:rFonts w:hint="default" w:ascii="Arial" w:hAnsi="Arial" w:cs="Arial"/>
          <w:i w:val="0"/>
          <w:iCs w:val="0"/>
          <w:color w:val="000000"/>
          <w:sz w:val="22"/>
          <w:szCs w:val="22"/>
          <w:u w:val="none"/>
          <w:shd w:val="clear" w:fill="FFFFFF"/>
          <w:vertAlign w:val="baseline"/>
        </w:rPr>
        <w:t xml:space="preserve"> voice-training approaches can be meaningfully integrated with Caribbean cultural practices to support culturally responsive performer training. </w:t>
      </w:r>
    </w:p>
    <w:p w14:paraId="1E47CBC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A key strength of the project is its contribution to culturally responsive and potentially </w:t>
      </w:r>
      <w:r>
        <w:rPr>
          <w:rFonts w:hint="default" w:ascii="Arial" w:hAnsi="Arial" w:cs="Arial"/>
          <w:i w:val="0"/>
          <w:iCs w:val="0"/>
          <w:color w:val="000000"/>
          <w:sz w:val="22"/>
          <w:szCs w:val="22"/>
          <w:u w:val="none"/>
          <w:shd w:val="clear" w:fill="FFFFFF"/>
          <w:vertAlign w:val="baseline"/>
          <w:lang w:val="en-TT"/>
        </w:rPr>
        <w:t>decolonizing</w:t>
      </w:r>
      <w:r>
        <w:rPr>
          <w:rFonts w:hint="default" w:ascii="Arial" w:hAnsi="Arial" w:cs="Arial"/>
          <w:i w:val="0"/>
          <w:iCs w:val="0"/>
          <w:color w:val="000000"/>
          <w:sz w:val="22"/>
          <w:szCs w:val="22"/>
          <w:u w:val="none"/>
          <w:shd w:val="clear" w:fill="FFFFFF"/>
          <w:vertAlign w:val="baseline"/>
        </w:rPr>
        <w:t xml:space="preserve"> approaches to performer training. Rather than positioning Caribbean cultural practices as supplementary to established Western methodologies, the artefact places them alongside </w:t>
      </w:r>
      <w:r>
        <w:rPr>
          <w:rFonts w:hint="default" w:ascii="Arial" w:hAnsi="Arial" w:cs="Arial"/>
          <w:i w:val="0"/>
          <w:iCs w:val="0"/>
          <w:color w:val="000000"/>
          <w:sz w:val="22"/>
          <w:szCs w:val="22"/>
          <w:u w:val="none"/>
          <w:shd w:val="clear" w:fill="FFFFFF"/>
          <w:vertAlign w:val="baseline"/>
          <w:lang w:val="en-TT"/>
        </w:rPr>
        <w:t>recognized</w:t>
      </w:r>
      <w:r>
        <w:rPr>
          <w:rFonts w:hint="default" w:ascii="Arial" w:hAnsi="Arial" w:cs="Arial"/>
          <w:i w:val="0"/>
          <w:iCs w:val="0"/>
          <w:color w:val="000000"/>
          <w:sz w:val="22"/>
          <w:szCs w:val="22"/>
          <w:u w:val="none"/>
          <w:shd w:val="clear" w:fill="FFFFFF"/>
          <w:vertAlign w:val="baseline"/>
        </w:rPr>
        <w:t xml:space="preserve"> voice-training frameworks as valuable sources of knowledge and practice. In doing so, the project contributes to broader discussions surrounding Caribbean-centred pedagogy and the development of performer-training resources that reflect regional histories, identities, and modes of expression.</w:t>
      </w:r>
    </w:p>
    <w:p w14:paraId="4E959EDB">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Several limitations were also identified. The effectiveness of the course has not yet been evaluated through participant implementation, and some learners may experience discomfort or resistance towards certain cultural, religious, or highly embodied exercises. Additionally, the online format limits opportunities for immediate observation, correction, and facilitator feedback. Future iterations of the course may benefit from participant testing, blended-learning approaches, and the inclusion of a wider range of cultural practices from across the Caribbean region.</w:t>
      </w:r>
    </w:p>
    <w:p w14:paraId="05A624EF">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xml:space="preserve">Future research could explore participant experiences of the course, investigate the effectiveness of culturally responsive voice-training approaches, and further examine the relationship between Caribbean cultural practices and embodied performer training. This project therefore serves as both a practical resource and a foundation for continued scholarship in Caribbean voice pedagogy, performer training, and </w:t>
      </w:r>
      <w:r>
        <w:rPr>
          <w:rFonts w:hint="default" w:ascii="Arial" w:hAnsi="Arial" w:cs="Arial"/>
          <w:i w:val="0"/>
          <w:iCs w:val="0"/>
          <w:color w:val="000000"/>
          <w:sz w:val="22"/>
          <w:szCs w:val="22"/>
          <w:u w:val="none"/>
          <w:shd w:val="clear" w:fill="FFFFFF"/>
          <w:vertAlign w:val="baseline"/>
          <w:lang w:val="en-TT"/>
        </w:rPr>
        <w:t>decolonizing</w:t>
      </w:r>
      <w:r>
        <w:rPr>
          <w:rFonts w:hint="default" w:ascii="Arial" w:hAnsi="Arial" w:cs="Arial"/>
          <w:i w:val="0"/>
          <w:iCs w:val="0"/>
          <w:color w:val="000000"/>
          <w:sz w:val="22"/>
          <w:szCs w:val="22"/>
          <w:u w:val="none"/>
          <w:shd w:val="clear" w:fill="FFFFFF"/>
          <w:vertAlign w:val="baseline"/>
        </w:rPr>
        <w:t xml:space="preserve"> educational practice.</w:t>
      </w:r>
    </w:p>
    <w:p w14:paraId="35EE1B77">
      <w:pPr>
        <w:pStyle w:val="2"/>
        <w:keepNext w:val="0"/>
        <w:keepLines w:val="0"/>
        <w:widowControl/>
        <w:suppressLineNumbers w:val="0"/>
        <w:bidi w:val="0"/>
        <w:spacing w:before="480" w:beforeAutospacing="0" w:after="12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shd w:val="clear" w:fill="FFFFFF"/>
          <w:vertAlign w:val="baseline"/>
        </w:rPr>
        <w:t>Critical Reflection</w:t>
      </w:r>
    </w:p>
    <w:p w14:paraId="3BEC3C13">
      <w:pPr>
        <w:pStyle w:val="3"/>
        <w:keepNext w:val="0"/>
        <w:keepLines w:val="0"/>
        <w:widowControl/>
        <w:suppressLineNumbers w:val="0"/>
        <w:bidi w:val="0"/>
        <w:spacing w:before="360" w:beforeAutospacing="0" w:after="80" w:afterAutospacing="0" w:line="360" w:lineRule="auto"/>
        <w:jc w:val="both"/>
        <w:rPr>
          <w:rFonts w:hint="default" w:ascii="Arial" w:hAnsi="Arial" w:cs="Arial"/>
          <w:b w:val="0"/>
          <w:bCs w:val="0"/>
          <w:sz w:val="22"/>
          <w:szCs w:val="22"/>
        </w:rPr>
      </w:pPr>
      <w:r>
        <w:rPr>
          <w:rFonts w:hint="default" w:ascii="Arial" w:hAnsi="Arial" w:cs="Arial"/>
          <w:b w:val="0"/>
          <w:bCs w:val="0"/>
          <w:i w:val="0"/>
          <w:iCs w:val="0"/>
          <w:color w:val="000000"/>
          <w:sz w:val="22"/>
          <w:szCs w:val="22"/>
          <w:u w:val="none"/>
          <w:shd w:val="clear" w:fill="FFFFFF"/>
          <w:vertAlign w:val="baseline"/>
        </w:rPr>
        <w:t xml:space="preserve">The critical review is informed by Kolb's Experiential Learning Cycle, one of the most influential and widely cited models of experiential learning theory (Morris, 2020). Kolb's (1984) model provides a framework for understanding how knowledge is generated through the continuous interaction of experience, reflection, </w:t>
      </w:r>
      <w:r>
        <w:rPr>
          <w:rFonts w:hint="default" w:ascii="Arial" w:hAnsi="Arial" w:cs="Arial"/>
          <w:b w:val="0"/>
          <w:bCs w:val="0"/>
          <w:i w:val="0"/>
          <w:iCs w:val="0"/>
          <w:color w:val="000000"/>
          <w:sz w:val="22"/>
          <w:szCs w:val="22"/>
          <w:u w:val="none"/>
          <w:shd w:val="clear" w:fill="FFFFFF"/>
          <w:vertAlign w:val="baseline"/>
          <w:lang w:val="en-TT"/>
        </w:rPr>
        <w:t>conceptualization</w:t>
      </w:r>
      <w:r>
        <w:rPr>
          <w:rFonts w:hint="default" w:ascii="Arial" w:hAnsi="Arial" w:cs="Arial"/>
          <w:b w:val="0"/>
          <w:bCs w:val="0"/>
          <w:i w:val="0"/>
          <w:iCs w:val="0"/>
          <w:color w:val="000000"/>
          <w:sz w:val="22"/>
          <w:szCs w:val="22"/>
          <w:u w:val="none"/>
          <w:shd w:val="clear" w:fill="FFFFFF"/>
          <w:vertAlign w:val="baseline"/>
        </w:rPr>
        <w:t xml:space="preserve">, and experimentation (Svinicki and Dixon, 1987). As the development of </w:t>
      </w:r>
      <w:r>
        <w:rPr>
          <w:rFonts w:hint="default" w:ascii="Arial" w:hAnsi="Arial" w:cs="Arial"/>
          <w:b w:val="0"/>
          <w:bCs w:val="0"/>
          <w:i/>
          <w:iCs/>
          <w:color w:val="000000"/>
          <w:sz w:val="22"/>
          <w:szCs w:val="22"/>
          <w:u w:val="none"/>
          <w:shd w:val="clear" w:fill="FFFFFF"/>
          <w:vertAlign w:val="baseline"/>
        </w:rPr>
        <w:t>Breath in Performance: Unlocking the Caribbean Actor's Voice</w:t>
      </w:r>
      <w:r>
        <w:rPr>
          <w:rFonts w:hint="default" w:ascii="Arial" w:hAnsi="Arial" w:cs="Arial"/>
          <w:b w:val="0"/>
          <w:bCs w:val="0"/>
          <w:i w:val="0"/>
          <w:iCs w:val="0"/>
          <w:color w:val="000000"/>
          <w:sz w:val="22"/>
          <w:szCs w:val="22"/>
          <w:u w:val="none"/>
          <w:shd w:val="clear" w:fill="FFFFFF"/>
          <w:vertAlign w:val="baseline"/>
        </w:rPr>
        <w:t xml:space="preserve"> involved cycles of research, practical exploration, reflection, and revision, Kolb's framework offers a useful lens through which to critically evaluate the processes, decisions, challenges, and learning that emerged throughout the creation of the artefact. </w:t>
      </w:r>
    </w:p>
    <w:p w14:paraId="160A49A3">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vertAlign w:val="baseline"/>
        </w:rPr>
      </w:pPr>
    </w:p>
    <w:p w14:paraId="4043BD89">
      <w:pPr>
        <w:pStyle w:val="11"/>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000000"/>
          <w:sz w:val="22"/>
          <w:szCs w:val="22"/>
          <w:u w:val="none"/>
          <w:vertAlign w:val="baseline"/>
        </w:rPr>
      </w:pPr>
    </w:p>
    <w:p w14:paraId="50CF1C88">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Concrete Experience</w:t>
      </w:r>
    </w:p>
    <w:p w14:paraId="1DBBB03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As an actress and performance coach, I have observed a growing need for Caribbean-centred approaches to voice training that support actors in understanding and using their breath and voice effectively in performance. Throughout my professional experience, I have encountered performers with years of training who nevertheless experience vocal fatigue and, in some cases, vocal loss following consecutive performances. Through both practical experience and academic study, I have come to understand breath as the foundation of voice production, as insufficient breath support can create excessive tension within the laryngeal mechanism, leading to vocal strain, laryngeal constriction, and inefficient voice production (ENT, 2026).</w:t>
      </w:r>
    </w:p>
    <w:p w14:paraId="1817241B">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 xml:space="preserve">During my undergraduate studies, I was introduced to the work of Linklater and Fitzmaurice, whose approaches </w:t>
      </w:r>
      <w:r>
        <w:rPr>
          <w:rFonts w:hint="default" w:ascii="Arial" w:hAnsi="Arial" w:cs="Arial"/>
          <w:i w:val="0"/>
          <w:iCs w:val="0"/>
          <w:color w:val="000000"/>
          <w:sz w:val="22"/>
          <w:szCs w:val="22"/>
          <w:u w:val="none"/>
          <w:vertAlign w:val="baseline"/>
          <w:lang w:val="en-TT"/>
        </w:rPr>
        <w:t>emphasize</w:t>
      </w:r>
      <w:r>
        <w:rPr>
          <w:rFonts w:hint="default" w:ascii="Arial" w:hAnsi="Arial" w:cs="Arial"/>
          <w:i w:val="0"/>
          <w:iCs w:val="0"/>
          <w:color w:val="000000"/>
          <w:sz w:val="22"/>
          <w:szCs w:val="22"/>
          <w:u w:val="none"/>
          <w:vertAlign w:val="baseline"/>
        </w:rPr>
        <w:t xml:space="preserve"> the interconnected relationship between body, breath, and voice (Danford and Mercein, 2018). While I </w:t>
      </w:r>
      <w:r>
        <w:rPr>
          <w:rFonts w:hint="default" w:ascii="Arial" w:hAnsi="Arial" w:cs="Arial"/>
          <w:i w:val="0"/>
          <w:iCs w:val="0"/>
          <w:color w:val="000000"/>
          <w:sz w:val="22"/>
          <w:szCs w:val="22"/>
          <w:u w:val="none"/>
          <w:vertAlign w:val="baseline"/>
          <w:lang w:val="en-TT"/>
        </w:rPr>
        <w:t>recognized</w:t>
      </w:r>
      <w:r>
        <w:rPr>
          <w:rFonts w:hint="default" w:ascii="Arial" w:hAnsi="Arial" w:cs="Arial"/>
          <w:i w:val="0"/>
          <w:iCs w:val="0"/>
          <w:color w:val="000000"/>
          <w:sz w:val="22"/>
          <w:szCs w:val="22"/>
          <w:u w:val="none"/>
          <w:vertAlign w:val="baseline"/>
        </w:rPr>
        <w:t xml:space="preserve"> the effectiveness of these methodologies, I became increasingly interested in exploring how their principles might be integrated with Caribbean cultural practices and forms of expression. This interest, combined with the identified gap in Caribbean-centred voice pedagogy, provided the foundation for the development of the artefact.</w:t>
      </w:r>
    </w:p>
    <w:p w14:paraId="5472C4B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Reflective Observation</w:t>
      </w:r>
    </w:p>
    <w:p w14:paraId="7D3059B1">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 xml:space="preserve">Through the development of this project, I reflected on the relationship between culture and performer training. While Caribbean people are often </w:t>
      </w:r>
      <w:r>
        <w:rPr>
          <w:rFonts w:hint="default" w:ascii="Arial" w:hAnsi="Arial" w:cs="Arial"/>
          <w:i w:val="0"/>
          <w:iCs w:val="0"/>
          <w:color w:val="000000"/>
          <w:sz w:val="22"/>
          <w:szCs w:val="22"/>
          <w:u w:val="none"/>
          <w:vertAlign w:val="baseline"/>
          <w:lang w:val="en-TT"/>
        </w:rPr>
        <w:t>recognized</w:t>
      </w:r>
      <w:r>
        <w:rPr>
          <w:rFonts w:hint="default" w:ascii="Arial" w:hAnsi="Arial" w:cs="Arial"/>
          <w:i w:val="0"/>
          <w:iCs w:val="0"/>
          <w:color w:val="000000"/>
          <w:sz w:val="22"/>
          <w:szCs w:val="22"/>
          <w:u w:val="none"/>
          <w:vertAlign w:val="baseline"/>
        </w:rPr>
        <w:t xml:space="preserve"> for their expressiveness, that expressiveness is frequently rooted in familiar cultural and social contexts. Although Linklater and Fitzmaurice </w:t>
      </w:r>
      <w:r>
        <w:rPr>
          <w:rFonts w:hint="default" w:ascii="Arial" w:hAnsi="Arial" w:cs="Arial"/>
          <w:i w:val="0"/>
          <w:iCs w:val="0"/>
          <w:color w:val="000000"/>
          <w:sz w:val="22"/>
          <w:szCs w:val="22"/>
          <w:u w:val="none"/>
          <w:vertAlign w:val="baseline"/>
          <w:lang w:val="en-TT"/>
        </w:rPr>
        <w:t>Voice work</w:t>
      </w:r>
      <w:r>
        <w:rPr>
          <w:rFonts w:hint="default" w:ascii="Arial" w:hAnsi="Arial" w:cs="Arial"/>
          <w:i w:val="0"/>
          <w:iCs w:val="0"/>
          <w:color w:val="000000"/>
          <w:sz w:val="22"/>
          <w:szCs w:val="22"/>
          <w:u w:val="none"/>
          <w:vertAlign w:val="baseline"/>
        </w:rPr>
        <w:t xml:space="preserve"> share similarities with many Caribbean expressive traditions, they remain Western methodologies that may feel unfamiliar to some performers. I observed that resistance can occur not only towards unfamiliar practices but also towards culturally familiar exercises that require vulnerability, self-awareness, or movement beyond one's comfort zone.</w:t>
      </w:r>
    </w:p>
    <w:p w14:paraId="50A04FA5">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To address this challenge, I chose to integrate Caribbean cultural practices alongside Linklater and Fitzmaurice techniques rather than alter the methodologies themselves. My intention was to preserve the integrity of both approaches while creating culturally relevant entry points that could enhance accessibility and engagement for Caribbean performers. In doing so, I sought to create a bridge between established voice-training practices and the cultural realities of the performers for whom the course was designed.</w:t>
      </w:r>
    </w:p>
    <w:p w14:paraId="43D7E12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Abstract Conceptualisation</w:t>
      </w:r>
    </w:p>
    <w:p w14:paraId="5460ADE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The rapid development of distance education technologies has established online learning as a viable and increasingly effective alternative to traditional educational approaches (Kayalar, 2021). This understanding informed the decision to develop the artefact as an online short course, increasing its accessibility and potential reach across the Caribbean region.</w:t>
      </w:r>
    </w:p>
    <w:p w14:paraId="6F546CD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 xml:space="preserve">The development process proved far more complex and time-consuming than initially anticipated. The project underwent several significant revisions, evolving from a practical toolkit into a structured short course. Through discussions with my supervisor and ongoing reflection, it became apparent that a course format would provide greater opportunities for engagement, reflection, and practical application. Drawing on the theoretical foundations of Linklater's </w:t>
      </w:r>
      <w:r>
        <w:rPr>
          <w:rFonts w:hint="default" w:ascii="Arial" w:hAnsi="Arial" w:cs="Arial"/>
          <w:i/>
          <w:iCs/>
          <w:color w:val="000000"/>
          <w:sz w:val="22"/>
          <w:szCs w:val="22"/>
          <w:u w:val="none"/>
          <w:vertAlign w:val="baseline"/>
        </w:rPr>
        <w:t>Freeing the Natural Voice</w:t>
      </w:r>
      <w:r>
        <w:rPr>
          <w:rFonts w:hint="default" w:ascii="Arial" w:hAnsi="Arial" w:cs="Arial"/>
          <w:i w:val="0"/>
          <w:iCs w:val="0"/>
          <w:color w:val="000000"/>
          <w:sz w:val="22"/>
          <w:szCs w:val="22"/>
          <w:u w:val="none"/>
          <w:vertAlign w:val="baseline"/>
        </w:rPr>
        <w:t xml:space="preserve"> (2006) and Fitzmaurice </w:t>
      </w:r>
      <w:r>
        <w:rPr>
          <w:rFonts w:hint="default" w:ascii="Arial" w:hAnsi="Arial" w:cs="Arial"/>
          <w:i w:val="0"/>
          <w:iCs w:val="0"/>
          <w:color w:val="000000"/>
          <w:sz w:val="22"/>
          <w:szCs w:val="22"/>
          <w:u w:val="none"/>
          <w:vertAlign w:val="baseline"/>
          <w:lang w:val="en-TT"/>
        </w:rPr>
        <w:t>Voicework's</w:t>
      </w:r>
      <w:r>
        <w:rPr>
          <w:rFonts w:hint="default" w:ascii="Arial" w:hAnsi="Arial" w:cs="Arial"/>
          <w:i w:val="0"/>
          <w:iCs w:val="0"/>
          <w:color w:val="000000"/>
          <w:sz w:val="22"/>
          <w:szCs w:val="22"/>
          <w:u w:val="none"/>
          <w:vertAlign w:val="baseline"/>
        </w:rPr>
        <w:t xml:space="preserve"> principles of destructuring and restructuring (2017), the course was designed to integrate established voice-training methodologies with Caribbean cultural practices.</w:t>
      </w:r>
    </w:p>
    <w:p w14:paraId="3BBCF664">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lang w:val="en-TT"/>
        </w:rPr>
      </w:pPr>
      <w:r>
        <w:rPr>
          <w:rFonts w:hint="default" w:ascii="Arial" w:hAnsi="Arial" w:cs="Arial"/>
          <w:i w:val="0"/>
          <w:iCs w:val="0"/>
          <w:color w:val="000000"/>
          <w:sz w:val="22"/>
          <w:szCs w:val="22"/>
          <w:u w:val="none"/>
          <w:vertAlign w:val="baseline"/>
        </w:rPr>
        <w:t xml:space="preserve">One of the most valuable lessons learned was the importance of maintaining clarity of purpose throughout the development process. Initially, I struggled to determine which topics and activities should be included. However, continually returning to the central aim of supporting actors' understanding of breath and voice helped to guide decision-making and refine the course structure. The creation of exemplar videos also presented challenges due to time constraints and the desire to produce resources of a high standard. Despite these difficulties, the process deepened my understanding of course design, research-informed practice, and culturally responsive pedagogy. The inclusion of historical context, instructional videos, practical exercises, and reflective activities became particularly important, as the project sought not only to teach technique but also to encourage critical engagement with Caribbean performance traditions. While I am pleased with the outcome, I </w:t>
      </w:r>
      <w:r>
        <w:rPr>
          <w:rFonts w:hint="default" w:ascii="Arial" w:hAnsi="Arial" w:cs="Arial"/>
          <w:i w:val="0"/>
          <w:iCs w:val="0"/>
          <w:color w:val="000000"/>
          <w:sz w:val="22"/>
          <w:szCs w:val="22"/>
          <w:u w:val="none"/>
          <w:vertAlign w:val="baseline"/>
          <w:lang w:val="en-TT"/>
        </w:rPr>
        <w:t>recognize</w:t>
      </w:r>
      <w:r>
        <w:rPr>
          <w:rFonts w:hint="default" w:ascii="Arial" w:hAnsi="Arial" w:cs="Arial"/>
          <w:i w:val="0"/>
          <w:iCs w:val="0"/>
          <w:color w:val="000000"/>
          <w:sz w:val="22"/>
          <w:szCs w:val="22"/>
          <w:u w:val="none"/>
          <w:vertAlign w:val="baseline"/>
        </w:rPr>
        <w:t xml:space="preserve"> that the course remains a work in progress with opportunities for further refinement and de</w:t>
      </w:r>
      <w:r>
        <w:rPr>
          <w:rFonts w:hint="default" w:ascii="Arial" w:hAnsi="Arial" w:cs="Arial"/>
          <w:i w:val="0"/>
          <w:iCs w:val="0"/>
          <w:color w:val="000000"/>
          <w:sz w:val="22"/>
          <w:szCs w:val="22"/>
          <w:u w:val="none"/>
          <w:vertAlign w:val="baseline"/>
          <w:lang w:val="en-TT"/>
        </w:rPr>
        <w:t>velopment.</w:t>
      </w:r>
    </w:p>
    <w:p w14:paraId="00DCAC39">
      <w:pPr>
        <w:pStyle w:val="4"/>
        <w:keepNext w:val="0"/>
        <w:keepLines w:val="0"/>
        <w:widowControl/>
        <w:suppressLineNumbers w:val="0"/>
        <w:bidi w:val="0"/>
        <w:spacing w:before="280" w:beforeAutospacing="0" w:after="8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Active Experimentation </w:t>
      </w:r>
    </w:p>
    <w:p w14:paraId="45BC2CFF">
      <w:pPr>
        <w:pStyle w:val="4"/>
        <w:keepNext w:val="0"/>
        <w:keepLines w:val="0"/>
        <w:widowControl/>
        <w:suppressLineNumbers w:val="0"/>
        <w:bidi w:val="0"/>
        <w:spacing w:before="280" w:beforeAutospacing="0" w:after="8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(Action Plan and Future Development)</w:t>
      </w:r>
    </w:p>
    <w:p w14:paraId="0967F3A2">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iCs/>
          <w:color w:val="000000"/>
          <w:sz w:val="22"/>
          <w:szCs w:val="22"/>
          <w:u w:val="none"/>
          <w:vertAlign w:val="baseline"/>
        </w:rPr>
        <w:t>Breath in Performance: Unlocking the Caribbean Actor's Voice</w:t>
      </w:r>
      <w:r>
        <w:rPr>
          <w:rFonts w:hint="default" w:ascii="Arial" w:hAnsi="Arial" w:cs="Arial"/>
          <w:i w:val="0"/>
          <w:iCs w:val="0"/>
          <w:color w:val="000000"/>
          <w:sz w:val="22"/>
          <w:szCs w:val="22"/>
          <w:u w:val="none"/>
          <w:vertAlign w:val="baseline"/>
        </w:rPr>
        <w:t xml:space="preserve"> represents the first stage in the development of a wider suite of Caribbean-centred voice-training resources. While the current artefact focuses primarily on actor training, the long-term vision is to expand these resources to support singers, actors, and other professional voice users throughout the Caribbean.</w:t>
      </w:r>
    </w:p>
    <w:p w14:paraId="407F8C2A">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The development process highlighted several opportunities for further refinement and research. As a result, the next phase of the project will focus on evaluating the effectiveness of the course and strengthening its cultural relevance through consultation, testing, and revision. Prior to implementation, the course will undergo further development based on feedback from tutors, peers, and future participants. This extended development period will also provide opportunities to build upon the research undertaken in Module 6.</w:t>
      </w:r>
    </w:p>
    <w:p w14:paraId="57E91963">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 xml:space="preserve">Future development will involve </w:t>
      </w:r>
      <w:r>
        <w:rPr>
          <w:rFonts w:hint="default" w:ascii="Arial" w:hAnsi="Arial" w:cs="Arial"/>
          <w:i w:val="0"/>
          <w:iCs w:val="0"/>
          <w:color w:val="000000"/>
          <w:sz w:val="22"/>
          <w:szCs w:val="22"/>
          <w:u w:val="none"/>
          <w:vertAlign w:val="baseline"/>
          <w:lang w:val="en-TT"/>
        </w:rPr>
        <w:t>analyzing</w:t>
      </w:r>
      <w:r>
        <w:rPr>
          <w:rFonts w:hint="default" w:ascii="Arial" w:hAnsi="Arial" w:cs="Arial"/>
          <w:i w:val="0"/>
          <w:iCs w:val="0"/>
          <w:color w:val="000000"/>
          <w:sz w:val="22"/>
          <w:szCs w:val="22"/>
          <w:u w:val="none"/>
          <w:vertAlign w:val="baseline"/>
        </w:rPr>
        <w:t xml:space="preserve"> feedback to identify strengths, limitations, and areas for improvement; revising course content to enhance accessibility, cultural relevance, and participant engagement; and conducting further research into Caribbean voice pedagogy and performer-training practices across the region. Particular emphasis will be placed on establishing connections with acting and singing practitioners throughout the Caribbean to gain a broader understanding of regional performance traditions, training needs, and culturally specific approaches to voice work.</w:t>
      </w:r>
    </w:p>
    <w:p w14:paraId="5CD78C5D">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The project will also progress through a series of workshops and pilot studies involving performers from different Caribbean territories. These sessions will provide opportunities to test the effectiveness of course activities, evaluate participant responses, and identify additional cultural practices that may inform voice training. Findings from these workshops will be used to further refine the course before implementation.</w:t>
      </w:r>
    </w:p>
    <w:p w14:paraId="5D8DE31E">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The proposed development plan consists of four phases:</w:t>
      </w:r>
    </w:p>
    <w:p w14:paraId="7B1DE6B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Phase 1 (0–6 months):</w:t>
      </w:r>
      <w:r>
        <w:rPr>
          <w:rFonts w:hint="default" w:ascii="Arial" w:hAnsi="Arial" w:cs="Arial"/>
          <w:i w:val="0"/>
          <w:iCs w:val="0"/>
          <w:color w:val="000000"/>
          <w:sz w:val="22"/>
          <w:szCs w:val="22"/>
          <w:u w:val="none"/>
          <w:vertAlign w:val="baseline"/>
        </w:rPr>
        <w:t xml:space="preserve"> Feedback analysis and course revision.</w:t>
      </w:r>
    </w:p>
    <w:p w14:paraId="62796566">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Phase 2 (6–12 months):</w:t>
      </w:r>
      <w:r>
        <w:rPr>
          <w:rFonts w:hint="default" w:ascii="Arial" w:hAnsi="Arial" w:cs="Arial"/>
          <w:i w:val="0"/>
          <w:iCs w:val="0"/>
          <w:color w:val="000000"/>
          <w:sz w:val="22"/>
          <w:szCs w:val="22"/>
          <w:u w:val="none"/>
          <w:vertAlign w:val="baseline"/>
        </w:rPr>
        <w:t xml:space="preserve"> Caribbean practitioner consultation and further research.</w:t>
      </w:r>
    </w:p>
    <w:p w14:paraId="43B849EC">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Phase 3 (12–18 months):</w:t>
      </w:r>
      <w:r>
        <w:rPr>
          <w:rFonts w:hint="default" w:ascii="Arial" w:hAnsi="Arial" w:cs="Arial"/>
          <w:i w:val="0"/>
          <w:iCs w:val="0"/>
          <w:color w:val="000000"/>
          <w:sz w:val="22"/>
          <w:szCs w:val="22"/>
          <w:u w:val="none"/>
          <w:vertAlign w:val="baseline"/>
        </w:rPr>
        <w:t xml:space="preserve"> Workshops, pilot testing, and course refinement.</w:t>
      </w:r>
    </w:p>
    <w:p w14:paraId="47108505">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b/>
          <w:bCs/>
          <w:i w:val="0"/>
          <w:iCs w:val="0"/>
          <w:color w:val="000000"/>
          <w:sz w:val="22"/>
          <w:szCs w:val="22"/>
          <w:u w:val="none"/>
          <w:vertAlign w:val="baseline"/>
        </w:rPr>
        <w:t>Phase 4 (18 months and beyond):</w:t>
      </w:r>
      <w:r>
        <w:rPr>
          <w:rFonts w:hint="default" w:ascii="Arial" w:hAnsi="Arial" w:cs="Arial"/>
          <w:i w:val="0"/>
          <w:iCs w:val="0"/>
          <w:color w:val="000000"/>
          <w:sz w:val="22"/>
          <w:szCs w:val="22"/>
          <w:u w:val="none"/>
          <w:vertAlign w:val="baseline"/>
        </w:rPr>
        <w:t xml:space="preserve"> Course implementation and expansion into additional Caribbean-centred voice-training resources.</w:t>
      </w:r>
    </w:p>
    <w:p w14:paraId="0E14078B">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vertAlign w:val="baseline"/>
        </w:rPr>
        <w:t xml:space="preserve">Through these actions, the project seeks to contribute to the continued development of culturally responsive voice pedagogy while generating further knowledge about Caribbean-centred performer training and practice. The link </w:t>
      </w:r>
      <w:r>
        <w:rPr>
          <w:rFonts w:hint="default" w:ascii="Arial" w:hAnsi="Arial" w:cs="Arial"/>
          <w:i w:val="0"/>
          <w:iCs w:val="0"/>
          <w:color w:val="000000"/>
          <w:sz w:val="22"/>
          <w:szCs w:val="22"/>
          <w:u w:val="none"/>
          <w:vertAlign w:val="baseline"/>
          <w:lang w:val="en-TT"/>
        </w:rPr>
        <w:t>for</w:t>
      </w:r>
      <w:r>
        <w:rPr>
          <w:rFonts w:hint="default" w:ascii="Arial" w:hAnsi="Arial" w:cs="Arial"/>
          <w:i w:val="0"/>
          <w:iCs w:val="0"/>
          <w:color w:val="000000"/>
          <w:sz w:val="22"/>
          <w:szCs w:val="22"/>
          <w:u w:val="none"/>
          <w:vertAlign w:val="baseline"/>
        </w:rPr>
        <w:t xml:space="preserve"> the short course can be found in the Appendices.</w:t>
      </w:r>
    </w:p>
    <w:p w14:paraId="1C15109E">
      <w:pPr>
        <w:keepNext w:val="0"/>
        <w:keepLines w:val="0"/>
        <w:widowControl/>
        <w:suppressLineNumbers w:val="0"/>
        <w:spacing w:after="240" w:afterAutospacing="0" w:line="360" w:lineRule="auto"/>
        <w:jc w:val="both"/>
        <w:rPr>
          <w:rFonts w:hint="default" w:ascii="Arial" w:hAnsi="Arial" w:cs="Arial"/>
          <w:sz w:val="22"/>
          <w:szCs w:val="22"/>
        </w:rPr>
      </w:pP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r>
        <w:rPr>
          <w:rFonts w:hint="default" w:ascii="Arial" w:hAnsi="Arial" w:eastAsia="SimSun" w:cs="Arial"/>
          <w:b w:val="0"/>
          <w:bCs w:val="0"/>
          <w:kern w:val="0"/>
          <w:sz w:val="22"/>
          <w:szCs w:val="22"/>
          <w:lang w:val="en-US" w:eastAsia="zh-CN" w:bidi="ar"/>
        </w:rPr>
        <w:br w:type="textWrapping"/>
      </w:r>
    </w:p>
    <w:p w14:paraId="6C602340">
      <w:pPr>
        <w:spacing w:line="360" w:lineRule="auto"/>
        <w:jc w:val="both"/>
        <w:rPr>
          <w:rFonts w:hint="default" w:ascii="Arial" w:hAnsi="Arial" w:eastAsia="SimSun" w:cs="Arial"/>
          <w:b/>
          <w:bCs/>
          <w:sz w:val="22"/>
          <w:szCs w:val="22"/>
          <w:lang w:val="en-TT"/>
        </w:rPr>
      </w:pPr>
    </w:p>
    <w:p w14:paraId="71771F2E">
      <w:pPr>
        <w:spacing w:line="360" w:lineRule="auto"/>
        <w:jc w:val="both"/>
        <w:rPr>
          <w:rFonts w:hint="default" w:ascii="Arial" w:hAnsi="Arial" w:eastAsia="SimSun" w:cs="Arial"/>
          <w:b/>
          <w:bCs/>
          <w:sz w:val="22"/>
          <w:szCs w:val="22"/>
          <w:lang w:val="en-TT"/>
        </w:rPr>
      </w:pPr>
    </w:p>
    <w:p w14:paraId="3FDCF9A1">
      <w:pPr>
        <w:spacing w:line="360" w:lineRule="auto"/>
        <w:jc w:val="both"/>
        <w:rPr>
          <w:rFonts w:hint="default" w:ascii="Arial" w:hAnsi="Arial" w:eastAsia="SimSun" w:cs="Arial"/>
          <w:b/>
          <w:bCs/>
          <w:sz w:val="22"/>
          <w:szCs w:val="22"/>
          <w:lang w:val="en-TT"/>
        </w:rPr>
      </w:pPr>
    </w:p>
    <w:p w14:paraId="78F2C2D8">
      <w:pPr>
        <w:spacing w:line="360" w:lineRule="auto"/>
        <w:jc w:val="both"/>
        <w:rPr>
          <w:rFonts w:hint="default" w:ascii="Arial" w:hAnsi="Arial" w:eastAsia="SimSun" w:cs="Arial"/>
          <w:b/>
          <w:bCs/>
          <w:sz w:val="22"/>
          <w:szCs w:val="22"/>
          <w:lang w:val="en-TT"/>
        </w:rPr>
      </w:pPr>
    </w:p>
    <w:p w14:paraId="332CBDC0">
      <w:pPr>
        <w:spacing w:line="360" w:lineRule="auto"/>
        <w:jc w:val="both"/>
        <w:rPr>
          <w:rFonts w:hint="default" w:ascii="Arial" w:hAnsi="Arial" w:eastAsia="SimSun" w:cs="Arial"/>
          <w:b/>
          <w:bCs/>
          <w:sz w:val="22"/>
          <w:szCs w:val="22"/>
          <w:lang w:val="en-TT"/>
        </w:rPr>
      </w:pPr>
    </w:p>
    <w:p w14:paraId="4A832B84">
      <w:pPr>
        <w:spacing w:line="360" w:lineRule="auto"/>
        <w:jc w:val="both"/>
        <w:rPr>
          <w:rFonts w:hint="default" w:ascii="Arial" w:hAnsi="Arial" w:eastAsia="SimSun" w:cs="Arial"/>
          <w:b/>
          <w:bCs/>
          <w:sz w:val="22"/>
          <w:szCs w:val="22"/>
          <w:lang w:val="en-TT"/>
        </w:rPr>
      </w:pPr>
    </w:p>
    <w:p w14:paraId="2F1032B0">
      <w:pPr>
        <w:spacing w:line="360" w:lineRule="auto"/>
        <w:jc w:val="both"/>
        <w:rPr>
          <w:rFonts w:hint="default" w:ascii="Arial" w:hAnsi="Arial" w:eastAsia="SimSun" w:cs="Arial"/>
          <w:b/>
          <w:bCs/>
          <w:sz w:val="22"/>
          <w:szCs w:val="22"/>
          <w:lang w:val="en-TT"/>
        </w:rPr>
      </w:pPr>
    </w:p>
    <w:p w14:paraId="70E70C40">
      <w:pPr>
        <w:spacing w:line="360" w:lineRule="auto"/>
        <w:jc w:val="both"/>
        <w:rPr>
          <w:rFonts w:hint="default" w:ascii="Arial" w:hAnsi="Arial" w:eastAsia="SimSun" w:cs="Arial"/>
          <w:b/>
          <w:bCs/>
          <w:sz w:val="22"/>
          <w:szCs w:val="22"/>
          <w:lang w:val="en-TT"/>
        </w:rPr>
      </w:pPr>
    </w:p>
    <w:p w14:paraId="7D2B0991">
      <w:pPr>
        <w:spacing w:line="360" w:lineRule="auto"/>
        <w:jc w:val="both"/>
        <w:rPr>
          <w:rFonts w:hint="default" w:ascii="Arial" w:hAnsi="Arial" w:eastAsia="SimSun" w:cs="Arial"/>
          <w:b/>
          <w:bCs/>
          <w:sz w:val="22"/>
          <w:szCs w:val="22"/>
          <w:lang w:val="en-TT"/>
        </w:rPr>
      </w:pPr>
    </w:p>
    <w:p w14:paraId="21C5A7B9">
      <w:pPr>
        <w:spacing w:line="360" w:lineRule="auto"/>
        <w:jc w:val="both"/>
        <w:rPr>
          <w:rFonts w:hint="default" w:ascii="Arial" w:hAnsi="Arial" w:eastAsia="SimSun" w:cs="Arial"/>
          <w:b/>
          <w:bCs/>
          <w:sz w:val="22"/>
          <w:szCs w:val="22"/>
          <w:lang w:val="en-TT"/>
        </w:rPr>
      </w:pPr>
    </w:p>
    <w:p w14:paraId="7FCCC1B7">
      <w:pPr>
        <w:spacing w:line="360" w:lineRule="auto"/>
        <w:jc w:val="both"/>
        <w:rPr>
          <w:rFonts w:hint="default" w:ascii="Arial" w:hAnsi="Arial" w:eastAsia="SimSun" w:cs="Arial"/>
          <w:b/>
          <w:bCs/>
          <w:sz w:val="22"/>
          <w:szCs w:val="22"/>
          <w:lang w:val="en-TT"/>
        </w:rPr>
      </w:pPr>
    </w:p>
    <w:p w14:paraId="4CB0AD22">
      <w:pPr>
        <w:spacing w:line="360" w:lineRule="auto"/>
        <w:jc w:val="both"/>
        <w:rPr>
          <w:rFonts w:hint="default" w:ascii="Arial" w:hAnsi="Arial" w:eastAsia="SimSun" w:cs="Arial"/>
          <w:b/>
          <w:bCs/>
          <w:sz w:val="22"/>
          <w:szCs w:val="22"/>
          <w:lang w:val="en-TT"/>
        </w:rPr>
      </w:pPr>
    </w:p>
    <w:p w14:paraId="71CB10ED">
      <w:pPr>
        <w:spacing w:line="360" w:lineRule="auto"/>
        <w:jc w:val="both"/>
        <w:rPr>
          <w:rFonts w:hint="default" w:ascii="Arial" w:hAnsi="Arial" w:eastAsia="SimSun" w:cs="Arial"/>
          <w:b/>
          <w:bCs/>
          <w:sz w:val="22"/>
          <w:szCs w:val="22"/>
          <w:lang w:val="en-TT"/>
        </w:rPr>
      </w:pPr>
    </w:p>
    <w:p w14:paraId="6509CF0C">
      <w:pPr>
        <w:spacing w:line="360" w:lineRule="auto"/>
        <w:jc w:val="both"/>
        <w:rPr>
          <w:rFonts w:hint="default" w:ascii="Arial" w:hAnsi="Arial" w:eastAsia="SimSun" w:cs="Arial"/>
          <w:b/>
          <w:bCs/>
          <w:sz w:val="22"/>
          <w:szCs w:val="22"/>
          <w:lang w:val="en-TT"/>
        </w:rPr>
      </w:pPr>
    </w:p>
    <w:p w14:paraId="08C9F4CB">
      <w:pPr>
        <w:spacing w:line="360" w:lineRule="auto"/>
        <w:jc w:val="both"/>
        <w:rPr>
          <w:rFonts w:hint="default" w:ascii="Arial" w:hAnsi="Arial" w:eastAsia="SimSun" w:cs="Arial"/>
          <w:b/>
          <w:bCs/>
          <w:sz w:val="22"/>
          <w:szCs w:val="22"/>
          <w:lang w:val="en-TT"/>
        </w:rPr>
      </w:pPr>
    </w:p>
    <w:p w14:paraId="52EBE438">
      <w:pPr>
        <w:spacing w:line="360" w:lineRule="auto"/>
        <w:jc w:val="both"/>
        <w:rPr>
          <w:rFonts w:hint="default" w:ascii="Arial" w:hAnsi="Arial" w:eastAsia="SimSun" w:cs="Arial"/>
          <w:b/>
          <w:bCs/>
          <w:sz w:val="22"/>
          <w:szCs w:val="22"/>
          <w:lang w:val="en-TT"/>
        </w:rPr>
      </w:pPr>
    </w:p>
    <w:p w14:paraId="59F08100">
      <w:pPr>
        <w:spacing w:line="360" w:lineRule="auto"/>
        <w:jc w:val="both"/>
        <w:rPr>
          <w:rFonts w:hint="default" w:ascii="Arial" w:hAnsi="Arial" w:eastAsia="SimSun" w:cs="Arial"/>
          <w:b/>
          <w:bCs/>
          <w:sz w:val="22"/>
          <w:szCs w:val="22"/>
          <w:lang w:val="en-TT"/>
        </w:rPr>
      </w:pPr>
    </w:p>
    <w:p w14:paraId="08406B0B">
      <w:pPr>
        <w:spacing w:line="360" w:lineRule="auto"/>
        <w:jc w:val="both"/>
        <w:rPr>
          <w:rFonts w:hint="default" w:ascii="Arial" w:hAnsi="Arial" w:eastAsia="SimSun" w:cs="Arial"/>
          <w:b/>
          <w:bCs/>
          <w:sz w:val="22"/>
          <w:szCs w:val="22"/>
          <w:lang w:val="en-TT"/>
        </w:rPr>
      </w:pPr>
    </w:p>
    <w:p w14:paraId="6843C99F">
      <w:pPr>
        <w:spacing w:line="360" w:lineRule="auto"/>
        <w:jc w:val="both"/>
        <w:rPr>
          <w:rFonts w:hint="default" w:ascii="Arial" w:hAnsi="Arial" w:eastAsia="SimSun" w:cs="Arial"/>
          <w:b/>
          <w:bCs/>
          <w:sz w:val="22"/>
          <w:szCs w:val="22"/>
          <w:lang w:val="en-TT"/>
        </w:rPr>
      </w:pPr>
    </w:p>
    <w:p w14:paraId="6896694B">
      <w:pPr>
        <w:spacing w:line="360" w:lineRule="auto"/>
        <w:jc w:val="both"/>
        <w:rPr>
          <w:rFonts w:hint="default" w:ascii="Arial" w:hAnsi="Arial" w:eastAsia="SimSun" w:cs="Arial"/>
          <w:b/>
          <w:bCs/>
          <w:sz w:val="22"/>
          <w:szCs w:val="22"/>
          <w:lang w:val="en-TT"/>
        </w:rPr>
      </w:pPr>
    </w:p>
    <w:p w14:paraId="163C2C8B">
      <w:pPr>
        <w:spacing w:line="360" w:lineRule="auto"/>
        <w:jc w:val="both"/>
        <w:rPr>
          <w:rFonts w:hint="default" w:ascii="Arial" w:hAnsi="Arial" w:eastAsia="SimSun" w:cs="Arial"/>
          <w:b/>
          <w:bCs/>
          <w:sz w:val="22"/>
          <w:szCs w:val="22"/>
          <w:lang w:val="en-TT"/>
        </w:rPr>
      </w:pPr>
    </w:p>
    <w:p w14:paraId="3571E4AC">
      <w:pPr>
        <w:spacing w:line="360" w:lineRule="auto"/>
        <w:jc w:val="both"/>
        <w:rPr>
          <w:rFonts w:hint="default" w:ascii="Arial" w:hAnsi="Arial" w:eastAsia="SimSun" w:cs="Arial"/>
          <w:b/>
          <w:bCs/>
          <w:sz w:val="22"/>
          <w:szCs w:val="22"/>
          <w:lang w:val="en-TT"/>
        </w:rPr>
      </w:pPr>
    </w:p>
    <w:p w14:paraId="0CFDB0A7">
      <w:pPr>
        <w:spacing w:line="360" w:lineRule="auto"/>
        <w:jc w:val="both"/>
        <w:rPr>
          <w:rFonts w:hint="default" w:ascii="Arial" w:hAnsi="Arial" w:eastAsia="SimSun" w:cs="Arial"/>
          <w:b/>
          <w:bCs/>
          <w:sz w:val="22"/>
          <w:szCs w:val="22"/>
          <w:lang w:val="en-TT"/>
        </w:rPr>
      </w:pPr>
    </w:p>
    <w:p w14:paraId="69877F13">
      <w:pPr>
        <w:spacing w:line="360" w:lineRule="auto"/>
        <w:jc w:val="both"/>
        <w:rPr>
          <w:rFonts w:hint="default" w:ascii="Arial" w:hAnsi="Arial" w:eastAsia="SimSun" w:cs="Arial"/>
          <w:b/>
          <w:bCs/>
          <w:sz w:val="22"/>
          <w:szCs w:val="22"/>
          <w:lang w:val="en-TT"/>
        </w:rPr>
      </w:pPr>
    </w:p>
    <w:p w14:paraId="1B395192">
      <w:pPr>
        <w:spacing w:line="360" w:lineRule="auto"/>
        <w:jc w:val="both"/>
        <w:rPr>
          <w:rFonts w:hint="default" w:ascii="Arial" w:hAnsi="Arial" w:eastAsia="SimSun" w:cs="Arial"/>
          <w:b/>
          <w:bCs/>
          <w:sz w:val="22"/>
          <w:szCs w:val="22"/>
          <w:lang w:val="en-TT"/>
        </w:rPr>
      </w:pPr>
    </w:p>
    <w:p w14:paraId="6BB579FD">
      <w:pPr>
        <w:spacing w:line="360" w:lineRule="auto"/>
        <w:jc w:val="both"/>
        <w:rPr>
          <w:rFonts w:hint="default" w:ascii="Arial" w:hAnsi="Arial" w:eastAsia="SimSun" w:cs="Arial"/>
          <w:b/>
          <w:bCs/>
          <w:sz w:val="22"/>
          <w:szCs w:val="22"/>
          <w:lang w:val="en-TT"/>
        </w:rPr>
      </w:pPr>
    </w:p>
    <w:p w14:paraId="43D1BA62">
      <w:pPr>
        <w:spacing w:line="360" w:lineRule="auto"/>
        <w:jc w:val="both"/>
        <w:rPr>
          <w:rFonts w:hint="default" w:ascii="Arial" w:hAnsi="Arial" w:eastAsia="SimSun" w:cs="Arial"/>
          <w:b/>
          <w:bCs/>
          <w:sz w:val="22"/>
          <w:szCs w:val="22"/>
          <w:lang w:val="en-TT"/>
        </w:rPr>
      </w:pPr>
    </w:p>
    <w:p w14:paraId="4454FC00">
      <w:pPr>
        <w:spacing w:line="360" w:lineRule="auto"/>
        <w:jc w:val="both"/>
        <w:rPr>
          <w:rFonts w:hint="default" w:ascii="Arial" w:hAnsi="Arial" w:eastAsia="SimSun" w:cs="Arial"/>
          <w:b/>
          <w:bCs/>
          <w:sz w:val="22"/>
          <w:szCs w:val="22"/>
          <w:lang w:val="en-TT"/>
        </w:rPr>
      </w:pPr>
    </w:p>
    <w:p w14:paraId="585BCC01">
      <w:pPr>
        <w:spacing w:line="360" w:lineRule="auto"/>
        <w:jc w:val="both"/>
        <w:rPr>
          <w:rFonts w:hint="default" w:ascii="Arial" w:hAnsi="Arial" w:eastAsia="SimSun" w:cs="Arial"/>
          <w:b/>
          <w:bCs/>
          <w:sz w:val="22"/>
          <w:szCs w:val="22"/>
          <w:lang w:val="en-TT"/>
        </w:rPr>
      </w:pPr>
    </w:p>
    <w:p w14:paraId="0E6CD0ED">
      <w:pPr>
        <w:spacing w:line="360" w:lineRule="auto"/>
        <w:jc w:val="both"/>
        <w:rPr>
          <w:rFonts w:hint="default" w:ascii="Arial" w:hAnsi="Arial" w:eastAsia="SimSun" w:cs="Arial"/>
          <w:b/>
          <w:bCs/>
          <w:sz w:val="22"/>
          <w:szCs w:val="22"/>
          <w:lang w:val="en-TT"/>
        </w:rPr>
      </w:pPr>
    </w:p>
    <w:p w14:paraId="2DB98F30">
      <w:pPr>
        <w:spacing w:line="360" w:lineRule="auto"/>
        <w:jc w:val="both"/>
        <w:rPr>
          <w:rFonts w:hint="default" w:ascii="Arial" w:hAnsi="Arial" w:eastAsia="SimSun" w:cs="Arial"/>
          <w:b/>
          <w:bCs/>
          <w:sz w:val="22"/>
          <w:szCs w:val="22"/>
          <w:lang w:val="en-TT"/>
        </w:rPr>
      </w:pPr>
    </w:p>
    <w:p w14:paraId="068D97FA">
      <w:pPr>
        <w:spacing w:line="360" w:lineRule="auto"/>
        <w:jc w:val="both"/>
        <w:rPr>
          <w:rFonts w:hint="default" w:ascii="Arial" w:hAnsi="Arial" w:eastAsia="SimSun" w:cs="Arial"/>
          <w:b/>
          <w:bCs/>
          <w:sz w:val="22"/>
          <w:szCs w:val="22"/>
          <w:lang w:val="en-TT"/>
        </w:rPr>
      </w:pPr>
    </w:p>
    <w:p w14:paraId="7140885D">
      <w:pPr>
        <w:spacing w:line="360" w:lineRule="auto"/>
        <w:jc w:val="both"/>
        <w:rPr>
          <w:rFonts w:hint="default" w:ascii="Arial" w:hAnsi="Arial" w:eastAsia="SimSun" w:cs="Arial"/>
          <w:b/>
          <w:bCs/>
          <w:sz w:val="22"/>
          <w:szCs w:val="22"/>
          <w:lang w:val="en-TT"/>
        </w:rPr>
      </w:pPr>
    </w:p>
    <w:p w14:paraId="1931EB5A">
      <w:pPr>
        <w:spacing w:line="360" w:lineRule="auto"/>
        <w:jc w:val="both"/>
        <w:rPr>
          <w:rFonts w:hint="default" w:ascii="Arial" w:hAnsi="Arial" w:eastAsia="SimSun" w:cs="Arial"/>
          <w:b/>
          <w:bCs/>
          <w:sz w:val="22"/>
          <w:szCs w:val="22"/>
          <w:lang w:val="en-TT"/>
        </w:rPr>
      </w:pPr>
    </w:p>
    <w:p w14:paraId="7C6DE596">
      <w:pPr>
        <w:spacing w:line="360" w:lineRule="auto"/>
        <w:jc w:val="both"/>
        <w:rPr>
          <w:rFonts w:hint="default" w:ascii="Arial" w:hAnsi="Arial" w:eastAsia="SimSun" w:cs="Arial"/>
          <w:b/>
          <w:bCs/>
          <w:sz w:val="22"/>
          <w:szCs w:val="22"/>
          <w:lang w:val="en-TT"/>
        </w:rPr>
      </w:pPr>
    </w:p>
    <w:p w14:paraId="431DAE9C">
      <w:pPr>
        <w:spacing w:line="360" w:lineRule="auto"/>
        <w:jc w:val="both"/>
        <w:rPr>
          <w:rFonts w:hint="default" w:ascii="Arial" w:hAnsi="Arial" w:eastAsia="SimSun" w:cs="Arial"/>
          <w:b/>
          <w:bCs/>
          <w:sz w:val="22"/>
          <w:szCs w:val="22"/>
          <w:lang w:val="en-TT"/>
        </w:rPr>
      </w:pPr>
    </w:p>
    <w:p w14:paraId="49A4A607">
      <w:pPr>
        <w:spacing w:line="360" w:lineRule="auto"/>
        <w:jc w:val="both"/>
        <w:rPr>
          <w:rFonts w:hint="default" w:ascii="Arial" w:hAnsi="Arial" w:eastAsia="SimSun" w:cs="Arial"/>
          <w:b/>
          <w:bCs/>
          <w:sz w:val="22"/>
          <w:szCs w:val="22"/>
          <w:lang w:val="en-TT"/>
        </w:rPr>
      </w:pPr>
    </w:p>
    <w:p w14:paraId="502B7FD4">
      <w:pPr>
        <w:spacing w:line="360" w:lineRule="auto"/>
        <w:jc w:val="both"/>
        <w:rPr>
          <w:rFonts w:hint="default" w:ascii="Arial" w:hAnsi="Arial" w:eastAsia="SimSun" w:cs="Arial"/>
          <w:b/>
          <w:bCs/>
          <w:sz w:val="22"/>
          <w:szCs w:val="22"/>
          <w:lang w:val="en-TT"/>
        </w:rPr>
      </w:pPr>
    </w:p>
    <w:p w14:paraId="599A5189">
      <w:pPr>
        <w:spacing w:line="360" w:lineRule="auto"/>
        <w:jc w:val="both"/>
        <w:rPr>
          <w:rFonts w:hint="default" w:ascii="Arial" w:hAnsi="Arial" w:eastAsia="SimSun" w:cs="Arial"/>
          <w:b/>
          <w:bCs/>
          <w:sz w:val="22"/>
          <w:szCs w:val="22"/>
          <w:lang w:val="en-TT"/>
        </w:rPr>
      </w:pPr>
    </w:p>
    <w:p w14:paraId="2BF9BEE7">
      <w:pPr>
        <w:spacing w:line="360" w:lineRule="auto"/>
        <w:jc w:val="both"/>
        <w:rPr>
          <w:rFonts w:hint="default" w:ascii="Arial" w:hAnsi="Arial" w:eastAsia="SimSun" w:cs="Arial"/>
          <w:b/>
          <w:bCs/>
          <w:sz w:val="22"/>
          <w:szCs w:val="22"/>
          <w:lang w:val="en-TT"/>
        </w:rPr>
      </w:pPr>
    </w:p>
    <w:p w14:paraId="60D1AB55">
      <w:pPr>
        <w:spacing w:line="360" w:lineRule="auto"/>
        <w:jc w:val="both"/>
        <w:rPr>
          <w:rFonts w:hint="default" w:ascii="Arial" w:hAnsi="Arial" w:eastAsia="SimSun" w:cs="Arial"/>
          <w:b/>
          <w:bCs/>
          <w:sz w:val="22"/>
          <w:szCs w:val="22"/>
          <w:lang w:val="en-TT"/>
        </w:rPr>
      </w:pPr>
    </w:p>
    <w:p w14:paraId="7880E5A7">
      <w:pPr>
        <w:spacing w:line="360" w:lineRule="auto"/>
        <w:jc w:val="both"/>
        <w:rPr>
          <w:rFonts w:hint="default" w:ascii="Arial" w:hAnsi="Arial" w:eastAsia="SimSun" w:cs="Arial"/>
          <w:b/>
          <w:bCs/>
          <w:sz w:val="22"/>
          <w:szCs w:val="22"/>
          <w:lang w:val="en-TT"/>
        </w:rPr>
      </w:pPr>
    </w:p>
    <w:p w14:paraId="24778592">
      <w:pPr>
        <w:spacing w:line="360" w:lineRule="auto"/>
        <w:jc w:val="both"/>
        <w:rPr>
          <w:rFonts w:hint="default" w:ascii="Arial" w:hAnsi="Arial" w:eastAsia="SimSun" w:cs="Arial"/>
          <w:b/>
          <w:bCs/>
          <w:sz w:val="22"/>
          <w:szCs w:val="22"/>
          <w:lang w:val="en-TT"/>
        </w:rPr>
      </w:pPr>
    </w:p>
    <w:p w14:paraId="5D18E89B">
      <w:pPr>
        <w:spacing w:line="360" w:lineRule="auto"/>
        <w:jc w:val="both"/>
        <w:rPr>
          <w:rFonts w:hint="default" w:ascii="Arial" w:hAnsi="Arial" w:eastAsia="SimSun" w:cs="Arial"/>
          <w:b/>
          <w:bCs/>
          <w:sz w:val="22"/>
          <w:szCs w:val="22"/>
          <w:lang w:val="en-TT"/>
        </w:rPr>
      </w:pPr>
    </w:p>
    <w:p w14:paraId="50596BF7">
      <w:pPr>
        <w:spacing w:line="360" w:lineRule="auto"/>
        <w:jc w:val="both"/>
        <w:rPr>
          <w:rFonts w:hint="default" w:ascii="Arial" w:hAnsi="Arial" w:eastAsia="SimSun" w:cs="Arial"/>
          <w:b/>
          <w:bCs/>
          <w:sz w:val="22"/>
          <w:szCs w:val="22"/>
          <w:lang w:val="en-TT"/>
        </w:rPr>
      </w:pPr>
    </w:p>
    <w:p w14:paraId="13EE0341">
      <w:pPr>
        <w:spacing w:line="360" w:lineRule="auto"/>
        <w:jc w:val="both"/>
        <w:rPr>
          <w:rFonts w:hint="default" w:ascii="Arial" w:hAnsi="Arial" w:eastAsia="SimSun" w:cs="Arial"/>
          <w:b/>
          <w:bCs/>
          <w:sz w:val="22"/>
          <w:szCs w:val="22"/>
          <w:lang w:val="en-TT"/>
        </w:rPr>
      </w:pPr>
    </w:p>
    <w:p w14:paraId="51C194F4">
      <w:pPr>
        <w:spacing w:line="360" w:lineRule="auto"/>
        <w:jc w:val="both"/>
        <w:rPr>
          <w:rFonts w:hint="default" w:ascii="Arial" w:hAnsi="Arial" w:eastAsia="SimSun" w:cs="Arial"/>
          <w:b/>
          <w:bCs/>
          <w:sz w:val="22"/>
          <w:szCs w:val="22"/>
          <w:lang w:val="en-TT"/>
        </w:rPr>
      </w:pPr>
    </w:p>
    <w:p w14:paraId="67F9C614">
      <w:pPr>
        <w:spacing w:line="360" w:lineRule="auto"/>
        <w:jc w:val="both"/>
        <w:rPr>
          <w:rFonts w:hint="default" w:ascii="Arial" w:hAnsi="Arial" w:eastAsia="SimSun" w:cs="Arial"/>
          <w:b/>
          <w:bCs/>
          <w:sz w:val="22"/>
          <w:szCs w:val="22"/>
          <w:lang w:val="en-TT"/>
        </w:rPr>
      </w:pPr>
    </w:p>
    <w:p w14:paraId="10B6B6D5">
      <w:pPr>
        <w:spacing w:line="360" w:lineRule="auto"/>
        <w:jc w:val="both"/>
        <w:rPr>
          <w:rFonts w:hint="default" w:ascii="Arial" w:hAnsi="Arial" w:eastAsia="SimSun" w:cs="Arial"/>
          <w:b/>
          <w:bCs/>
          <w:sz w:val="22"/>
          <w:szCs w:val="22"/>
          <w:lang w:val="en-TT"/>
        </w:rPr>
      </w:pPr>
    </w:p>
    <w:p w14:paraId="54E59F67">
      <w:pPr>
        <w:spacing w:line="360" w:lineRule="auto"/>
        <w:jc w:val="both"/>
        <w:rPr>
          <w:rFonts w:hint="default" w:ascii="Arial" w:hAnsi="Arial" w:eastAsia="SimSun" w:cs="Arial"/>
          <w:b/>
          <w:bCs/>
          <w:sz w:val="22"/>
          <w:szCs w:val="22"/>
          <w:lang w:val="en-TT"/>
        </w:rPr>
      </w:pPr>
    </w:p>
    <w:p w14:paraId="70D7119B">
      <w:pPr>
        <w:spacing w:line="360" w:lineRule="auto"/>
        <w:jc w:val="both"/>
        <w:rPr>
          <w:rFonts w:hint="default" w:ascii="Arial" w:hAnsi="Arial" w:eastAsia="SimSun" w:cs="Arial"/>
          <w:b/>
          <w:bCs/>
          <w:sz w:val="22"/>
          <w:szCs w:val="22"/>
          <w:lang w:val="en-TT"/>
        </w:rPr>
      </w:pPr>
    </w:p>
    <w:p w14:paraId="7F8D2CA7">
      <w:pPr>
        <w:spacing w:line="360" w:lineRule="auto"/>
        <w:jc w:val="both"/>
        <w:rPr>
          <w:rFonts w:hint="default" w:ascii="Arial" w:hAnsi="Arial" w:eastAsia="SimSun" w:cs="Arial"/>
          <w:b/>
          <w:bCs/>
          <w:sz w:val="22"/>
          <w:szCs w:val="22"/>
          <w:lang w:val="en-TT"/>
        </w:rPr>
      </w:pPr>
    </w:p>
    <w:p w14:paraId="40C13CEF">
      <w:pPr>
        <w:spacing w:line="360" w:lineRule="auto"/>
        <w:jc w:val="both"/>
        <w:rPr>
          <w:rFonts w:hint="default" w:ascii="Arial" w:hAnsi="Arial" w:eastAsia="SimSun" w:cs="Arial"/>
          <w:b/>
          <w:bCs/>
          <w:sz w:val="22"/>
          <w:szCs w:val="22"/>
          <w:lang w:val="en-TT"/>
        </w:rPr>
      </w:pPr>
    </w:p>
    <w:p w14:paraId="1D0E5944">
      <w:pPr>
        <w:spacing w:line="360" w:lineRule="auto"/>
        <w:jc w:val="both"/>
        <w:rPr>
          <w:rFonts w:hint="default" w:ascii="Arial" w:hAnsi="Arial" w:eastAsia="SimSun" w:cs="Arial"/>
          <w:b/>
          <w:bCs/>
          <w:sz w:val="22"/>
          <w:szCs w:val="22"/>
          <w:lang w:val="en-TT"/>
        </w:rPr>
      </w:pPr>
    </w:p>
    <w:p w14:paraId="2B1AF1FC">
      <w:pPr>
        <w:spacing w:line="360" w:lineRule="auto"/>
        <w:jc w:val="both"/>
        <w:rPr>
          <w:rFonts w:hint="default" w:ascii="Arial" w:hAnsi="Arial" w:eastAsia="SimSun" w:cs="Arial"/>
          <w:b/>
          <w:bCs/>
          <w:sz w:val="22"/>
          <w:szCs w:val="22"/>
          <w:lang w:val="en-TT"/>
        </w:rPr>
      </w:pPr>
    </w:p>
    <w:p w14:paraId="07BA7442">
      <w:pPr>
        <w:spacing w:line="360" w:lineRule="auto"/>
        <w:jc w:val="both"/>
        <w:rPr>
          <w:rFonts w:hint="default" w:ascii="Arial" w:hAnsi="Arial" w:eastAsia="SimSun" w:cs="Arial"/>
          <w:b/>
          <w:bCs/>
          <w:sz w:val="22"/>
          <w:szCs w:val="22"/>
          <w:lang w:val="en-TT"/>
        </w:rPr>
      </w:pPr>
    </w:p>
    <w:p w14:paraId="77F7A94E">
      <w:pPr>
        <w:spacing w:line="360" w:lineRule="auto"/>
        <w:jc w:val="both"/>
        <w:rPr>
          <w:rFonts w:hint="default" w:ascii="Arial" w:hAnsi="Arial" w:eastAsia="SimSun" w:cs="Arial"/>
          <w:b/>
          <w:bCs/>
          <w:sz w:val="22"/>
          <w:szCs w:val="22"/>
          <w:lang w:val="en-TT"/>
        </w:rPr>
      </w:pPr>
    </w:p>
    <w:p w14:paraId="0FE8F1E8">
      <w:pPr>
        <w:spacing w:line="360" w:lineRule="auto"/>
        <w:jc w:val="both"/>
        <w:rPr>
          <w:rFonts w:hint="default" w:ascii="Arial" w:hAnsi="Arial" w:eastAsia="SimSun" w:cs="Arial"/>
          <w:b/>
          <w:bCs/>
          <w:sz w:val="22"/>
          <w:szCs w:val="22"/>
          <w:lang w:val="en-TT"/>
        </w:rPr>
      </w:pPr>
    </w:p>
    <w:p w14:paraId="5092E990">
      <w:pPr>
        <w:spacing w:line="360" w:lineRule="auto"/>
        <w:jc w:val="both"/>
        <w:rPr>
          <w:rFonts w:hint="default" w:ascii="Arial" w:hAnsi="Arial" w:eastAsia="SimSun" w:cs="Arial"/>
          <w:b/>
          <w:bCs/>
          <w:sz w:val="22"/>
          <w:szCs w:val="22"/>
          <w:lang w:val="en-TT"/>
        </w:rPr>
      </w:pPr>
    </w:p>
    <w:p w14:paraId="0249511F">
      <w:pPr>
        <w:spacing w:line="360" w:lineRule="auto"/>
        <w:jc w:val="both"/>
        <w:rPr>
          <w:rFonts w:hint="default" w:ascii="Arial" w:hAnsi="Arial" w:eastAsia="SimSun" w:cs="Arial"/>
          <w:b/>
          <w:bCs/>
          <w:sz w:val="22"/>
          <w:szCs w:val="22"/>
          <w:lang w:val="en-TT"/>
        </w:rPr>
      </w:pPr>
    </w:p>
    <w:p w14:paraId="77F893D8">
      <w:pPr>
        <w:spacing w:line="360" w:lineRule="auto"/>
        <w:jc w:val="both"/>
        <w:rPr>
          <w:rFonts w:hint="default" w:ascii="Arial" w:hAnsi="Arial" w:eastAsia="SimSun" w:cs="Arial"/>
          <w:b/>
          <w:bCs/>
          <w:sz w:val="22"/>
          <w:szCs w:val="22"/>
          <w:lang w:val="en-TT"/>
        </w:rPr>
      </w:pPr>
    </w:p>
    <w:p w14:paraId="6769DC01">
      <w:pPr>
        <w:spacing w:line="360" w:lineRule="auto"/>
        <w:jc w:val="both"/>
        <w:rPr>
          <w:rFonts w:hint="default" w:ascii="Arial" w:hAnsi="Arial" w:eastAsia="SimSun" w:cs="Arial"/>
          <w:b/>
          <w:bCs/>
          <w:sz w:val="22"/>
          <w:szCs w:val="22"/>
          <w:lang w:val="en-TT"/>
        </w:rPr>
      </w:pPr>
    </w:p>
    <w:p w14:paraId="55D49E65">
      <w:pPr>
        <w:spacing w:line="360" w:lineRule="auto"/>
        <w:jc w:val="both"/>
        <w:rPr>
          <w:rFonts w:hint="default" w:ascii="Arial" w:hAnsi="Arial" w:eastAsia="SimSun" w:cs="Arial"/>
          <w:b/>
          <w:bCs/>
          <w:sz w:val="22"/>
          <w:szCs w:val="22"/>
          <w:lang w:val="en-TT"/>
        </w:rPr>
      </w:pPr>
    </w:p>
    <w:p w14:paraId="50BB7735">
      <w:pPr>
        <w:spacing w:line="360" w:lineRule="auto"/>
        <w:jc w:val="both"/>
        <w:rPr>
          <w:rFonts w:hint="default" w:ascii="Arial" w:hAnsi="Arial" w:eastAsia="SimSun" w:cs="Arial"/>
          <w:b/>
          <w:bCs/>
          <w:sz w:val="22"/>
          <w:szCs w:val="22"/>
          <w:lang w:val="en-TT"/>
        </w:rPr>
      </w:pPr>
    </w:p>
    <w:p w14:paraId="0BCC2991">
      <w:pPr>
        <w:spacing w:line="360" w:lineRule="auto"/>
        <w:jc w:val="both"/>
        <w:rPr>
          <w:rFonts w:hint="default" w:ascii="Arial" w:hAnsi="Arial" w:eastAsia="SimSun" w:cs="Arial"/>
          <w:b/>
          <w:bCs/>
          <w:sz w:val="22"/>
          <w:szCs w:val="22"/>
          <w:lang w:val="en-TT"/>
        </w:rPr>
      </w:pPr>
    </w:p>
    <w:p w14:paraId="695FC8D5">
      <w:pPr>
        <w:spacing w:line="360" w:lineRule="auto"/>
        <w:jc w:val="both"/>
        <w:rPr>
          <w:rFonts w:hint="default" w:ascii="Arial" w:hAnsi="Arial" w:eastAsia="SimSun" w:cs="Arial"/>
          <w:b/>
          <w:bCs/>
          <w:sz w:val="22"/>
          <w:szCs w:val="22"/>
          <w:lang w:val="en-TT"/>
        </w:rPr>
      </w:pPr>
    </w:p>
    <w:p w14:paraId="29B3E4AB">
      <w:pPr>
        <w:spacing w:line="360" w:lineRule="auto"/>
        <w:jc w:val="both"/>
        <w:rPr>
          <w:rFonts w:hint="default" w:ascii="Arial" w:hAnsi="Arial" w:eastAsia="SimSun" w:cs="Arial"/>
          <w:b/>
          <w:bCs/>
          <w:sz w:val="22"/>
          <w:szCs w:val="22"/>
          <w:lang w:val="en-TT"/>
        </w:rPr>
      </w:pPr>
    </w:p>
    <w:p w14:paraId="769F3030">
      <w:pPr>
        <w:spacing w:line="360" w:lineRule="auto"/>
        <w:jc w:val="both"/>
        <w:rPr>
          <w:rFonts w:hint="default" w:ascii="Arial" w:hAnsi="Arial" w:eastAsia="SimSun" w:cs="Arial"/>
          <w:b/>
          <w:bCs/>
          <w:sz w:val="22"/>
          <w:szCs w:val="22"/>
          <w:lang w:val="en-TT"/>
        </w:rPr>
      </w:pPr>
    </w:p>
    <w:p w14:paraId="28ECB17B">
      <w:pPr>
        <w:spacing w:line="360" w:lineRule="auto"/>
        <w:jc w:val="both"/>
        <w:rPr>
          <w:rFonts w:hint="default" w:ascii="Arial" w:hAnsi="Arial" w:eastAsia="SimSun" w:cs="Arial"/>
          <w:b/>
          <w:bCs/>
          <w:sz w:val="22"/>
          <w:szCs w:val="22"/>
          <w:lang w:val="en-TT"/>
        </w:rPr>
      </w:pPr>
    </w:p>
    <w:p w14:paraId="0673FF95">
      <w:pPr>
        <w:spacing w:line="360" w:lineRule="auto"/>
        <w:jc w:val="both"/>
        <w:rPr>
          <w:rFonts w:hint="default" w:ascii="Arial" w:hAnsi="Arial" w:eastAsia="SimSun" w:cs="Arial"/>
          <w:b/>
          <w:bCs/>
          <w:sz w:val="22"/>
          <w:szCs w:val="22"/>
          <w:lang w:val="en-TT"/>
        </w:rPr>
      </w:pPr>
    </w:p>
    <w:p w14:paraId="3AC28FFF">
      <w:pPr>
        <w:spacing w:line="360" w:lineRule="auto"/>
        <w:jc w:val="both"/>
        <w:rPr>
          <w:rFonts w:hint="default" w:ascii="Arial" w:hAnsi="Arial" w:eastAsia="SimSun" w:cs="Arial"/>
          <w:b/>
          <w:bCs/>
          <w:sz w:val="22"/>
          <w:szCs w:val="22"/>
          <w:lang w:val="en-TT"/>
        </w:rPr>
      </w:pPr>
    </w:p>
    <w:p w14:paraId="58CFE33D">
      <w:pPr>
        <w:spacing w:line="360" w:lineRule="auto"/>
        <w:jc w:val="both"/>
        <w:rPr>
          <w:rFonts w:hint="default" w:ascii="Arial" w:hAnsi="Arial" w:eastAsia="SimSun" w:cs="Arial"/>
          <w:b/>
          <w:bCs/>
          <w:sz w:val="22"/>
          <w:szCs w:val="22"/>
          <w:lang w:val="en-TT"/>
        </w:rPr>
      </w:pPr>
    </w:p>
    <w:p w14:paraId="02D41CCF">
      <w:pPr>
        <w:spacing w:line="360" w:lineRule="auto"/>
        <w:jc w:val="both"/>
        <w:rPr>
          <w:rFonts w:hint="default" w:ascii="Arial" w:hAnsi="Arial" w:eastAsia="SimSun" w:cs="Arial"/>
          <w:b/>
          <w:bCs/>
          <w:sz w:val="22"/>
          <w:szCs w:val="22"/>
          <w:lang w:val="en-TT"/>
        </w:rPr>
      </w:pPr>
    </w:p>
    <w:p w14:paraId="72AA5AA0">
      <w:pPr>
        <w:spacing w:line="360" w:lineRule="auto"/>
        <w:jc w:val="both"/>
        <w:rPr>
          <w:rFonts w:hint="default" w:ascii="Arial" w:hAnsi="Arial" w:eastAsia="SimSun" w:cs="Arial"/>
          <w:b/>
          <w:bCs/>
          <w:sz w:val="22"/>
          <w:szCs w:val="22"/>
          <w:lang w:val="en-TT"/>
        </w:rPr>
      </w:pPr>
    </w:p>
    <w:p w14:paraId="47995BD0">
      <w:pPr>
        <w:spacing w:line="360" w:lineRule="auto"/>
        <w:jc w:val="both"/>
        <w:rPr>
          <w:rFonts w:hint="default" w:ascii="Arial" w:hAnsi="Arial" w:eastAsia="SimSun" w:cs="Arial"/>
          <w:b/>
          <w:bCs/>
          <w:sz w:val="22"/>
          <w:szCs w:val="22"/>
          <w:lang w:val="en-TT"/>
        </w:rPr>
      </w:pPr>
    </w:p>
    <w:p w14:paraId="4783A7AD">
      <w:pPr>
        <w:spacing w:line="360" w:lineRule="auto"/>
        <w:jc w:val="both"/>
        <w:rPr>
          <w:rFonts w:hint="default" w:ascii="Arial" w:hAnsi="Arial" w:eastAsia="SimSun" w:cs="Arial"/>
          <w:b/>
          <w:bCs/>
          <w:sz w:val="22"/>
          <w:szCs w:val="22"/>
          <w:lang w:val="en-TT"/>
        </w:rPr>
      </w:pPr>
    </w:p>
    <w:p w14:paraId="6A1E7888">
      <w:pPr>
        <w:spacing w:line="360" w:lineRule="auto"/>
        <w:jc w:val="both"/>
        <w:rPr>
          <w:rFonts w:hint="default" w:ascii="Arial" w:hAnsi="Arial" w:eastAsia="SimSun" w:cs="Arial"/>
          <w:b/>
          <w:bCs/>
          <w:sz w:val="22"/>
          <w:szCs w:val="22"/>
          <w:lang w:val="en-TT"/>
        </w:rPr>
      </w:pPr>
    </w:p>
    <w:p w14:paraId="29AAE9E3">
      <w:pPr>
        <w:spacing w:line="360" w:lineRule="auto"/>
        <w:jc w:val="both"/>
        <w:rPr>
          <w:rFonts w:hint="default" w:ascii="Arial" w:hAnsi="Arial" w:eastAsia="SimSun" w:cs="Arial"/>
          <w:b/>
          <w:bCs/>
          <w:sz w:val="22"/>
          <w:szCs w:val="22"/>
          <w:lang w:val="en-TT"/>
        </w:rPr>
      </w:pPr>
    </w:p>
    <w:p w14:paraId="6246C36D">
      <w:pPr>
        <w:spacing w:line="360" w:lineRule="auto"/>
        <w:jc w:val="both"/>
        <w:rPr>
          <w:rFonts w:hint="default" w:ascii="Arial" w:hAnsi="Arial" w:eastAsia="SimSun" w:cs="Arial"/>
          <w:b/>
          <w:bCs/>
          <w:sz w:val="22"/>
          <w:szCs w:val="22"/>
          <w:lang w:val="en-TT"/>
        </w:rPr>
      </w:pPr>
    </w:p>
    <w:p w14:paraId="1A06B4F8">
      <w:pPr>
        <w:spacing w:line="360" w:lineRule="auto"/>
        <w:jc w:val="both"/>
        <w:rPr>
          <w:rFonts w:hint="default" w:ascii="Arial" w:hAnsi="Arial" w:eastAsia="SimSun" w:cs="Arial"/>
          <w:b/>
          <w:bCs/>
          <w:sz w:val="22"/>
          <w:szCs w:val="22"/>
          <w:lang w:val="en-TT"/>
        </w:rPr>
      </w:pPr>
    </w:p>
    <w:p w14:paraId="229E26AB">
      <w:pPr>
        <w:spacing w:line="360" w:lineRule="auto"/>
        <w:jc w:val="both"/>
        <w:rPr>
          <w:rFonts w:hint="default" w:ascii="Arial" w:hAnsi="Arial" w:eastAsia="SimSun" w:cs="Arial"/>
          <w:b/>
          <w:bCs/>
          <w:sz w:val="22"/>
          <w:szCs w:val="22"/>
          <w:lang w:val="en-TT"/>
        </w:rPr>
      </w:pPr>
    </w:p>
    <w:p w14:paraId="53118ED5">
      <w:pPr>
        <w:spacing w:line="360" w:lineRule="auto"/>
        <w:jc w:val="both"/>
        <w:rPr>
          <w:rFonts w:hint="default" w:ascii="Arial" w:hAnsi="Arial" w:eastAsia="SimSun" w:cs="Arial"/>
          <w:b/>
          <w:bCs/>
          <w:sz w:val="22"/>
          <w:szCs w:val="22"/>
          <w:lang w:val="en-TT"/>
        </w:rPr>
      </w:pPr>
    </w:p>
    <w:p w14:paraId="2DD13A69">
      <w:pPr>
        <w:spacing w:line="360" w:lineRule="auto"/>
        <w:jc w:val="both"/>
        <w:rPr>
          <w:rFonts w:hint="default" w:ascii="Arial" w:hAnsi="Arial" w:eastAsia="SimSun" w:cs="Arial"/>
          <w:b/>
          <w:bCs/>
          <w:sz w:val="22"/>
          <w:szCs w:val="22"/>
          <w:lang w:val="en-TT"/>
        </w:rPr>
      </w:pPr>
    </w:p>
    <w:p w14:paraId="71444540">
      <w:pPr>
        <w:spacing w:line="360" w:lineRule="auto"/>
        <w:jc w:val="both"/>
        <w:rPr>
          <w:rFonts w:hint="default" w:ascii="Arial" w:hAnsi="Arial" w:eastAsia="SimSun" w:cs="Arial"/>
          <w:b/>
          <w:bCs/>
          <w:sz w:val="22"/>
          <w:szCs w:val="22"/>
          <w:lang w:val="en-TT"/>
        </w:rPr>
      </w:pPr>
    </w:p>
    <w:p w14:paraId="29212C2E">
      <w:pPr>
        <w:spacing w:line="360" w:lineRule="auto"/>
        <w:jc w:val="both"/>
        <w:rPr>
          <w:rFonts w:hint="default" w:ascii="Arial" w:hAnsi="Arial" w:eastAsia="SimSun" w:cs="Arial"/>
          <w:b/>
          <w:bCs/>
          <w:sz w:val="22"/>
          <w:szCs w:val="22"/>
          <w:lang w:val="en-TT"/>
        </w:rPr>
      </w:pPr>
      <w:r>
        <w:rPr>
          <w:rFonts w:hint="default" w:ascii="Arial" w:hAnsi="Arial" w:eastAsia="SimSun" w:cs="Arial"/>
          <w:b/>
          <w:bCs/>
          <w:sz w:val="22"/>
          <w:szCs w:val="22"/>
          <w:lang w:val="en-TT"/>
        </w:rPr>
        <w:t>Appendices</w:t>
      </w:r>
    </w:p>
    <w:p w14:paraId="78A8AD96">
      <w:pPr>
        <w:spacing w:line="360" w:lineRule="auto"/>
        <w:jc w:val="both"/>
        <w:rPr>
          <w:rFonts w:hint="default" w:ascii="Arial" w:hAnsi="Arial" w:eastAsia="SimSun" w:cs="Arial"/>
          <w:b/>
          <w:bCs/>
          <w:sz w:val="22"/>
          <w:szCs w:val="22"/>
          <w:lang w:val="en-TT"/>
        </w:rPr>
      </w:pPr>
    </w:p>
    <w:p w14:paraId="7A183B44">
      <w:pPr>
        <w:spacing w:line="360" w:lineRule="auto"/>
        <w:jc w:val="both"/>
        <w:rPr>
          <w:rFonts w:hint="default" w:ascii="Arial" w:hAnsi="Arial" w:eastAsia="SimSun" w:cs="Arial"/>
          <w:sz w:val="22"/>
          <w:szCs w:val="22"/>
          <w:lang w:val="en-TT"/>
        </w:rPr>
      </w:pPr>
      <w:r>
        <w:rPr>
          <w:rFonts w:hint="default" w:ascii="Arial" w:hAnsi="Arial" w:cs="Arial"/>
          <w:sz w:val="22"/>
          <w:szCs w:val="22"/>
        </w:rPr>
        <w:fldChar w:fldCharType="begin"/>
      </w:r>
      <w:r>
        <w:rPr>
          <w:rFonts w:hint="default" w:ascii="Arial" w:hAnsi="Arial" w:cs="Arial"/>
          <w:sz w:val="22"/>
          <w:szCs w:val="22"/>
        </w:rPr>
        <w:instrText xml:space="preserve"> HYPERLINK "https://classroom.google.com/c/ODE5NTMyNjQ5ODEz" </w:instrText>
      </w:r>
      <w:r>
        <w:rPr>
          <w:rFonts w:hint="default" w:ascii="Arial" w:hAnsi="Arial" w:cs="Arial"/>
          <w:sz w:val="22"/>
          <w:szCs w:val="22"/>
        </w:rPr>
        <w:fldChar w:fldCharType="separate"/>
      </w:r>
      <w:r>
        <w:rPr>
          <w:rStyle w:val="10"/>
          <w:rFonts w:hint="default" w:ascii="Arial" w:hAnsi="Arial" w:eastAsia="SimSun" w:cs="Arial"/>
          <w:sz w:val="22"/>
          <w:szCs w:val="22"/>
          <w:lang w:val="en-TT"/>
        </w:rPr>
        <w:t>https://classroom.google.com/c/ODE5NTMyNjQ5ODEz</w:t>
      </w:r>
      <w:r>
        <w:rPr>
          <w:rStyle w:val="10"/>
          <w:rFonts w:hint="default" w:ascii="Arial" w:hAnsi="Arial" w:eastAsia="SimSun" w:cs="Arial"/>
          <w:sz w:val="22"/>
          <w:szCs w:val="22"/>
          <w:lang w:val="en-TT"/>
        </w:rPr>
        <w:fldChar w:fldCharType="end"/>
      </w:r>
    </w:p>
    <w:p w14:paraId="0EA68F93">
      <w:pPr>
        <w:spacing w:line="360" w:lineRule="auto"/>
        <w:jc w:val="both"/>
        <w:rPr>
          <w:rFonts w:hint="default" w:ascii="Arial" w:hAnsi="Arial" w:eastAsia="SimSun" w:cs="Arial"/>
          <w:sz w:val="22"/>
          <w:szCs w:val="22"/>
          <w:lang w:val="en-TT"/>
        </w:rPr>
      </w:pPr>
      <w:r>
        <w:rPr>
          <w:rFonts w:hint="default" w:ascii="Arial" w:hAnsi="Arial" w:eastAsia="SimSun" w:cs="Arial"/>
          <w:sz w:val="22"/>
          <w:szCs w:val="22"/>
          <w:lang w:val="en-TT"/>
        </w:rPr>
        <w:t>Wp32ex76</w:t>
      </w:r>
    </w:p>
    <w:p w14:paraId="42A1F9FC">
      <w:pPr>
        <w:keepNext w:val="0"/>
        <w:keepLines w:val="0"/>
        <w:widowControl/>
        <w:suppressLineNumbers w:val="0"/>
        <w:spacing w:line="360" w:lineRule="auto"/>
        <w:jc w:val="both"/>
        <w:rPr>
          <w:rFonts w:hint="default" w:ascii="Arial" w:hAnsi="Arial" w:cs="Arial"/>
          <w:sz w:val="22"/>
          <w:szCs w:val="22"/>
        </w:rPr>
      </w:pPr>
    </w:p>
    <w:p w14:paraId="574406B6">
      <w:pPr>
        <w:keepNext w:val="0"/>
        <w:keepLines w:val="0"/>
        <w:widowControl/>
        <w:suppressLineNumbers w:val="0"/>
        <w:spacing w:line="360" w:lineRule="auto"/>
        <w:jc w:val="both"/>
        <w:rPr>
          <w:rFonts w:hint="default" w:ascii="Arial" w:hAnsi="Arial" w:cs="Arial"/>
          <w:sz w:val="22"/>
          <w:szCs w:val="22"/>
        </w:rPr>
      </w:pPr>
    </w:p>
    <w:p w14:paraId="10979150">
      <w:pPr>
        <w:keepNext w:val="0"/>
        <w:keepLines w:val="0"/>
        <w:widowControl/>
        <w:suppressLineNumbers w:val="0"/>
        <w:spacing w:line="360" w:lineRule="auto"/>
        <w:jc w:val="both"/>
        <w:rPr>
          <w:rFonts w:hint="default" w:ascii="Arial" w:hAnsi="Arial" w:cs="Arial"/>
          <w:sz w:val="22"/>
          <w:szCs w:val="22"/>
          <w:lang w:val="en-TT"/>
        </w:rPr>
      </w:pPr>
      <w:r>
        <w:rPr>
          <w:rFonts w:hint="default" w:ascii="Arial" w:hAnsi="Arial" w:cs="Arial"/>
          <w:sz w:val="22"/>
          <w:szCs w:val="22"/>
          <w:lang w:val="en-TT"/>
        </w:rPr>
        <w:drawing>
          <wp:inline distT="0" distB="0" distL="114300" distR="114300">
            <wp:extent cx="5267325" cy="1890395"/>
            <wp:effectExtent l="0" t="0" r="9525" b="14605"/>
            <wp:docPr id="5" name="Picture 5" descr="Screenshot 2026-06-12 155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reenshot 2026-06-12 155159"/>
                    <pic:cNvPicPr>
                      <a:picLocks noChangeAspect="1"/>
                    </pic:cNvPicPr>
                  </pic:nvPicPr>
                  <pic:blipFill>
                    <a:blip r:embed="rId12"/>
                    <a:stretch>
                      <a:fillRect/>
                    </a:stretch>
                  </pic:blipFill>
                  <pic:spPr>
                    <a:xfrm>
                      <a:off x="0" y="0"/>
                      <a:ext cx="5267325" cy="1890395"/>
                    </a:xfrm>
                    <a:prstGeom prst="rect">
                      <a:avLst/>
                    </a:prstGeom>
                  </pic:spPr>
                </pic:pic>
              </a:graphicData>
            </a:graphic>
          </wp:inline>
        </w:drawing>
      </w:r>
    </w:p>
    <w:p w14:paraId="2EEA8D49">
      <w:pPr>
        <w:pStyle w:val="11"/>
        <w:keepNext w:val="0"/>
        <w:keepLines w:val="0"/>
        <w:widowControl/>
        <w:suppressLineNumbers w:val="0"/>
        <w:bidi w:val="0"/>
        <w:spacing w:before="240" w:beforeAutospacing="0" w:after="240" w:afterAutospacing="0" w:line="360" w:lineRule="auto"/>
        <w:jc w:val="both"/>
        <w:rPr>
          <w:rFonts w:hint="default" w:ascii="Arial" w:hAnsi="Arial" w:cs="Arial"/>
          <w:sz w:val="22"/>
          <w:szCs w:val="22"/>
        </w:rPr>
      </w:pPr>
      <w:r>
        <w:rPr>
          <w:rFonts w:hint="default" w:ascii="Arial" w:hAnsi="Arial" w:cs="Arial"/>
          <w:i w:val="0"/>
          <w:iCs w:val="0"/>
          <w:color w:val="000000"/>
          <w:sz w:val="22"/>
          <w:szCs w:val="22"/>
          <w:u w:val="none"/>
          <w:shd w:val="clear" w:fill="FFFFFF"/>
          <w:vertAlign w:val="baseline"/>
        </w:rPr>
        <w:t> </w:t>
      </w:r>
    </w:p>
    <w:p w14:paraId="227CED50">
      <w:pPr>
        <w:keepNext w:val="0"/>
        <w:keepLines w:val="0"/>
        <w:widowControl/>
        <w:suppressLineNumbers w:val="0"/>
        <w:spacing w:line="360" w:lineRule="auto"/>
        <w:jc w:val="both"/>
        <w:rPr>
          <w:rFonts w:hint="default" w:ascii="Arial" w:hAnsi="Arial" w:cs="Arial"/>
          <w:sz w:val="22"/>
          <w:szCs w:val="22"/>
        </w:rPr>
      </w:pPr>
    </w:p>
    <w:p w14:paraId="71E69490">
      <w:pPr>
        <w:pStyle w:val="11"/>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000000"/>
          <w:sz w:val="22"/>
          <w:szCs w:val="22"/>
          <w:u w:val="none"/>
          <w:shd w:val="clear" w:fill="FFFFFF"/>
          <w:vertAlign w:val="baseline"/>
          <w:lang w:val="en-TT"/>
        </w:rPr>
      </w:pPr>
      <w:r>
        <w:rPr>
          <w:rFonts w:hint="default" w:ascii="Arial" w:hAnsi="Arial" w:cs="Arial"/>
          <w:i w:val="0"/>
          <w:iCs w:val="0"/>
          <w:color w:val="000000"/>
          <w:sz w:val="22"/>
          <w:szCs w:val="22"/>
          <w:u w:val="none"/>
          <w:shd w:val="clear" w:fill="FFFFFF"/>
          <w:vertAlign w:val="baseline"/>
          <w:lang w:val="en-TT"/>
        </w:rPr>
        <w:drawing>
          <wp:inline distT="0" distB="0" distL="114300" distR="114300">
            <wp:extent cx="5269865" cy="743585"/>
            <wp:effectExtent l="0" t="0" r="6985" b="18415"/>
            <wp:docPr id="6" name="Picture 6" descr="Screenshot 2026-06-12 155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creenshot 2026-06-12 155229"/>
                    <pic:cNvPicPr>
                      <a:picLocks noChangeAspect="1"/>
                    </pic:cNvPicPr>
                  </pic:nvPicPr>
                  <pic:blipFill>
                    <a:blip r:embed="rId13"/>
                    <a:stretch>
                      <a:fillRect/>
                    </a:stretch>
                  </pic:blipFill>
                  <pic:spPr>
                    <a:xfrm>
                      <a:off x="0" y="0"/>
                      <a:ext cx="5269865" cy="743585"/>
                    </a:xfrm>
                    <a:prstGeom prst="rect">
                      <a:avLst/>
                    </a:prstGeom>
                  </pic:spPr>
                </pic:pic>
              </a:graphicData>
            </a:graphic>
          </wp:inline>
        </w:drawing>
      </w:r>
    </w:p>
    <w:p w14:paraId="5042C968">
      <w:pPr>
        <w:keepNext w:val="0"/>
        <w:keepLines w:val="0"/>
        <w:widowControl/>
        <w:suppressLineNumbers w:val="0"/>
        <w:spacing w:line="360" w:lineRule="auto"/>
        <w:jc w:val="both"/>
        <w:rPr>
          <w:rFonts w:hint="default" w:ascii="Arial" w:hAnsi="Arial" w:cs="Arial"/>
          <w:sz w:val="22"/>
          <w:szCs w:val="22"/>
        </w:rPr>
      </w:pPr>
    </w:p>
    <w:p w14:paraId="5986809D">
      <w:pPr>
        <w:spacing w:line="360" w:lineRule="auto"/>
        <w:jc w:val="both"/>
        <w:rPr>
          <w:rFonts w:hint="default" w:ascii="Arial" w:hAnsi="Arial" w:cs="Arial"/>
          <w:sz w:val="22"/>
          <w:szCs w:val="22"/>
        </w:rPr>
      </w:pPr>
    </w:p>
    <w:p w14:paraId="1239A6FB">
      <w:pPr>
        <w:spacing w:line="360" w:lineRule="auto"/>
        <w:jc w:val="both"/>
        <w:rPr>
          <w:rFonts w:hint="default" w:ascii="Arial" w:hAnsi="Arial" w:cs="Arial"/>
          <w:sz w:val="22"/>
          <w:szCs w:val="22"/>
          <w:lang w:val="en-TT"/>
        </w:rPr>
      </w:pPr>
      <w:r>
        <w:rPr>
          <w:rFonts w:hint="default" w:ascii="Arial" w:hAnsi="Arial" w:cs="Arial"/>
          <w:sz w:val="22"/>
          <w:szCs w:val="22"/>
          <w:lang w:val="en-TT"/>
        </w:rPr>
        <w:drawing>
          <wp:inline distT="0" distB="0" distL="114300" distR="114300">
            <wp:extent cx="5266055" cy="1443355"/>
            <wp:effectExtent l="0" t="0" r="10795" b="4445"/>
            <wp:docPr id="8" name="Picture 8" descr="Screenshot 2026-06-12 155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reenshot 2026-06-12 155305"/>
                    <pic:cNvPicPr>
                      <a:picLocks noChangeAspect="1"/>
                    </pic:cNvPicPr>
                  </pic:nvPicPr>
                  <pic:blipFill>
                    <a:blip r:embed="rId14"/>
                    <a:stretch>
                      <a:fillRect/>
                    </a:stretch>
                  </pic:blipFill>
                  <pic:spPr>
                    <a:xfrm>
                      <a:off x="0" y="0"/>
                      <a:ext cx="5266055" cy="1443355"/>
                    </a:xfrm>
                    <a:prstGeom prst="rect">
                      <a:avLst/>
                    </a:prstGeom>
                  </pic:spPr>
                </pic:pic>
              </a:graphicData>
            </a:graphic>
          </wp:inline>
        </w:drawing>
      </w:r>
    </w:p>
    <w:p w14:paraId="4B347F57">
      <w:pPr>
        <w:spacing w:line="360" w:lineRule="auto"/>
        <w:jc w:val="both"/>
        <w:rPr>
          <w:rFonts w:hint="default" w:ascii="Arial" w:hAnsi="Arial" w:cs="Arial"/>
          <w:sz w:val="22"/>
          <w:szCs w:val="22"/>
          <w:lang w:val="en-TT"/>
        </w:rPr>
      </w:pPr>
    </w:p>
    <w:p w14:paraId="22225543">
      <w:pPr>
        <w:spacing w:line="360" w:lineRule="auto"/>
        <w:jc w:val="both"/>
        <w:rPr>
          <w:rFonts w:hint="default" w:ascii="Arial" w:hAnsi="Arial" w:cs="Arial"/>
          <w:sz w:val="22"/>
          <w:szCs w:val="22"/>
          <w:lang w:val="en-TT"/>
        </w:rPr>
      </w:pPr>
    </w:p>
    <w:p w14:paraId="176F1FCD">
      <w:pPr>
        <w:spacing w:line="360" w:lineRule="auto"/>
        <w:jc w:val="both"/>
        <w:rPr>
          <w:rFonts w:hint="default" w:ascii="Arial" w:hAnsi="Arial" w:cs="Arial"/>
          <w:sz w:val="22"/>
          <w:szCs w:val="22"/>
          <w:lang w:val="en-TT"/>
        </w:rPr>
      </w:pPr>
    </w:p>
    <w:p w14:paraId="00B6F5A1">
      <w:pPr>
        <w:spacing w:line="360" w:lineRule="auto"/>
        <w:jc w:val="both"/>
        <w:rPr>
          <w:rFonts w:hint="default" w:ascii="Arial" w:hAnsi="Arial" w:cs="Arial"/>
          <w:sz w:val="22"/>
          <w:szCs w:val="22"/>
          <w:lang w:val="en-TT"/>
        </w:rPr>
      </w:pPr>
    </w:p>
    <w:p w14:paraId="63D10193">
      <w:pPr>
        <w:spacing w:line="360" w:lineRule="auto"/>
        <w:jc w:val="both"/>
        <w:rPr>
          <w:rFonts w:hint="default" w:ascii="Arial" w:hAnsi="Arial" w:cs="Arial"/>
          <w:sz w:val="22"/>
          <w:szCs w:val="22"/>
          <w:lang w:val="en-TT"/>
        </w:rPr>
      </w:pPr>
      <w:r>
        <w:rPr>
          <w:rFonts w:hint="default" w:ascii="Arial" w:hAnsi="Arial" w:cs="Arial"/>
          <w:sz w:val="22"/>
          <w:szCs w:val="22"/>
          <w:lang w:val="en-TT"/>
        </w:rPr>
        <w:drawing>
          <wp:inline distT="0" distB="0" distL="114300" distR="114300">
            <wp:extent cx="5273040" cy="1925320"/>
            <wp:effectExtent l="0" t="0" r="3810" b="17780"/>
            <wp:docPr id="10" name="Picture 10" descr="Screenshot 2026-06-12 155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reenshot 2026-06-12 155423"/>
                    <pic:cNvPicPr>
                      <a:picLocks noChangeAspect="1"/>
                    </pic:cNvPicPr>
                  </pic:nvPicPr>
                  <pic:blipFill>
                    <a:blip r:embed="rId15"/>
                    <a:stretch>
                      <a:fillRect/>
                    </a:stretch>
                  </pic:blipFill>
                  <pic:spPr>
                    <a:xfrm>
                      <a:off x="0" y="0"/>
                      <a:ext cx="5273040" cy="1925320"/>
                    </a:xfrm>
                    <a:prstGeom prst="rect">
                      <a:avLst/>
                    </a:prstGeom>
                  </pic:spPr>
                </pic:pic>
              </a:graphicData>
            </a:graphic>
          </wp:inline>
        </w:drawing>
      </w:r>
    </w:p>
    <w:p w14:paraId="0EE2EA30">
      <w:pPr>
        <w:spacing w:line="360" w:lineRule="auto"/>
        <w:jc w:val="both"/>
        <w:rPr>
          <w:rFonts w:hint="default" w:ascii="Arial" w:hAnsi="Arial" w:cs="Arial"/>
          <w:sz w:val="22"/>
          <w:szCs w:val="22"/>
          <w:lang w:val="en-TT"/>
        </w:rPr>
      </w:pPr>
    </w:p>
    <w:p w14:paraId="11B718CE">
      <w:pPr>
        <w:spacing w:line="360" w:lineRule="auto"/>
        <w:jc w:val="both"/>
        <w:rPr>
          <w:rFonts w:hint="default" w:ascii="Arial" w:hAnsi="Arial" w:cs="Arial"/>
          <w:sz w:val="22"/>
          <w:szCs w:val="22"/>
          <w:lang w:val="en-TT"/>
        </w:rPr>
      </w:pPr>
    </w:p>
    <w:p w14:paraId="48AB843D">
      <w:pPr>
        <w:spacing w:line="360" w:lineRule="auto"/>
        <w:jc w:val="both"/>
        <w:rPr>
          <w:rFonts w:hint="default" w:ascii="Arial" w:hAnsi="Arial" w:cs="Arial"/>
          <w:sz w:val="22"/>
          <w:szCs w:val="22"/>
          <w:lang w:val="en-TT"/>
        </w:rPr>
      </w:pPr>
    </w:p>
    <w:p w14:paraId="79F1D0F6">
      <w:pPr>
        <w:spacing w:line="360" w:lineRule="auto"/>
        <w:jc w:val="both"/>
        <w:rPr>
          <w:rFonts w:hint="default" w:ascii="Arial" w:hAnsi="Arial" w:cs="Arial"/>
          <w:sz w:val="22"/>
          <w:szCs w:val="22"/>
          <w:lang w:val="en-TT"/>
        </w:rPr>
      </w:pPr>
    </w:p>
    <w:p w14:paraId="7A7A8C14">
      <w:pPr>
        <w:spacing w:line="360" w:lineRule="auto"/>
        <w:jc w:val="both"/>
        <w:rPr>
          <w:rFonts w:hint="default" w:ascii="Arial" w:hAnsi="Arial" w:cs="Arial"/>
          <w:sz w:val="22"/>
          <w:szCs w:val="22"/>
          <w:lang w:val="en-TT"/>
        </w:rPr>
      </w:pPr>
      <w:r>
        <w:rPr>
          <w:rFonts w:hint="default" w:ascii="Arial" w:hAnsi="Arial" w:cs="Arial"/>
          <w:sz w:val="22"/>
          <w:szCs w:val="22"/>
          <w:lang w:val="en-TT"/>
        </w:rPr>
        <w:drawing>
          <wp:inline distT="0" distB="0" distL="114300" distR="114300">
            <wp:extent cx="5266690" cy="1935480"/>
            <wp:effectExtent l="0" t="0" r="10160" b="7620"/>
            <wp:docPr id="11" name="Picture 11" descr="Screenshot 2026-06-12 155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reenshot 2026-06-12 155355"/>
                    <pic:cNvPicPr>
                      <a:picLocks noChangeAspect="1"/>
                    </pic:cNvPicPr>
                  </pic:nvPicPr>
                  <pic:blipFill>
                    <a:blip r:embed="rId16"/>
                    <a:stretch>
                      <a:fillRect/>
                    </a:stretch>
                  </pic:blipFill>
                  <pic:spPr>
                    <a:xfrm>
                      <a:off x="0" y="0"/>
                      <a:ext cx="5266690" cy="1935480"/>
                    </a:xfrm>
                    <a:prstGeom prst="rect">
                      <a:avLst/>
                    </a:prstGeom>
                  </pic:spPr>
                </pic:pic>
              </a:graphicData>
            </a:graphic>
          </wp:inline>
        </w:drawing>
      </w:r>
    </w:p>
    <w:p w14:paraId="7189193D">
      <w:pPr>
        <w:rPr>
          <w:rFonts w:hint="default"/>
          <w:lang w:val="en-TT"/>
        </w:rPr>
      </w:pPr>
    </w:p>
    <w:p w14:paraId="4EB83C13">
      <w:pPr>
        <w:rPr>
          <w:rFonts w:hint="default"/>
          <w:lang w:val="en-TT"/>
        </w:rPr>
      </w:pPr>
    </w:p>
    <w:p w14:paraId="40772537">
      <w:pPr>
        <w:rPr>
          <w:rFonts w:hint="default"/>
          <w:lang w:val="en-TT"/>
        </w:rPr>
      </w:pPr>
    </w:p>
    <w:p w14:paraId="17F7ABA9">
      <w:pPr>
        <w:rPr>
          <w:rFonts w:hint="default"/>
          <w:lang w:val="en-TT"/>
        </w:rPr>
      </w:pPr>
      <w:r>
        <w:rPr>
          <w:rFonts w:hint="default"/>
          <w:lang w:val="en-TT"/>
        </w:rPr>
        <w:drawing>
          <wp:inline distT="0" distB="0" distL="114300" distR="114300">
            <wp:extent cx="5273040" cy="742315"/>
            <wp:effectExtent l="0" t="0" r="3810" b="635"/>
            <wp:docPr id="12" name="Picture 12" descr="Screenshot 2026-06-12 155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reenshot 2026-06-12 155446"/>
                    <pic:cNvPicPr>
                      <a:picLocks noChangeAspect="1"/>
                    </pic:cNvPicPr>
                  </pic:nvPicPr>
                  <pic:blipFill>
                    <a:blip r:embed="rId17"/>
                    <a:stretch>
                      <a:fillRect/>
                    </a:stretch>
                  </pic:blipFill>
                  <pic:spPr>
                    <a:xfrm>
                      <a:off x="0" y="0"/>
                      <a:ext cx="5273040" cy="742315"/>
                    </a:xfrm>
                    <a:prstGeom prst="rect">
                      <a:avLst/>
                    </a:prstGeom>
                  </pic:spPr>
                </pic:pic>
              </a:graphicData>
            </a:graphic>
          </wp:inline>
        </w:drawing>
      </w:r>
    </w:p>
    <w:p w14:paraId="72751C02">
      <w:pPr>
        <w:rPr>
          <w:rFonts w:hint="default"/>
          <w:lang w:val="en-TT"/>
        </w:rPr>
      </w:pPr>
    </w:p>
    <w:p w14:paraId="1F136F7D">
      <w:pPr>
        <w:rPr>
          <w:rFonts w:hint="default"/>
          <w:lang w:val="en-TT"/>
        </w:rPr>
      </w:pPr>
    </w:p>
    <w:p w14:paraId="2C1C8581">
      <w:pPr>
        <w:rPr>
          <w:rFonts w:hint="default"/>
          <w:lang w:val="en-TT"/>
        </w:rPr>
      </w:pPr>
      <w:r>
        <w:rPr>
          <w:rFonts w:hint="default"/>
          <w:lang w:val="en-TT"/>
        </w:rPr>
        <w:drawing>
          <wp:inline distT="0" distB="0" distL="114300" distR="114300">
            <wp:extent cx="5267325" cy="1920240"/>
            <wp:effectExtent l="0" t="0" r="9525" b="3810"/>
            <wp:docPr id="13" name="Picture 13" descr="Screenshot 2026-06-12 155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creenshot 2026-06-12 155512"/>
                    <pic:cNvPicPr>
                      <a:picLocks noChangeAspect="1"/>
                    </pic:cNvPicPr>
                  </pic:nvPicPr>
                  <pic:blipFill>
                    <a:blip r:embed="rId18"/>
                    <a:stretch>
                      <a:fillRect/>
                    </a:stretch>
                  </pic:blipFill>
                  <pic:spPr>
                    <a:xfrm>
                      <a:off x="0" y="0"/>
                      <a:ext cx="5267325" cy="1920240"/>
                    </a:xfrm>
                    <a:prstGeom prst="rect">
                      <a:avLst/>
                    </a:prstGeom>
                  </pic:spPr>
                </pic:pic>
              </a:graphicData>
            </a:graphic>
          </wp:inline>
        </w:drawing>
      </w:r>
    </w:p>
    <w:p w14:paraId="014C9614">
      <w:pPr>
        <w:rPr>
          <w:rFonts w:hint="default"/>
          <w:lang w:val="en-TT"/>
        </w:rPr>
      </w:pPr>
    </w:p>
    <w:p w14:paraId="5769D3E9">
      <w:pPr>
        <w:rPr>
          <w:rFonts w:hint="default"/>
          <w:lang w:val="en-TT"/>
        </w:rPr>
      </w:pPr>
    </w:p>
    <w:p w14:paraId="3EB95BDE">
      <w:pPr>
        <w:rPr>
          <w:rFonts w:hint="default"/>
          <w:lang w:val="en-TT"/>
        </w:rPr>
      </w:pPr>
    </w:p>
    <w:p w14:paraId="1E4A999E">
      <w:pPr>
        <w:rPr>
          <w:rFonts w:hint="default"/>
          <w:lang w:val="en-TT"/>
        </w:rPr>
      </w:pPr>
    </w:p>
    <w:p w14:paraId="35E562EF">
      <w:pPr>
        <w:rPr>
          <w:rFonts w:hint="default"/>
          <w:lang w:val="en-TT"/>
        </w:rPr>
      </w:pPr>
    </w:p>
    <w:p w14:paraId="7AB3C9BC">
      <w:pPr>
        <w:rPr>
          <w:rFonts w:hint="default"/>
          <w:lang w:val="en-TT"/>
        </w:rPr>
      </w:pPr>
      <w:r>
        <w:rPr>
          <w:rFonts w:hint="default"/>
          <w:lang w:val="en-TT"/>
        </w:rPr>
        <w:drawing>
          <wp:inline distT="0" distB="0" distL="114300" distR="114300">
            <wp:extent cx="5274310" cy="2284095"/>
            <wp:effectExtent l="0" t="0" r="2540" b="1905"/>
            <wp:docPr id="17" name="Picture 17" descr="Screenshot 2026-06-12 16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Screenshot 2026-06-12 160928"/>
                    <pic:cNvPicPr>
                      <a:picLocks noChangeAspect="1"/>
                    </pic:cNvPicPr>
                  </pic:nvPicPr>
                  <pic:blipFill>
                    <a:blip r:embed="rId19"/>
                    <a:stretch>
                      <a:fillRect/>
                    </a:stretch>
                  </pic:blipFill>
                  <pic:spPr>
                    <a:xfrm>
                      <a:off x="0" y="0"/>
                      <a:ext cx="5274310" cy="2284095"/>
                    </a:xfrm>
                    <a:prstGeom prst="rect">
                      <a:avLst/>
                    </a:prstGeom>
                  </pic:spPr>
                </pic:pic>
              </a:graphicData>
            </a:graphic>
          </wp:inline>
        </w:drawing>
      </w:r>
    </w:p>
    <w:p w14:paraId="2FF1EED4">
      <w:pPr>
        <w:rPr>
          <w:rFonts w:hint="default"/>
          <w:lang w:val="en-TT"/>
        </w:rPr>
      </w:pPr>
    </w:p>
    <w:p w14:paraId="302BD528">
      <w:pPr>
        <w:rPr>
          <w:rFonts w:hint="default"/>
          <w:lang w:val="en-TT"/>
        </w:rPr>
      </w:pPr>
    </w:p>
    <w:p w14:paraId="6D8B606E">
      <w:pPr>
        <w:rPr>
          <w:rFonts w:hint="default"/>
          <w:lang w:val="en-TT"/>
        </w:rPr>
      </w:pPr>
    </w:p>
    <w:p w14:paraId="48EC8570">
      <w:pPr>
        <w:rPr>
          <w:rFonts w:hint="default"/>
          <w:lang w:val="en-TT"/>
        </w:rPr>
      </w:pPr>
      <w:r>
        <w:rPr>
          <w:rFonts w:hint="default"/>
          <w:lang w:val="en-TT"/>
        </w:rPr>
        <w:drawing>
          <wp:inline distT="0" distB="0" distL="114300" distR="114300">
            <wp:extent cx="5273675" cy="1413510"/>
            <wp:effectExtent l="0" t="0" r="3175" b="15240"/>
            <wp:docPr id="18" name="Picture 18" descr="Screenshot 2026-06-12 160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Screenshot 2026-06-12 160955"/>
                    <pic:cNvPicPr>
                      <a:picLocks noChangeAspect="1"/>
                    </pic:cNvPicPr>
                  </pic:nvPicPr>
                  <pic:blipFill>
                    <a:blip r:embed="rId20"/>
                    <a:stretch>
                      <a:fillRect/>
                    </a:stretch>
                  </pic:blipFill>
                  <pic:spPr>
                    <a:xfrm>
                      <a:off x="0" y="0"/>
                      <a:ext cx="5273675" cy="1413510"/>
                    </a:xfrm>
                    <a:prstGeom prst="rect">
                      <a:avLst/>
                    </a:prstGeom>
                  </pic:spPr>
                </pic:pic>
              </a:graphicData>
            </a:graphic>
          </wp:inline>
        </w:drawing>
      </w:r>
    </w:p>
    <w:p w14:paraId="665EB5CB">
      <w:pPr>
        <w:rPr>
          <w:rFonts w:hint="default"/>
          <w:lang w:val="en-TT"/>
        </w:rPr>
      </w:pPr>
    </w:p>
    <w:p w14:paraId="6C00BEDE">
      <w:pPr>
        <w:rPr>
          <w:rFonts w:hint="default"/>
          <w:lang w:val="en-TT"/>
        </w:rPr>
      </w:pPr>
    </w:p>
    <w:p w14:paraId="3E5D788A">
      <w:pPr>
        <w:rPr>
          <w:rFonts w:hint="default"/>
          <w:lang w:val="en-TT"/>
        </w:rPr>
      </w:pPr>
    </w:p>
    <w:p w14:paraId="3AE28C5F">
      <w:pPr>
        <w:rPr>
          <w:rFonts w:hint="default"/>
          <w:lang w:val="en-TT"/>
        </w:rPr>
      </w:pPr>
    </w:p>
    <w:p w14:paraId="3A514CD3">
      <w:pPr>
        <w:rPr>
          <w:rFonts w:hint="default"/>
          <w:lang w:val="en-TT"/>
        </w:rPr>
      </w:pPr>
      <w:r>
        <w:rPr>
          <w:rFonts w:hint="default"/>
          <w:lang w:val="en-TT"/>
        </w:rPr>
        <w:drawing>
          <wp:inline distT="0" distB="0" distL="114300" distR="114300">
            <wp:extent cx="5269230" cy="1211580"/>
            <wp:effectExtent l="0" t="0" r="7620" b="7620"/>
            <wp:docPr id="19" name="Picture 19" descr="Screenshot 2026-06-12 161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Screenshot 2026-06-12 161020"/>
                    <pic:cNvPicPr>
                      <a:picLocks noChangeAspect="1"/>
                    </pic:cNvPicPr>
                  </pic:nvPicPr>
                  <pic:blipFill>
                    <a:blip r:embed="rId21"/>
                    <a:stretch>
                      <a:fillRect/>
                    </a:stretch>
                  </pic:blipFill>
                  <pic:spPr>
                    <a:xfrm>
                      <a:off x="0" y="0"/>
                      <a:ext cx="5269230" cy="1211580"/>
                    </a:xfrm>
                    <a:prstGeom prst="rect">
                      <a:avLst/>
                    </a:prstGeom>
                  </pic:spPr>
                </pic:pic>
              </a:graphicData>
            </a:graphic>
          </wp:inline>
        </w:drawing>
      </w:r>
    </w:p>
    <w:p w14:paraId="45401669">
      <w:pPr>
        <w:rPr>
          <w:rFonts w:hint="default"/>
          <w:lang w:val="en-TT"/>
        </w:rPr>
      </w:pPr>
    </w:p>
    <w:p w14:paraId="4B0CD541">
      <w:pPr>
        <w:rPr>
          <w:rFonts w:hint="default"/>
          <w:lang w:val="en-TT"/>
        </w:rPr>
      </w:pPr>
    </w:p>
    <w:p w14:paraId="053A2FC9">
      <w:pPr>
        <w:rPr>
          <w:rFonts w:hint="default"/>
          <w:lang w:val="en-TT"/>
        </w:rPr>
      </w:pPr>
    </w:p>
    <w:p w14:paraId="0430C117">
      <w:pPr>
        <w:rPr>
          <w:rFonts w:hint="default"/>
          <w:lang w:val="en-TT"/>
        </w:rPr>
      </w:pPr>
      <w:r>
        <w:rPr>
          <w:rFonts w:hint="default"/>
          <w:lang w:val="en-TT"/>
        </w:rPr>
        <w:drawing>
          <wp:inline distT="0" distB="0" distL="114300" distR="114300">
            <wp:extent cx="5267325" cy="2179955"/>
            <wp:effectExtent l="0" t="0" r="9525" b="10795"/>
            <wp:docPr id="20" name="Picture 20" descr="Screenshot 2026-06-12 161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Screenshot 2026-06-12 161918"/>
                    <pic:cNvPicPr>
                      <a:picLocks noChangeAspect="1"/>
                    </pic:cNvPicPr>
                  </pic:nvPicPr>
                  <pic:blipFill>
                    <a:blip r:embed="rId22"/>
                    <a:stretch>
                      <a:fillRect/>
                    </a:stretch>
                  </pic:blipFill>
                  <pic:spPr>
                    <a:xfrm>
                      <a:off x="0" y="0"/>
                      <a:ext cx="5267325" cy="2179955"/>
                    </a:xfrm>
                    <a:prstGeom prst="rect">
                      <a:avLst/>
                    </a:prstGeom>
                  </pic:spPr>
                </pic:pic>
              </a:graphicData>
            </a:graphic>
          </wp:inline>
        </w:drawing>
      </w:r>
    </w:p>
    <w:p w14:paraId="56702777">
      <w:pPr>
        <w:rPr>
          <w:rFonts w:hint="default"/>
          <w:lang w:val="en-TT"/>
        </w:rPr>
      </w:pPr>
    </w:p>
    <w:p w14:paraId="6F421413">
      <w:pPr>
        <w:rPr>
          <w:rFonts w:hint="default"/>
          <w:lang w:val="en-TT"/>
        </w:rPr>
      </w:pPr>
    </w:p>
    <w:p w14:paraId="2C004746">
      <w:pPr>
        <w:rPr>
          <w:rFonts w:hint="default"/>
          <w:lang w:val="en-TT"/>
        </w:rPr>
      </w:pPr>
      <w:r>
        <w:rPr>
          <w:rFonts w:hint="default"/>
          <w:lang w:val="en-TT"/>
        </w:rPr>
        <w:drawing>
          <wp:inline distT="0" distB="0" distL="114300" distR="114300">
            <wp:extent cx="5269865" cy="764540"/>
            <wp:effectExtent l="0" t="0" r="6985" b="16510"/>
            <wp:docPr id="21" name="Picture 21" descr="Screenshot 2026-06-12 161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Screenshot 2026-06-12 161935"/>
                    <pic:cNvPicPr>
                      <a:picLocks noChangeAspect="1"/>
                    </pic:cNvPicPr>
                  </pic:nvPicPr>
                  <pic:blipFill>
                    <a:blip r:embed="rId23"/>
                    <a:stretch>
                      <a:fillRect/>
                    </a:stretch>
                  </pic:blipFill>
                  <pic:spPr>
                    <a:xfrm>
                      <a:off x="0" y="0"/>
                      <a:ext cx="5269865" cy="764540"/>
                    </a:xfrm>
                    <a:prstGeom prst="rect">
                      <a:avLst/>
                    </a:prstGeom>
                  </pic:spPr>
                </pic:pic>
              </a:graphicData>
            </a:graphic>
          </wp:inline>
        </w:drawing>
      </w:r>
    </w:p>
    <w:p w14:paraId="3261BDFA">
      <w:pPr>
        <w:rPr>
          <w:rFonts w:hint="default"/>
          <w:lang w:val="en-TT"/>
        </w:rPr>
      </w:pPr>
    </w:p>
    <w:p w14:paraId="653343E7">
      <w:pPr>
        <w:rPr>
          <w:rFonts w:hint="default"/>
          <w:lang w:val="en-TT"/>
        </w:rPr>
      </w:pPr>
    </w:p>
    <w:p w14:paraId="4DF1D81F">
      <w:pPr>
        <w:rPr>
          <w:rFonts w:hint="default"/>
          <w:lang w:val="en-TT"/>
        </w:rPr>
      </w:pPr>
    </w:p>
    <w:p w14:paraId="51C9D4D7">
      <w:pPr>
        <w:rPr>
          <w:rFonts w:hint="default"/>
          <w:lang w:val="en-TT"/>
        </w:rPr>
      </w:pPr>
      <w:r>
        <w:rPr>
          <w:rFonts w:hint="default"/>
          <w:lang w:val="en-TT"/>
        </w:rPr>
        <w:drawing>
          <wp:inline distT="0" distB="0" distL="114300" distR="114300">
            <wp:extent cx="5266055" cy="1951355"/>
            <wp:effectExtent l="0" t="0" r="10795" b="10795"/>
            <wp:docPr id="22" name="Picture 22" descr="Screenshot 2026-06-12 161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Screenshot 2026-06-12 161959"/>
                    <pic:cNvPicPr>
                      <a:picLocks noChangeAspect="1"/>
                    </pic:cNvPicPr>
                  </pic:nvPicPr>
                  <pic:blipFill>
                    <a:blip r:embed="rId24"/>
                    <a:stretch>
                      <a:fillRect/>
                    </a:stretch>
                  </pic:blipFill>
                  <pic:spPr>
                    <a:xfrm>
                      <a:off x="0" y="0"/>
                      <a:ext cx="5266055" cy="1951355"/>
                    </a:xfrm>
                    <a:prstGeom prst="rect">
                      <a:avLst/>
                    </a:prstGeom>
                  </pic:spPr>
                </pic:pic>
              </a:graphicData>
            </a:graphic>
          </wp:inline>
        </w:drawing>
      </w:r>
    </w:p>
    <w:p w14:paraId="0BD695AB">
      <w:pPr>
        <w:rPr>
          <w:rFonts w:hint="default"/>
          <w:lang w:val="en-TT"/>
        </w:rPr>
      </w:pPr>
    </w:p>
    <w:p w14:paraId="3044F0A8">
      <w:pPr>
        <w:rPr>
          <w:rFonts w:hint="default"/>
          <w:lang w:val="en-TT"/>
        </w:rPr>
      </w:pPr>
    </w:p>
    <w:p w14:paraId="131049FB">
      <w:pPr>
        <w:rPr>
          <w:rFonts w:hint="default"/>
          <w:lang w:val="en-TT"/>
        </w:rPr>
      </w:pPr>
    </w:p>
    <w:p w14:paraId="1A9B8B2B">
      <w:pPr>
        <w:rPr>
          <w:rFonts w:hint="default"/>
          <w:lang w:val="en-TT"/>
        </w:rPr>
      </w:pPr>
      <w:r>
        <w:rPr>
          <w:rFonts w:hint="default"/>
          <w:lang w:val="en-TT"/>
        </w:rPr>
        <w:drawing>
          <wp:inline distT="0" distB="0" distL="114300" distR="114300">
            <wp:extent cx="5266690" cy="1894840"/>
            <wp:effectExtent l="0" t="0" r="10160" b="10160"/>
            <wp:docPr id="23" name="Picture 23" descr="Screenshot 2026-06-12 162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Screenshot 2026-06-12 162118"/>
                    <pic:cNvPicPr>
                      <a:picLocks noChangeAspect="1"/>
                    </pic:cNvPicPr>
                  </pic:nvPicPr>
                  <pic:blipFill>
                    <a:blip r:embed="rId25"/>
                    <a:stretch>
                      <a:fillRect/>
                    </a:stretch>
                  </pic:blipFill>
                  <pic:spPr>
                    <a:xfrm>
                      <a:off x="0" y="0"/>
                      <a:ext cx="5266690" cy="1894840"/>
                    </a:xfrm>
                    <a:prstGeom prst="rect">
                      <a:avLst/>
                    </a:prstGeom>
                  </pic:spPr>
                </pic:pic>
              </a:graphicData>
            </a:graphic>
          </wp:inline>
        </w:drawing>
      </w:r>
    </w:p>
    <w:p w14:paraId="403C4733">
      <w:pPr>
        <w:rPr>
          <w:rFonts w:hint="default"/>
          <w:lang w:val="en-TT"/>
        </w:rPr>
      </w:pPr>
    </w:p>
    <w:p w14:paraId="16F4D718">
      <w:pPr>
        <w:rPr>
          <w:rFonts w:hint="default"/>
          <w:lang w:val="en-TT"/>
        </w:rPr>
      </w:pPr>
    </w:p>
    <w:p w14:paraId="5CBD426C">
      <w:pPr>
        <w:rPr>
          <w:rFonts w:hint="default"/>
          <w:lang w:val="en-TT"/>
        </w:rPr>
      </w:pPr>
    </w:p>
    <w:p w14:paraId="038E9A8C">
      <w:pPr>
        <w:rPr>
          <w:rFonts w:hint="default"/>
          <w:lang w:val="en-TT"/>
        </w:rPr>
      </w:pPr>
      <w:r>
        <w:rPr>
          <w:rFonts w:hint="default"/>
          <w:lang w:val="en-TT"/>
        </w:rPr>
        <w:drawing>
          <wp:inline distT="0" distB="0" distL="114300" distR="114300">
            <wp:extent cx="5268595" cy="2284095"/>
            <wp:effectExtent l="0" t="0" r="8255" b="1905"/>
            <wp:docPr id="24" name="Picture 24" descr="Screenshot 2026-06-12 163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creenshot 2026-06-12 163135"/>
                    <pic:cNvPicPr>
                      <a:picLocks noChangeAspect="1"/>
                    </pic:cNvPicPr>
                  </pic:nvPicPr>
                  <pic:blipFill>
                    <a:blip r:embed="rId26"/>
                    <a:stretch>
                      <a:fillRect/>
                    </a:stretch>
                  </pic:blipFill>
                  <pic:spPr>
                    <a:xfrm>
                      <a:off x="0" y="0"/>
                      <a:ext cx="5268595" cy="2284095"/>
                    </a:xfrm>
                    <a:prstGeom prst="rect">
                      <a:avLst/>
                    </a:prstGeom>
                  </pic:spPr>
                </pic:pic>
              </a:graphicData>
            </a:graphic>
          </wp:inline>
        </w:drawing>
      </w:r>
    </w:p>
    <w:p w14:paraId="5613586D">
      <w:pPr>
        <w:rPr>
          <w:rFonts w:hint="default"/>
          <w:lang w:val="en-TT"/>
        </w:rPr>
      </w:pPr>
    </w:p>
    <w:p w14:paraId="51BB77DF">
      <w:pPr>
        <w:rPr>
          <w:rFonts w:hint="default"/>
          <w:lang w:val="en-TT"/>
        </w:rPr>
      </w:pPr>
    </w:p>
    <w:p w14:paraId="165E7AE4">
      <w:pPr>
        <w:rPr>
          <w:rFonts w:hint="default"/>
          <w:lang w:val="en-TT"/>
        </w:rPr>
      </w:pPr>
      <w:r>
        <w:rPr>
          <w:rFonts w:hint="default"/>
          <w:lang w:val="en-TT"/>
        </w:rPr>
        <w:drawing>
          <wp:inline distT="0" distB="0" distL="114300" distR="114300">
            <wp:extent cx="5269230" cy="737235"/>
            <wp:effectExtent l="0" t="0" r="7620" b="5715"/>
            <wp:docPr id="25" name="Picture 25" descr="Screenshot 2026-06-12 163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creenshot 2026-06-12 163220"/>
                    <pic:cNvPicPr>
                      <a:picLocks noChangeAspect="1"/>
                    </pic:cNvPicPr>
                  </pic:nvPicPr>
                  <pic:blipFill>
                    <a:blip r:embed="rId27"/>
                    <a:stretch>
                      <a:fillRect/>
                    </a:stretch>
                  </pic:blipFill>
                  <pic:spPr>
                    <a:xfrm>
                      <a:off x="0" y="0"/>
                      <a:ext cx="5269230" cy="737235"/>
                    </a:xfrm>
                    <a:prstGeom prst="rect">
                      <a:avLst/>
                    </a:prstGeom>
                  </pic:spPr>
                </pic:pic>
              </a:graphicData>
            </a:graphic>
          </wp:inline>
        </w:drawing>
      </w:r>
    </w:p>
    <w:p w14:paraId="5B99A92A">
      <w:pPr>
        <w:rPr>
          <w:rFonts w:hint="default"/>
          <w:lang w:val="en-TT"/>
        </w:rPr>
      </w:pPr>
    </w:p>
    <w:p w14:paraId="184964AB">
      <w:pPr>
        <w:rPr>
          <w:rFonts w:hint="default"/>
          <w:lang w:val="en-TT"/>
        </w:rPr>
      </w:pPr>
    </w:p>
    <w:p w14:paraId="3C422C6E">
      <w:pPr>
        <w:rPr>
          <w:rFonts w:hint="default"/>
          <w:lang w:val="en-TT"/>
        </w:rPr>
      </w:pPr>
    </w:p>
    <w:p w14:paraId="40B409E9">
      <w:pPr>
        <w:rPr>
          <w:rFonts w:hint="default"/>
          <w:lang w:val="en-TT"/>
        </w:rPr>
      </w:pPr>
      <w:r>
        <w:rPr>
          <w:rFonts w:hint="default"/>
          <w:lang w:val="en-TT"/>
        </w:rPr>
        <w:drawing>
          <wp:inline distT="0" distB="0" distL="114300" distR="114300">
            <wp:extent cx="5271135" cy="2041525"/>
            <wp:effectExtent l="0" t="0" r="5715" b="15875"/>
            <wp:docPr id="26" name="Picture 26" descr="Screenshot 2026-06-12 163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Screenshot 2026-06-12 163248"/>
                    <pic:cNvPicPr>
                      <a:picLocks noChangeAspect="1"/>
                    </pic:cNvPicPr>
                  </pic:nvPicPr>
                  <pic:blipFill>
                    <a:blip r:embed="rId28"/>
                    <a:stretch>
                      <a:fillRect/>
                    </a:stretch>
                  </pic:blipFill>
                  <pic:spPr>
                    <a:xfrm>
                      <a:off x="0" y="0"/>
                      <a:ext cx="5271135" cy="2041525"/>
                    </a:xfrm>
                    <a:prstGeom prst="rect">
                      <a:avLst/>
                    </a:prstGeom>
                  </pic:spPr>
                </pic:pic>
              </a:graphicData>
            </a:graphic>
          </wp:inline>
        </w:drawing>
      </w:r>
    </w:p>
    <w:p w14:paraId="68103DD6">
      <w:pPr>
        <w:rPr>
          <w:rFonts w:hint="default"/>
          <w:lang w:val="en-TT"/>
        </w:rPr>
      </w:pPr>
    </w:p>
    <w:p w14:paraId="07144103">
      <w:pPr>
        <w:rPr>
          <w:rFonts w:hint="default"/>
          <w:lang w:val="en-TT"/>
        </w:rPr>
      </w:pPr>
    </w:p>
    <w:p w14:paraId="0795F18D">
      <w:pPr>
        <w:rPr>
          <w:rFonts w:hint="default"/>
          <w:lang w:val="en-TT"/>
        </w:rPr>
      </w:pPr>
    </w:p>
    <w:p w14:paraId="6808044C">
      <w:pPr>
        <w:rPr>
          <w:rFonts w:hint="default"/>
          <w:lang w:val="en-TT"/>
        </w:rPr>
      </w:pPr>
      <w:r>
        <w:rPr>
          <w:rFonts w:hint="default"/>
          <w:lang w:val="en-TT"/>
        </w:rPr>
        <w:drawing>
          <wp:inline distT="0" distB="0" distL="114300" distR="114300">
            <wp:extent cx="5271770" cy="2213610"/>
            <wp:effectExtent l="0" t="0" r="5080" b="15240"/>
            <wp:docPr id="27" name="Picture 27" descr="Screenshot 2026-06-12 163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Screenshot 2026-06-12 163805"/>
                    <pic:cNvPicPr>
                      <a:picLocks noChangeAspect="1"/>
                    </pic:cNvPicPr>
                  </pic:nvPicPr>
                  <pic:blipFill>
                    <a:blip r:embed="rId29"/>
                    <a:stretch>
                      <a:fillRect/>
                    </a:stretch>
                  </pic:blipFill>
                  <pic:spPr>
                    <a:xfrm>
                      <a:off x="0" y="0"/>
                      <a:ext cx="5271770" cy="2213610"/>
                    </a:xfrm>
                    <a:prstGeom prst="rect">
                      <a:avLst/>
                    </a:prstGeom>
                  </pic:spPr>
                </pic:pic>
              </a:graphicData>
            </a:graphic>
          </wp:inline>
        </w:drawing>
      </w:r>
    </w:p>
    <w:p w14:paraId="285712EF">
      <w:pPr>
        <w:rPr>
          <w:rFonts w:hint="default"/>
          <w:lang w:val="en-TT"/>
        </w:rPr>
      </w:pPr>
    </w:p>
    <w:p w14:paraId="6F599A03">
      <w:pPr>
        <w:rPr>
          <w:rFonts w:hint="default"/>
          <w:lang w:val="en-TT"/>
        </w:rPr>
      </w:pPr>
    </w:p>
    <w:p w14:paraId="3912E82E">
      <w:pPr>
        <w:rPr>
          <w:rFonts w:hint="default"/>
          <w:lang w:val="en-TT"/>
        </w:rPr>
      </w:pPr>
      <w:r>
        <w:rPr>
          <w:rFonts w:hint="default"/>
          <w:lang w:val="en-TT"/>
        </w:rPr>
        <w:drawing>
          <wp:inline distT="0" distB="0" distL="114300" distR="114300">
            <wp:extent cx="5271770" cy="1985645"/>
            <wp:effectExtent l="0" t="0" r="5080" b="14605"/>
            <wp:docPr id="28" name="Picture 28" descr="Screenshot 2026-06-12 163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Screenshot 2026-06-12 163844"/>
                    <pic:cNvPicPr>
                      <a:picLocks noChangeAspect="1"/>
                    </pic:cNvPicPr>
                  </pic:nvPicPr>
                  <pic:blipFill>
                    <a:blip r:embed="rId30"/>
                    <a:stretch>
                      <a:fillRect/>
                    </a:stretch>
                  </pic:blipFill>
                  <pic:spPr>
                    <a:xfrm>
                      <a:off x="0" y="0"/>
                      <a:ext cx="5271770" cy="1985645"/>
                    </a:xfrm>
                    <a:prstGeom prst="rect">
                      <a:avLst/>
                    </a:prstGeom>
                  </pic:spPr>
                </pic:pic>
              </a:graphicData>
            </a:graphic>
          </wp:inline>
        </w:drawing>
      </w:r>
    </w:p>
    <w:p w14:paraId="37603DE3">
      <w:pPr>
        <w:rPr>
          <w:rFonts w:hint="default"/>
          <w:lang w:val="en-TT"/>
        </w:rPr>
      </w:pPr>
    </w:p>
    <w:p w14:paraId="1237E04C">
      <w:pPr>
        <w:rPr>
          <w:rFonts w:hint="default"/>
          <w:lang w:val="en-TT"/>
        </w:rPr>
      </w:pPr>
    </w:p>
    <w:p w14:paraId="4F326BC8">
      <w:pPr>
        <w:rPr>
          <w:rFonts w:hint="default"/>
          <w:lang w:val="en-TT"/>
        </w:rPr>
      </w:pPr>
      <w:r>
        <w:rPr>
          <w:rFonts w:hint="default"/>
          <w:lang w:val="en-TT"/>
        </w:rPr>
        <w:drawing>
          <wp:inline distT="0" distB="0" distL="114300" distR="114300">
            <wp:extent cx="5272405" cy="549275"/>
            <wp:effectExtent l="0" t="0" r="4445" b="3175"/>
            <wp:docPr id="29" name="Picture 29" descr="Screenshot 2026-06-12 163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Screenshot 2026-06-12 163859"/>
                    <pic:cNvPicPr>
                      <a:picLocks noChangeAspect="1"/>
                    </pic:cNvPicPr>
                  </pic:nvPicPr>
                  <pic:blipFill>
                    <a:blip r:embed="rId31"/>
                    <a:stretch>
                      <a:fillRect/>
                    </a:stretch>
                  </pic:blipFill>
                  <pic:spPr>
                    <a:xfrm>
                      <a:off x="0" y="0"/>
                      <a:ext cx="5272405" cy="549275"/>
                    </a:xfrm>
                    <a:prstGeom prst="rect">
                      <a:avLst/>
                    </a:prstGeom>
                  </pic:spPr>
                </pic:pic>
              </a:graphicData>
            </a:graphic>
          </wp:inline>
        </w:drawing>
      </w:r>
    </w:p>
    <w:p w14:paraId="442BA6E6">
      <w:pPr>
        <w:rPr>
          <w:rFonts w:hint="default"/>
          <w:lang w:val="en-TT"/>
        </w:rPr>
      </w:pPr>
    </w:p>
    <w:p w14:paraId="04FEEE72">
      <w:pPr>
        <w:rPr>
          <w:rFonts w:hint="default"/>
          <w:lang w:val="en-TT"/>
        </w:rPr>
      </w:pPr>
    </w:p>
    <w:p w14:paraId="377EF89E">
      <w:pPr>
        <w:rPr>
          <w:rFonts w:hint="default"/>
          <w:lang w:val="en-TT"/>
        </w:rPr>
      </w:pPr>
    </w:p>
    <w:p w14:paraId="1AE7641B">
      <w:pPr>
        <w:rPr>
          <w:rFonts w:hint="default"/>
          <w:lang w:val="en-TT"/>
        </w:rPr>
      </w:pPr>
      <w:r>
        <w:rPr>
          <w:rFonts w:hint="default"/>
          <w:lang w:val="en-TT"/>
        </w:rPr>
        <w:drawing>
          <wp:inline distT="0" distB="0" distL="114300" distR="114300">
            <wp:extent cx="5272405" cy="2021840"/>
            <wp:effectExtent l="0" t="0" r="4445" b="16510"/>
            <wp:docPr id="30" name="Picture 30" descr="Screenshot 2026-06-12 164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Screenshot 2026-06-12 164101"/>
                    <pic:cNvPicPr>
                      <a:picLocks noChangeAspect="1"/>
                    </pic:cNvPicPr>
                  </pic:nvPicPr>
                  <pic:blipFill>
                    <a:blip r:embed="rId32"/>
                    <a:stretch>
                      <a:fillRect/>
                    </a:stretch>
                  </pic:blipFill>
                  <pic:spPr>
                    <a:xfrm>
                      <a:off x="0" y="0"/>
                      <a:ext cx="5272405" cy="2021840"/>
                    </a:xfrm>
                    <a:prstGeom prst="rect">
                      <a:avLst/>
                    </a:prstGeom>
                  </pic:spPr>
                </pic:pic>
              </a:graphicData>
            </a:graphic>
          </wp:inline>
        </w:drawing>
      </w:r>
    </w:p>
    <w:p w14:paraId="65973285">
      <w:pPr>
        <w:rPr>
          <w:rFonts w:hint="default"/>
          <w:lang w:val="en-TT"/>
        </w:rPr>
      </w:pPr>
    </w:p>
    <w:p w14:paraId="08E4FAD4">
      <w:pPr>
        <w:rPr>
          <w:rFonts w:hint="default"/>
          <w:lang w:val="en-TT"/>
        </w:rPr>
      </w:pPr>
    </w:p>
    <w:p w14:paraId="23796A54">
      <w:pPr>
        <w:rPr>
          <w:rFonts w:hint="default"/>
          <w:lang w:val="en-TT"/>
        </w:rPr>
      </w:pPr>
      <w:r>
        <w:rPr>
          <w:rFonts w:hint="default"/>
          <w:lang w:val="en-TT"/>
        </w:rPr>
        <w:drawing>
          <wp:inline distT="0" distB="0" distL="114300" distR="114300">
            <wp:extent cx="5268595" cy="1555115"/>
            <wp:effectExtent l="0" t="0" r="8255" b="6985"/>
            <wp:docPr id="31" name="Picture 31" descr="Screenshot 2026-06-12 164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Screenshot 2026-06-12 164508"/>
                    <pic:cNvPicPr>
                      <a:picLocks noChangeAspect="1"/>
                    </pic:cNvPicPr>
                  </pic:nvPicPr>
                  <pic:blipFill>
                    <a:blip r:embed="rId33"/>
                    <a:stretch>
                      <a:fillRect/>
                    </a:stretch>
                  </pic:blipFill>
                  <pic:spPr>
                    <a:xfrm>
                      <a:off x="0" y="0"/>
                      <a:ext cx="5268595" cy="1555115"/>
                    </a:xfrm>
                    <a:prstGeom prst="rect">
                      <a:avLst/>
                    </a:prstGeom>
                  </pic:spPr>
                </pic:pic>
              </a:graphicData>
            </a:graphic>
          </wp:inline>
        </w:drawing>
      </w:r>
    </w:p>
    <w:p w14:paraId="0B2341B0">
      <w:pPr>
        <w:rPr>
          <w:rFonts w:hint="default"/>
          <w:lang w:val="en-TT"/>
        </w:rPr>
      </w:pPr>
    </w:p>
    <w:p w14:paraId="23E2E885">
      <w:pPr>
        <w:rPr>
          <w:rFonts w:hint="default"/>
          <w:lang w:val="en-TT"/>
        </w:rPr>
      </w:pPr>
    </w:p>
    <w:p w14:paraId="4525419B">
      <w:pPr>
        <w:rPr>
          <w:rFonts w:hint="default"/>
          <w:lang w:val="en-TT"/>
        </w:rPr>
      </w:pPr>
      <w:r>
        <w:rPr>
          <w:rFonts w:hint="default"/>
          <w:lang w:val="en-TT"/>
        </w:rPr>
        <w:drawing>
          <wp:inline distT="0" distB="0" distL="114300" distR="114300">
            <wp:extent cx="5269230" cy="356870"/>
            <wp:effectExtent l="0" t="0" r="7620" b="5080"/>
            <wp:docPr id="32" name="Picture 32" descr="Screenshot 2026-06-12 164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Screenshot 2026-06-12 164527"/>
                    <pic:cNvPicPr>
                      <a:picLocks noChangeAspect="1"/>
                    </pic:cNvPicPr>
                  </pic:nvPicPr>
                  <pic:blipFill>
                    <a:blip r:embed="rId34"/>
                    <a:stretch>
                      <a:fillRect/>
                    </a:stretch>
                  </pic:blipFill>
                  <pic:spPr>
                    <a:xfrm>
                      <a:off x="0" y="0"/>
                      <a:ext cx="5269230" cy="356870"/>
                    </a:xfrm>
                    <a:prstGeom prst="rect">
                      <a:avLst/>
                    </a:prstGeom>
                  </pic:spPr>
                </pic:pic>
              </a:graphicData>
            </a:graphic>
          </wp:inline>
        </w:drawing>
      </w:r>
    </w:p>
    <w:p w14:paraId="62934264">
      <w:pPr>
        <w:rPr>
          <w:rFonts w:hint="default"/>
          <w:lang w:val="en-TT"/>
        </w:rPr>
      </w:pPr>
    </w:p>
    <w:p w14:paraId="43AD7D72">
      <w:pPr>
        <w:rPr>
          <w:rFonts w:hint="default"/>
          <w:lang w:val="en-TT"/>
        </w:rPr>
      </w:pPr>
    </w:p>
    <w:p w14:paraId="4862DA67">
      <w:pPr>
        <w:rPr>
          <w:rFonts w:hint="default"/>
          <w:lang w:val="en-TT"/>
        </w:rPr>
      </w:pPr>
    </w:p>
    <w:p w14:paraId="4BE47201">
      <w:pPr>
        <w:rPr>
          <w:rFonts w:hint="default"/>
          <w:lang w:val="en-TT"/>
        </w:rPr>
      </w:pPr>
    </w:p>
    <w:p w14:paraId="240758FB">
      <w:pPr>
        <w:rPr>
          <w:rFonts w:hint="default"/>
          <w:lang w:val="en-TT"/>
        </w:rPr>
      </w:pPr>
      <w:r>
        <w:rPr>
          <w:rFonts w:hint="default"/>
          <w:lang w:val="en-TT"/>
        </w:rPr>
        <w:drawing>
          <wp:inline distT="0" distB="0" distL="114300" distR="114300">
            <wp:extent cx="5271135" cy="1905000"/>
            <wp:effectExtent l="0" t="0" r="5715" b="0"/>
            <wp:docPr id="33" name="Picture 33" descr="Screenshot 2026-06-12 164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Screenshot 2026-06-12 164654"/>
                    <pic:cNvPicPr>
                      <a:picLocks noChangeAspect="1"/>
                    </pic:cNvPicPr>
                  </pic:nvPicPr>
                  <pic:blipFill>
                    <a:blip r:embed="rId35"/>
                    <a:stretch>
                      <a:fillRect/>
                    </a:stretch>
                  </pic:blipFill>
                  <pic:spPr>
                    <a:xfrm>
                      <a:off x="0" y="0"/>
                      <a:ext cx="5271135" cy="1905000"/>
                    </a:xfrm>
                    <a:prstGeom prst="rect">
                      <a:avLst/>
                    </a:prstGeom>
                  </pic:spPr>
                </pic:pic>
              </a:graphicData>
            </a:graphic>
          </wp:inline>
        </w:drawing>
      </w:r>
    </w:p>
    <w:p w14:paraId="615CFDAD">
      <w:pPr>
        <w:rPr>
          <w:rFonts w:hint="default"/>
          <w:lang w:val="en-TT"/>
        </w:rPr>
      </w:pPr>
    </w:p>
    <w:p w14:paraId="140AD8E4">
      <w:pPr>
        <w:rPr>
          <w:rFonts w:hint="default"/>
          <w:lang w:val="en-TT"/>
        </w:rPr>
      </w:pPr>
    </w:p>
    <w:sectPr>
      <w:footerReference r:id="rId4" w:type="default"/>
      <w:pgSz w:w="11906" w:h="16838"/>
      <w:pgMar w:top="1440" w:right="1800" w:bottom="1440" w:left="180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Segoe UI Variable Display Semibold">
    <w:panose1 w:val="00000000000000000000"/>
    <w:charset w:val="00"/>
    <w:family w:val="auto"/>
    <w:pitch w:val="default"/>
    <w:sig w:usb0="A00002FF" w:usb1="0000000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C769D00">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9BED3B8">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536E0AD">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14:paraId="1536E0AD">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668346"/>
    <w:multiLevelType w:val="singleLevel"/>
    <w:tmpl w:val="18668346"/>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1864206"/>
    <w:rsid w:val="05F332D1"/>
    <w:rsid w:val="09AD0AEE"/>
    <w:rsid w:val="0C91467A"/>
    <w:rsid w:val="11EE5E92"/>
    <w:rsid w:val="1DFB3A6C"/>
    <w:rsid w:val="1E262F21"/>
    <w:rsid w:val="22964263"/>
    <w:rsid w:val="282B22BF"/>
    <w:rsid w:val="3BEE3653"/>
    <w:rsid w:val="4042762B"/>
    <w:rsid w:val="431C385D"/>
    <w:rsid w:val="436C3AF1"/>
    <w:rsid w:val="4D3A7443"/>
    <w:rsid w:val="4E0E2C9E"/>
    <w:rsid w:val="508F06B5"/>
    <w:rsid w:val="51864206"/>
    <w:rsid w:val="5A696F1B"/>
    <w:rsid w:val="5B380437"/>
    <w:rsid w:val="5F2A1C14"/>
    <w:rsid w:val="6CA576D4"/>
    <w:rsid w:val="70A141D4"/>
    <w:rsid w:val="74B91AF1"/>
    <w:rsid w:val="7518135E"/>
    <w:rsid w:val="78DE02DA"/>
    <w:rsid w:val="7A043B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qFormat/>
    <w:uiPriority w:val="0"/>
    <w:pPr>
      <w:tabs>
        <w:tab w:val="center" w:pos="4153"/>
        <w:tab w:val="right" w:pos="8306"/>
      </w:tabs>
      <w:snapToGrid w:val="0"/>
    </w:pPr>
    <w:rPr>
      <w:sz w:val="18"/>
      <w:szCs w:val="18"/>
    </w:rPr>
  </w:style>
  <w:style w:type="paragraph" w:styleId="9">
    <w:name w:val="header"/>
    <w:basedOn w:val="1"/>
    <w:uiPriority w:val="0"/>
    <w:pPr>
      <w:tabs>
        <w:tab w:val="center" w:pos="4153"/>
        <w:tab w:val="right" w:pos="8306"/>
      </w:tabs>
      <w:snapToGrid w:val="0"/>
    </w:pPr>
    <w:rPr>
      <w:sz w:val="18"/>
      <w:szCs w:val="18"/>
    </w:rPr>
  </w:style>
  <w:style w:type="character" w:styleId="10">
    <w:name w:val="Hyperlink"/>
    <w:basedOn w:val="5"/>
    <w:qFormat/>
    <w:uiPriority w:val="0"/>
    <w:rPr>
      <w:color w:val="0000FF"/>
      <w:u w:val="single"/>
    </w:rPr>
  </w:style>
  <w:style w:type="paragraph" w:styleId="11">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8" Type="http://schemas.openxmlformats.org/officeDocument/2006/relationships/fontTable" Target="fontTable.xml"/><Relationship Id="rId37" Type="http://schemas.openxmlformats.org/officeDocument/2006/relationships/numbering" Target="numbering.xml"/><Relationship Id="rId36" Type="http://schemas.openxmlformats.org/officeDocument/2006/relationships/customXml" Target="../customXml/item1.xml"/><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er" Target="footer1.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37</Pages>
  <Words>0</Words>
  <Characters>0</Characters>
  <Lines>0</Lines>
  <Paragraphs>0</Paragraphs>
  <TotalTime>458</TotalTime>
  <ScaleCrop>false</ScaleCrop>
  <LinksUpToDate>false</LinksUpToDate>
  <CharactersWithSpaces>0</CharactersWithSpaces>
  <Application>WPS Office_12.2.0.23202_F1E327BC-269C-435d-A152-05C5408002CA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2026-06-09T00:34:00Z</dcterms:created>
  <dc:creator>Syntyche Bishop</dc:creator>
  <cp:lastModifiedBy>Syntyche Bishop</cp:lastModifiedBy>
  <dcterms:modified xsi:type="dcterms:W3CDTF">2026-06-13T12:11:08Z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1033-12.2.0.23202</vt:lpwstr>
  </property>
  <property fmtid="{D5CDD505-2E9C-101B-9397-08002B2CF9AE}" pid="3" name="ICV">
    <vt:lpwstr>0906EC1FC0BC4567953485E5CCDEA639_11</vt:lpwstr>
  </property>
</Properties>
</file>