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rPr>
          <w:rFonts w:asciiTheme="majorBidi" w:hAnsiTheme="majorBidi" w:cstheme="majorBidi"/>
        </w:rPr>
      </w:pPr>
      <w:bookmarkStart w:id="0" w:name="_Hlk108283787"/>
      <w:bookmarkEnd w:id="0"/>
    </w:p>
    <w:p>
      <w:pPr>
        <w:spacing w:after="0"/>
        <w:rPr>
          <w:rFonts w:asciiTheme="majorBidi" w:hAnsiTheme="majorBidi" w:cstheme="majorBidi"/>
        </w:rPr>
      </w:pPr>
      <w:r>
        <w:drawing>
          <wp:anchor distT="0" distB="0" distL="0" distR="0" simplePos="0" relativeHeight="251660288" behindDoc="0" locked="0" layoutInCell="1" allowOverlap="1">
            <wp:simplePos x="0" y="0"/>
            <wp:positionH relativeFrom="column">
              <wp:posOffset>783590</wp:posOffset>
            </wp:positionH>
            <wp:positionV relativeFrom="paragraph">
              <wp:posOffset>52070</wp:posOffset>
            </wp:positionV>
            <wp:extent cx="4658360" cy="2066925"/>
            <wp:effectExtent l="0" t="0" r="8890" b="9525"/>
            <wp:wrapSquare wrapText="bothSides"/>
            <wp:docPr id="1438667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667627" name="Picture 1"/>
                    <pic:cNvPicPr>
                      <a:picLocks noChangeAspect="1"/>
                    </pic:cNvPicPr>
                  </pic:nvPicPr>
                  <pic:blipFill>
                    <a:blip r:embed="rId7"/>
                    <a:stretch>
                      <a:fillRect/>
                    </a:stretch>
                  </pic:blipFill>
                  <pic:spPr>
                    <a:xfrm>
                      <a:off x="0" y="0"/>
                      <a:ext cx="4664297" cy="2069372"/>
                    </a:xfrm>
                    <a:prstGeom prst="rect">
                      <a:avLst/>
                    </a:prstGeom>
                  </pic:spPr>
                </pic:pic>
              </a:graphicData>
            </a:graphic>
          </wp:anchor>
        </w:drawing>
      </w:r>
    </w:p>
    <w:p>
      <w:pPr>
        <w:spacing w:after="0"/>
        <w:jc w:val="center"/>
        <w:rPr>
          <w:rFonts w:asciiTheme="majorBidi" w:hAnsiTheme="majorBidi" w:cstheme="majorBidi"/>
        </w:rPr>
      </w:pPr>
    </w:p>
    <w:p>
      <w:pPr>
        <w:spacing w:after="0"/>
        <w:jc w:val="center"/>
        <w:rPr>
          <w:rFonts w:asciiTheme="majorBidi" w:hAnsiTheme="majorBidi" w:cstheme="majorBidi"/>
        </w:rPr>
      </w:pPr>
    </w:p>
    <w:p>
      <w:pPr>
        <w:spacing w:after="0"/>
        <w:jc w:val="center"/>
        <w:rPr>
          <w:rFonts w:asciiTheme="majorBidi" w:hAnsiTheme="majorBidi" w:cstheme="majorBidi"/>
        </w:rPr>
      </w:pPr>
    </w:p>
    <w:p>
      <w:pPr>
        <w:spacing w:after="0"/>
        <w:jc w:val="center"/>
        <w:rPr>
          <w:rFonts w:asciiTheme="majorBidi" w:hAnsiTheme="majorBidi" w:cstheme="majorBidi"/>
        </w:rPr>
      </w:pPr>
    </w:p>
    <w:p>
      <w:pPr>
        <w:spacing w:after="0"/>
        <w:jc w:val="center"/>
        <w:rPr>
          <w:rFonts w:asciiTheme="majorBidi" w:hAnsiTheme="majorBidi" w:cstheme="majorBidi"/>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pStyle w:val="52"/>
        <w:shd w:val="clear" w:color="auto" w:fill="FFFFFF"/>
        <w:spacing w:line="480" w:lineRule="auto"/>
        <w:jc w:val="center"/>
        <w:rPr>
          <w:rFonts w:asciiTheme="majorBidi" w:hAnsiTheme="majorBidi" w:cstheme="majorBidi"/>
          <w:b/>
          <w:bCs/>
          <w:sz w:val="32"/>
          <w:szCs w:val="32"/>
        </w:rPr>
      </w:pPr>
    </w:p>
    <w:p>
      <w:pPr>
        <w:spacing w:line="360" w:lineRule="auto"/>
        <w:jc w:val="both"/>
      </w:pPr>
    </w:p>
    <w:p>
      <w:pPr>
        <w:spacing w:line="360" w:lineRule="auto"/>
        <w:jc w:val="center"/>
        <w:rPr>
          <w:b/>
          <w:bCs/>
          <w:sz w:val="28"/>
          <w:szCs w:val="24"/>
        </w:rPr>
      </w:pPr>
      <w:r>
        <w:rPr>
          <w:b/>
          <w:bCs/>
          <w:sz w:val="28"/>
          <w:szCs w:val="24"/>
        </w:rPr>
        <w:t>Programme: MBA- Master of Business Administration</w:t>
      </w:r>
    </w:p>
    <w:p>
      <w:pPr>
        <w:spacing w:line="360" w:lineRule="auto"/>
        <w:jc w:val="center"/>
        <w:rPr>
          <w:rFonts w:hint="default"/>
          <w:b/>
          <w:bCs/>
          <w:sz w:val="28"/>
          <w:szCs w:val="24"/>
          <w:lang w:val="en-US"/>
        </w:rPr>
      </w:pPr>
      <w:r>
        <w:rPr>
          <w:b/>
          <w:bCs/>
          <w:sz w:val="28"/>
          <w:szCs w:val="24"/>
        </w:rPr>
        <w:t>Module: Marketing Management – Assessment</w:t>
      </w:r>
      <w:r>
        <w:rPr>
          <w:rFonts w:hint="default"/>
          <w:b/>
          <w:bCs/>
          <w:sz w:val="28"/>
          <w:szCs w:val="24"/>
          <w:lang w:val="en-US"/>
        </w:rPr>
        <w:t xml:space="preserve"> 2</w:t>
      </w:r>
    </w:p>
    <w:p>
      <w:pPr>
        <w:spacing w:line="360" w:lineRule="auto"/>
        <w:jc w:val="center"/>
        <w:rPr>
          <w:rFonts w:hint="default"/>
          <w:b/>
          <w:bCs/>
          <w:sz w:val="28"/>
          <w:szCs w:val="24"/>
          <w:lang w:val="en-US"/>
        </w:rPr>
      </w:pPr>
      <w:r>
        <w:rPr>
          <w:rFonts w:hint="default"/>
          <w:b/>
          <w:bCs/>
          <w:sz w:val="28"/>
          <w:szCs w:val="24"/>
          <w:lang w:val="en-US"/>
        </w:rPr>
        <w:t>Professor Name: Tushara balendran</w:t>
      </w:r>
    </w:p>
    <w:p>
      <w:pPr>
        <w:spacing w:line="360" w:lineRule="auto"/>
        <w:jc w:val="center"/>
        <w:rPr>
          <w:rFonts w:hint="default"/>
          <w:b/>
          <w:bCs/>
          <w:sz w:val="28"/>
          <w:szCs w:val="24"/>
          <w:lang w:val="en-US"/>
        </w:rPr>
      </w:pPr>
      <w:r>
        <w:rPr>
          <w:rFonts w:hint="default"/>
          <w:b/>
          <w:bCs/>
          <w:sz w:val="28"/>
          <w:szCs w:val="24"/>
          <w:lang w:val="en-US"/>
        </w:rPr>
        <w:t>Student ID:2237335</w:t>
      </w:r>
    </w:p>
    <w:p>
      <w:pPr>
        <w:spacing w:line="360" w:lineRule="auto"/>
        <w:jc w:val="center"/>
        <w:rPr>
          <w:b/>
          <w:bCs/>
          <w:sz w:val="28"/>
          <w:szCs w:val="24"/>
        </w:rPr>
      </w:pPr>
      <w:r>
        <w:rPr>
          <w:b/>
          <w:bCs/>
          <w:sz w:val="28"/>
          <w:szCs w:val="24"/>
        </w:rPr>
        <w:t>Module code: LCMB7001</w:t>
      </w:r>
    </w:p>
    <w:p>
      <w:pPr>
        <w:spacing w:after="0"/>
        <w:jc w:val="center"/>
        <w:rPr>
          <w:rFonts w:asciiTheme="majorBidi" w:hAnsiTheme="majorBidi" w:cstheme="majorBidi"/>
          <w:b/>
          <w:bCs/>
          <w:sz w:val="32"/>
          <w:szCs w:val="32"/>
        </w:rPr>
      </w:pPr>
    </w:p>
    <w:p>
      <w:pPr>
        <w:spacing w:after="0"/>
        <w:jc w:val="left"/>
        <w:rPr>
          <w:rFonts w:asciiTheme="majorBidi" w:hAnsiTheme="majorBidi" w:cstheme="majorBidi"/>
        </w:rPr>
      </w:pPr>
    </w:p>
    <w:p>
      <w:pPr>
        <w:spacing w:after="0"/>
        <w:rPr>
          <w:rFonts w:asciiTheme="majorBidi" w:hAnsiTheme="majorBidi" w:cstheme="majorBidi"/>
        </w:rPr>
      </w:pPr>
    </w:p>
    <w:p>
      <w:pPr>
        <w:spacing w:after="0"/>
        <w:rPr>
          <w:rFonts w:asciiTheme="majorBidi" w:hAnsiTheme="majorBidi" w:cstheme="majorBidi"/>
        </w:rPr>
      </w:pPr>
    </w:p>
    <w:p>
      <w:pPr>
        <w:spacing w:after="0"/>
        <w:rPr>
          <w:rFonts w:asciiTheme="majorBidi" w:hAnsiTheme="majorBidi" w:cstheme="majorBidi"/>
        </w:rPr>
      </w:pPr>
    </w:p>
    <w:p>
      <w:pPr>
        <w:spacing w:after="0"/>
        <w:rPr>
          <w:rFonts w:asciiTheme="majorBidi" w:hAnsiTheme="majorBidi" w:cstheme="majorBidi"/>
        </w:rPr>
      </w:pPr>
    </w:p>
    <w:p>
      <w:pPr>
        <w:spacing w:after="0"/>
        <w:rPr>
          <w:rFonts w:asciiTheme="majorBidi" w:hAnsiTheme="majorBidi" w:cstheme="majorBidi"/>
        </w:rPr>
      </w:pPr>
    </w:p>
    <w:p>
      <w:pPr>
        <w:spacing w:after="0"/>
        <w:rPr>
          <w:rFonts w:asciiTheme="majorBidi" w:hAnsiTheme="majorBidi" w:cstheme="majorBidi"/>
        </w:rPr>
      </w:pPr>
    </w:p>
    <w:p>
      <w:pPr>
        <w:spacing w:after="0"/>
        <w:rPr>
          <w:rFonts w:asciiTheme="majorBidi" w:hAnsiTheme="majorBidi" w:cstheme="majorBidi"/>
        </w:rPr>
      </w:pPr>
    </w:p>
    <w:p>
      <w:pPr>
        <w:spacing w:after="0"/>
        <w:rPr>
          <w:rFonts w:asciiTheme="majorBidi" w:hAnsiTheme="majorBidi" w:cstheme="majorBidi"/>
        </w:rPr>
      </w:pPr>
    </w:p>
    <w:p>
      <w:pPr>
        <w:spacing w:after="0"/>
        <w:rPr>
          <w:rFonts w:asciiTheme="majorBidi" w:hAnsiTheme="majorBidi" w:cstheme="majorBidi"/>
        </w:rPr>
      </w:pPr>
    </w:p>
    <w:sdt>
      <w:sdtPr>
        <w:rPr>
          <w:rFonts w:ascii="Times New Roman" w:hAnsi="Times New Roman" w:eastAsia="Times New Roman" w:cs="Times New Roman"/>
          <w:color w:val="auto"/>
          <w:sz w:val="24"/>
          <w:szCs w:val="24"/>
        </w:rPr>
        <w:id w:val="209622702"/>
        <w:docPartObj>
          <w:docPartGallery w:val="Table of Contents"/>
          <w:docPartUnique/>
        </w:docPartObj>
      </w:sdtPr>
      <w:sdtEndPr>
        <w:rPr>
          <w:rFonts w:ascii="Times New Roman" w:hAnsi="Times New Roman" w:eastAsia="Times New Roman" w:cs="Times New Roman"/>
          <w:b/>
          <w:bCs/>
          <w:color w:val="auto"/>
          <w:sz w:val="24"/>
          <w:szCs w:val="24"/>
        </w:rPr>
      </w:sdtEndPr>
      <w:sdtContent>
        <w:p>
          <w:pPr>
            <w:pStyle w:val="38"/>
            <w:jc w:val="center"/>
            <w:rPr>
              <w:rFonts w:asciiTheme="majorBidi" w:hAnsiTheme="majorBidi"/>
              <w:b/>
              <w:bCs/>
              <w:color w:val="auto"/>
            </w:rPr>
          </w:pPr>
          <w:r>
            <w:rPr>
              <w:rFonts w:asciiTheme="majorBidi" w:hAnsiTheme="majorBidi"/>
              <w:b/>
              <w:bCs/>
              <w:color w:val="auto"/>
            </w:rPr>
            <w:t>Contents</w:t>
          </w:r>
        </w:p>
        <w:p>
          <w:pPr>
            <w:pStyle w:val="29"/>
            <w:tabs>
              <w:tab w:val="right" w:leader="dot" w:pos="9350"/>
            </w:tabs>
            <w:rPr>
              <w:rFonts w:asciiTheme="minorHAnsi" w:hAnsiTheme="minorHAnsi" w:eastAsiaTheme="minorEastAsia" w:cstheme="minorBidi"/>
              <w:sz w:val="22"/>
              <w:szCs w:val="22"/>
            </w:rPr>
          </w:pPr>
          <w:r>
            <w:fldChar w:fldCharType="begin"/>
          </w:r>
          <w:r>
            <w:instrText xml:space="preserve"> TOC \o "1-3" \h \z \u </w:instrText>
          </w:r>
          <w:r>
            <w:fldChar w:fldCharType="separate"/>
          </w:r>
          <w:r>
            <w:fldChar w:fldCharType="begin"/>
          </w:r>
          <w:r>
            <w:instrText xml:space="preserve"> HYPERLINK \l "_Toc144195742" </w:instrText>
          </w:r>
          <w:r>
            <w:fldChar w:fldCharType="separate"/>
          </w:r>
          <w:r>
            <w:rPr>
              <w:rStyle w:val="22"/>
              <w:rFonts w:asciiTheme="majorBidi" w:hAnsiTheme="majorBidi" w:cstheme="majorBidi"/>
            </w:rPr>
            <w:t>1.0 Introduction</w:t>
          </w:r>
          <w:r>
            <w:tab/>
          </w:r>
          <w:r>
            <w:fldChar w:fldCharType="begin"/>
          </w:r>
          <w:r>
            <w:instrText xml:space="preserve"> PAGEREF _Toc144195742 \h </w:instrText>
          </w:r>
          <w:r>
            <w:fldChar w:fldCharType="separate"/>
          </w:r>
          <w:r>
            <w:t>4</w:t>
          </w:r>
          <w:r>
            <w:fldChar w:fldCharType="end"/>
          </w:r>
          <w:r>
            <w:fldChar w:fldCharType="end"/>
          </w:r>
        </w:p>
        <w:p>
          <w:pPr>
            <w:pStyle w:val="29"/>
            <w:tabs>
              <w:tab w:val="right" w:leader="dot" w:pos="9350"/>
            </w:tabs>
            <w:rPr>
              <w:rFonts w:asciiTheme="minorHAnsi" w:hAnsiTheme="minorHAnsi" w:eastAsiaTheme="minorEastAsia" w:cstheme="minorBidi"/>
              <w:sz w:val="22"/>
              <w:szCs w:val="22"/>
            </w:rPr>
          </w:pPr>
          <w:r>
            <w:fldChar w:fldCharType="begin"/>
          </w:r>
          <w:r>
            <w:instrText xml:space="preserve"> HYPERLINK \l "_Toc144195743" </w:instrText>
          </w:r>
          <w:r>
            <w:fldChar w:fldCharType="separate"/>
          </w:r>
          <w:r>
            <w:rPr>
              <w:rStyle w:val="22"/>
              <w:rFonts w:asciiTheme="majorBidi" w:hAnsiTheme="majorBidi" w:cstheme="majorBidi"/>
              <w:lang w:eastAsia="en-GB"/>
            </w:rPr>
            <w:t>2.0 Tesla's Current Approach</w:t>
          </w:r>
          <w:r>
            <w:tab/>
          </w:r>
          <w:r>
            <w:fldChar w:fldCharType="begin"/>
          </w:r>
          <w:r>
            <w:instrText xml:space="preserve"> PAGEREF _Toc144195743 \h </w:instrText>
          </w:r>
          <w:r>
            <w:fldChar w:fldCharType="separate"/>
          </w:r>
          <w:r>
            <w:t>5</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"_Toc144195744" </w:instrText>
          </w:r>
          <w:r>
            <w:fldChar w:fldCharType="separate"/>
          </w:r>
          <w:r>
            <w:rPr>
              <w:rStyle w:val="22"/>
              <w:rFonts w:asciiTheme="majorBidi" w:hAnsiTheme="majorBidi" w:cstheme="majorBidi"/>
              <w:lang w:eastAsia="en-GB"/>
            </w:rPr>
            <w:t>2.1 Tesla's No-Advertisement Policy</w:t>
          </w:r>
          <w:r>
            <w:tab/>
          </w:r>
          <w:r>
            <w:fldChar w:fldCharType="begin"/>
          </w:r>
          <w:r>
            <w:instrText xml:space="preserve"> PAGEREF _Toc144195744 \h </w:instrText>
          </w:r>
          <w:r>
            <w:fldChar w:fldCharType="separate"/>
          </w:r>
          <w:r>
            <w:t>6</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"_Toc144195745" </w:instrText>
          </w:r>
          <w:r>
            <w:fldChar w:fldCharType="separate"/>
          </w:r>
          <w:r>
            <w:rPr>
              <w:rStyle w:val="22"/>
              <w:rFonts w:asciiTheme="majorBidi" w:hAnsiTheme="majorBidi" w:cstheme="majorBidi"/>
              <w:lang w:eastAsia="en-GB"/>
            </w:rPr>
            <w:t>2.2 Heavy Reliance on Word-of-Mouth and Social Media</w:t>
          </w:r>
          <w:r>
            <w:tab/>
          </w:r>
          <w:r>
            <w:fldChar w:fldCharType="begin"/>
          </w:r>
          <w:r>
            <w:instrText xml:space="preserve"> PAGEREF _Toc144195745 \h </w:instrText>
          </w:r>
          <w:r>
            <w:fldChar w:fldCharType="separate"/>
          </w:r>
          <w:r>
            <w:t>6</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"_Toc144195746" </w:instrText>
          </w:r>
          <w:r>
            <w:fldChar w:fldCharType="separate"/>
          </w:r>
          <w:r>
            <w:rPr>
              <w:rStyle w:val="22"/>
              <w:rFonts w:asciiTheme="majorBidi" w:hAnsiTheme="majorBidi" w:cstheme="majorBidi"/>
              <w:lang w:eastAsia="en-GB"/>
            </w:rPr>
            <w:t>2.3 Direct-to-Customer Sales Model</w:t>
          </w:r>
          <w:r>
            <w:tab/>
          </w:r>
          <w:r>
            <w:fldChar w:fldCharType="begin"/>
          </w:r>
          <w:r>
            <w:instrText xml:space="preserve"> PAGEREF _Toc144195746 \h </w:instrText>
          </w:r>
          <w:r>
            <w:fldChar w:fldCharType="separate"/>
          </w:r>
          <w:r>
            <w:t>6</w:t>
          </w:r>
          <w:r>
            <w:fldChar w:fldCharType="end"/>
          </w:r>
          <w:r>
            <w:fldChar w:fldCharType="end"/>
          </w:r>
        </w:p>
        <w:p>
          <w:pPr>
            <w:pStyle w:val="29"/>
            <w:tabs>
              <w:tab w:val="right" w:leader="dot" w:pos="9350"/>
            </w:tabs>
            <w:rPr>
              <w:rFonts w:asciiTheme="minorHAnsi" w:hAnsiTheme="minorHAnsi" w:eastAsiaTheme="minorEastAsia" w:cstheme="minorBidi"/>
              <w:sz w:val="22"/>
              <w:szCs w:val="22"/>
            </w:rPr>
          </w:pPr>
          <w:r>
            <w:fldChar w:fldCharType="begin"/>
          </w:r>
          <w:r>
            <w:instrText xml:space="preserve"> HYPERLINK \l "_Toc144195747" </w:instrText>
          </w:r>
          <w:r>
            <w:fldChar w:fldCharType="separate"/>
          </w:r>
          <w:r>
            <w:rPr>
              <w:rStyle w:val="22"/>
              <w:rFonts w:asciiTheme="majorBidi" w:hAnsiTheme="majorBidi" w:cstheme="majorBidi"/>
              <w:lang w:eastAsia="en-GB"/>
            </w:rPr>
            <w:t>3.0 Importance of End-to-End Customer Journey</w:t>
          </w:r>
          <w:r>
            <w:tab/>
          </w:r>
          <w:r>
            <w:fldChar w:fldCharType="begin"/>
          </w:r>
          <w:r>
            <w:instrText xml:space="preserve"> PAGEREF _Toc144195747 \h </w:instrText>
          </w:r>
          <w:r>
            <w:fldChar w:fldCharType="separate"/>
          </w:r>
          <w:r>
            <w:t>7</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"_Toc144195748" </w:instrText>
          </w:r>
          <w:r>
            <w:fldChar w:fldCharType="separate"/>
          </w:r>
          <w:r>
            <w:rPr>
              <w:rStyle w:val="22"/>
              <w:rFonts w:asciiTheme="majorBidi" w:hAnsiTheme="majorBidi" w:cstheme="majorBidi"/>
            </w:rPr>
            <w:t>3.1 Definition and Theory behind Customer Journey</w:t>
          </w:r>
          <w:r>
            <w:tab/>
          </w:r>
          <w:r>
            <w:fldChar w:fldCharType="begin"/>
          </w:r>
          <w:r>
            <w:instrText xml:space="preserve"> PAGEREF _Toc144195748 \h </w:instrText>
          </w:r>
          <w:r>
            <w:fldChar w:fldCharType="separate"/>
          </w:r>
          <w:r>
            <w:t>7</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"_Toc144195749" </w:instrText>
          </w:r>
          <w:r>
            <w:fldChar w:fldCharType="separate"/>
          </w:r>
          <w:r>
            <w:rPr>
              <w:rStyle w:val="22"/>
              <w:rFonts w:asciiTheme="majorBidi" w:hAnsiTheme="majorBidi" w:cstheme="majorBidi"/>
            </w:rPr>
            <w:t>3.2 Importance in Modern Marketing</w:t>
          </w:r>
          <w:r>
            <w:tab/>
          </w:r>
          <w:r>
            <w:fldChar w:fldCharType="begin"/>
          </w:r>
          <w:r>
            <w:instrText xml:space="preserve"> PAGEREF _Toc144195749 \h </w:instrText>
          </w:r>
          <w:r>
            <w:fldChar w:fldCharType="separate"/>
          </w:r>
          <w:r>
            <w:t>8</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"_Toc144195750" </w:instrText>
          </w:r>
          <w:r>
            <w:fldChar w:fldCharType="separate"/>
          </w:r>
          <w:r>
            <w:rPr>
              <w:rStyle w:val="22"/>
              <w:rFonts w:asciiTheme="majorBidi" w:hAnsiTheme="majorBidi" w:cstheme="majorBidi"/>
            </w:rPr>
            <w:t>3.3 How it applies to Tesla</w:t>
          </w:r>
          <w:r>
            <w:tab/>
          </w:r>
          <w:r>
            <w:fldChar w:fldCharType="begin"/>
          </w:r>
          <w:r>
            <w:instrText xml:space="preserve"> PAGEREF _Toc144195750 \h </w:instrText>
          </w:r>
          <w:r>
            <w:fldChar w:fldCharType="separate"/>
          </w:r>
          <w:r>
            <w:t>8</w:t>
          </w:r>
          <w:r>
            <w:fldChar w:fldCharType="end"/>
          </w:r>
          <w:r>
            <w:fldChar w:fldCharType="end"/>
          </w:r>
        </w:p>
        <w:p>
          <w:pPr>
            <w:pStyle w:val="29"/>
            <w:tabs>
              <w:tab w:val="right" w:leader="dot" w:pos="9350"/>
            </w:tabs>
            <w:rPr>
              <w:rFonts w:asciiTheme="minorHAnsi" w:hAnsiTheme="minorHAnsi" w:eastAsiaTheme="minorEastAsia" w:cstheme="minorBidi"/>
              <w:sz w:val="22"/>
              <w:szCs w:val="22"/>
            </w:rPr>
          </w:pPr>
          <w:r>
            <w:fldChar w:fldCharType="begin"/>
          </w:r>
          <w:r>
            <w:instrText xml:space="preserve"> HYPERLINK \l "_Toc144195751" </w:instrText>
          </w:r>
          <w:r>
            <w:fldChar w:fldCharType="separate"/>
          </w:r>
          <w:r>
            <w:rPr>
              <w:rStyle w:val="22"/>
              <w:rFonts w:asciiTheme="majorBidi" w:hAnsiTheme="majorBidi" w:cstheme="majorBidi"/>
              <w:lang w:eastAsia="en-GB"/>
            </w:rPr>
            <w:t>4.0 Innovative Marketing Strategies for Tesla</w:t>
          </w:r>
          <w:r>
            <w:tab/>
          </w:r>
          <w:r>
            <w:fldChar w:fldCharType="begin"/>
          </w:r>
          <w:r>
            <w:instrText xml:space="preserve"> PAGEREF _Toc144195751 \h </w:instrText>
          </w:r>
          <w:r>
            <w:fldChar w:fldCharType="separate"/>
          </w:r>
          <w:r>
            <w:t>9</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"_Toc144195752" </w:instrText>
          </w:r>
          <w:r>
            <w:fldChar w:fldCharType="separate"/>
          </w:r>
          <w:r>
            <w:rPr>
              <w:rStyle w:val="22"/>
              <w:rFonts w:asciiTheme="majorBidi" w:hAnsiTheme="majorBidi" w:cstheme="majorBidi"/>
              <w:lang w:eastAsia="en-GB"/>
            </w:rPr>
            <w:t>4.1 Social Media Interactions</w:t>
          </w:r>
          <w:r>
            <w:tab/>
          </w:r>
          <w:r>
            <w:fldChar w:fldCharType="begin"/>
          </w:r>
          <w:r>
            <w:instrText xml:space="preserve"> PAGEREF _Toc144195752 \h </w:instrText>
          </w:r>
          <w:r>
            <w:fldChar w:fldCharType="separate"/>
          </w:r>
          <w:r>
            <w:t>9</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"_Toc144195753" </w:instrText>
          </w:r>
          <w:r>
            <w:fldChar w:fldCharType="separate"/>
          </w:r>
          <w:r>
            <w:rPr>
              <w:rStyle w:val="22"/>
              <w:rFonts w:asciiTheme="majorBidi" w:hAnsiTheme="majorBidi" w:cstheme="majorBidi"/>
            </w:rPr>
            <w:t>4.2 Customer Education</w:t>
          </w:r>
          <w:r>
            <w:tab/>
          </w:r>
          <w:r>
            <w:fldChar w:fldCharType="begin"/>
          </w:r>
          <w:r>
            <w:instrText xml:space="preserve"> PAGEREF _Toc144195753 \h </w:instrText>
          </w:r>
          <w:r>
            <w:fldChar w:fldCharType="separate"/>
          </w:r>
          <w:r>
            <w:t>10</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"_Toc144195754" </w:instrText>
          </w:r>
          <w:r>
            <w:fldChar w:fldCharType="separate"/>
          </w:r>
          <w:r>
            <w:rPr>
              <w:rStyle w:val="22"/>
              <w:rFonts w:asciiTheme="majorBidi" w:hAnsiTheme="majorBidi" w:cstheme="majorBidi"/>
            </w:rPr>
            <w:t>4.3 Enhance Online Experience</w:t>
          </w:r>
          <w:r>
            <w:tab/>
          </w:r>
          <w:r>
            <w:fldChar w:fldCharType="begin"/>
          </w:r>
          <w:r>
            <w:instrText xml:space="preserve"> PAGEREF _Toc144195754 \h </w:instrText>
          </w:r>
          <w:r>
            <w:fldChar w:fldCharType="separate"/>
          </w:r>
          <w:r>
            <w:t>12</w:t>
          </w:r>
          <w:r>
            <w:fldChar w:fldCharType="end"/>
          </w:r>
          <w:r>
            <w:fldChar w:fldCharType="end"/>
          </w:r>
        </w:p>
        <w:p>
          <w:pPr>
            <w:pStyle w:val="29"/>
            <w:tabs>
              <w:tab w:val="right" w:leader="dot" w:pos="9350"/>
            </w:tabs>
            <w:rPr>
              <w:rFonts w:asciiTheme="minorHAnsi" w:hAnsiTheme="minorHAnsi" w:eastAsiaTheme="minorEastAsia" w:cstheme="minorBidi"/>
              <w:sz w:val="22"/>
              <w:szCs w:val="22"/>
            </w:rPr>
          </w:pPr>
          <w:r>
            <w:fldChar w:fldCharType="begin"/>
          </w:r>
          <w:r>
            <w:instrText xml:space="preserve"> HYPERLINK \l "_Toc144195755" </w:instrText>
          </w:r>
          <w:r>
            <w:fldChar w:fldCharType="separate"/>
          </w:r>
          <w:r>
            <w:rPr>
              <w:rStyle w:val="22"/>
              <w:rFonts w:asciiTheme="majorBidi" w:hAnsiTheme="majorBidi" w:cstheme="majorBidi"/>
            </w:rPr>
            <w:t xml:space="preserve">5.0 </w:t>
          </w:r>
          <w:r>
            <w:rPr>
              <w:rStyle w:val="22"/>
              <w:rFonts w:asciiTheme="majorBidi" w:hAnsiTheme="majorBidi" w:cstheme="majorBidi"/>
              <w:lang w:eastAsia="en-GB"/>
            </w:rPr>
            <w:t>Managing and Evaluating Customer Journey</w:t>
          </w:r>
          <w:r>
            <w:tab/>
          </w:r>
          <w:r>
            <w:fldChar w:fldCharType="begin"/>
          </w:r>
          <w:r>
            <w:instrText xml:space="preserve"> PAGEREF _Toc144195755 \h </w:instrText>
          </w:r>
          <w:r>
            <w:fldChar w:fldCharType="separate"/>
          </w:r>
          <w:r>
            <w:t>13</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"_Toc144195756" </w:instrText>
          </w:r>
          <w:r>
            <w:fldChar w:fldCharType="separate"/>
          </w:r>
          <w:r>
            <w:rPr>
              <w:rStyle w:val="22"/>
              <w:rFonts w:asciiTheme="majorBidi" w:hAnsiTheme="majorBidi" w:cstheme="majorBidi"/>
            </w:rPr>
            <w:t>5.1 Data Analytics</w:t>
          </w:r>
          <w:r>
            <w:tab/>
          </w:r>
          <w:r>
            <w:fldChar w:fldCharType="begin"/>
          </w:r>
          <w:r>
            <w:instrText xml:space="preserve"> PAGEREF _Toc144195756 \h </w:instrText>
          </w:r>
          <w:r>
            <w:fldChar w:fldCharType="separate"/>
          </w:r>
          <w:r>
            <w:t>13</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"_Toc144195757" </w:instrText>
          </w:r>
          <w:r>
            <w:fldChar w:fldCharType="separate"/>
          </w:r>
          <w:r>
            <w:rPr>
              <w:rStyle w:val="22"/>
              <w:rFonts w:asciiTheme="majorBidi" w:hAnsiTheme="majorBidi" w:cstheme="majorBidi"/>
            </w:rPr>
            <w:t>5.2 Feedback Loop</w:t>
          </w:r>
          <w:r>
            <w:tab/>
          </w:r>
          <w:r>
            <w:fldChar w:fldCharType="begin"/>
          </w:r>
          <w:r>
            <w:instrText xml:space="preserve"> PAGEREF _Toc144195757 \h </w:instrText>
          </w:r>
          <w:r>
            <w:fldChar w:fldCharType="separate"/>
          </w:r>
          <w:r>
            <w:t>15</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"_Toc144195758" </w:instrText>
          </w:r>
          <w:r>
            <w:fldChar w:fldCharType="separate"/>
          </w:r>
          <w:r>
            <w:rPr>
              <w:rStyle w:val="22"/>
              <w:rFonts w:asciiTheme="majorBidi" w:hAnsiTheme="majorBidi" w:cstheme="majorBidi"/>
            </w:rPr>
            <w:t>5.3 Channel Diversification</w:t>
          </w:r>
          <w:r>
            <w:tab/>
          </w:r>
          <w:r>
            <w:fldChar w:fldCharType="begin"/>
          </w:r>
          <w:r>
            <w:instrText xml:space="preserve"> PAGEREF _Toc144195758 \h </w:instrText>
          </w:r>
          <w:r>
            <w:fldChar w:fldCharType="separate"/>
          </w:r>
          <w:r>
            <w:t>16</w:t>
          </w:r>
          <w:r>
            <w:fldChar w:fldCharType="end"/>
          </w:r>
          <w:r>
            <w:fldChar w:fldCharType="end"/>
          </w:r>
        </w:p>
        <w:p>
          <w:pPr>
            <w:pStyle w:val="29"/>
            <w:tabs>
              <w:tab w:val="right" w:leader="dot" w:pos="9350"/>
            </w:tabs>
            <w:rPr>
              <w:rFonts w:asciiTheme="minorHAnsi" w:hAnsiTheme="minorHAnsi" w:eastAsiaTheme="minorEastAsia" w:cstheme="minorBidi"/>
              <w:sz w:val="22"/>
              <w:szCs w:val="22"/>
            </w:rPr>
          </w:pPr>
          <w:r>
            <w:fldChar w:fldCharType="begin"/>
          </w:r>
          <w:r>
            <w:instrText xml:space="preserve"> HYPERLINK \l "_Toc144195759" </w:instrText>
          </w:r>
          <w:r>
            <w:fldChar w:fldCharType="separate"/>
          </w:r>
          <w:r>
            <w:rPr>
              <w:rStyle w:val="22"/>
              <w:rFonts w:asciiTheme="majorBidi" w:hAnsiTheme="majorBidi" w:cstheme="majorBidi"/>
              <w:lang w:eastAsia="en-GB"/>
            </w:rPr>
            <w:t>6.0 Fulfilling Stakeholders' Expectations</w:t>
          </w:r>
          <w:r>
            <w:tab/>
          </w:r>
          <w:r>
            <w:fldChar w:fldCharType="begin"/>
          </w:r>
          <w:r>
            <w:instrText xml:space="preserve"> PAGEREF _Toc144195759 \h </w:instrText>
          </w:r>
          <w:r>
            <w:fldChar w:fldCharType="separate"/>
          </w:r>
          <w:r>
            <w:t>17</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"_Toc144195760" </w:instrText>
          </w:r>
          <w:r>
            <w:fldChar w:fldCharType="separate"/>
          </w:r>
          <w:r>
            <w:rPr>
              <w:rStyle w:val="22"/>
              <w:rFonts w:asciiTheme="majorBidi" w:hAnsiTheme="majorBidi" w:cstheme="majorBidi"/>
              <w:lang w:eastAsia="en-GB"/>
            </w:rPr>
            <w:t>6.1 Transparency</w:t>
          </w:r>
          <w:r>
            <w:tab/>
          </w:r>
          <w:r>
            <w:fldChar w:fldCharType="begin"/>
          </w:r>
          <w:r>
            <w:instrText xml:space="preserve"> PAGEREF _Toc144195760 \h </w:instrText>
          </w:r>
          <w:r>
            <w:fldChar w:fldCharType="separate"/>
          </w:r>
          <w:r>
            <w:t>17</w:t>
          </w:r>
          <w:r>
            <w:fldChar w:fldCharType="end"/>
          </w:r>
          <w:r>
            <w:fldChar w:fldCharType="end"/>
          </w:r>
        </w:p>
        <w:p>
          <w:pPr>
            <w:pStyle w:val="30"/>
            <w:tabs>
              <w:tab w:val="right" w:leader="dot" w:pos="9350"/>
            </w:tabs>
            <w:rPr>
              <w:rFonts w:asciiTheme="minorHAnsi" w:hAnsiTheme="minorHAnsi" w:eastAsiaTheme="minorEastAsia" w:cstheme="minorBidi"/>
              <w:sz w:val="22"/>
              <w:szCs w:val="22"/>
            </w:rPr>
          </w:pPr>
          <w:r>
            <w:fldChar w:fldCharType="begin"/>
          </w:r>
          <w:r>
            <w:instrText xml:space="preserve"> HYPERLINK \l "_Toc144195761" </w:instrText>
          </w:r>
          <w:r>
            <w:fldChar w:fldCharType="separate"/>
          </w:r>
          <w:r>
            <w:rPr>
              <w:rStyle w:val="22"/>
              <w:rFonts w:asciiTheme="majorBidi" w:hAnsiTheme="majorBidi" w:cstheme="majorBidi"/>
            </w:rPr>
            <w:t>6.2 Sustainable Practices</w:t>
          </w:r>
          <w:r>
            <w:tab/>
          </w:r>
          <w:r>
            <w:fldChar w:fldCharType="begin"/>
          </w:r>
          <w:r>
            <w:instrText xml:space="preserve"> PAGEREF _Toc144195761 \h </w:instrText>
          </w:r>
          <w:r>
            <w:fldChar w:fldCharType="separate"/>
          </w:r>
          <w:r>
            <w:t>17</w:t>
          </w:r>
          <w:r>
            <w:fldChar w:fldCharType="end"/>
          </w:r>
          <w:r>
            <w:fldChar w:fldCharType="end"/>
          </w:r>
        </w:p>
        <w:p>
          <w:pPr>
            <w:pStyle w:val="29"/>
            <w:tabs>
              <w:tab w:val="right" w:leader="dot" w:pos="9350"/>
            </w:tabs>
            <w:rPr>
              <w:rFonts w:asciiTheme="minorHAnsi" w:hAnsiTheme="minorHAnsi" w:eastAsiaTheme="minorEastAsia" w:cstheme="minorBidi"/>
              <w:sz w:val="22"/>
              <w:szCs w:val="22"/>
            </w:rPr>
          </w:pPr>
          <w:r>
            <w:fldChar w:fldCharType="begin"/>
          </w:r>
          <w:r>
            <w:instrText xml:space="preserve"> HYPERLINK \l "_Toc144195762" </w:instrText>
          </w:r>
          <w:r>
            <w:fldChar w:fldCharType="separate"/>
          </w:r>
          <w:r>
            <w:rPr>
              <w:rStyle w:val="22"/>
              <w:rFonts w:asciiTheme="majorBidi" w:hAnsiTheme="majorBidi" w:cstheme="majorBidi"/>
            </w:rPr>
            <w:t>Conclusion</w:t>
          </w:r>
          <w:r>
            <w:tab/>
          </w:r>
          <w:r>
            <w:fldChar w:fldCharType="begin"/>
          </w:r>
          <w:r>
            <w:instrText xml:space="preserve"> PAGEREF _Toc144195762 \h </w:instrText>
          </w:r>
          <w:r>
            <w:fldChar w:fldCharType="separate"/>
          </w:r>
          <w:r>
            <w:t>19</w:t>
          </w:r>
          <w:r>
            <w:fldChar w:fldCharType="end"/>
          </w:r>
          <w:r>
            <w:fldChar w:fldCharType="end"/>
          </w:r>
        </w:p>
        <w:p>
          <w:pPr>
            <w:pStyle w:val="29"/>
            <w:tabs>
              <w:tab w:val="right" w:leader="dot" w:pos="9350"/>
            </w:tabs>
            <w:rPr>
              <w:rFonts w:asciiTheme="minorHAnsi" w:hAnsiTheme="minorHAnsi" w:eastAsiaTheme="minorEastAsia" w:cstheme="minorBidi"/>
              <w:sz w:val="22"/>
              <w:szCs w:val="22"/>
            </w:rPr>
          </w:pPr>
          <w:r>
            <w:fldChar w:fldCharType="begin"/>
          </w:r>
          <w:r>
            <w:instrText xml:space="preserve"> HYPERLINK \l "_Toc144195763" </w:instrText>
          </w:r>
          <w:r>
            <w:fldChar w:fldCharType="separate"/>
          </w:r>
          <w:r>
            <w:rPr>
              <w:rStyle w:val="22"/>
            </w:rPr>
            <w:t>References</w:t>
          </w:r>
          <w:r>
            <w:tab/>
          </w:r>
          <w:r>
            <w:fldChar w:fldCharType="begin"/>
          </w:r>
          <w:r>
            <w:instrText xml:space="preserve"> PAGEREF _Toc144195763 \h </w:instrText>
          </w:r>
          <w:r>
            <w:fldChar w:fldCharType="separate"/>
          </w:r>
          <w:r>
            <w:t>21</w:t>
          </w:r>
          <w:r>
            <w:fldChar w:fldCharType="end"/>
          </w:r>
          <w:r>
            <w:fldChar w:fldCharType="end"/>
          </w:r>
        </w:p>
        <w:p>
          <w:r>
            <w:rPr>
              <w:b/>
              <w:bCs/>
            </w:rPr>
            <w:fldChar w:fldCharType="end"/>
          </w:r>
        </w:p>
      </w:sdtContent>
    </w:sdt>
    <w:p/>
    <w:p>
      <w:pPr>
        <w:pStyle w:val="2"/>
      </w:pPr>
      <w:bookmarkStart w:id="1" w:name="_Toc143252168"/>
    </w:p>
    <w:p>
      <w:pPr>
        <w:pStyle w:val="2"/>
      </w:pPr>
    </w:p>
    <w:p>
      <w:pPr>
        <w:pStyle w:val="2"/>
      </w:pPr>
    </w:p>
    <w:p>
      <w:pPr>
        <w:pStyle w:val="2"/>
      </w:pPr>
    </w:p>
    <w:p>
      <w:pPr>
        <w:pStyle w:val="2"/>
      </w:pPr>
    </w:p>
    <w:p>
      <w:pPr>
        <w:pStyle w:val="2"/>
      </w:pPr>
    </w:p>
    <w:p/>
    <w:p/>
    <w:p/>
    <w:p/>
    <w:p/>
    <w:p/>
    <w:p/>
    <w:p/>
    <w:bookmarkEnd w:id="1"/>
    <w:p>
      <w:pPr>
        <w:pStyle w:val="2"/>
        <w:spacing w:after="0"/>
        <w:rPr>
          <w:rFonts w:asciiTheme="majorBidi" w:hAnsiTheme="majorBidi" w:cstheme="majorBidi"/>
        </w:rPr>
      </w:pPr>
      <w:bookmarkStart w:id="2" w:name="_Toc144195742"/>
      <w:r>
        <w:rPr>
          <w:rFonts w:asciiTheme="majorBidi" w:hAnsiTheme="majorBidi" w:cstheme="majorBidi"/>
        </w:rPr>
        <w:t>1.0 Introduction</w:t>
      </w:r>
      <w:bookmarkEnd w:id="2"/>
      <w:r>
        <w:rPr>
          <w:rFonts w:asciiTheme="majorBidi" w:hAnsiTheme="majorBidi" w:cstheme="majorBidi"/>
        </w:rPr>
        <w:t xml:space="preserve"> </w:t>
      </w:r>
    </w:p>
    <w:p>
      <w:pPr>
        <w:spacing w:after="0"/>
        <w:ind w:firstLine="720"/>
        <w:rPr>
          <w:rFonts w:asciiTheme="majorBidi" w:hAnsiTheme="majorBidi" w:cstheme="majorBidi"/>
        </w:rPr>
      </w:pPr>
      <w:r>
        <w:rPr>
          <w:rFonts w:asciiTheme="majorBidi" w:hAnsiTheme="majorBidi" w:cstheme="majorBidi"/>
        </w:rPr>
        <w:t>As the importance of the customer journey has grown, it has begun to eclipse the prior focus on isolated customer service interactions (</w:t>
      </w:r>
      <w:r>
        <w:rPr>
          <w:rFonts w:asciiTheme="majorBidi" w:hAnsiTheme="majorBidi" w:cstheme="majorBidi"/>
          <w:color w:val="222222"/>
          <w:shd w:val="clear" w:color="auto" w:fill="FFFFFF"/>
        </w:rPr>
        <w:t>Pizzutti et al., 2022)</w:t>
      </w:r>
      <w:r>
        <w:rPr>
          <w:rFonts w:asciiTheme="majorBidi" w:hAnsiTheme="majorBidi" w:cstheme="majorBidi"/>
        </w:rPr>
        <w:t>. The focus has shifted from individual encounters to the customer's journey, from the initial point of contact to the provision of post-sale support. Consider Tesla, an innovative firm that has changed how people think about cars and how power is generated and used. In contrast to more conventional automakers, Tesla does not invest heavily in marketing (</w:t>
      </w:r>
      <w:r>
        <w:rPr>
          <w:rFonts w:asciiTheme="majorBidi" w:hAnsiTheme="majorBidi" w:cstheme="majorBidi"/>
          <w:color w:val="222222"/>
          <w:shd w:val="clear" w:color="auto" w:fill="FFFFFF"/>
        </w:rPr>
        <w:t>Liu, 2021)</w:t>
      </w:r>
      <w:r>
        <w:rPr>
          <w:rFonts w:asciiTheme="majorBidi" w:hAnsiTheme="majorBidi" w:cstheme="majorBidi"/>
        </w:rPr>
        <w:t xml:space="preserve">. The business has built its success on customer referrals, social media, and direct sales to end users. </w:t>
      </w:r>
    </w:p>
    <w:p>
      <w:pPr>
        <w:spacing w:after="0"/>
        <w:ind w:firstLine="720"/>
        <w:rPr>
          <w:rFonts w:asciiTheme="majorBidi" w:hAnsiTheme="majorBidi" w:cstheme="majorBidi"/>
        </w:rPr>
      </w:pPr>
      <w:r>
        <w:rPr>
          <w:rFonts w:asciiTheme="majorBidi" w:hAnsiTheme="majorBidi" w:cstheme="majorBidi"/>
        </w:rPr>
        <w:t>Despite the company's current success in delivering a noteworthy client experience, the dynamic nature of the market and heightened competition within the electric vehicle sector necessitate ongoing enhancements (</w:t>
      </w:r>
      <w:r>
        <w:rPr>
          <w:rFonts w:asciiTheme="majorBidi" w:hAnsiTheme="majorBidi" w:cstheme="majorBidi"/>
          <w:color w:val="222222"/>
          <w:shd w:val="clear" w:color="auto" w:fill="FFFFFF"/>
        </w:rPr>
        <w:t>Muratori et al., 2021)</w:t>
      </w:r>
      <w:r>
        <w:rPr>
          <w:rFonts w:asciiTheme="majorBidi" w:hAnsiTheme="majorBidi" w:cstheme="majorBidi"/>
        </w:rPr>
        <w:t xml:space="preserve">. Hence, the main aim of this study is to investigate novel marketing approaches that Tesla might utilise to enhance brand recognition and efficiently oversee and assess the client experience. In light of increasing scrutiny from stakeholders such as investors, customers, and regulatory agencies, Tesla must </w:t>
      </w:r>
      <w:bookmarkStart w:id="24" w:name="_GoBack"/>
      <w:bookmarkEnd w:id="24"/>
      <w:r>
        <w:rPr>
          <w:rFonts w:asciiTheme="majorBidi" w:hAnsiTheme="majorBidi" w:cstheme="majorBidi"/>
        </w:rPr>
        <w:t>persistently refine its strategies to surpass prevailing expectations (</w:t>
      </w:r>
      <w:r>
        <w:rPr>
          <w:rFonts w:asciiTheme="majorBidi" w:hAnsiTheme="majorBidi" w:cstheme="majorBidi"/>
          <w:color w:val="222222"/>
          <w:shd w:val="clear" w:color="auto" w:fill="FFFFFF"/>
        </w:rPr>
        <w:t>Lipton, 2020)</w:t>
      </w:r>
      <w:r>
        <w:rPr>
          <w:rFonts w:asciiTheme="majorBidi" w:hAnsiTheme="majorBidi" w:cstheme="majorBidi"/>
        </w:rPr>
        <w:t>. The primary focus will be analysing Tesla's existing strategies, emphasising improving consumer involvement through various communication channels and holistically meeting stakeholders' expectations.</w:t>
      </w:r>
    </w:p>
    <w:p>
      <w:pPr>
        <w:spacing w:after="0"/>
        <w:jc w:val="center"/>
        <w:rPr>
          <w:rFonts w:asciiTheme="majorBidi" w:hAnsiTheme="majorBidi" w:cstheme="majorBidi"/>
        </w:rPr>
      </w:pPr>
      <w:r>
        <w:rPr>
          <w:rFonts w:asciiTheme="majorBidi" w:hAnsiTheme="majorBidi" w:cstheme="majorBidi"/>
        </w:rPr>
        <w:drawing>
          <wp:inline distT="0" distB="0" distL="0" distR="0">
            <wp:extent cx="2512060" cy="1884045"/>
            <wp:effectExtent l="0" t="0" r="2540" b="1905"/>
            <wp:docPr id="143052446" name="Picture 3" descr="Tesla halts production in Shanghai over supply issues: Report | Technology  | Al Jaze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52446" name="Picture 3" descr="Tesla halts production in Shanghai over supply issues: Report | Technology  | Al Jazeer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521471" cy="1891243"/>
                    </a:xfrm>
                    <a:prstGeom prst="rect">
                      <a:avLst/>
                    </a:prstGeom>
                    <a:noFill/>
                    <a:ln>
                      <a:noFill/>
                    </a:ln>
                  </pic:spPr>
                </pic:pic>
              </a:graphicData>
            </a:graphic>
          </wp:inline>
        </w:drawing>
      </w:r>
    </w:p>
    <w:p>
      <w:pPr>
        <w:spacing w:after="0"/>
        <w:ind w:firstLine="720"/>
        <w:rPr>
          <w:rFonts w:asciiTheme="majorBidi" w:hAnsiTheme="majorBidi" w:cstheme="majorBidi"/>
        </w:rPr>
      </w:pPr>
      <w:r>
        <w:rPr>
          <w:rFonts w:asciiTheme="majorBidi" w:hAnsiTheme="majorBidi" w:cstheme="majorBidi"/>
        </w:rPr>
        <w:t>The stakes could not be higher for Tesla. According to a survey by Frost &amp; Sullivan, the global market for electric vehicles is projected to expand from 3.27 million units in 2019 to 27 million units by 2030 (</w:t>
      </w:r>
      <w:r>
        <w:rPr>
          <w:rFonts w:asciiTheme="majorBidi" w:hAnsiTheme="majorBidi" w:cstheme="majorBidi"/>
          <w:color w:val="222222"/>
          <w:shd w:val="clear" w:color="auto" w:fill="FFFFFF"/>
        </w:rPr>
        <w:t>Ravi and Aziz, 2022).</w:t>
      </w:r>
      <w:r>
        <w:rPr>
          <w:rFonts w:asciiTheme="majorBidi" w:hAnsiTheme="majorBidi" w:cstheme="majorBidi"/>
        </w:rPr>
        <w:t xml:space="preserve"> </w:t>
      </w:r>
    </w:p>
    <w:p>
      <w:pPr>
        <w:keepNext/>
        <w:spacing w:after="0"/>
        <w:jc w:val="center"/>
        <w:rPr>
          <w:rFonts w:asciiTheme="majorBidi" w:hAnsiTheme="majorBidi" w:cstheme="majorBidi"/>
        </w:rPr>
      </w:pPr>
      <w:r>
        <w:rPr>
          <w:rFonts w:asciiTheme="majorBidi" w:hAnsiTheme="majorBidi" w:cstheme="majorBidi"/>
        </w:rPr>
        <mc:AlternateContent>
          <mc:Choice Requires="wps">
            <w:drawing>
              <wp:inline distT="0" distB="0" distL="0" distR="0">
                <wp:extent cx="304800" cy="304800"/>
                <wp:effectExtent l="0" t="0" r="0" b="0"/>
                <wp:docPr id="1543508278" name="Rectangle 1" descr="Electric Vehicle Global Market Siz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txbx>
                        <w:txbxContent>
                          <w:p>
                            <w:pPr>
                              <w:jc w:val="center"/>
                            </w:pPr>
                          </w:p>
                        </w:txbxContent>
                      </wps:txbx>
                      <wps:bodyPr rot="0" vert="horz" wrap="square" lIns="91440" tIns="45720" rIns="91440" bIns="45720" anchor="t" anchorCtr="0" upright="1">
                        <a:noAutofit/>
                      </wps:bodyPr>
                    </wps:wsp>
                  </a:graphicData>
                </a:graphic>
              </wp:inline>
            </w:drawing>
          </mc:Choice>
          <mc:Fallback>
            <w:pict>
              <v:rect id="Rectangle 1" o:spid="_x0000_s1026" o:spt="1" alt="Electric Vehicle Global Market Size" style="height:24pt;width:24pt;" filled="f" stroked="f" coordsize="21600,21600" o:gfxdata="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AH&#10;zJZ00gAAAAMBAAAPAAAAAAAAAAEAIAAAACIAAABkcnMvZG93bnJldi54bWxQSwECFAAUAAAACACH&#10;TuJABUtuoioCAABSBAAADgAAAAAAAAABACAAAAAhAQAAZHJzL2Uyb0RvYy54bWxQSwUGAAAAAAYA&#10;BgBZAQAAvQUAAAAA&#10;">
                <v:fill on="f" focussize="0,0"/>
                <v:stroke on="f"/>
                <v:imagedata o:title=""/>
                <o:lock v:ext="edit" aspectratio="t"/>
                <v:textbox>
                  <w:txbxContent>
                    <w:p>
                      <w:pPr>
                        <w:jc w:val="center"/>
                      </w:pPr>
                    </w:p>
                  </w:txbxContent>
                </v:textbox>
                <w10:wrap type="none"/>
                <w10:anchorlock/>
              </v:rect>
            </w:pict>
          </mc:Fallback>
        </mc:AlternateContent>
      </w:r>
      <w:r>
        <w:rPr>
          <w:rFonts w:asciiTheme="majorBidi" w:hAnsiTheme="majorBidi" w:cstheme="majorBidi"/>
        </w:rPr>
        <mc:AlternateContent>
          <mc:Choice Requires="wps">
            <w:drawing>
              <wp:inline distT="0" distB="0" distL="0" distR="0">
                <wp:extent cx="304800" cy="304800"/>
                <wp:effectExtent l="0" t="0" r="0" b="0"/>
                <wp:docPr id="362005212" name="Rectangle 2" descr="Electric Vehicle Global Market Siz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txbx>
                        <w:txbxContent>
                          <w:p>
                            <w:pPr>
                              <w:jc w:val="center"/>
                            </w:pPr>
                          </w:p>
                        </w:txbxContent>
                      </wps:txbx>
                      <wps:bodyPr rot="0" vert="horz" wrap="square" lIns="91440" tIns="45720" rIns="91440" bIns="45720" anchor="t" anchorCtr="0" upright="1">
                        <a:noAutofit/>
                      </wps:bodyPr>
                    </wps:wsp>
                  </a:graphicData>
                </a:graphic>
              </wp:inline>
            </w:drawing>
          </mc:Choice>
          <mc:Fallback>
            <w:pict>
              <v:rect id="Rectangle 2" o:spid="_x0000_s1026" o:spt="1" alt="Electric Vehicle Global Market Size" style="height:24pt;width:24pt;" filled="f" stroked="f" coordsize="21600,21600" o:gfxdata="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B8yW&#10;dNIAAAADAQAADwAAAAAAAAABACAAAAAiAAAAZHJzL2Rvd25yZXYueG1sUEsBAhQAFAAAAAgAh07i&#10;QCXhTOooAgAAUQQAAA4AAAAAAAAAAQAgAAAAIQEAAGRycy9lMm9Eb2MueG1sUEsFBgAAAAAGAAYA&#10;WQEAALsFAAAAAA==&#10;">
                <v:fill on="f" focussize="0,0"/>
                <v:stroke on="f"/>
                <v:imagedata o:title=""/>
                <o:lock v:ext="edit" aspectratio="t"/>
                <v:textbox>
                  <w:txbxContent>
                    <w:p>
                      <w:pPr>
                        <w:jc w:val="center"/>
                      </w:pPr>
                    </w:p>
                  </w:txbxContent>
                </v:textbox>
                <w10:wrap type="none"/>
                <w10:anchorlock/>
              </v:rect>
            </w:pict>
          </mc:Fallback>
        </mc:AlternateContent>
      </w:r>
      <w:r>
        <w:rPr>
          <w:rFonts w:asciiTheme="majorBidi" w:hAnsiTheme="majorBidi" w:cstheme="majorBidi"/>
        </w:rPr>
        <w:drawing>
          <wp:inline distT="0" distB="0" distL="0" distR="0">
            <wp:extent cx="5194300" cy="3333750"/>
            <wp:effectExtent l="0" t="0" r="6350" b="0"/>
            <wp:docPr id="2007533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533067" name="Picture 1"/>
                    <pic:cNvPicPr>
                      <a:picLocks noChangeAspect="1"/>
                    </pic:cNvPicPr>
                  </pic:nvPicPr>
                  <pic:blipFill>
                    <a:blip r:embed="rId9"/>
                    <a:stretch>
                      <a:fillRect/>
                    </a:stretch>
                  </pic:blipFill>
                  <pic:spPr>
                    <a:xfrm>
                      <a:off x="0" y="0"/>
                      <a:ext cx="5194567" cy="3333921"/>
                    </a:xfrm>
                    <a:prstGeom prst="rect">
                      <a:avLst/>
                    </a:prstGeom>
                  </pic:spPr>
                </pic:pic>
              </a:graphicData>
            </a:graphic>
          </wp:inline>
        </w:drawing>
      </w:r>
    </w:p>
    <w:p>
      <w:pPr>
        <w:pStyle w:val="12"/>
        <w:spacing w:after="0" w:line="480" w:lineRule="auto"/>
        <w:jc w:val="center"/>
        <w:rPr>
          <w:rFonts w:asciiTheme="majorBidi" w:hAnsiTheme="majorBidi" w:cstheme="majorBidi"/>
          <w:sz w:val="20"/>
          <w:szCs w:val="20"/>
        </w:rPr>
      </w:pPr>
      <w:r>
        <w:rPr>
          <w:rFonts w:asciiTheme="majorBidi" w:hAnsiTheme="majorBidi" w:cstheme="majorBidi"/>
          <w:sz w:val="20"/>
          <w:szCs w:val="20"/>
        </w:rPr>
        <w:t xml:space="preserve">Figure </w:t>
      </w:r>
      <w:r>
        <w:rPr>
          <w:rFonts w:asciiTheme="majorBidi" w:hAnsiTheme="majorBidi" w:cstheme="majorBidi"/>
          <w:sz w:val="20"/>
          <w:szCs w:val="20"/>
        </w:rPr>
        <w:fldChar w:fldCharType="begin"/>
      </w:r>
      <w:r>
        <w:rPr>
          <w:rFonts w:asciiTheme="majorBidi" w:hAnsiTheme="majorBidi" w:cstheme="majorBidi"/>
          <w:sz w:val="20"/>
          <w:szCs w:val="20"/>
        </w:rPr>
        <w:instrText xml:space="preserve"> SEQ Figure \* ARABIC </w:instrText>
      </w:r>
      <w:r>
        <w:rPr>
          <w:rFonts w:asciiTheme="majorBidi" w:hAnsiTheme="majorBidi" w:cstheme="majorBidi"/>
          <w:sz w:val="20"/>
          <w:szCs w:val="20"/>
        </w:rPr>
        <w:fldChar w:fldCharType="separate"/>
      </w:r>
      <w:r>
        <w:rPr>
          <w:rFonts w:asciiTheme="majorBidi" w:hAnsiTheme="majorBidi" w:cstheme="majorBidi"/>
          <w:sz w:val="20"/>
          <w:szCs w:val="20"/>
        </w:rPr>
        <w:t>1</w:t>
      </w:r>
      <w:r>
        <w:rPr>
          <w:rFonts w:asciiTheme="majorBidi" w:hAnsiTheme="majorBidi" w:cstheme="majorBidi"/>
          <w:sz w:val="20"/>
          <w:szCs w:val="20"/>
        </w:rPr>
        <w:fldChar w:fldCharType="end"/>
      </w:r>
      <w:r>
        <w:rPr>
          <w:rFonts w:asciiTheme="majorBidi" w:hAnsiTheme="majorBidi" w:cstheme="majorBidi"/>
          <w:sz w:val="20"/>
          <w:szCs w:val="20"/>
        </w:rPr>
        <w:t>: Growth of the Electric Vehicle Market (</w:t>
      </w:r>
      <w:r>
        <w:rPr>
          <w:rFonts w:asciiTheme="majorBidi" w:hAnsiTheme="majorBidi" w:cstheme="majorBidi"/>
          <w:sz w:val="20"/>
          <w:szCs w:val="20"/>
          <w:shd w:val="clear" w:color="auto" w:fill="FFFFFF"/>
        </w:rPr>
        <w:t>D’Adamo and Rosa, 2019)</w:t>
      </w:r>
    </w:p>
    <w:p>
      <w:pPr>
        <w:spacing w:after="0"/>
        <w:ind w:firstLine="720"/>
        <w:rPr>
          <w:rFonts w:asciiTheme="majorBidi" w:hAnsiTheme="majorBidi" w:cstheme="majorBidi"/>
        </w:rPr>
      </w:pPr>
      <w:r>
        <w:rPr>
          <w:rFonts w:asciiTheme="majorBidi" w:hAnsiTheme="majorBidi" w:cstheme="majorBidi"/>
        </w:rPr>
        <w:t>To maintain its position as market leader, Tesla must constantly develop its products and approach to client involvement (</w:t>
      </w:r>
      <w:r>
        <w:rPr>
          <w:rFonts w:asciiTheme="majorBidi" w:hAnsiTheme="majorBidi" w:cstheme="majorBidi"/>
          <w:color w:val="222222"/>
          <w:shd w:val="clear" w:color="auto" w:fill="FFFFFF"/>
        </w:rPr>
        <w:t>Khan, 2021)</w:t>
      </w:r>
      <w:r>
        <w:rPr>
          <w:rFonts w:asciiTheme="majorBidi" w:hAnsiTheme="majorBidi" w:cstheme="majorBidi"/>
        </w:rPr>
        <w:t>. Given the fast-paced nature of the modern market, an analysis of Tesla's possible strategy is topical and essential.</w:t>
      </w:r>
    </w:p>
    <w:p>
      <w:pPr>
        <w:pStyle w:val="2"/>
        <w:spacing w:after="0"/>
        <w:rPr>
          <w:rFonts w:asciiTheme="majorBidi" w:hAnsiTheme="majorBidi" w:cstheme="majorBidi"/>
        </w:rPr>
      </w:pPr>
      <w:bookmarkStart w:id="3" w:name="_Toc144195743"/>
      <w:r>
        <w:rPr>
          <w:rFonts w:asciiTheme="majorBidi" w:hAnsiTheme="majorBidi" w:cstheme="majorBidi"/>
          <w:lang w:eastAsia="en-GB"/>
        </w:rPr>
        <w:t>2.0 Tesla's Current Approach</w:t>
      </w:r>
      <w:bookmarkEnd w:id="3"/>
    </w:p>
    <w:p>
      <w:pPr>
        <w:pStyle w:val="3"/>
        <w:spacing w:before="0" w:line="480" w:lineRule="auto"/>
        <w:rPr>
          <w:rFonts w:asciiTheme="majorBidi" w:hAnsiTheme="majorBidi" w:cstheme="majorBidi"/>
          <w:lang w:eastAsia="en-GB"/>
        </w:rPr>
      </w:pPr>
      <w:bookmarkStart w:id="4" w:name="_Toc144195744"/>
      <w:r>
        <w:rPr>
          <w:rFonts w:asciiTheme="majorBidi" w:hAnsiTheme="majorBidi" w:cstheme="majorBidi"/>
          <w:lang w:eastAsia="en-GB"/>
        </w:rPr>
        <w:t>2.1 Tesla's No-Advertisement Policy</w:t>
      </w:r>
      <w:bookmarkEnd w:id="4"/>
    </w:p>
    <w:p>
      <w:pPr>
        <w:spacing w:after="0"/>
        <w:ind w:firstLine="720"/>
        <w:rPr>
          <w:rFonts w:asciiTheme="majorBidi" w:hAnsiTheme="majorBidi" w:cstheme="majorBidi"/>
          <w:lang w:eastAsia="en-GB"/>
        </w:rPr>
      </w:pPr>
      <w:r>
        <w:rPr>
          <w:rFonts w:asciiTheme="majorBidi" w:hAnsiTheme="majorBidi" w:cstheme="majorBidi"/>
          <w:lang w:eastAsia="en-GB"/>
        </w:rPr>
        <w:t>Tesla's business strategy, particularly its advertising approach, is novel. Tesla's complete lack of involvement in conventional forms of advertising is one of the company's most distinctive features (</w:t>
      </w:r>
      <w:r>
        <w:rPr>
          <w:rFonts w:asciiTheme="majorBidi" w:hAnsiTheme="majorBidi" w:cstheme="majorBidi"/>
          <w:color w:val="222222"/>
          <w:shd w:val="clear" w:color="auto" w:fill="FFFFFF"/>
        </w:rPr>
        <w:t>Sypko, 2022)</w:t>
      </w:r>
      <w:r>
        <w:rPr>
          <w:rFonts w:asciiTheme="majorBidi" w:hAnsiTheme="majorBidi" w:cstheme="majorBidi"/>
          <w:lang w:eastAsia="en-GB"/>
        </w:rPr>
        <w:t>. No Tesla advertisements have been seen on television, in periodicals, or as online banners. This lack of traditional advertising is not an indication of disinterest but rather a deliberate choice. Instead of spending money on ads, Tesla would rather put that money toward new product development (</w:t>
      </w:r>
      <w:r>
        <w:rPr>
          <w:rFonts w:asciiTheme="majorBidi" w:hAnsiTheme="majorBidi" w:cstheme="majorBidi"/>
          <w:color w:val="222222"/>
          <w:shd w:val="clear" w:color="auto" w:fill="FFFFFF"/>
        </w:rPr>
        <w:t>Lin et al., 2022)</w:t>
      </w:r>
      <w:r>
        <w:rPr>
          <w:rFonts w:asciiTheme="majorBidi" w:hAnsiTheme="majorBidi" w:cstheme="majorBidi"/>
          <w:lang w:eastAsia="en-GB"/>
        </w:rPr>
        <w:t xml:space="preserve">. In this approach, the company can enhance its customers' happiness while maintaining a high standard of product quality. </w:t>
      </w:r>
    </w:p>
    <w:p>
      <w:pPr>
        <w:pStyle w:val="3"/>
        <w:spacing w:before="0" w:line="480" w:lineRule="auto"/>
        <w:rPr>
          <w:rFonts w:asciiTheme="majorBidi" w:hAnsiTheme="majorBidi" w:cstheme="majorBidi"/>
          <w:lang w:eastAsia="en-GB"/>
        </w:rPr>
      </w:pPr>
      <w:bookmarkStart w:id="5" w:name="_Toc144195745"/>
      <w:r>
        <w:rPr>
          <w:rFonts w:asciiTheme="majorBidi" w:hAnsiTheme="majorBidi" w:cstheme="majorBidi"/>
          <w:lang w:eastAsia="en-GB"/>
        </w:rPr>
        <w:t>2.2 Heavy Reliance on Word-of-Mouth and Social Media</w:t>
      </w:r>
      <w:bookmarkEnd w:id="5"/>
    </w:p>
    <w:p>
      <w:pPr>
        <w:spacing w:after="0"/>
        <w:ind w:firstLine="720"/>
        <w:rPr>
          <w:rFonts w:asciiTheme="majorBidi" w:hAnsiTheme="majorBidi" w:cstheme="majorBidi"/>
          <w:lang w:eastAsia="en-GB"/>
        </w:rPr>
      </w:pPr>
      <w:r>
        <w:rPr>
          <w:rFonts w:asciiTheme="majorBidi" w:hAnsiTheme="majorBidi" w:cstheme="majorBidi"/>
          <w:lang w:eastAsia="en-GB"/>
        </w:rPr>
        <w:t>Word of mouth and online sharing are major components of Tesla's advertising campaign (</w:t>
      </w:r>
      <w:r>
        <w:rPr>
          <w:rFonts w:asciiTheme="majorBidi" w:hAnsiTheme="majorBidi" w:cstheme="majorBidi"/>
          <w:color w:val="222222"/>
          <w:shd w:val="clear" w:color="auto" w:fill="FFFFFF"/>
        </w:rPr>
        <w:t>Pathak et al., 2022)</w:t>
      </w:r>
      <w:r>
        <w:rPr>
          <w:rFonts w:asciiTheme="majorBidi" w:hAnsiTheme="majorBidi" w:cstheme="majorBidi"/>
          <w:lang w:eastAsia="en-GB"/>
        </w:rPr>
        <w:t>. Tesla recognises the value of happy customers and puts them to work for the company. Word of a product's excellence spreads rapidly when its users are enthusiastic proponents. Tesla, like many other companies, sees value in social media, albeit it does so in a unique way. Elon Musk, the CEO, is highly engaged with his over 50 million Twitter followers and other social media users (</w:t>
      </w:r>
      <w:r>
        <w:rPr>
          <w:rFonts w:asciiTheme="majorBidi" w:hAnsiTheme="majorBidi" w:cstheme="majorBidi"/>
          <w:color w:val="222222"/>
          <w:shd w:val="clear" w:color="auto" w:fill="FFFFFF"/>
        </w:rPr>
        <w:t>Corte, 2020)</w:t>
      </w:r>
      <w:r>
        <w:rPr>
          <w:rFonts w:asciiTheme="majorBidi" w:hAnsiTheme="majorBidi" w:cstheme="majorBidi"/>
          <w:lang w:eastAsia="en-GB"/>
        </w:rPr>
        <w:t>. He uses Twitter as a primary means of communication, including with customers and detractors. Musk's use of social media generates an enormous amount of unpaid PR, which helps to keep Tesla in the minds of consumers at no cost to the company.</w:t>
      </w:r>
    </w:p>
    <w:p>
      <w:pPr>
        <w:pStyle w:val="3"/>
        <w:spacing w:before="0" w:line="480" w:lineRule="auto"/>
        <w:rPr>
          <w:rFonts w:asciiTheme="majorBidi" w:hAnsiTheme="majorBidi" w:cstheme="majorBidi"/>
          <w:lang w:eastAsia="en-GB"/>
        </w:rPr>
      </w:pPr>
      <w:bookmarkStart w:id="6" w:name="_Toc144195746"/>
      <w:r>
        <w:rPr>
          <w:rFonts w:asciiTheme="majorBidi" w:hAnsiTheme="majorBidi" w:cstheme="majorBidi"/>
          <w:lang w:eastAsia="en-GB"/>
        </w:rPr>
        <w:t>2.3 Direct-to-Customer Sales Model</w:t>
      </w:r>
      <w:bookmarkEnd w:id="6"/>
    </w:p>
    <w:p>
      <w:pPr>
        <w:spacing w:after="0"/>
        <w:ind w:firstLine="720"/>
        <w:rPr>
          <w:rFonts w:asciiTheme="majorBidi" w:hAnsiTheme="majorBidi" w:cstheme="majorBidi"/>
          <w:lang w:eastAsia="en-GB"/>
        </w:rPr>
      </w:pPr>
      <w:r>
        <w:rPr>
          <w:rFonts w:asciiTheme="majorBidi" w:hAnsiTheme="majorBidi" w:cstheme="majorBidi"/>
          <w:lang w:eastAsia="en-GB"/>
        </w:rPr>
        <w:t>Tesla stands apart from the crowd because of its unique direct-to-customer sales methodology (</w:t>
      </w:r>
      <w:r>
        <w:rPr>
          <w:rFonts w:asciiTheme="majorBidi" w:hAnsiTheme="majorBidi" w:cstheme="majorBidi"/>
          <w:color w:val="222222"/>
          <w:shd w:val="clear" w:color="auto" w:fill="FFFFFF"/>
        </w:rPr>
        <w:t>Boesch, 2023)</w:t>
      </w:r>
      <w:r>
        <w:rPr>
          <w:rFonts w:asciiTheme="majorBidi" w:hAnsiTheme="majorBidi" w:cstheme="majorBidi"/>
          <w:lang w:eastAsia="en-GB"/>
        </w:rPr>
        <w:t>. Unlike traditional automakers who distribute their products through a chain of franchised dealerships, Tesla sells its automobiles directly to customers via its website and branded showrooms. Since Tesla oversees every sale step, the customer experience will be more unified and tailored to their needs (</w:t>
      </w:r>
      <w:r>
        <w:rPr>
          <w:rFonts w:asciiTheme="majorBidi" w:hAnsiTheme="majorBidi" w:cstheme="majorBidi"/>
          <w:color w:val="222222"/>
          <w:shd w:val="clear" w:color="auto" w:fill="FFFFFF"/>
        </w:rPr>
        <w:t>Heinink, 2022)</w:t>
      </w:r>
      <w:r>
        <w:rPr>
          <w:rFonts w:asciiTheme="majorBidi" w:hAnsiTheme="majorBidi" w:cstheme="majorBidi"/>
          <w:lang w:eastAsia="en-GB"/>
        </w:rPr>
        <w:t xml:space="preserve">. In addition to saving time and money, this method does away with the necessity for middlemen. The no-haggle pricing and the ability to personalise and order a vehicle online are two things that customers like. </w:t>
      </w:r>
    </w:p>
    <w:p>
      <w:pPr>
        <w:spacing w:after="0"/>
        <w:rPr>
          <w:rFonts w:asciiTheme="majorBidi" w:hAnsiTheme="majorBidi" w:cstheme="majorBidi"/>
          <w:lang w:eastAsia="en-GB"/>
        </w:rPr>
      </w:pPr>
    </w:p>
    <w:p>
      <w:pPr>
        <w:keepNext/>
        <w:spacing w:after="0"/>
        <w:jc w:val="center"/>
        <w:rPr>
          <w:rFonts w:asciiTheme="majorBidi" w:hAnsiTheme="majorBidi" w:cstheme="majorBidi"/>
        </w:rPr>
      </w:pPr>
      <w:r>
        <w:rPr>
          <w:rFonts w:asciiTheme="majorBidi" w:hAnsiTheme="majorBidi" w:cstheme="majorBidi"/>
        </w:rPr>
        <w:drawing>
          <wp:inline distT="0" distB="0" distL="0" distR="0">
            <wp:extent cx="4341495" cy="2184400"/>
            <wp:effectExtent l="0" t="0" r="1905" b="6350"/>
            <wp:docPr id="1233724379" name="Picture 1" descr="A diagram of a company's sa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24379" name="Picture 1" descr="A diagram of a company's sales&#10;&#10;Description automatically generated with medium confidence"/>
                    <pic:cNvPicPr>
                      <a:picLocks noChangeAspect="1"/>
                    </pic:cNvPicPr>
                  </pic:nvPicPr>
                  <pic:blipFill>
                    <a:blip r:embed="rId10"/>
                    <a:stretch>
                      <a:fillRect/>
                    </a:stretch>
                  </pic:blipFill>
                  <pic:spPr>
                    <a:xfrm>
                      <a:off x="0" y="0"/>
                      <a:ext cx="4349984" cy="2188486"/>
                    </a:xfrm>
                    <a:prstGeom prst="rect">
                      <a:avLst/>
                    </a:prstGeom>
                  </pic:spPr>
                </pic:pic>
              </a:graphicData>
            </a:graphic>
          </wp:inline>
        </w:drawing>
      </w:r>
    </w:p>
    <w:p>
      <w:pPr>
        <w:pStyle w:val="12"/>
        <w:spacing w:after="0" w:line="480" w:lineRule="auto"/>
        <w:jc w:val="center"/>
        <w:rPr>
          <w:rFonts w:asciiTheme="majorBidi" w:hAnsiTheme="majorBidi" w:cstheme="majorBidi"/>
          <w:sz w:val="20"/>
          <w:szCs w:val="20"/>
          <w:lang w:eastAsia="en-GB"/>
        </w:rPr>
      </w:pPr>
      <w:r>
        <w:rPr>
          <w:rFonts w:asciiTheme="majorBidi" w:hAnsiTheme="majorBidi" w:cstheme="majorBidi"/>
          <w:sz w:val="20"/>
          <w:szCs w:val="20"/>
        </w:rPr>
        <w:t xml:space="preserve">Figure </w:t>
      </w:r>
      <w:r>
        <w:rPr>
          <w:rFonts w:asciiTheme="majorBidi" w:hAnsiTheme="majorBidi" w:cstheme="majorBidi"/>
          <w:sz w:val="20"/>
          <w:szCs w:val="20"/>
        </w:rPr>
        <w:fldChar w:fldCharType="begin"/>
      </w:r>
      <w:r>
        <w:rPr>
          <w:rFonts w:asciiTheme="majorBidi" w:hAnsiTheme="majorBidi" w:cstheme="majorBidi"/>
          <w:sz w:val="20"/>
          <w:szCs w:val="20"/>
        </w:rPr>
        <w:instrText xml:space="preserve"> SEQ Figure \* ARABIC </w:instrText>
      </w:r>
      <w:r>
        <w:rPr>
          <w:rFonts w:asciiTheme="majorBidi" w:hAnsiTheme="majorBidi" w:cstheme="majorBidi"/>
          <w:sz w:val="20"/>
          <w:szCs w:val="20"/>
        </w:rPr>
        <w:fldChar w:fldCharType="separate"/>
      </w:r>
      <w:r>
        <w:rPr>
          <w:rFonts w:asciiTheme="majorBidi" w:hAnsiTheme="majorBidi" w:cstheme="majorBidi"/>
          <w:sz w:val="20"/>
          <w:szCs w:val="20"/>
        </w:rPr>
        <w:t>2</w:t>
      </w:r>
      <w:r>
        <w:rPr>
          <w:rFonts w:asciiTheme="majorBidi" w:hAnsiTheme="majorBidi" w:cstheme="majorBidi"/>
          <w:sz w:val="20"/>
          <w:szCs w:val="20"/>
        </w:rPr>
        <w:fldChar w:fldCharType="end"/>
      </w:r>
      <w:r>
        <w:rPr>
          <w:rFonts w:asciiTheme="majorBidi" w:hAnsiTheme="majorBidi" w:cstheme="majorBidi"/>
          <w:sz w:val="20"/>
          <w:szCs w:val="20"/>
        </w:rPr>
        <w:t>: TESLA's Current Approach (Source: By Author)</w:t>
      </w:r>
    </w:p>
    <w:p>
      <w:pPr>
        <w:pStyle w:val="2"/>
        <w:spacing w:after="0"/>
        <w:rPr>
          <w:rFonts w:asciiTheme="majorBidi" w:hAnsiTheme="majorBidi" w:cstheme="majorBidi"/>
          <w:lang w:eastAsia="en-GB"/>
        </w:rPr>
      </w:pPr>
      <w:bookmarkStart w:id="7" w:name="_Toc144195747"/>
      <w:r>
        <w:rPr>
          <w:rFonts w:asciiTheme="majorBidi" w:hAnsiTheme="majorBidi" w:cstheme="majorBidi"/>
          <w:lang w:eastAsia="en-GB"/>
        </w:rPr>
        <w:t>3.0 Importance of End-to-End Customer Journey</w:t>
      </w:r>
      <w:bookmarkEnd w:id="7"/>
    </w:p>
    <w:p>
      <w:pPr>
        <w:pStyle w:val="3"/>
        <w:spacing w:before="0" w:line="480" w:lineRule="auto"/>
        <w:rPr>
          <w:rFonts w:asciiTheme="majorBidi" w:hAnsiTheme="majorBidi" w:cstheme="majorBidi"/>
        </w:rPr>
      </w:pPr>
      <w:bookmarkStart w:id="8" w:name="_Toc144195748"/>
      <w:r>
        <w:rPr>
          <w:rFonts w:asciiTheme="majorBidi" w:hAnsiTheme="majorBidi" w:cstheme="majorBidi"/>
        </w:rPr>
        <w:t>3.1 Definition and Theory behind Customer Journey</w:t>
      </w:r>
      <w:bookmarkEnd w:id="8"/>
    </w:p>
    <w:p>
      <w:pPr>
        <w:spacing w:after="0"/>
        <w:ind w:firstLine="720"/>
        <w:rPr>
          <w:rFonts w:asciiTheme="majorBidi" w:hAnsiTheme="majorBidi" w:cstheme="majorBidi"/>
        </w:rPr>
      </w:pPr>
      <w:r>
        <w:rPr>
          <w:rFonts w:asciiTheme="majorBidi" w:hAnsiTheme="majorBidi" w:cstheme="majorBidi"/>
        </w:rPr>
        <w:t>The customer's interaction with a company is known as the "customer journey," which includes everything from the consumer's first encounter with the brand to the after-sale support they receive (</w:t>
      </w:r>
      <w:r>
        <w:rPr>
          <w:rFonts w:asciiTheme="majorBidi" w:hAnsiTheme="majorBidi" w:cstheme="majorBidi"/>
          <w:color w:val="222222"/>
          <w:shd w:val="clear" w:color="auto" w:fill="FFFFFF"/>
        </w:rPr>
        <w:t>Tueanrat et al., 2021)</w:t>
      </w:r>
      <w:r>
        <w:rPr>
          <w:rFonts w:asciiTheme="majorBidi" w:hAnsiTheme="majorBidi" w:cstheme="majorBidi"/>
        </w:rPr>
        <w:t>. Customer journeys are more comprehensive than touch points, which focus on isolated interactions between customers and brands. The customer journey from awareness to consideration to purchase to loyalty must be mapped out and understood, not only as a series of discrete events (</w:t>
      </w:r>
      <w:r>
        <w:rPr>
          <w:rFonts w:asciiTheme="majorBidi" w:hAnsiTheme="majorBidi" w:cstheme="majorBidi"/>
          <w:color w:val="222222"/>
          <w:shd w:val="clear" w:color="auto" w:fill="FFFFFF"/>
        </w:rPr>
        <w:t>Grewal and Roggeveen, 2020)</w:t>
      </w:r>
      <w:r>
        <w:rPr>
          <w:rFonts w:asciiTheme="majorBidi" w:hAnsiTheme="majorBidi" w:cstheme="majorBidi"/>
        </w:rPr>
        <w:t>. The approach is based on consumer psychology and behavior research, emphasising anticipating and satisfying customers at every stage of the buying process.</w:t>
      </w:r>
    </w:p>
    <w:p>
      <w:pPr>
        <w:keepNext/>
        <w:spacing w:after="0"/>
        <w:jc w:val="center"/>
        <w:rPr>
          <w:rFonts w:asciiTheme="majorBidi" w:hAnsiTheme="majorBidi" w:cstheme="majorBidi"/>
        </w:rPr>
      </w:pPr>
      <w:r>
        <w:rPr>
          <w:rFonts w:asciiTheme="majorBidi" w:hAnsiTheme="majorBidi" w:cstheme="majorBidi"/>
        </w:rPr>
        <w:drawing>
          <wp:inline distT="0" distB="0" distL="0" distR="0">
            <wp:extent cx="3707765" cy="2057400"/>
            <wp:effectExtent l="0" t="0" r="6985" b="0"/>
            <wp:docPr id="1224592573" name="Picture 5" descr="Customer Journey: How to Drive Profitable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592573" name="Picture 5" descr="Customer Journey: How to Drive Profitable Business Growt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738729" cy="2074402"/>
                    </a:xfrm>
                    <a:prstGeom prst="rect">
                      <a:avLst/>
                    </a:prstGeom>
                    <a:noFill/>
                    <a:ln>
                      <a:noFill/>
                    </a:ln>
                  </pic:spPr>
                </pic:pic>
              </a:graphicData>
            </a:graphic>
          </wp:inline>
        </w:drawing>
      </w:r>
    </w:p>
    <w:p>
      <w:pPr>
        <w:pStyle w:val="12"/>
        <w:spacing w:after="0" w:line="480" w:lineRule="auto"/>
        <w:jc w:val="center"/>
        <w:rPr>
          <w:rFonts w:asciiTheme="majorBidi" w:hAnsiTheme="majorBidi" w:cstheme="majorBidi"/>
          <w:sz w:val="20"/>
          <w:szCs w:val="20"/>
        </w:rPr>
      </w:pPr>
      <w:r>
        <w:rPr>
          <w:rFonts w:asciiTheme="majorBidi" w:hAnsiTheme="majorBidi" w:cstheme="majorBidi"/>
          <w:sz w:val="20"/>
          <w:szCs w:val="20"/>
        </w:rPr>
        <w:t xml:space="preserve">Figure </w:t>
      </w:r>
      <w:r>
        <w:rPr>
          <w:rFonts w:asciiTheme="majorBidi" w:hAnsiTheme="majorBidi" w:cstheme="majorBidi"/>
          <w:sz w:val="20"/>
          <w:szCs w:val="20"/>
        </w:rPr>
        <w:fldChar w:fldCharType="begin"/>
      </w:r>
      <w:r>
        <w:rPr>
          <w:rFonts w:asciiTheme="majorBidi" w:hAnsiTheme="majorBidi" w:cstheme="majorBidi"/>
          <w:sz w:val="20"/>
          <w:szCs w:val="20"/>
        </w:rPr>
        <w:instrText xml:space="preserve"> SEQ Figure \* ARABIC </w:instrText>
      </w:r>
      <w:r>
        <w:rPr>
          <w:rFonts w:asciiTheme="majorBidi" w:hAnsiTheme="majorBidi" w:cstheme="majorBidi"/>
          <w:sz w:val="20"/>
          <w:szCs w:val="20"/>
        </w:rPr>
        <w:fldChar w:fldCharType="separate"/>
      </w:r>
      <w:r>
        <w:rPr>
          <w:rFonts w:asciiTheme="majorBidi" w:hAnsiTheme="majorBidi" w:cstheme="majorBidi"/>
          <w:sz w:val="20"/>
          <w:szCs w:val="20"/>
        </w:rPr>
        <w:t>3</w:t>
      </w:r>
      <w:r>
        <w:rPr>
          <w:rFonts w:asciiTheme="majorBidi" w:hAnsiTheme="majorBidi" w:cstheme="majorBidi"/>
          <w:sz w:val="20"/>
          <w:szCs w:val="20"/>
        </w:rPr>
        <w:fldChar w:fldCharType="end"/>
      </w:r>
      <w:r>
        <w:rPr>
          <w:rFonts w:asciiTheme="majorBidi" w:hAnsiTheme="majorBidi" w:cstheme="majorBidi"/>
          <w:sz w:val="20"/>
          <w:szCs w:val="20"/>
        </w:rPr>
        <w:t>: Customer Journey (</w:t>
      </w:r>
      <w:r>
        <w:rPr>
          <w:rFonts w:asciiTheme="majorBidi" w:hAnsiTheme="majorBidi" w:cstheme="majorBidi"/>
          <w:sz w:val="20"/>
          <w:szCs w:val="20"/>
          <w:shd w:val="clear" w:color="auto" w:fill="FFFFFF"/>
        </w:rPr>
        <w:t>Becker and Jaakkola, 2020)</w:t>
      </w:r>
    </w:p>
    <w:p>
      <w:pPr>
        <w:pStyle w:val="3"/>
        <w:spacing w:before="0" w:line="480" w:lineRule="auto"/>
        <w:rPr>
          <w:rFonts w:asciiTheme="majorBidi" w:hAnsiTheme="majorBidi" w:cstheme="majorBidi"/>
        </w:rPr>
      </w:pPr>
      <w:bookmarkStart w:id="9" w:name="_Toc144195749"/>
      <w:r>
        <w:rPr>
          <w:rFonts w:asciiTheme="majorBidi" w:hAnsiTheme="majorBidi" w:cstheme="majorBidi"/>
        </w:rPr>
        <w:t>3.2 Importance in Modern Marketing</w:t>
      </w:r>
      <w:bookmarkEnd w:id="9"/>
    </w:p>
    <w:p>
      <w:pPr>
        <w:spacing w:after="0"/>
        <w:ind w:firstLine="720"/>
        <w:rPr>
          <w:rFonts w:asciiTheme="majorBidi" w:hAnsiTheme="majorBidi" w:cstheme="majorBidi"/>
        </w:rPr>
      </w:pPr>
      <w:r>
        <w:rPr>
          <w:rFonts w:asciiTheme="majorBidi" w:hAnsiTheme="majorBidi" w:cstheme="majorBidi"/>
        </w:rPr>
        <w:t>The importance of the customer experience in today's highly competitive market cannot be overstated (</w:t>
      </w:r>
      <w:r>
        <w:rPr>
          <w:rFonts w:asciiTheme="majorBidi" w:hAnsiTheme="majorBidi" w:cstheme="majorBidi"/>
          <w:color w:val="222222"/>
          <w:shd w:val="clear" w:color="auto" w:fill="FFFFFF"/>
        </w:rPr>
        <w:t>Khan et al., 2020)</w:t>
      </w:r>
      <w:r>
        <w:rPr>
          <w:rFonts w:asciiTheme="majorBidi" w:hAnsiTheme="majorBidi" w:cstheme="majorBidi"/>
        </w:rPr>
        <w:t>. Companies can no longer rely on isolated touch points to gauge success in today's crowded marketplace. Now that customers have greater access to information and alternatives, the tables have turned. As a result, retaining customers and fostering lasting bonds has become dependent on offering a smooth, comprehensive service (</w:t>
      </w:r>
      <w:r>
        <w:rPr>
          <w:rFonts w:asciiTheme="majorBidi" w:hAnsiTheme="majorBidi" w:cstheme="majorBidi"/>
          <w:color w:val="222222"/>
          <w:shd w:val="clear" w:color="auto" w:fill="FFFFFF"/>
        </w:rPr>
        <w:t>Chen, 2023)</w:t>
      </w:r>
      <w:r>
        <w:rPr>
          <w:rFonts w:asciiTheme="majorBidi" w:hAnsiTheme="majorBidi" w:cstheme="majorBidi"/>
        </w:rPr>
        <w:t xml:space="preserve">. </w:t>
      </w:r>
    </w:p>
    <w:p>
      <w:pPr>
        <w:pStyle w:val="3"/>
        <w:spacing w:before="0" w:line="480" w:lineRule="auto"/>
        <w:rPr>
          <w:rFonts w:asciiTheme="majorBidi" w:hAnsiTheme="majorBidi" w:cstheme="majorBidi"/>
        </w:rPr>
      </w:pPr>
      <w:bookmarkStart w:id="10" w:name="_Toc144195750"/>
      <w:r>
        <w:rPr>
          <w:rFonts w:asciiTheme="majorBidi" w:hAnsiTheme="majorBidi" w:cstheme="majorBidi"/>
        </w:rPr>
        <w:t>3.3 How it applies to Tesla</w:t>
      </w:r>
      <w:bookmarkEnd w:id="10"/>
    </w:p>
    <w:p>
      <w:pPr>
        <w:spacing w:after="0"/>
        <w:ind w:firstLine="720"/>
        <w:rPr>
          <w:rFonts w:asciiTheme="majorBidi" w:hAnsiTheme="majorBidi" w:cstheme="majorBidi"/>
        </w:rPr>
      </w:pPr>
      <w:r>
        <w:rPr>
          <w:rFonts w:asciiTheme="majorBidi" w:hAnsiTheme="majorBidi" w:cstheme="majorBidi"/>
        </w:rPr>
        <w:t>Tesla's ability to comprehend the customer's journey is vital for various reasons (</w:t>
      </w:r>
      <w:r>
        <w:rPr>
          <w:rFonts w:asciiTheme="majorBidi" w:hAnsiTheme="majorBidi" w:cstheme="majorBidi"/>
          <w:color w:val="222222"/>
          <w:shd w:val="clear" w:color="auto" w:fill="FFFFFF"/>
        </w:rPr>
        <w:t>Jing, 2020)</w:t>
      </w:r>
      <w:r>
        <w:rPr>
          <w:rFonts w:asciiTheme="majorBidi" w:hAnsiTheme="majorBidi" w:cstheme="majorBidi"/>
        </w:rPr>
        <w:t>. The Tesla product line encompasses more than automobiles; it also includes infrastructure for recharging and storing electrical power and photovoltaic panels. So, the customer journey is about more than just a single purchase; it is about adopting a more sustainable way of life (</w:t>
      </w:r>
      <w:r>
        <w:rPr>
          <w:rFonts w:asciiTheme="majorBidi" w:hAnsiTheme="majorBidi" w:cstheme="majorBidi"/>
          <w:color w:val="222222"/>
          <w:shd w:val="clear" w:color="auto" w:fill="FFFFFF"/>
        </w:rPr>
        <w:t>Jung and Mittal, 2020)</w:t>
      </w:r>
      <w:r>
        <w:rPr>
          <w:rFonts w:asciiTheme="majorBidi" w:hAnsiTheme="majorBidi" w:cstheme="majorBidi"/>
        </w:rPr>
        <w:t>. Understanding and tracking the customer's path from early curiosity (sparked by word of mouth or social media) to ongoing engagement (through software upgrades, Tesla community events, and sustainability programs) is essential for maintaining a long-term relationship (</w:t>
      </w:r>
      <w:r>
        <w:rPr>
          <w:rFonts w:asciiTheme="majorBidi" w:hAnsiTheme="majorBidi" w:cstheme="majorBidi"/>
          <w:color w:val="222222"/>
          <w:shd w:val="clear" w:color="auto" w:fill="FFFFFF"/>
        </w:rPr>
        <w:t>Ozuem and Willis, 2022)</w:t>
      </w:r>
      <w:r>
        <w:rPr>
          <w:rFonts w:asciiTheme="majorBidi" w:hAnsiTheme="majorBidi" w:cstheme="majorBidi"/>
        </w:rPr>
        <w:t xml:space="preserve">. Tesla needs to know why people are interested in electric vehicles, what keeps them from buying one, and how satisfied they are after the purchase. </w:t>
      </w:r>
    </w:p>
    <w:p>
      <w:pPr>
        <w:keepNext/>
        <w:spacing w:after="0"/>
        <w:jc w:val="center"/>
        <w:rPr>
          <w:rFonts w:asciiTheme="majorBidi" w:hAnsiTheme="majorBidi" w:cstheme="majorBidi"/>
        </w:rPr>
      </w:pPr>
      <w:r>
        <w:rPr>
          <w:rFonts w:asciiTheme="majorBidi" w:hAnsiTheme="majorBidi" w:cstheme="majorBidi"/>
        </w:rPr>
        <w:drawing>
          <wp:inline distT="0" distB="0" distL="0" distR="0">
            <wp:extent cx="5365750" cy="3987800"/>
            <wp:effectExtent l="0" t="0" r="6350" b="0"/>
            <wp:docPr id="1083627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627573" name="Picture 1"/>
                    <pic:cNvPicPr>
                      <a:picLocks noChangeAspect="1"/>
                    </pic:cNvPicPr>
                  </pic:nvPicPr>
                  <pic:blipFill>
                    <a:blip r:embed="rId12"/>
                    <a:stretch>
                      <a:fillRect/>
                    </a:stretch>
                  </pic:blipFill>
                  <pic:spPr>
                    <a:xfrm>
                      <a:off x="0" y="0"/>
                      <a:ext cx="5366026" cy="3988005"/>
                    </a:xfrm>
                    <a:prstGeom prst="rect">
                      <a:avLst/>
                    </a:prstGeom>
                  </pic:spPr>
                </pic:pic>
              </a:graphicData>
            </a:graphic>
          </wp:inline>
        </w:drawing>
      </w:r>
    </w:p>
    <w:p>
      <w:pPr>
        <w:pStyle w:val="12"/>
        <w:spacing w:after="0" w:line="480" w:lineRule="auto"/>
        <w:jc w:val="center"/>
        <w:rPr>
          <w:rFonts w:asciiTheme="majorBidi" w:hAnsiTheme="majorBidi" w:cstheme="majorBidi"/>
          <w:sz w:val="20"/>
          <w:szCs w:val="20"/>
        </w:rPr>
      </w:pPr>
      <w:r>
        <w:rPr>
          <w:rFonts w:asciiTheme="majorBidi" w:hAnsiTheme="majorBidi" w:cstheme="majorBidi"/>
          <w:sz w:val="20"/>
          <w:szCs w:val="20"/>
        </w:rPr>
        <w:t xml:space="preserve">Figure </w:t>
      </w:r>
      <w:r>
        <w:rPr>
          <w:rFonts w:asciiTheme="majorBidi" w:hAnsiTheme="majorBidi" w:cstheme="majorBidi"/>
          <w:sz w:val="20"/>
          <w:szCs w:val="20"/>
        </w:rPr>
        <w:fldChar w:fldCharType="begin"/>
      </w:r>
      <w:r>
        <w:rPr>
          <w:rFonts w:asciiTheme="majorBidi" w:hAnsiTheme="majorBidi" w:cstheme="majorBidi"/>
          <w:sz w:val="20"/>
          <w:szCs w:val="20"/>
        </w:rPr>
        <w:instrText xml:space="preserve"> SEQ Figure \* ARABIC </w:instrText>
      </w:r>
      <w:r>
        <w:rPr>
          <w:rFonts w:asciiTheme="majorBidi" w:hAnsiTheme="majorBidi" w:cstheme="majorBidi"/>
          <w:sz w:val="20"/>
          <w:szCs w:val="20"/>
        </w:rPr>
        <w:fldChar w:fldCharType="separate"/>
      </w:r>
      <w:r>
        <w:rPr>
          <w:rFonts w:asciiTheme="majorBidi" w:hAnsiTheme="majorBidi" w:cstheme="majorBidi"/>
          <w:sz w:val="20"/>
          <w:szCs w:val="20"/>
        </w:rPr>
        <w:t>4</w:t>
      </w:r>
      <w:r>
        <w:rPr>
          <w:rFonts w:asciiTheme="majorBidi" w:hAnsiTheme="majorBidi" w:cstheme="majorBidi"/>
          <w:sz w:val="20"/>
          <w:szCs w:val="20"/>
        </w:rPr>
        <w:fldChar w:fldCharType="end"/>
      </w:r>
      <w:r>
        <w:rPr>
          <w:rFonts w:asciiTheme="majorBidi" w:hAnsiTheme="majorBidi" w:cstheme="majorBidi"/>
          <w:sz w:val="20"/>
          <w:szCs w:val="20"/>
        </w:rPr>
        <w:t>: TESLA Customer Journey Map (</w:t>
      </w:r>
      <w:r>
        <w:rPr>
          <w:rFonts w:asciiTheme="majorBidi" w:hAnsiTheme="majorBidi" w:cstheme="majorBidi"/>
          <w:sz w:val="20"/>
          <w:szCs w:val="20"/>
          <w:shd w:val="clear" w:color="auto" w:fill="FFFFFF"/>
        </w:rPr>
        <w:t>Prior, 2023)</w:t>
      </w:r>
    </w:p>
    <w:p>
      <w:pPr>
        <w:pStyle w:val="2"/>
        <w:spacing w:after="0"/>
        <w:rPr>
          <w:rFonts w:asciiTheme="majorBidi" w:hAnsiTheme="majorBidi" w:cstheme="majorBidi"/>
          <w:lang w:eastAsia="en-GB"/>
        </w:rPr>
      </w:pPr>
      <w:bookmarkStart w:id="11" w:name="_Toc144195751"/>
      <w:r>
        <w:rPr>
          <w:rFonts w:asciiTheme="majorBidi" w:hAnsiTheme="majorBidi" w:cstheme="majorBidi"/>
          <w:lang w:eastAsia="en-GB"/>
        </w:rPr>
        <w:t>4.0 Innovative Marketing Strategies for Tesla</w:t>
      </w:r>
      <w:bookmarkEnd w:id="11"/>
      <w:r>
        <w:rPr>
          <w:rFonts w:asciiTheme="majorBidi" w:hAnsiTheme="majorBidi" w:cstheme="majorBidi"/>
        </w:rPr>
        <w:t xml:space="preserve"> </w:t>
      </w:r>
    </w:p>
    <w:p>
      <w:pPr>
        <w:pStyle w:val="3"/>
        <w:spacing w:before="0" w:line="480" w:lineRule="auto"/>
        <w:rPr>
          <w:rFonts w:asciiTheme="majorBidi" w:hAnsiTheme="majorBidi" w:cstheme="majorBidi"/>
          <w:lang w:eastAsia="en-GB"/>
        </w:rPr>
      </w:pPr>
      <w:bookmarkStart w:id="12" w:name="_Toc144195752"/>
      <w:r>
        <w:rPr>
          <w:rFonts w:asciiTheme="majorBidi" w:hAnsiTheme="majorBidi" w:cstheme="majorBidi"/>
          <w:lang w:eastAsia="en-GB"/>
        </w:rPr>
        <w:t>4.1 Social Media Interactions</w:t>
      </w:r>
      <w:bookmarkEnd w:id="12"/>
      <w:r>
        <w:rPr>
          <w:rFonts w:asciiTheme="majorBidi" w:hAnsiTheme="majorBidi" w:cstheme="majorBidi"/>
        </w:rPr>
        <w:t xml:space="preserve"> </w:t>
      </w:r>
    </w:p>
    <w:p>
      <w:pPr>
        <w:spacing w:after="0"/>
        <w:ind w:firstLine="720"/>
        <w:rPr>
          <w:rFonts w:asciiTheme="majorBidi" w:hAnsiTheme="majorBidi" w:cstheme="majorBidi"/>
        </w:rPr>
      </w:pPr>
      <w:r>
        <w:rPr>
          <w:rFonts w:asciiTheme="majorBidi" w:hAnsiTheme="majorBidi" w:cstheme="majorBidi"/>
        </w:rPr>
        <w:t>Like many other modern companies, Tesla has found social media an essential resource. Virtual test drives would be an innovative approach that Tesla could use to use the platform's many capabilities to improve the consumer experience (</w:t>
      </w:r>
      <w:r>
        <w:rPr>
          <w:rFonts w:asciiTheme="majorBidi" w:hAnsiTheme="majorBidi" w:cstheme="majorBidi"/>
          <w:color w:val="222222"/>
          <w:shd w:val="clear" w:color="auto" w:fill="FFFFFF"/>
        </w:rPr>
        <w:t>Jaymes, 2022)</w:t>
      </w:r>
      <w:r>
        <w:rPr>
          <w:rFonts w:asciiTheme="majorBidi" w:hAnsiTheme="majorBidi" w:cstheme="majorBidi"/>
        </w:rPr>
        <w:t>. Since Tesla does not spend money on traditional forms of advertising, virtual test drives may be a good method to attract new buyers who live far from a Tesla dealership (</w:t>
      </w:r>
      <w:r>
        <w:rPr>
          <w:rFonts w:asciiTheme="majorBidi" w:hAnsiTheme="majorBidi" w:cstheme="majorBidi"/>
          <w:color w:val="222222"/>
          <w:shd w:val="clear" w:color="auto" w:fill="FFFFFF"/>
        </w:rPr>
        <w:t>Kang et al., 2019)</w:t>
      </w:r>
      <w:r>
        <w:rPr>
          <w:rFonts w:asciiTheme="majorBidi" w:hAnsiTheme="majorBidi" w:cstheme="majorBidi"/>
        </w:rPr>
        <w:t>. The idea is straightforward: let users virtually sit inside a Tesla and explore its interior and controls in 360 degrees. The method may be implemented on social media sites like Instagram or Facebook, allowing users to virtually step inside a Tesla and experiment with its features by clicking and dragging (</w:t>
      </w:r>
      <w:r>
        <w:rPr>
          <w:rFonts w:asciiTheme="majorBidi" w:hAnsiTheme="majorBidi" w:cstheme="majorBidi"/>
          <w:color w:val="222222"/>
          <w:shd w:val="clear" w:color="auto" w:fill="FFFFFF"/>
        </w:rPr>
        <w:t>Singh et al., 2019)</w:t>
      </w:r>
      <w:r>
        <w:rPr>
          <w:rFonts w:asciiTheme="majorBidi" w:hAnsiTheme="majorBidi" w:cstheme="majorBidi"/>
        </w:rPr>
        <w:t>.</w:t>
      </w:r>
    </w:p>
    <w:p>
      <w:pPr>
        <w:spacing w:after="0"/>
        <w:ind w:firstLine="720"/>
        <w:rPr>
          <w:rFonts w:asciiTheme="majorBidi" w:hAnsiTheme="majorBidi" w:cstheme="majorBidi"/>
        </w:rPr>
      </w:pPr>
      <w:r>
        <w:rPr>
          <w:rFonts w:asciiTheme="majorBidi" w:hAnsiTheme="majorBidi" w:cstheme="majorBidi"/>
        </w:rPr>
        <w:t>Elon Musk, CEO of Tesla, is quite active on Twitter, part of the company's social media strategy (</w:t>
      </w:r>
      <w:r>
        <w:rPr>
          <w:rFonts w:asciiTheme="majorBidi" w:hAnsiTheme="majorBidi" w:cstheme="majorBidi"/>
          <w:color w:val="222222"/>
          <w:shd w:val="clear" w:color="auto" w:fill="FFFFFF"/>
        </w:rPr>
        <w:t>Corte, 2020)</w:t>
      </w:r>
      <w:r>
        <w:rPr>
          <w:rFonts w:asciiTheme="majorBidi" w:hAnsiTheme="majorBidi" w:cstheme="majorBidi"/>
        </w:rPr>
        <w:t>. Elon Musk is well-known for his frequent participation on the site, during which he discusses new improvements, responds to questions from users, and addresses their concerns. His Twitter feed combines a news source, a customer support channel, and a hype machine for upcoming products (</w:t>
      </w:r>
      <w:r>
        <w:rPr>
          <w:rFonts w:asciiTheme="majorBidi" w:hAnsiTheme="majorBidi" w:cstheme="majorBidi"/>
          <w:color w:val="222222"/>
          <w:shd w:val="clear" w:color="auto" w:fill="FFFFFF"/>
        </w:rPr>
        <w:t>Xu and Jackson, 2019)</w:t>
      </w:r>
      <w:r>
        <w:rPr>
          <w:rFonts w:asciiTheme="majorBidi" w:hAnsiTheme="majorBidi" w:cstheme="majorBidi"/>
        </w:rPr>
        <w:t>. Example: Musk tweeted about a soon-to-be-released technology allowing Tesla vehicles to "talk" to pedestrians, prompting widespread interest and discussion amongst fans and the media. In addition to providing Tesla with free publicity and the ability to build and control the narrative surrounding their brand, this novel technique of using the CEO's social media presence for consumer engagement is unusual (</w:t>
      </w:r>
      <w:r>
        <w:rPr>
          <w:rFonts w:asciiTheme="majorBidi" w:hAnsiTheme="majorBidi" w:cstheme="majorBidi"/>
          <w:color w:val="222222"/>
          <w:shd w:val="clear" w:color="auto" w:fill="FFFFFF"/>
        </w:rPr>
        <w:t>Pathak et al., 2022)</w:t>
      </w:r>
      <w:r>
        <w:rPr>
          <w:rFonts w:asciiTheme="majorBidi" w:hAnsiTheme="majorBidi" w:cstheme="majorBidi"/>
        </w:rPr>
        <w:t>. These exchanges on social media are crucial to the customer experience as a whole, not just touch points along the way. Letting potential customers experience Tesla's offerings through virtual test drives can convert interest into serious consideration (</w:t>
      </w:r>
      <w:r>
        <w:rPr>
          <w:rFonts w:asciiTheme="majorBidi" w:hAnsiTheme="majorBidi" w:cstheme="majorBidi"/>
          <w:color w:val="222222"/>
          <w:shd w:val="clear" w:color="auto" w:fill="FFFFFF"/>
        </w:rPr>
        <w:t>Yin et al., 2022)</w:t>
      </w:r>
      <w:r>
        <w:rPr>
          <w:rFonts w:asciiTheme="majorBidi" w:hAnsiTheme="majorBidi" w:cstheme="majorBidi"/>
        </w:rPr>
        <w:t xml:space="preserve">. Elon Musk's prolific use of Twitter increases client involvement after purchase and cements brand loyalty. </w:t>
      </w:r>
    </w:p>
    <w:p>
      <w:pPr>
        <w:keepNext/>
        <w:spacing w:after="0"/>
        <w:rPr>
          <w:rFonts w:asciiTheme="majorBidi" w:hAnsiTheme="majorBidi" w:cstheme="majorBidi"/>
        </w:rPr>
      </w:pPr>
      <w:r>
        <w:rPr>
          <w:rFonts w:asciiTheme="majorBidi" w:hAnsiTheme="majorBidi" w:cstheme="majorBidi"/>
        </w:rPr>
        <w:drawing>
          <wp:inline distT="0" distB="0" distL="0" distR="0">
            <wp:extent cx="5731510" cy="2224405"/>
            <wp:effectExtent l="0" t="0" r="2540" b="4445"/>
            <wp:docPr id="19997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465" name="Picture 1"/>
                    <pic:cNvPicPr>
                      <a:picLocks noChangeAspect="1"/>
                    </pic:cNvPicPr>
                  </pic:nvPicPr>
                  <pic:blipFill>
                    <a:blip r:embed="rId13"/>
                    <a:stretch>
                      <a:fillRect/>
                    </a:stretch>
                  </pic:blipFill>
                  <pic:spPr>
                    <a:xfrm>
                      <a:off x="0" y="0"/>
                      <a:ext cx="5731510" cy="2224405"/>
                    </a:xfrm>
                    <a:prstGeom prst="rect">
                      <a:avLst/>
                    </a:prstGeom>
                  </pic:spPr>
                </pic:pic>
              </a:graphicData>
            </a:graphic>
          </wp:inline>
        </w:drawing>
      </w:r>
    </w:p>
    <w:p>
      <w:pPr>
        <w:pStyle w:val="12"/>
        <w:spacing w:after="0" w:line="480" w:lineRule="auto"/>
        <w:jc w:val="center"/>
        <w:rPr>
          <w:rFonts w:asciiTheme="majorBidi" w:hAnsiTheme="majorBidi" w:cstheme="majorBidi"/>
          <w:sz w:val="20"/>
          <w:szCs w:val="20"/>
        </w:rPr>
      </w:pPr>
      <w:r>
        <w:rPr>
          <w:rFonts w:asciiTheme="majorBidi" w:hAnsiTheme="majorBidi" w:cstheme="majorBidi"/>
          <w:sz w:val="20"/>
          <w:szCs w:val="20"/>
        </w:rPr>
        <w:t xml:space="preserve">Figure </w:t>
      </w:r>
      <w:r>
        <w:rPr>
          <w:rFonts w:asciiTheme="majorBidi" w:hAnsiTheme="majorBidi" w:cstheme="majorBidi"/>
          <w:sz w:val="20"/>
          <w:szCs w:val="20"/>
        </w:rPr>
        <w:fldChar w:fldCharType="begin"/>
      </w:r>
      <w:r>
        <w:rPr>
          <w:rFonts w:asciiTheme="majorBidi" w:hAnsiTheme="majorBidi" w:cstheme="majorBidi"/>
          <w:sz w:val="20"/>
          <w:szCs w:val="20"/>
        </w:rPr>
        <w:instrText xml:space="preserve"> SEQ Figure \* ARABIC </w:instrText>
      </w:r>
      <w:r>
        <w:rPr>
          <w:rFonts w:asciiTheme="majorBidi" w:hAnsiTheme="majorBidi" w:cstheme="majorBidi"/>
          <w:sz w:val="20"/>
          <w:szCs w:val="20"/>
        </w:rPr>
        <w:fldChar w:fldCharType="separate"/>
      </w:r>
      <w:r>
        <w:rPr>
          <w:rFonts w:asciiTheme="majorBidi" w:hAnsiTheme="majorBidi" w:cstheme="majorBidi"/>
          <w:sz w:val="20"/>
          <w:szCs w:val="20"/>
        </w:rPr>
        <w:t>5</w:t>
      </w:r>
      <w:r>
        <w:rPr>
          <w:rFonts w:asciiTheme="majorBidi" w:hAnsiTheme="majorBidi" w:cstheme="majorBidi"/>
          <w:sz w:val="20"/>
          <w:szCs w:val="20"/>
        </w:rPr>
        <w:fldChar w:fldCharType="end"/>
      </w:r>
      <w:r>
        <w:rPr>
          <w:rFonts w:asciiTheme="majorBidi" w:hAnsiTheme="majorBidi" w:cstheme="majorBidi"/>
          <w:sz w:val="20"/>
          <w:szCs w:val="20"/>
        </w:rPr>
        <w:t>: TESLA Social Media Interactions (Source: By Author)</w:t>
      </w:r>
    </w:p>
    <w:p>
      <w:pPr>
        <w:pStyle w:val="3"/>
        <w:spacing w:before="0" w:line="480" w:lineRule="auto"/>
        <w:rPr>
          <w:rFonts w:asciiTheme="majorBidi" w:hAnsiTheme="majorBidi" w:cstheme="majorBidi"/>
        </w:rPr>
      </w:pPr>
      <w:bookmarkStart w:id="13" w:name="_Toc144195753"/>
      <w:r>
        <w:rPr>
          <w:rFonts w:asciiTheme="majorBidi" w:hAnsiTheme="majorBidi" w:cstheme="majorBidi"/>
        </w:rPr>
        <w:t>4.2 Customer Education</w:t>
      </w:r>
      <w:bookmarkEnd w:id="13"/>
      <w:r>
        <w:rPr>
          <w:rFonts w:asciiTheme="majorBidi" w:hAnsiTheme="majorBidi" w:cstheme="majorBidi"/>
        </w:rPr>
        <w:t xml:space="preserve"> </w:t>
      </w:r>
    </w:p>
    <w:p>
      <w:pPr>
        <w:spacing w:after="0"/>
        <w:ind w:firstLine="720"/>
        <w:rPr>
          <w:rFonts w:asciiTheme="majorBidi" w:hAnsiTheme="majorBidi" w:cstheme="majorBidi"/>
        </w:rPr>
      </w:pPr>
      <w:r>
        <w:rPr>
          <w:rFonts w:asciiTheme="majorBidi" w:hAnsiTheme="majorBidi" w:cstheme="majorBidi"/>
        </w:rPr>
        <w:t>Consumer education is a crucial aspect of any marketing plan for a firm like Tesla, which plays in the niche yet fast-evolving electric automobiles and renewable energy solutions sector (</w:t>
      </w:r>
      <w:r>
        <w:rPr>
          <w:rFonts w:asciiTheme="majorBidi" w:hAnsiTheme="majorBidi" w:cstheme="majorBidi"/>
          <w:color w:val="222222"/>
          <w:shd w:val="clear" w:color="auto" w:fill="FFFFFF"/>
        </w:rPr>
        <w:t>Tantau and Frăţilă, 2021)</w:t>
      </w:r>
      <w:r>
        <w:rPr>
          <w:rFonts w:asciiTheme="majorBidi" w:hAnsiTheme="majorBidi" w:cstheme="majorBidi"/>
        </w:rPr>
        <w:t>. Webinars with a Q&amp;A component are a good tool for this purpose. Tesla can organise these virtual gatherings to talk about anything from the technology behind electric vehicles to how to get the most out of your Tesla's battery (</w:t>
      </w:r>
      <w:r>
        <w:rPr>
          <w:rFonts w:asciiTheme="majorBidi" w:hAnsiTheme="majorBidi" w:cstheme="majorBidi"/>
          <w:color w:val="222222"/>
          <w:shd w:val="clear" w:color="auto" w:fill="FFFFFF"/>
        </w:rPr>
        <w:t>Sanguesa et al., 2021)</w:t>
      </w:r>
      <w:r>
        <w:rPr>
          <w:rFonts w:asciiTheme="majorBidi" w:hAnsiTheme="majorBidi" w:cstheme="majorBidi"/>
        </w:rPr>
        <w:t>. Current and potential Tesla customers may get the opportunity to pose questions to Tesla experts, engineers, or perhaps Elon Musk himself in an interactive format during these sessions. By holding these webinars, Tesla can educate its customers, gain their trust, and position itself as an industry leader</w:t>
      </w:r>
      <w:r>
        <w:rPr>
          <w:rFonts w:asciiTheme="majorBidi" w:hAnsiTheme="majorBidi" w:cstheme="majorBidi"/>
          <w:color w:val="222222"/>
          <w:shd w:val="clear" w:color="auto" w:fill="FFFFFF"/>
        </w:rPr>
        <w:t xml:space="preserve"> (Thomas and Maine, 2019)</w:t>
      </w:r>
      <w:r>
        <w:rPr>
          <w:rFonts w:asciiTheme="majorBidi" w:hAnsiTheme="majorBidi" w:cstheme="majorBidi"/>
        </w:rPr>
        <w:t>.</w:t>
      </w:r>
    </w:p>
    <w:p>
      <w:pPr>
        <w:spacing w:after="0"/>
        <w:ind w:firstLine="720"/>
        <w:rPr>
          <w:rFonts w:asciiTheme="majorBidi" w:hAnsiTheme="majorBidi" w:cstheme="majorBidi"/>
        </w:rPr>
      </w:pPr>
      <w:r>
        <w:rPr>
          <w:rFonts w:asciiTheme="majorBidi" w:hAnsiTheme="majorBidi" w:cstheme="majorBidi"/>
        </w:rPr>
        <w:t>The company's annual Battery Day celebration demonstrates Tesla's dedication to educating its customers. This is not a product unveiling or a sales pitch but rather an in-depth talk and demonstration of Tesla's technology, focusing on recent developments in battery science (</w:t>
      </w:r>
      <w:r>
        <w:rPr>
          <w:rFonts w:asciiTheme="majorBidi" w:hAnsiTheme="majorBidi" w:cstheme="majorBidi"/>
          <w:color w:val="222222"/>
          <w:shd w:val="clear" w:color="auto" w:fill="FFFFFF"/>
        </w:rPr>
        <w:t>Kim et al., 2022)</w:t>
      </w:r>
      <w:r>
        <w:rPr>
          <w:rFonts w:asciiTheme="majorBidi" w:hAnsiTheme="majorBidi" w:cstheme="majorBidi"/>
        </w:rPr>
        <w:t>. On Battery Day, Tesla goes into great depth regarding its batteries, discussing everything from the materials used to the production methods and how each aspect affects the vehicle's efficiency, durability, and carbon footprint (</w:t>
      </w:r>
      <w:r>
        <w:rPr>
          <w:rFonts w:asciiTheme="majorBidi" w:hAnsiTheme="majorBidi" w:cstheme="majorBidi"/>
          <w:color w:val="222222"/>
          <w:shd w:val="clear" w:color="auto" w:fill="FFFFFF"/>
        </w:rPr>
        <w:t>Ghosh, 2020)</w:t>
      </w:r>
      <w:r>
        <w:rPr>
          <w:rFonts w:asciiTheme="majorBidi" w:hAnsiTheme="majorBidi" w:cstheme="majorBidi"/>
        </w:rPr>
        <w:t>. The "tables" battery idea was unveiled on Tesla's Battery Day in 2020, promising more energy density at a reduced cost (</w:t>
      </w:r>
      <w:r>
        <w:rPr>
          <w:rFonts w:asciiTheme="majorBidi" w:hAnsiTheme="majorBidi" w:cstheme="majorBidi"/>
          <w:color w:val="222222"/>
          <w:shd w:val="clear" w:color="auto" w:fill="FFFFFF"/>
        </w:rPr>
        <w:t>Cano, 2020)</w:t>
      </w:r>
      <w:r>
        <w:rPr>
          <w:rFonts w:asciiTheme="majorBidi" w:hAnsiTheme="majorBidi" w:cstheme="majorBidi"/>
        </w:rPr>
        <w:t>. The event was broadcast in real-time so people worldwide could watch, ask questions, and learn more about what makes Tesla's technology so revolutionary.</w:t>
      </w:r>
    </w:p>
    <w:p>
      <w:pPr>
        <w:spacing w:after="0"/>
        <w:jc w:val="center"/>
        <w:rPr>
          <w:rFonts w:asciiTheme="majorBidi" w:hAnsiTheme="majorBidi" w:cstheme="majorBidi"/>
        </w:rPr>
      </w:pPr>
      <w:r>
        <w:rPr>
          <w:rFonts w:asciiTheme="majorBidi" w:hAnsiTheme="majorBidi" w:cstheme="majorBidi"/>
        </w:rPr>
        <w:drawing>
          <wp:inline distT="0" distB="0" distL="0" distR="0">
            <wp:extent cx="3891915" cy="1625600"/>
            <wp:effectExtent l="0" t="0" r="0" b="0"/>
            <wp:docPr id="561711488" name="Picture 7" descr="FACTORS AFFECTING THE VALUATION OF ELECTRIC VEHICLE COMPANY IN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711488" name="Picture 7" descr="FACTORS AFFECTING THE VALUATION OF ELECTRIC VEHICLE COMPANY IN 20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3896150" cy="1627127"/>
                    </a:xfrm>
                    <a:prstGeom prst="rect">
                      <a:avLst/>
                    </a:prstGeom>
                    <a:noFill/>
                    <a:ln>
                      <a:noFill/>
                    </a:ln>
                  </pic:spPr>
                </pic:pic>
              </a:graphicData>
            </a:graphic>
          </wp:inline>
        </w:drawing>
      </w:r>
    </w:p>
    <w:p>
      <w:pPr>
        <w:spacing w:after="0"/>
        <w:ind w:firstLine="720"/>
        <w:rPr>
          <w:rFonts w:asciiTheme="majorBidi" w:hAnsiTheme="majorBidi" w:cstheme="majorBidi"/>
        </w:rPr>
      </w:pPr>
      <w:r>
        <w:rPr>
          <w:rFonts w:asciiTheme="majorBidi" w:hAnsiTheme="majorBidi" w:cstheme="majorBidi"/>
        </w:rPr>
        <w:t>Tesla differentiates itself in a crowded market by investing in its customers' knowledge. Webinars and Q&amp;A sessions that encourage audience participation create a more personal and engaging interaction with the brand (</w:t>
      </w:r>
      <w:r>
        <w:rPr>
          <w:rFonts w:asciiTheme="majorBidi" w:hAnsiTheme="majorBidi" w:cstheme="majorBidi"/>
          <w:color w:val="222222"/>
          <w:shd w:val="clear" w:color="auto" w:fill="FFFFFF"/>
        </w:rPr>
        <w:t>Khaleque and Krasteva, 2021)</w:t>
      </w:r>
      <w:r>
        <w:rPr>
          <w:rFonts w:asciiTheme="majorBidi" w:hAnsiTheme="majorBidi" w:cstheme="majorBidi"/>
        </w:rPr>
        <w:t xml:space="preserve">. They help Tesla dispel misunderstandings, share useful data, and recruit a knowledgeable following. The Battery Day celebration does double duty by promoting knowledge and enthusiasm for Tesla's products. </w:t>
      </w:r>
    </w:p>
    <w:p>
      <w:pPr>
        <w:pStyle w:val="3"/>
        <w:spacing w:before="0" w:line="480" w:lineRule="auto"/>
        <w:rPr>
          <w:rFonts w:asciiTheme="majorBidi" w:hAnsiTheme="majorBidi" w:cstheme="majorBidi"/>
        </w:rPr>
      </w:pPr>
      <w:bookmarkStart w:id="14" w:name="_Toc144195754"/>
      <w:r>
        <w:rPr>
          <w:rFonts w:asciiTheme="majorBidi" w:hAnsiTheme="majorBidi" w:cstheme="majorBidi"/>
        </w:rPr>
        <w:t>4.3 Enhance Online Experience</w:t>
      </w:r>
      <w:bookmarkEnd w:id="14"/>
      <w:r>
        <w:rPr>
          <w:rFonts w:asciiTheme="majorBidi" w:hAnsiTheme="majorBidi" w:cstheme="majorBidi"/>
        </w:rPr>
        <w:t xml:space="preserve"> </w:t>
      </w:r>
    </w:p>
    <w:p>
      <w:pPr>
        <w:spacing w:after="0"/>
        <w:ind w:firstLine="720"/>
        <w:rPr>
          <w:rFonts w:asciiTheme="majorBidi" w:hAnsiTheme="majorBidi" w:cstheme="majorBidi"/>
        </w:rPr>
      </w:pPr>
      <w:r>
        <w:rPr>
          <w:rFonts w:asciiTheme="majorBidi" w:hAnsiTheme="majorBidi" w:cstheme="majorBidi"/>
        </w:rPr>
        <w:t>Tesla's direct-to-consumer sales model makes a streamlined online experience much more critical for the company than for any other brand (</w:t>
      </w:r>
      <w:r>
        <w:rPr>
          <w:rFonts w:asciiTheme="majorBidi" w:hAnsiTheme="majorBidi" w:cstheme="majorBidi"/>
          <w:color w:val="222222"/>
          <w:shd w:val="clear" w:color="auto" w:fill="FFFFFF"/>
        </w:rPr>
        <w:t>Joachimsthaler and Olderog, 2022)</w:t>
      </w:r>
      <w:r>
        <w:rPr>
          <w:rFonts w:asciiTheme="majorBidi" w:hAnsiTheme="majorBidi" w:cstheme="majorBidi"/>
        </w:rPr>
        <w:t>. The customisation and ordering process is where Tesla can innovate by making it easier and more fun for customers. Consider a highly intuitive online car configurator where clients can pick and choose features and view instantaneous simulations of how those choices will affect things like driving range, top speed, and even payment plans (</w:t>
      </w:r>
      <w:r>
        <w:rPr>
          <w:rFonts w:asciiTheme="majorBidi" w:hAnsiTheme="majorBidi" w:cstheme="majorBidi"/>
          <w:color w:val="222222"/>
          <w:shd w:val="clear" w:color="auto" w:fill="FFFFFF"/>
        </w:rPr>
        <w:t>Claussmann et al., 2019)</w:t>
      </w:r>
      <w:r>
        <w:rPr>
          <w:rFonts w:asciiTheme="majorBidi" w:hAnsiTheme="majorBidi" w:cstheme="majorBidi"/>
        </w:rPr>
        <w:t>. Such a cutting-edge technology might provide a more complete picture of the product's suitability to the buyer's demands.</w:t>
      </w:r>
    </w:p>
    <w:p>
      <w:pPr>
        <w:spacing w:after="0"/>
        <w:ind w:firstLine="720"/>
        <w:rPr>
          <w:rFonts w:asciiTheme="majorBidi" w:hAnsiTheme="majorBidi" w:cstheme="majorBidi"/>
        </w:rPr>
      </w:pPr>
      <w:r>
        <w:rPr>
          <w:rFonts w:asciiTheme="majorBidi" w:hAnsiTheme="majorBidi" w:cstheme="majorBidi"/>
        </w:rPr>
        <w:t>This may be seen most clearly in Tesla's existing web platform, designed with the user experience in mind. The decision to buy a Tesla is met with a very simple and straightforward buying experience (</w:t>
      </w:r>
      <w:r>
        <w:rPr>
          <w:rFonts w:asciiTheme="majorBidi" w:hAnsiTheme="majorBidi" w:cstheme="majorBidi"/>
          <w:color w:val="222222"/>
          <w:shd w:val="clear" w:color="auto" w:fill="FFFFFF"/>
        </w:rPr>
        <w:t>Yin et al., 2022)</w:t>
      </w:r>
      <w:r>
        <w:rPr>
          <w:rFonts w:asciiTheme="majorBidi" w:hAnsiTheme="majorBidi" w:cstheme="majorBidi"/>
        </w:rPr>
        <w:t xml:space="preserve">. The website has a simple design that easily guides the user through each purchasing process step. A buyer may pick their preferred model, modify its settings, and place an order using just a few mouse clicks. Customers can view the progression of their orders and make adjustments up to a predetermined point after placing them. </w:t>
      </w:r>
      <w:r>
        <w:rPr>
          <w:rFonts w:asciiTheme="majorBidi" w:hAnsiTheme="majorBidi" w:cstheme="majorBidi"/>
          <w:color w:val="222222"/>
          <w:shd w:val="clear" w:color="auto" w:fill="FFFFFF"/>
        </w:rPr>
        <w:t xml:space="preserve">Gammon and Sallah (2021) stated  a </w:t>
      </w:r>
      <w:r>
        <w:rPr>
          <w:rFonts w:asciiTheme="majorBidi" w:hAnsiTheme="majorBidi" w:cstheme="majorBidi"/>
        </w:rPr>
        <w:t>wealth of information regarding the vehicle's specs, finance plans, and even DIY charging setups is available on the hub.</w:t>
      </w:r>
    </w:p>
    <w:p>
      <w:pPr>
        <w:keepNext/>
        <w:spacing w:after="0"/>
        <w:jc w:val="center"/>
        <w:rPr>
          <w:rFonts w:asciiTheme="majorBidi" w:hAnsiTheme="majorBidi" w:cstheme="majorBidi"/>
        </w:rPr>
      </w:pPr>
      <w:r>
        <w:rPr>
          <w:rFonts w:asciiTheme="majorBidi" w:hAnsiTheme="majorBidi" w:cstheme="majorBidi"/>
        </w:rPr>
        <w:drawing>
          <wp:inline distT="0" distB="0" distL="0" distR="0">
            <wp:extent cx="4953000" cy="2588260"/>
            <wp:effectExtent l="0" t="0" r="0" b="2540"/>
            <wp:docPr id="549009470" name="Picture 8" descr="Reasons Behind Tesla Success in An Automobil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009470" name="Picture 8" descr="Reasons Behind Tesla Success in An Automobile Industr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4959261" cy="2591717"/>
                    </a:xfrm>
                    <a:prstGeom prst="rect">
                      <a:avLst/>
                    </a:prstGeom>
                    <a:noFill/>
                    <a:ln>
                      <a:noFill/>
                    </a:ln>
                  </pic:spPr>
                </pic:pic>
              </a:graphicData>
            </a:graphic>
          </wp:inline>
        </w:drawing>
      </w:r>
    </w:p>
    <w:p>
      <w:pPr>
        <w:pStyle w:val="12"/>
        <w:spacing w:after="0" w:line="480" w:lineRule="auto"/>
        <w:jc w:val="center"/>
        <w:rPr>
          <w:rFonts w:asciiTheme="majorBidi" w:hAnsiTheme="majorBidi" w:cstheme="majorBidi"/>
          <w:sz w:val="20"/>
          <w:szCs w:val="20"/>
        </w:rPr>
      </w:pPr>
      <w:r>
        <w:rPr>
          <w:rFonts w:asciiTheme="majorBidi" w:hAnsiTheme="majorBidi" w:cstheme="majorBidi"/>
          <w:sz w:val="20"/>
          <w:szCs w:val="20"/>
        </w:rPr>
        <w:t xml:space="preserve">Figure </w:t>
      </w:r>
      <w:r>
        <w:rPr>
          <w:rFonts w:asciiTheme="majorBidi" w:hAnsiTheme="majorBidi" w:cstheme="majorBidi"/>
          <w:sz w:val="20"/>
          <w:szCs w:val="20"/>
        </w:rPr>
        <w:fldChar w:fldCharType="begin"/>
      </w:r>
      <w:r>
        <w:rPr>
          <w:rFonts w:asciiTheme="majorBidi" w:hAnsiTheme="majorBidi" w:cstheme="majorBidi"/>
          <w:sz w:val="20"/>
          <w:szCs w:val="20"/>
        </w:rPr>
        <w:instrText xml:space="preserve"> SEQ Figure \* ARABIC </w:instrText>
      </w:r>
      <w:r>
        <w:rPr>
          <w:rFonts w:asciiTheme="majorBidi" w:hAnsiTheme="majorBidi" w:cstheme="majorBidi"/>
          <w:sz w:val="20"/>
          <w:szCs w:val="20"/>
        </w:rPr>
        <w:fldChar w:fldCharType="separate"/>
      </w:r>
      <w:r>
        <w:rPr>
          <w:rFonts w:asciiTheme="majorBidi" w:hAnsiTheme="majorBidi" w:cstheme="majorBidi"/>
          <w:sz w:val="20"/>
          <w:szCs w:val="20"/>
        </w:rPr>
        <w:t>6</w:t>
      </w:r>
      <w:r>
        <w:rPr>
          <w:rFonts w:asciiTheme="majorBidi" w:hAnsiTheme="majorBidi" w:cstheme="majorBidi"/>
          <w:sz w:val="20"/>
          <w:szCs w:val="20"/>
        </w:rPr>
        <w:fldChar w:fldCharType="end"/>
      </w:r>
      <w:r>
        <w:rPr>
          <w:rFonts w:asciiTheme="majorBidi" w:hAnsiTheme="majorBidi" w:cstheme="majorBidi"/>
          <w:sz w:val="20"/>
          <w:szCs w:val="20"/>
        </w:rPr>
        <w:t>: Branding Map Tesla (</w:t>
      </w:r>
      <w:r>
        <w:rPr>
          <w:rFonts w:asciiTheme="majorBidi" w:hAnsiTheme="majorBidi" w:cstheme="majorBidi"/>
          <w:sz w:val="20"/>
          <w:szCs w:val="20"/>
          <w:shd w:val="clear" w:color="auto" w:fill="FFFFFF"/>
        </w:rPr>
        <w:t>Chatterjee et al., 2022)</w:t>
      </w:r>
    </w:p>
    <w:p>
      <w:pPr>
        <w:spacing w:after="0"/>
        <w:ind w:firstLine="720"/>
        <w:rPr>
          <w:rFonts w:asciiTheme="majorBidi" w:hAnsiTheme="majorBidi" w:cstheme="majorBidi"/>
        </w:rPr>
      </w:pPr>
      <w:r>
        <w:rPr>
          <w:rFonts w:asciiTheme="majorBidi" w:hAnsiTheme="majorBidi" w:cstheme="majorBidi"/>
        </w:rPr>
        <w:t>When purchasing a pricey item like a Tesla, a user-friendly internet shopping experience is crucial. A smooth user experience on the website decreases the likelihood of a consumer giving up and increases their happiness with the service (</w:t>
      </w:r>
      <w:r>
        <w:rPr>
          <w:rFonts w:asciiTheme="majorBidi" w:hAnsiTheme="majorBidi" w:cstheme="majorBidi"/>
          <w:color w:val="222222"/>
          <w:shd w:val="clear" w:color="auto" w:fill="FFFFFF"/>
        </w:rPr>
        <w:t>Siebert et al., 2020)</w:t>
      </w:r>
      <w:r>
        <w:rPr>
          <w:rFonts w:asciiTheme="majorBidi" w:hAnsiTheme="majorBidi" w:cstheme="majorBidi"/>
        </w:rPr>
        <w:t>. The Tesla online platform is a great example of how to accomplish this. If Tesla keeps upgrading and developing its online purchasing experience, it can increase consumer satisfaction at every buying cycle stage (</w:t>
      </w:r>
      <w:r>
        <w:rPr>
          <w:rFonts w:asciiTheme="majorBidi" w:hAnsiTheme="majorBidi" w:cstheme="majorBidi"/>
          <w:color w:val="222222"/>
          <w:shd w:val="clear" w:color="auto" w:fill="FFFFFF"/>
        </w:rPr>
        <w:t>Sheth et al., 2023)</w:t>
      </w:r>
      <w:r>
        <w:rPr>
          <w:rFonts w:asciiTheme="majorBidi" w:hAnsiTheme="majorBidi" w:cstheme="majorBidi"/>
        </w:rPr>
        <w:t>. This streamlined online experience is vital for modern firms in today's cutthroat industry to keep customers interested and loyal.</w:t>
      </w:r>
    </w:p>
    <w:p>
      <w:pPr>
        <w:pStyle w:val="2"/>
        <w:spacing w:after="0"/>
        <w:rPr>
          <w:rFonts w:asciiTheme="majorBidi" w:hAnsiTheme="majorBidi" w:cstheme="majorBidi"/>
          <w:lang w:eastAsia="en-GB"/>
        </w:rPr>
      </w:pPr>
      <w:bookmarkStart w:id="15" w:name="_Toc144195755"/>
      <w:r>
        <w:rPr>
          <w:rFonts w:asciiTheme="majorBidi" w:hAnsiTheme="majorBidi" w:cstheme="majorBidi"/>
        </w:rPr>
        <w:t xml:space="preserve">5.0 </w:t>
      </w:r>
      <w:r>
        <w:rPr>
          <w:rFonts w:asciiTheme="majorBidi" w:hAnsiTheme="majorBidi" w:cstheme="majorBidi"/>
          <w:lang w:eastAsia="en-GB"/>
        </w:rPr>
        <w:t>Managing and Evaluating Customer Journey</w:t>
      </w:r>
      <w:bookmarkEnd w:id="15"/>
    </w:p>
    <w:p>
      <w:pPr>
        <w:pStyle w:val="3"/>
        <w:spacing w:before="0" w:line="480" w:lineRule="auto"/>
        <w:rPr>
          <w:rFonts w:asciiTheme="majorBidi" w:hAnsiTheme="majorBidi" w:cstheme="majorBidi"/>
        </w:rPr>
      </w:pPr>
      <w:bookmarkStart w:id="16" w:name="_Toc144195756"/>
      <w:r>
        <w:rPr>
          <w:rFonts w:asciiTheme="majorBidi" w:hAnsiTheme="majorBidi" w:cstheme="majorBidi"/>
        </w:rPr>
        <w:t>5.1 Data Analytics</w:t>
      </w:r>
      <w:bookmarkEnd w:id="16"/>
      <w:r>
        <w:rPr>
          <w:rFonts w:asciiTheme="majorBidi" w:hAnsiTheme="majorBidi" w:cstheme="majorBidi"/>
        </w:rPr>
        <w:t xml:space="preserve"> </w:t>
      </w:r>
    </w:p>
    <w:p>
      <w:pPr>
        <w:spacing w:after="0"/>
        <w:ind w:firstLine="720"/>
        <w:rPr>
          <w:rFonts w:asciiTheme="majorBidi" w:hAnsiTheme="majorBidi" w:cstheme="majorBidi"/>
        </w:rPr>
      </w:pPr>
      <w:r>
        <w:rPr>
          <w:rFonts w:asciiTheme="majorBidi" w:hAnsiTheme="majorBidi" w:cstheme="majorBidi"/>
        </w:rPr>
        <w:t>Data analytics has become an indispensable resource for a firm as focused on cutting-edge technology as Tesla (</w:t>
      </w:r>
      <w:r>
        <w:rPr>
          <w:rFonts w:asciiTheme="majorBidi" w:hAnsiTheme="majorBidi" w:cstheme="majorBidi"/>
          <w:color w:val="222222"/>
          <w:shd w:val="clear" w:color="auto" w:fill="FFFFFF"/>
        </w:rPr>
        <w:t>Jie et al., 2023)</w:t>
      </w:r>
      <w:r>
        <w:rPr>
          <w:rFonts w:asciiTheme="majorBidi" w:hAnsiTheme="majorBidi" w:cstheme="majorBidi"/>
        </w:rPr>
        <w:t>. Tesla can learn crucial information about their clientele's habits using Big Data. Big Data can reveal, for instance, the most well-liked features, the factors that lead to a sale's completion or failure, and the buyer's behavior once they have taken possession of the vehicle (</w:t>
      </w:r>
      <w:r>
        <w:rPr>
          <w:rFonts w:asciiTheme="majorBidi" w:hAnsiTheme="majorBidi" w:cstheme="majorBidi"/>
          <w:color w:val="222222"/>
          <w:shd w:val="clear" w:color="auto" w:fill="FFFFFF"/>
        </w:rPr>
        <w:t>Huang and Qian, 2021)</w:t>
      </w:r>
      <w:r>
        <w:rPr>
          <w:rFonts w:asciiTheme="majorBidi" w:hAnsiTheme="majorBidi" w:cstheme="majorBidi"/>
        </w:rPr>
        <w:t>. These findings allow Tesla to improve its advertising, sales, and even product creation.</w:t>
      </w:r>
    </w:p>
    <w:p>
      <w:pPr>
        <w:keepNext/>
        <w:spacing w:after="0"/>
        <w:jc w:val="center"/>
        <w:rPr>
          <w:rFonts w:asciiTheme="majorBidi" w:hAnsiTheme="majorBidi" w:cstheme="majorBidi"/>
        </w:rPr>
      </w:pPr>
      <w:r>
        <w:rPr>
          <w:rFonts w:asciiTheme="majorBidi" w:hAnsiTheme="majorBidi" w:cstheme="majorBidi"/>
        </w:rPr>
        <w:drawing>
          <wp:inline distT="0" distB="0" distL="0" distR="0">
            <wp:extent cx="4135755" cy="2228850"/>
            <wp:effectExtent l="0" t="0" r="0" b="0"/>
            <wp:docPr id="1855436133" name="Picture 9" descr="The 4 layers of Data Analytics for Business Transformation | by Countant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436133" name="Picture 9" descr="The 4 layers of Data Analytics for Business Transformation | by Countants |  Mediu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4144128" cy="2233224"/>
                    </a:xfrm>
                    <a:prstGeom prst="rect">
                      <a:avLst/>
                    </a:prstGeom>
                    <a:noFill/>
                    <a:ln>
                      <a:noFill/>
                    </a:ln>
                  </pic:spPr>
                </pic:pic>
              </a:graphicData>
            </a:graphic>
          </wp:inline>
        </w:drawing>
      </w:r>
    </w:p>
    <w:p>
      <w:pPr>
        <w:pStyle w:val="12"/>
        <w:spacing w:after="0" w:line="480" w:lineRule="auto"/>
        <w:jc w:val="center"/>
        <w:rPr>
          <w:rFonts w:asciiTheme="majorBidi" w:hAnsiTheme="majorBidi" w:cstheme="majorBidi"/>
          <w:sz w:val="20"/>
          <w:szCs w:val="20"/>
        </w:rPr>
      </w:pPr>
      <w:r>
        <w:rPr>
          <w:rFonts w:asciiTheme="majorBidi" w:hAnsiTheme="majorBidi" w:cstheme="majorBidi"/>
          <w:sz w:val="20"/>
          <w:szCs w:val="20"/>
        </w:rPr>
        <w:t xml:space="preserve">Figure </w:t>
      </w:r>
      <w:r>
        <w:rPr>
          <w:rFonts w:asciiTheme="majorBidi" w:hAnsiTheme="majorBidi" w:cstheme="majorBidi"/>
          <w:sz w:val="20"/>
          <w:szCs w:val="20"/>
        </w:rPr>
        <w:fldChar w:fldCharType="begin"/>
      </w:r>
      <w:r>
        <w:rPr>
          <w:rFonts w:asciiTheme="majorBidi" w:hAnsiTheme="majorBidi" w:cstheme="majorBidi"/>
          <w:sz w:val="20"/>
          <w:szCs w:val="20"/>
        </w:rPr>
        <w:instrText xml:space="preserve"> SEQ Figure \* ARABIC </w:instrText>
      </w:r>
      <w:r>
        <w:rPr>
          <w:rFonts w:asciiTheme="majorBidi" w:hAnsiTheme="majorBidi" w:cstheme="majorBidi"/>
          <w:sz w:val="20"/>
          <w:szCs w:val="20"/>
        </w:rPr>
        <w:fldChar w:fldCharType="separate"/>
      </w:r>
      <w:r>
        <w:rPr>
          <w:rFonts w:asciiTheme="majorBidi" w:hAnsiTheme="majorBidi" w:cstheme="majorBidi"/>
          <w:sz w:val="20"/>
          <w:szCs w:val="20"/>
        </w:rPr>
        <w:t>7</w:t>
      </w:r>
      <w:r>
        <w:rPr>
          <w:rFonts w:asciiTheme="majorBidi" w:hAnsiTheme="majorBidi" w:cstheme="majorBidi"/>
          <w:sz w:val="20"/>
          <w:szCs w:val="20"/>
        </w:rPr>
        <w:fldChar w:fldCharType="end"/>
      </w:r>
      <w:r>
        <w:rPr>
          <w:rFonts w:asciiTheme="majorBidi" w:hAnsiTheme="majorBidi" w:cstheme="majorBidi"/>
          <w:sz w:val="20"/>
          <w:szCs w:val="20"/>
        </w:rPr>
        <w:t>: Data Analytics (</w:t>
      </w:r>
      <w:r>
        <w:rPr>
          <w:rFonts w:asciiTheme="majorBidi" w:hAnsiTheme="majorBidi" w:cstheme="majorBidi"/>
          <w:sz w:val="20"/>
          <w:szCs w:val="20"/>
          <w:shd w:val="clear" w:color="auto" w:fill="FFFFFF"/>
        </w:rPr>
        <w:t>Hariri et al., 2019)</w:t>
      </w:r>
    </w:p>
    <w:p>
      <w:pPr>
        <w:spacing w:after="0"/>
        <w:ind w:firstLine="720"/>
        <w:rPr>
          <w:rFonts w:asciiTheme="majorBidi" w:hAnsiTheme="majorBidi" w:cstheme="majorBidi"/>
        </w:rPr>
      </w:pPr>
      <w:r>
        <w:rPr>
          <w:rFonts w:asciiTheme="majorBidi" w:hAnsiTheme="majorBidi" w:cstheme="majorBidi"/>
        </w:rPr>
        <w:t>Collecting driving data from Tesla vehicles already on the road is an example of Tesla's usage of data analytics in the real world (</w:t>
      </w:r>
      <w:r>
        <w:rPr>
          <w:rFonts w:asciiTheme="majorBidi" w:hAnsiTheme="majorBidi" w:cstheme="majorBidi"/>
          <w:color w:val="222222"/>
          <w:shd w:val="clear" w:color="auto" w:fill="FFFFFF"/>
        </w:rPr>
        <w:t>Harris, 2022)</w:t>
      </w:r>
      <w:r>
        <w:rPr>
          <w:rFonts w:asciiTheme="majorBidi" w:hAnsiTheme="majorBidi" w:cstheme="majorBidi"/>
        </w:rPr>
        <w:t>. These vehicles have a variety of sensors and are always connected to the internet, which allows them to report data back to Tesla. This data can tell you how your driving habits affect your car's battery life and energy usage or how the vehicle performs in various weather conditions. For instance, Tesla has used fleet data to adjust its Autopilot feature (</w:t>
      </w:r>
      <w:r>
        <w:rPr>
          <w:rFonts w:asciiTheme="majorBidi" w:hAnsiTheme="majorBidi" w:cstheme="majorBidi"/>
          <w:color w:val="222222"/>
          <w:shd w:val="clear" w:color="auto" w:fill="FFFFFF"/>
        </w:rPr>
        <w:t>Lyyra et al., 2023)</w:t>
      </w:r>
      <w:r>
        <w:rPr>
          <w:rFonts w:asciiTheme="majorBidi" w:hAnsiTheme="majorBidi" w:cstheme="majorBidi"/>
        </w:rPr>
        <w:t>. As a result of analysing data from billions of miles driven, Tesla significantly enhanced Autopilot's safety and efficiency.</w:t>
      </w:r>
    </w:p>
    <w:p>
      <w:pPr>
        <w:spacing w:after="0"/>
        <w:ind w:firstLine="720"/>
        <w:rPr>
          <w:rFonts w:asciiTheme="majorBidi" w:hAnsiTheme="majorBidi" w:cstheme="majorBidi"/>
        </w:rPr>
      </w:pPr>
      <w:r>
        <w:rPr>
          <w:rFonts w:asciiTheme="majorBidi" w:hAnsiTheme="majorBidi" w:cstheme="majorBidi"/>
        </w:rPr>
        <w:t>There are many applications for this strategy of gathering and evaluating data from the real world (</w:t>
      </w:r>
      <w:r>
        <w:rPr>
          <w:rFonts w:asciiTheme="majorBidi" w:hAnsiTheme="majorBidi" w:cstheme="majorBidi"/>
          <w:color w:val="222222"/>
          <w:shd w:val="clear" w:color="auto" w:fill="FFFFFF"/>
        </w:rPr>
        <w:t>Lin, 2023)</w:t>
      </w:r>
      <w:r>
        <w:rPr>
          <w:rFonts w:asciiTheme="majorBidi" w:hAnsiTheme="majorBidi" w:cstheme="majorBidi"/>
        </w:rPr>
        <w:t xml:space="preserve">. In the first place, it facilitates Tesla's ongoing efforts to enhance its current offerings. Second, it is a treasure trove of data for new product creation. Finally, it can tailor advertising and service after the sale, improving the client experience. Big data and analytics provide Tesla with a versatile instrument for enhancing the quality of its relationships with its clientele. According to </w:t>
      </w:r>
      <w:r>
        <w:rPr>
          <w:rFonts w:asciiTheme="majorBidi" w:hAnsiTheme="majorBidi" w:cstheme="majorBidi"/>
          <w:color w:val="222222"/>
          <w:shd w:val="clear" w:color="auto" w:fill="FFFFFF"/>
        </w:rPr>
        <w:t>Dobrokhotov (2023), u</w:t>
      </w:r>
      <w:r>
        <w:rPr>
          <w:rFonts w:asciiTheme="majorBidi" w:hAnsiTheme="majorBidi" w:cstheme="majorBidi"/>
        </w:rPr>
        <w:t>sing data analytics, Tesla can stay ahead of the competition by providing products and services that are not only technologically cutting-edge but also precisely tailored to the tastes and preferences of its target market.</w:t>
      </w:r>
    </w:p>
    <w:p>
      <w:pPr>
        <w:pStyle w:val="3"/>
        <w:spacing w:before="0" w:line="480" w:lineRule="auto"/>
        <w:rPr>
          <w:rFonts w:asciiTheme="majorBidi" w:hAnsiTheme="majorBidi" w:cstheme="majorBidi"/>
        </w:rPr>
      </w:pPr>
      <w:bookmarkStart w:id="17" w:name="_Toc144195757"/>
      <w:r>
        <w:rPr>
          <w:rFonts w:asciiTheme="majorBidi" w:hAnsiTheme="majorBidi" w:cstheme="majorBidi"/>
        </w:rPr>
        <w:t>5.2 Feedback Loop</w:t>
      </w:r>
      <w:bookmarkEnd w:id="17"/>
      <w:r>
        <w:rPr>
          <w:rFonts w:asciiTheme="majorBidi" w:hAnsiTheme="majorBidi" w:cstheme="majorBidi"/>
        </w:rPr>
        <w:t xml:space="preserve"> </w:t>
      </w:r>
    </w:p>
    <w:p>
      <w:pPr>
        <w:spacing w:after="0"/>
        <w:ind w:firstLine="720"/>
        <w:rPr>
          <w:rFonts w:asciiTheme="majorBidi" w:hAnsiTheme="majorBidi" w:cstheme="majorBidi"/>
        </w:rPr>
      </w:pPr>
      <w:r>
        <w:rPr>
          <w:rFonts w:asciiTheme="majorBidi" w:hAnsiTheme="majorBidi" w:cstheme="majorBidi"/>
        </w:rPr>
        <w:t>Understanding the consumer journey requires collecting feedback, which Tesla can easily incorporate into its marketing approach (</w:t>
      </w:r>
      <w:r>
        <w:rPr>
          <w:rFonts w:asciiTheme="majorBidi" w:hAnsiTheme="majorBidi" w:cstheme="majorBidi"/>
          <w:color w:val="222222"/>
          <w:shd w:val="clear" w:color="auto" w:fill="FFFFFF"/>
        </w:rPr>
        <w:t>Bleicher, 2022)</w:t>
      </w:r>
      <w:r>
        <w:rPr>
          <w:rFonts w:asciiTheme="majorBidi" w:hAnsiTheme="majorBidi" w:cstheme="majorBidi"/>
        </w:rPr>
        <w:t xml:space="preserve">. Surveys and follow-ups conducted after a transaction have the potential to be quite informative. According to </w:t>
      </w:r>
      <w:r>
        <w:rPr>
          <w:rFonts w:asciiTheme="majorBidi" w:hAnsiTheme="majorBidi" w:cstheme="majorBidi"/>
          <w:color w:val="222222"/>
          <w:shd w:val="clear" w:color="auto" w:fill="FFFFFF"/>
        </w:rPr>
        <w:t>Sachdeva et al. (2023), c</w:t>
      </w:r>
      <w:r>
        <w:rPr>
          <w:rFonts w:asciiTheme="majorBidi" w:hAnsiTheme="majorBidi" w:cstheme="majorBidi"/>
        </w:rPr>
        <w:t>ustomers who have recently purchased a Tesla vehicle may be invited to fill out a survey to voice their opinions on the car, the buying process, and any potential upgrades or changes they would like to see made. In addition to helping Tesla collect useful information, this makes customers feel that their opinions matter and improves their entire experience with the company.</w:t>
      </w:r>
    </w:p>
    <w:p>
      <w:pPr>
        <w:spacing w:after="0"/>
        <w:ind w:firstLine="720"/>
        <w:rPr>
          <w:rFonts w:asciiTheme="majorBidi" w:hAnsiTheme="majorBidi" w:cstheme="majorBidi"/>
        </w:rPr>
      </w:pPr>
      <w:r>
        <w:rPr>
          <w:rFonts w:asciiTheme="majorBidi" w:hAnsiTheme="majorBidi" w:cstheme="majorBidi"/>
        </w:rPr>
        <w:t>One example of Tesla's dedication to feedback is the company's prompt handling of consumer complaints posted on social media (</w:t>
      </w:r>
      <w:r>
        <w:rPr>
          <w:rFonts w:asciiTheme="majorBidi" w:hAnsiTheme="majorBidi" w:cstheme="majorBidi"/>
          <w:color w:val="222222"/>
          <w:shd w:val="clear" w:color="auto" w:fill="FFFFFF"/>
        </w:rPr>
        <w:t>Sun et al., 2021)</w:t>
      </w:r>
      <w:r>
        <w:rPr>
          <w:rFonts w:asciiTheme="majorBidi" w:hAnsiTheme="majorBidi" w:cstheme="majorBidi"/>
        </w:rPr>
        <w:t>. As a brand that values customers, Tesla is well-known for its rapid response to client complaints. One Tesla owner complained on Twitter that other drivers couldn't use the Superchargers since they were always busy. Within hours after the message, Elon Musk had responded, saying he would do something about it. The option to be charged for leaving a fully charged Tesla at a Supercharger station was offered within a week. The problem was fixed, and Tesla received favorable news because of its quick response to customer input (</w:t>
      </w:r>
      <w:r>
        <w:rPr>
          <w:rFonts w:asciiTheme="majorBidi" w:hAnsiTheme="majorBidi" w:cstheme="majorBidi"/>
          <w:color w:val="222222"/>
          <w:shd w:val="clear" w:color="auto" w:fill="FFFFFF"/>
        </w:rPr>
        <w:t>Linja et al., 2022)</w:t>
      </w:r>
      <w:r>
        <w:rPr>
          <w:rFonts w:asciiTheme="majorBidi" w:hAnsiTheme="majorBidi" w:cstheme="majorBidi"/>
        </w:rPr>
        <w:t>. As part of its cutting-edge advertising campaign, Tesla incorporates the feedback loop. Insights that may not be immediately obvious from data analytics alone can be gleaned via post-sale questionnaires. Tesla may gain a more complete picture of the customer journey by comparing the quantitative data from analytics with this qualitative information (</w:t>
      </w:r>
      <w:r>
        <w:rPr>
          <w:rFonts w:asciiTheme="majorBidi" w:hAnsiTheme="majorBidi" w:cstheme="majorBidi"/>
          <w:color w:val="222222"/>
          <w:shd w:val="clear" w:color="auto" w:fill="FFFFFF"/>
        </w:rPr>
        <w:t>Sheth et al., 2023)</w:t>
      </w:r>
      <w:r>
        <w:rPr>
          <w:rFonts w:asciiTheme="majorBidi" w:hAnsiTheme="majorBidi" w:cstheme="majorBidi"/>
        </w:rPr>
        <w:t xml:space="preserve">. Similarly, Tesla can make significant improvements thanks to the real-time feedback loop provided by the company's swift response to customer complaints on social media. </w:t>
      </w:r>
    </w:p>
    <w:p>
      <w:pPr>
        <w:pStyle w:val="3"/>
        <w:spacing w:before="0" w:line="480" w:lineRule="auto"/>
        <w:rPr>
          <w:rFonts w:asciiTheme="majorBidi" w:hAnsiTheme="majorBidi" w:cstheme="majorBidi"/>
        </w:rPr>
      </w:pPr>
      <w:bookmarkStart w:id="18" w:name="_Toc144195758"/>
      <w:r>
        <w:rPr>
          <w:rFonts w:asciiTheme="majorBidi" w:hAnsiTheme="majorBidi" w:cstheme="majorBidi"/>
        </w:rPr>
        <w:t>5.3 Channel Diversification</w:t>
      </w:r>
      <w:bookmarkEnd w:id="18"/>
      <w:r>
        <w:rPr>
          <w:rFonts w:asciiTheme="majorBidi" w:hAnsiTheme="majorBidi" w:cstheme="majorBidi"/>
        </w:rPr>
        <w:t xml:space="preserve"> </w:t>
      </w:r>
    </w:p>
    <w:p>
      <w:pPr>
        <w:spacing w:after="0"/>
        <w:ind w:firstLine="720"/>
        <w:rPr>
          <w:rFonts w:asciiTheme="majorBidi" w:hAnsiTheme="majorBidi" w:cstheme="majorBidi"/>
        </w:rPr>
      </w:pPr>
      <w:r>
        <w:rPr>
          <w:rFonts w:asciiTheme="majorBidi" w:hAnsiTheme="majorBidi" w:cstheme="majorBidi"/>
        </w:rPr>
        <w:t>When it comes to communicating with your customers, it is not always effective to use just one method. Because of this, having many channels is essential. Tesla is skilled at utilising a variety of channels to communicate with its customers, making the entire experience smooth and exciting (</w:t>
      </w:r>
      <w:r>
        <w:rPr>
          <w:rFonts w:asciiTheme="majorBidi" w:hAnsiTheme="majorBidi" w:cstheme="majorBidi"/>
          <w:color w:val="222222"/>
          <w:shd w:val="clear" w:color="auto" w:fill="FFFFFF"/>
        </w:rPr>
        <w:t>Jing, 2020)</w:t>
      </w:r>
      <w:r>
        <w:rPr>
          <w:rFonts w:asciiTheme="majorBidi" w:hAnsiTheme="majorBidi" w:cstheme="majorBidi"/>
        </w:rPr>
        <w:t xml:space="preserve">. Tesla has a robust online presence, including active social media profiles, an easy-to-navigate website, and engaging webinars. Tesla, however, is not just working in the virtual realm. </w:t>
      </w:r>
      <w:r>
        <w:rPr>
          <w:rFonts w:asciiTheme="majorBidi" w:hAnsiTheme="majorBidi" w:cstheme="majorBidi"/>
          <w:color w:val="222222"/>
          <w:shd w:val="clear" w:color="auto" w:fill="FFFFFF"/>
        </w:rPr>
        <w:t xml:space="preserve">Higgins (2021) argued </w:t>
      </w:r>
      <w:r>
        <w:rPr>
          <w:rFonts w:asciiTheme="majorBidi" w:hAnsiTheme="majorBidi" w:cstheme="majorBidi"/>
        </w:rPr>
        <w:t>buyers may get their hands on a Tesla, talk to product specialists, and even take a test drive at one of the company's showrooms.</w:t>
      </w:r>
    </w:p>
    <w:p>
      <w:pPr>
        <w:spacing w:after="0"/>
        <w:ind w:firstLine="720"/>
        <w:rPr>
          <w:rFonts w:asciiTheme="majorBidi" w:hAnsiTheme="majorBidi" w:cstheme="majorBidi"/>
        </w:rPr>
      </w:pPr>
      <w:r>
        <w:rPr>
          <w:rFonts w:asciiTheme="majorBidi" w:hAnsiTheme="majorBidi" w:cstheme="majorBidi"/>
        </w:rPr>
        <w:t>Tesla's integration of digital and analog customer interaction methods is a notable example of channel diversification on the company's part (</w:t>
      </w:r>
      <w:r>
        <w:rPr>
          <w:rFonts w:asciiTheme="majorBidi" w:hAnsiTheme="majorBidi" w:cstheme="majorBidi"/>
          <w:color w:val="222222"/>
          <w:shd w:val="clear" w:color="auto" w:fill="FFFFFF"/>
        </w:rPr>
        <w:t>Moghrabi et al., 2023)</w:t>
      </w:r>
      <w:r>
        <w:rPr>
          <w:rFonts w:asciiTheme="majorBidi" w:hAnsiTheme="majorBidi" w:cstheme="majorBidi"/>
        </w:rPr>
        <w:t>.  To further Tesla's objective to speed the world's transition to sustainable energy, the company's showrooms are more than just venues to display automobiles; they are also built as teaching centers where visitors can learn about electric vehicle technology, sustainability, and more. This focus on learning complements the brand's larger objective of educating its target audience and makes for a more fulfilling time in the showroom. Conversely, people who prefer digital connections will like the ease and availability of Tesla's internet platforms (</w:t>
      </w:r>
      <w:r>
        <w:rPr>
          <w:rFonts w:asciiTheme="majorBidi" w:hAnsiTheme="majorBidi" w:cstheme="majorBidi"/>
          <w:color w:val="222222"/>
          <w:shd w:val="clear" w:color="auto" w:fill="FFFFFF"/>
        </w:rPr>
        <w:t>Braunfels, 2021)</w:t>
      </w:r>
      <w:r>
        <w:rPr>
          <w:rFonts w:asciiTheme="majorBidi" w:hAnsiTheme="majorBidi" w:cstheme="majorBidi"/>
        </w:rPr>
        <w:t>. For instance, customers interested in purchasing a Tesla may easily design and order their vehicle online. The customer journey is deepened and enriched by the availability of different channels for consumer engagement (</w:t>
      </w:r>
      <w:r>
        <w:rPr>
          <w:rFonts w:asciiTheme="majorBidi" w:hAnsiTheme="majorBidi" w:cstheme="majorBidi"/>
          <w:color w:val="222222"/>
          <w:shd w:val="clear" w:color="auto" w:fill="FFFFFF"/>
        </w:rPr>
        <w:t>Terho et al., 2022)</w:t>
      </w:r>
      <w:r>
        <w:rPr>
          <w:rFonts w:asciiTheme="majorBidi" w:hAnsiTheme="majorBidi" w:cstheme="majorBidi"/>
        </w:rPr>
        <w:t>. The showrooms are available for customers who prefer hands-on experiences, while internet shopping caters to those who prioritise convenience. With this multi-pronged strategy, Tesla can reach more people and meet their varying interests and requirements. It offers several consumer touch points that may be mapped to substantial phases of the customer's journey, beginning with awareness and moving through interest, consideration, purchase, and advocacy (</w:t>
      </w:r>
      <w:r>
        <w:rPr>
          <w:rFonts w:asciiTheme="majorBidi" w:hAnsiTheme="majorBidi" w:cstheme="majorBidi"/>
          <w:color w:val="222222"/>
          <w:shd w:val="clear" w:color="auto" w:fill="FFFFFF"/>
        </w:rPr>
        <w:t>Priya, 2020)</w:t>
      </w:r>
      <w:r>
        <w:rPr>
          <w:rFonts w:asciiTheme="majorBidi" w:hAnsiTheme="majorBidi" w:cstheme="majorBidi"/>
        </w:rPr>
        <w:t xml:space="preserve">. </w:t>
      </w:r>
    </w:p>
    <w:p>
      <w:pPr>
        <w:pStyle w:val="2"/>
        <w:spacing w:after="0"/>
        <w:rPr>
          <w:rFonts w:asciiTheme="majorBidi" w:hAnsiTheme="majorBidi" w:cstheme="majorBidi"/>
          <w:lang w:eastAsia="en-GB"/>
        </w:rPr>
      </w:pPr>
      <w:bookmarkStart w:id="19" w:name="_Toc144195759"/>
      <w:r>
        <w:rPr>
          <w:rFonts w:asciiTheme="majorBidi" w:hAnsiTheme="majorBidi" w:cstheme="majorBidi"/>
          <w:lang w:eastAsia="en-GB"/>
        </w:rPr>
        <w:t>6.0 Fulfilling Stakeholders' Expectations</w:t>
      </w:r>
      <w:bookmarkEnd w:id="19"/>
    </w:p>
    <w:p>
      <w:pPr>
        <w:pStyle w:val="3"/>
        <w:spacing w:before="0" w:line="480" w:lineRule="auto"/>
        <w:rPr>
          <w:rFonts w:asciiTheme="majorBidi" w:hAnsiTheme="majorBidi" w:cstheme="majorBidi"/>
          <w:lang w:eastAsia="en-GB"/>
        </w:rPr>
      </w:pPr>
      <w:bookmarkStart w:id="20" w:name="_Toc144195760"/>
      <w:r>
        <w:rPr>
          <w:rFonts w:asciiTheme="majorBidi" w:hAnsiTheme="majorBidi" w:cstheme="majorBidi"/>
          <w:lang w:eastAsia="en-GB"/>
        </w:rPr>
        <w:t>6.1 Transparency</w:t>
      </w:r>
      <w:bookmarkEnd w:id="20"/>
      <w:r>
        <w:rPr>
          <w:rFonts w:asciiTheme="majorBidi" w:hAnsiTheme="majorBidi" w:cstheme="majorBidi"/>
          <w:lang w:eastAsia="en-GB"/>
        </w:rPr>
        <w:t xml:space="preserve"> </w:t>
      </w:r>
    </w:p>
    <w:p>
      <w:pPr>
        <w:spacing w:after="0"/>
        <w:ind w:firstLine="720"/>
        <w:rPr>
          <w:rFonts w:asciiTheme="majorBidi" w:hAnsiTheme="majorBidi" w:cstheme="majorBidi"/>
        </w:rPr>
      </w:pPr>
      <w:r>
        <w:rPr>
          <w:rFonts w:asciiTheme="majorBidi" w:hAnsiTheme="majorBidi" w:cstheme="majorBidi"/>
        </w:rPr>
        <w:t>Tesla excels at being transparent, which is vital for meeting the expectations of its stakeholders. Tesla goes above and beyond the norm of providing quarterly shareholder reports. In addition to financial data, these reports feature in-depth discussions of successes, setbacks, and planned moves. Building confidence among shareholders, consumers, and other stakeholders is a top priority for Tesla (</w:t>
      </w:r>
      <w:r>
        <w:rPr>
          <w:rFonts w:asciiTheme="majorBidi" w:hAnsiTheme="majorBidi" w:cstheme="majorBidi"/>
          <w:color w:val="222222"/>
          <w:shd w:val="clear" w:color="auto" w:fill="FFFFFF"/>
        </w:rPr>
        <w:t>Long et al., 2019)</w:t>
      </w:r>
      <w:r>
        <w:rPr>
          <w:rFonts w:asciiTheme="majorBidi" w:hAnsiTheme="majorBidi" w:cstheme="majorBidi"/>
        </w:rPr>
        <w:t>. Thus, the firm provides a transparent summary of its performance. Tesla's strategy in its Q2 2021 update is a good case in point. During the quarter, the business boasted publicly that it had delivered 201,250 vehicles (</w:t>
      </w:r>
      <w:r>
        <w:rPr>
          <w:rFonts w:asciiTheme="majorBidi" w:hAnsiTheme="majorBidi" w:cstheme="majorBidi"/>
          <w:color w:val="222222"/>
          <w:shd w:val="clear" w:color="auto" w:fill="FFFFFF"/>
        </w:rPr>
        <w:t>Daylan, 2023)</w:t>
      </w:r>
      <w:r>
        <w:rPr>
          <w:rFonts w:asciiTheme="majorBidi" w:hAnsiTheme="majorBidi" w:cstheme="majorBidi"/>
        </w:rPr>
        <w:t>. Sharing this precise statistic is not about bragging about a high rate of deliveries; rather, it is about being open and honest with stakeholders. This method not only updates investors but also reassures them of the company's production ability, which can positively affect the market (</w:t>
      </w:r>
      <w:r>
        <w:rPr>
          <w:rFonts w:asciiTheme="majorBidi" w:hAnsiTheme="majorBidi" w:cstheme="majorBidi"/>
          <w:color w:val="222222"/>
          <w:shd w:val="clear" w:color="auto" w:fill="FFFFFF"/>
        </w:rPr>
        <w:t>Ho et al., 2020)</w:t>
      </w:r>
      <w:r>
        <w:rPr>
          <w:rFonts w:asciiTheme="majorBidi" w:hAnsiTheme="majorBidi" w:cstheme="majorBidi"/>
        </w:rPr>
        <w:t>. In addition, by being transparent about its difficulties, Tesla helps its stakeholders comprehend the complexities of its operations and the steps it takes to overcome them.</w:t>
      </w:r>
    </w:p>
    <w:p>
      <w:pPr>
        <w:spacing w:after="0"/>
        <w:ind w:firstLine="720"/>
        <w:rPr>
          <w:rFonts w:asciiTheme="majorBidi" w:hAnsiTheme="majorBidi" w:cstheme="majorBidi"/>
        </w:rPr>
      </w:pPr>
      <w:r>
        <w:rPr>
          <w:rFonts w:asciiTheme="majorBidi" w:hAnsiTheme="majorBidi" w:cstheme="majorBidi"/>
        </w:rPr>
        <w:t>Keeping reports public is not just the moral thing to do but also makes good commercial sense. All of Tesla's stakeholders are in sync with the company's long-term aims because of this openness, which goes beyond the company's financial dealings (</w:t>
      </w:r>
      <w:r>
        <w:rPr>
          <w:rFonts w:asciiTheme="majorBidi" w:hAnsiTheme="majorBidi" w:cstheme="majorBidi"/>
          <w:color w:val="222222"/>
          <w:shd w:val="clear" w:color="auto" w:fill="FFFFFF"/>
        </w:rPr>
        <w:t>Khan, 2021)</w:t>
      </w:r>
      <w:r>
        <w:rPr>
          <w:rFonts w:asciiTheme="majorBidi" w:hAnsiTheme="majorBidi" w:cstheme="majorBidi"/>
        </w:rPr>
        <w:t>. Building and keeping trusting relationships with stakeholders is essential for any company that wants to be there for the long haul.</w:t>
      </w:r>
    </w:p>
    <w:p>
      <w:pPr>
        <w:pStyle w:val="3"/>
        <w:spacing w:before="0" w:line="480" w:lineRule="auto"/>
        <w:rPr>
          <w:rFonts w:asciiTheme="majorBidi" w:hAnsiTheme="majorBidi" w:cstheme="majorBidi"/>
        </w:rPr>
      </w:pPr>
      <w:bookmarkStart w:id="21" w:name="_Toc144195761"/>
      <w:r>
        <w:rPr>
          <w:rFonts w:asciiTheme="majorBidi" w:hAnsiTheme="majorBidi" w:cstheme="majorBidi"/>
        </w:rPr>
        <w:t>6.2 Sustainable Practices</w:t>
      </w:r>
      <w:bookmarkEnd w:id="21"/>
      <w:r>
        <w:rPr>
          <w:rFonts w:asciiTheme="majorBidi" w:hAnsiTheme="majorBidi" w:cstheme="majorBidi"/>
        </w:rPr>
        <w:t xml:space="preserve"> </w:t>
      </w:r>
    </w:p>
    <w:p>
      <w:pPr>
        <w:spacing w:after="0"/>
        <w:ind w:firstLine="720"/>
        <w:rPr>
          <w:rFonts w:asciiTheme="majorBidi" w:hAnsiTheme="majorBidi" w:cstheme="majorBidi"/>
        </w:rPr>
      </w:pPr>
      <w:r>
        <w:rPr>
          <w:rFonts w:asciiTheme="majorBidi" w:hAnsiTheme="majorBidi" w:cstheme="majorBidi"/>
        </w:rPr>
        <w:t>More than just financial results, ethical and sustainable business practices are required to meet stakeholder expectations (</w:t>
      </w:r>
      <w:r>
        <w:rPr>
          <w:rFonts w:asciiTheme="majorBidi" w:hAnsiTheme="majorBidi" w:cstheme="majorBidi"/>
          <w:color w:val="222222"/>
          <w:shd w:val="clear" w:color="auto" w:fill="FFFFFF"/>
        </w:rPr>
        <w:t>Lassala et al., 2021)</w:t>
      </w:r>
      <w:r>
        <w:rPr>
          <w:rFonts w:asciiTheme="majorBidi" w:hAnsiTheme="majorBidi" w:cstheme="majorBidi"/>
        </w:rPr>
        <w:t>. Tesla's dedication to eco-friendly technology aligns with the increasing interest in environmental responsibility among the company's key constituencies. The company's commitment to reducing its environmental effect is seen in the variety of electric vehicles and solar power equipment it offers. Tesla's commitment to making its batteries recyclable is just one striking aspect of its Sustainability Report (</w:t>
      </w:r>
      <w:r>
        <w:rPr>
          <w:rFonts w:asciiTheme="majorBidi" w:hAnsiTheme="majorBidi" w:cstheme="majorBidi"/>
          <w:color w:val="222222"/>
          <w:shd w:val="clear" w:color="auto" w:fill="FFFFFF"/>
        </w:rPr>
        <w:t>Strawhecker, 2023)</w:t>
      </w:r>
      <w:r>
        <w:rPr>
          <w:rFonts w:asciiTheme="majorBidi" w:hAnsiTheme="majorBidi" w:cstheme="majorBidi"/>
        </w:rPr>
        <w:t xml:space="preserve">. The study found that 98% of Tesla's battery packs can be recycled. This means that practically every part of a Tesla battery may be reused rather than thrown away. This is a giant step toward a greener, more sustainable future in the automobile sector and sets a new norm. According to </w:t>
      </w:r>
      <w:r>
        <w:rPr>
          <w:rFonts w:asciiTheme="majorBidi" w:hAnsiTheme="majorBidi" w:cstheme="majorBidi"/>
          <w:color w:val="222222"/>
          <w:shd w:val="clear" w:color="auto" w:fill="FFFFFF"/>
        </w:rPr>
        <w:t>Yang et al. (2022), t</w:t>
      </w:r>
      <w:r>
        <w:rPr>
          <w:rFonts w:asciiTheme="majorBidi" w:hAnsiTheme="majorBidi" w:cstheme="majorBidi"/>
        </w:rPr>
        <w:t>he environmental effect of a product can be greatly reduced during its entire life cycle if its battery pack is 98% recyclable and uses fewer raw materials.</w:t>
      </w:r>
    </w:p>
    <w:p>
      <w:pPr>
        <w:spacing w:after="0"/>
        <w:ind w:firstLine="720"/>
        <w:rPr>
          <w:rFonts w:asciiTheme="majorBidi" w:hAnsiTheme="majorBidi" w:cstheme="majorBidi"/>
        </w:rPr>
      </w:pPr>
      <w:r>
        <w:rPr>
          <w:rFonts w:asciiTheme="majorBidi" w:hAnsiTheme="majorBidi" w:cstheme="majorBidi"/>
        </w:rPr>
        <w:t>The commitment to sustainable methods by Tesla is not only good for the environment but also the company's bottom line (</w:t>
      </w:r>
      <w:r>
        <w:rPr>
          <w:rFonts w:asciiTheme="majorBidi" w:hAnsiTheme="majorBidi" w:cstheme="majorBidi"/>
          <w:color w:val="222222"/>
          <w:shd w:val="clear" w:color="auto" w:fill="FFFFFF"/>
        </w:rPr>
        <w:t>Kazakova and Lee, 2022)</w:t>
      </w:r>
      <w:r>
        <w:rPr>
          <w:rFonts w:asciiTheme="majorBidi" w:hAnsiTheme="majorBidi" w:cstheme="majorBidi"/>
        </w:rPr>
        <w:t xml:space="preserve">. Tesla's actions set the company apart when customers and investors became more concerned about environmental impact. In addition, various parties well-received these actions, from customers who are pleased with their eco-friendly purchases to financiers searching for responsible financial opportunities. </w:t>
      </w:r>
      <w:r>
        <w:rPr>
          <w:rFonts w:asciiTheme="majorBidi" w:hAnsiTheme="majorBidi" w:cstheme="majorBidi"/>
          <w:color w:val="222222"/>
          <w:shd w:val="clear" w:color="auto" w:fill="FFFFFF"/>
        </w:rPr>
        <w:t xml:space="preserve">Armour et al. (2023) stated </w:t>
      </w:r>
      <w:r>
        <w:rPr>
          <w:rFonts w:asciiTheme="majorBidi" w:hAnsiTheme="majorBidi" w:cstheme="majorBidi"/>
        </w:rPr>
        <w:t xml:space="preserve">Tesla's sustainable policies solidify the company's position as an industry leader and reflect the growing desire of stakeholders for companies to act responsibly toward the environment. </w:t>
      </w:r>
    </w:p>
    <w:p>
      <w:pPr>
        <w:keepNext/>
        <w:spacing w:after="0"/>
        <w:jc w:val="center"/>
        <w:rPr>
          <w:rFonts w:asciiTheme="majorBidi" w:hAnsiTheme="majorBidi" w:cstheme="majorBidi"/>
        </w:rPr>
      </w:pPr>
      <w:r>
        <w:rPr>
          <w:rFonts w:asciiTheme="majorBidi" w:hAnsiTheme="majorBidi" w:cstheme="majorBidi"/>
          <w:b/>
          <w:bCs/>
        </w:rPr>
        <w:drawing>
          <wp:inline distT="0" distB="0" distL="0" distR="0">
            <wp:extent cx="4692650" cy="2547620"/>
            <wp:effectExtent l="0" t="0" r="0" b="5080"/>
            <wp:docPr id="1623403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03259" name="Picture 1"/>
                    <pic:cNvPicPr>
                      <a:picLocks noChangeAspect="1"/>
                    </pic:cNvPicPr>
                  </pic:nvPicPr>
                  <pic:blipFill>
                    <a:blip r:embed="rId17"/>
                    <a:stretch>
                      <a:fillRect/>
                    </a:stretch>
                  </pic:blipFill>
                  <pic:spPr>
                    <a:xfrm>
                      <a:off x="0" y="0"/>
                      <a:ext cx="4695153" cy="2549406"/>
                    </a:xfrm>
                    <a:prstGeom prst="rect">
                      <a:avLst/>
                    </a:prstGeom>
                  </pic:spPr>
                </pic:pic>
              </a:graphicData>
            </a:graphic>
          </wp:inline>
        </w:drawing>
      </w:r>
    </w:p>
    <w:p>
      <w:pPr>
        <w:pStyle w:val="12"/>
        <w:spacing w:after="0" w:line="480" w:lineRule="auto"/>
        <w:jc w:val="center"/>
        <w:rPr>
          <w:rFonts w:asciiTheme="majorBidi" w:hAnsiTheme="majorBidi" w:cstheme="majorBidi"/>
          <w:b/>
          <w:bCs/>
          <w:sz w:val="20"/>
          <w:szCs w:val="20"/>
        </w:rPr>
      </w:pPr>
      <w:r>
        <w:rPr>
          <w:rFonts w:asciiTheme="majorBidi" w:hAnsiTheme="majorBidi" w:cstheme="majorBidi"/>
          <w:sz w:val="20"/>
          <w:szCs w:val="20"/>
        </w:rPr>
        <w:t xml:space="preserve">Figure </w:t>
      </w:r>
      <w:r>
        <w:rPr>
          <w:rFonts w:asciiTheme="majorBidi" w:hAnsiTheme="majorBidi" w:cstheme="majorBidi"/>
          <w:sz w:val="20"/>
          <w:szCs w:val="20"/>
        </w:rPr>
        <w:fldChar w:fldCharType="begin"/>
      </w:r>
      <w:r>
        <w:rPr>
          <w:rFonts w:asciiTheme="majorBidi" w:hAnsiTheme="majorBidi" w:cstheme="majorBidi"/>
          <w:sz w:val="20"/>
          <w:szCs w:val="20"/>
        </w:rPr>
        <w:instrText xml:space="preserve"> SEQ Figure \* ARABIC </w:instrText>
      </w:r>
      <w:r>
        <w:rPr>
          <w:rFonts w:asciiTheme="majorBidi" w:hAnsiTheme="majorBidi" w:cstheme="majorBidi"/>
          <w:sz w:val="20"/>
          <w:szCs w:val="20"/>
        </w:rPr>
        <w:fldChar w:fldCharType="separate"/>
      </w:r>
      <w:r>
        <w:rPr>
          <w:rFonts w:asciiTheme="majorBidi" w:hAnsiTheme="majorBidi" w:cstheme="majorBidi"/>
          <w:sz w:val="20"/>
          <w:szCs w:val="20"/>
        </w:rPr>
        <w:t>8</w:t>
      </w:r>
      <w:r>
        <w:rPr>
          <w:rFonts w:asciiTheme="majorBidi" w:hAnsiTheme="majorBidi" w:cstheme="majorBidi"/>
          <w:sz w:val="20"/>
          <w:szCs w:val="20"/>
        </w:rPr>
        <w:fldChar w:fldCharType="end"/>
      </w:r>
      <w:r>
        <w:rPr>
          <w:rFonts w:asciiTheme="majorBidi" w:hAnsiTheme="majorBidi" w:cstheme="majorBidi"/>
          <w:sz w:val="20"/>
          <w:szCs w:val="20"/>
        </w:rPr>
        <w:t>: Analysis of Fulfilling Stakeholders' Expectations (Source: By Author)</w:t>
      </w:r>
    </w:p>
    <w:p>
      <w:pPr>
        <w:pStyle w:val="2"/>
        <w:spacing w:after="0"/>
        <w:rPr>
          <w:rFonts w:asciiTheme="majorBidi" w:hAnsiTheme="majorBidi" w:cstheme="majorBidi"/>
        </w:rPr>
      </w:pPr>
      <w:bookmarkStart w:id="22" w:name="_Toc144195762"/>
      <w:r>
        <w:rPr>
          <w:rFonts w:asciiTheme="majorBidi" w:hAnsiTheme="majorBidi" w:cstheme="majorBidi"/>
        </w:rPr>
        <w:t>Conclusion</w:t>
      </w:r>
      <w:bookmarkEnd w:id="22"/>
      <w:r>
        <w:rPr>
          <w:rFonts w:asciiTheme="majorBidi" w:hAnsiTheme="majorBidi" w:cstheme="majorBidi"/>
        </w:rPr>
        <w:t xml:space="preserve"> </w:t>
      </w:r>
    </w:p>
    <w:p>
      <w:pPr>
        <w:spacing w:after="0"/>
        <w:ind w:firstLine="720"/>
        <w:rPr>
          <w:rFonts w:asciiTheme="majorBidi" w:hAnsiTheme="majorBidi" w:cstheme="majorBidi"/>
        </w:rPr>
      </w:pPr>
      <w:r>
        <w:rPr>
          <w:rFonts w:asciiTheme="majorBidi" w:hAnsiTheme="majorBidi" w:cstheme="majorBidi"/>
        </w:rPr>
        <w:t>Tesla's unique marketing methods are a major reason for the company's success in becoming a global leader in the sustainable energy and automobile industries. Brand recognition has increased because of the company's novel strategy of relying solely on word-of-mouth and social media promotion. Tesla's holistic customer experience aligns with contemporary marketing ideas because it emphasises the customer journey rather than isolated touch points. Transparency, sustainable practices, various channel options, real-time feedback loops, and data analytics help meet the stakeholders' needs on this path. There are, nevertheless, opportunities for additional innovation by Tesla. To begin, Tesla may improve its worldwide appeal by putting more effort into regional and country-specific advertising. Since electric vehicles are not yet widely used, targeting new consumers through regional advertising is essential for success. Second, Tesla may launch customer appreciation initiatives that provide benefits such as discounts, priority service, and access to VIP events and experiences. This would enrich the consumer experience and turn one-time buyers into repeat clients.</w:t>
      </w:r>
    </w:p>
    <w:p>
      <w:pPr>
        <w:spacing w:after="0"/>
        <w:ind w:firstLine="720"/>
        <w:rPr>
          <w:rFonts w:asciiTheme="majorBidi" w:hAnsiTheme="majorBidi" w:cstheme="majorBidi"/>
        </w:rPr>
      </w:pPr>
      <w:r>
        <w:rPr>
          <w:rFonts w:asciiTheme="majorBidi" w:hAnsiTheme="majorBidi" w:cstheme="majorBidi"/>
        </w:rPr>
        <w:t>Improving the post-purchase phase of the client journey is another suggestion. Despite the company's efficient feedback loop, there remains room for improvement in Tesla's customer satisfaction measures. While Tesla's regular software updates help maintain the product current, the company may also explore recommending specific accessories or servicing intervals depending on a customer's usage. Finally, Tesla might be considerably more forthcoming about its difficulties and solutions. This would increase confidence in the company and allow for more stakeholder participation, which could lead to novel ideas the business had not previously explored. Constant innovation is required to keep up with the fast-moving nature of technology and the ever-shifting standards of today's consumers. By making the recommended adjustments to its current strategies and implementing the proposed new ones, Tesla will be able to establish its brand further, improve the customer journey, and meet the expectations of its stakeholders.</w:t>
      </w:r>
    </w:p>
    <w:p/>
    <w:p/>
    <w:p/>
    <w:p/>
    <w:p/>
    <w:p/>
    <w:p/>
    <w:p/>
    <w:p/>
    <w:p/>
    <w:p>
      <w:pPr>
        <w:pStyle w:val="2"/>
        <w:spacing w:after="0"/>
      </w:pPr>
      <w:bookmarkStart w:id="23" w:name="_Toc144195763"/>
      <w:r>
        <w:t>References</w:t>
      </w:r>
      <w:bookmarkEnd w:id="23"/>
      <w:r>
        <w:t xml:space="preserve"> </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Armour, J., Enriques, L. and Wetzer, T., 2023. Green Pills: Making Corporate Climate Commitments Credible. </w:t>
      </w:r>
      <w:r>
        <w:rPr>
          <w:rFonts w:asciiTheme="majorBidi" w:hAnsiTheme="majorBidi" w:cstheme="majorBidi"/>
          <w:i/>
          <w:iCs/>
          <w:color w:val="222222"/>
          <w:shd w:val="clear" w:color="auto" w:fill="FFFFFF"/>
        </w:rPr>
        <w:t>Ariz. L. Rev.</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65</w:t>
      </w:r>
      <w:r>
        <w:rPr>
          <w:rFonts w:asciiTheme="majorBidi" w:hAnsiTheme="majorBidi" w:cstheme="majorBidi"/>
          <w:color w:val="222222"/>
          <w:shd w:val="clear" w:color="auto" w:fill="FFFFFF"/>
        </w:rPr>
        <w:t>, p.285.</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Becker, L. and Jaakkola, E., 2020. Customer experience: fundamental premises and implications for research. </w:t>
      </w:r>
      <w:r>
        <w:rPr>
          <w:rFonts w:asciiTheme="majorBidi" w:hAnsiTheme="majorBidi" w:cstheme="majorBidi"/>
          <w:i/>
          <w:iCs/>
          <w:color w:val="222222"/>
          <w:shd w:val="clear" w:color="auto" w:fill="FFFFFF"/>
        </w:rPr>
        <w:t>Journal of the Academy of Marketing Science</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48</w:t>
      </w:r>
      <w:r>
        <w:rPr>
          <w:rFonts w:asciiTheme="majorBidi" w:hAnsiTheme="majorBidi" w:cstheme="majorBidi"/>
          <w:color w:val="222222"/>
          <w:shd w:val="clear" w:color="auto" w:fill="FFFFFF"/>
        </w:rPr>
        <w:t>, pp.630-648.</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Bleicher, S.M., 2022. </w:t>
      </w:r>
      <w:r>
        <w:rPr>
          <w:rFonts w:asciiTheme="majorBidi" w:hAnsiTheme="majorBidi" w:cstheme="majorBidi"/>
          <w:i/>
          <w:iCs/>
          <w:color w:val="222222"/>
          <w:shd w:val="clear" w:color="auto" w:fill="FFFFFF"/>
        </w:rPr>
        <w:t>Online vehicle sales: use cases for intelligent virtual agents along the customer journey in the automotive industry</w:t>
      </w:r>
      <w:r>
        <w:rPr>
          <w:rFonts w:asciiTheme="majorBidi" w:hAnsiTheme="majorBidi" w:cstheme="majorBidi"/>
          <w:color w:val="222222"/>
          <w:shd w:val="clear" w:color="auto" w:fill="FFFFFF"/>
        </w:rPr>
        <w:t> (Doctoral dissertation).</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Boesch, J., 2023. A Strategic Audit of Tesla Inc.</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Braunfels, N.S.J., 2021. </w:t>
      </w:r>
      <w:r>
        <w:rPr>
          <w:rFonts w:asciiTheme="majorBidi" w:hAnsiTheme="majorBidi" w:cstheme="majorBidi"/>
          <w:i/>
          <w:iCs/>
          <w:color w:val="222222"/>
          <w:shd w:val="clear" w:color="auto" w:fill="FFFFFF"/>
        </w:rPr>
        <w:t>Tesla Motors: Disrupting the automotive industry</w:t>
      </w:r>
      <w:r>
        <w:rPr>
          <w:rFonts w:asciiTheme="majorBidi" w:hAnsiTheme="majorBidi" w:cstheme="majorBidi"/>
          <w:color w:val="222222"/>
          <w:shd w:val="clear" w:color="auto" w:fill="FFFFFF"/>
        </w:rPr>
        <w:t> (Doctoral dissertation, Universidade NOVA de Lisboa (Portugal)).</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Cano, Z.P., 2020. Electrode Design for Durable and Energy-Dense Rechargeable Zinc-Air Batteries.</w:t>
      </w:r>
    </w:p>
    <w:p>
      <w:pPr>
        <w:spacing w:after="0"/>
        <w:ind w:left="720" w:hanging="720"/>
        <w:rPr>
          <w:rFonts w:asciiTheme="majorBidi" w:hAnsiTheme="majorBidi" w:cstheme="majorBidi"/>
        </w:rPr>
      </w:pPr>
      <w:r>
        <w:rPr>
          <w:rFonts w:asciiTheme="majorBidi" w:hAnsiTheme="majorBidi" w:cstheme="majorBidi"/>
          <w:color w:val="222222"/>
          <w:shd w:val="clear" w:color="auto" w:fill="FFFFFF"/>
        </w:rPr>
        <w:t>Chatterjee, D., Bongarzone, M. and Schanne, A., 2022. Employer Branding Is the New Marketing Imperative. </w:t>
      </w:r>
      <w:r>
        <w:rPr>
          <w:rFonts w:asciiTheme="majorBidi" w:hAnsiTheme="majorBidi" w:cstheme="majorBidi"/>
          <w:i/>
          <w:iCs/>
          <w:color w:val="222222"/>
          <w:shd w:val="clear" w:color="auto" w:fill="FFFFFF"/>
        </w:rPr>
        <w:t>MIT Sloan Management Review</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63</w:t>
      </w:r>
      <w:r>
        <w:rPr>
          <w:rFonts w:asciiTheme="majorBidi" w:hAnsiTheme="majorBidi" w:cstheme="majorBidi"/>
          <w:color w:val="222222"/>
          <w:shd w:val="clear" w:color="auto" w:fill="FFFFFF"/>
        </w:rPr>
        <w:t>(4), pp.1-3.</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Chen, Y.T.T., 2023. </w:t>
      </w:r>
      <w:r>
        <w:rPr>
          <w:rFonts w:asciiTheme="majorBidi" w:hAnsiTheme="majorBidi" w:cstheme="majorBidi"/>
          <w:i/>
          <w:iCs/>
          <w:color w:val="222222"/>
          <w:shd w:val="clear" w:color="auto" w:fill="FFFFFF"/>
        </w:rPr>
        <w:t>Gamification in Marketing to Increase Customer Retention</w:t>
      </w:r>
      <w:r>
        <w:rPr>
          <w:rFonts w:asciiTheme="majorBidi" w:hAnsiTheme="majorBidi" w:cstheme="majorBidi"/>
          <w:color w:val="222222"/>
          <w:shd w:val="clear" w:color="auto" w:fill="FFFFFF"/>
        </w:rPr>
        <w:t> (Doctoral dissertation, Massachusetts Institute of Technology).</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Claussmann, L., Revilloud, M., Gruyer, D. and Glaser, S., 2019. A review of motion planning for highway autonomous driving. </w:t>
      </w:r>
      <w:r>
        <w:rPr>
          <w:rFonts w:asciiTheme="majorBidi" w:hAnsiTheme="majorBidi" w:cstheme="majorBidi"/>
          <w:i/>
          <w:iCs/>
          <w:color w:val="222222"/>
          <w:shd w:val="clear" w:color="auto" w:fill="FFFFFF"/>
        </w:rPr>
        <w:t>IEEE Transactions on Intelligent Transportation Systems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21</w:t>
      </w:r>
      <w:r>
        <w:rPr>
          <w:rFonts w:asciiTheme="majorBidi" w:hAnsiTheme="majorBidi" w:cstheme="majorBidi"/>
          <w:color w:val="222222"/>
          <w:shd w:val="clear" w:color="auto" w:fill="FFFFFF"/>
        </w:rPr>
        <w:t>(5), pp.1826-1848.</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Corte, M.A.B., 2020. </w:t>
      </w:r>
      <w:r>
        <w:rPr>
          <w:rFonts w:asciiTheme="majorBidi" w:hAnsiTheme="majorBidi" w:cstheme="majorBidi"/>
          <w:i/>
          <w:iCs/>
          <w:color w:val="222222"/>
          <w:shd w:val="clear" w:color="auto" w:fill="FFFFFF"/>
        </w:rPr>
        <w:t>How social media usage by managers affects corporate value: the case of Elon Musk</w:t>
      </w:r>
      <w:r>
        <w:rPr>
          <w:rFonts w:asciiTheme="majorBidi" w:hAnsiTheme="majorBidi" w:cstheme="majorBidi"/>
          <w:color w:val="222222"/>
          <w:shd w:val="clear" w:color="auto" w:fill="FFFFFF"/>
        </w:rPr>
        <w:t> (Doctoral dissertation).</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Corte, M.A.B., 2020. </w:t>
      </w:r>
      <w:r>
        <w:rPr>
          <w:rFonts w:asciiTheme="majorBidi" w:hAnsiTheme="majorBidi" w:cstheme="majorBidi"/>
          <w:i/>
          <w:iCs/>
          <w:color w:val="222222"/>
          <w:shd w:val="clear" w:color="auto" w:fill="FFFFFF"/>
        </w:rPr>
        <w:t>How social media usage by managers affects corporate value: the case of Elon Musk</w:t>
      </w:r>
      <w:r>
        <w:rPr>
          <w:rFonts w:asciiTheme="majorBidi" w:hAnsiTheme="majorBidi" w:cstheme="majorBidi"/>
          <w:color w:val="222222"/>
          <w:shd w:val="clear" w:color="auto" w:fill="FFFFFF"/>
        </w:rPr>
        <w:t> (Doctoral dissertation).</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D’Adamo, I. and Rosa, P., 2019. A structured literature review on obsolete electric vehicles management practices. </w:t>
      </w:r>
      <w:r>
        <w:rPr>
          <w:rFonts w:asciiTheme="majorBidi" w:hAnsiTheme="majorBidi" w:cstheme="majorBidi"/>
          <w:i/>
          <w:iCs/>
          <w:color w:val="222222"/>
          <w:shd w:val="clear" w:color="auto" w:fill="FFFFFF"/>
        </w:rPr>
        <w:t>Sustainability</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11</w:t>
      </w:r>
      <w:r>
        <w:rPr>
          <w:rFonts w:asciiTheme="majorBidi" w:hAnsiTheme="majorBidi" w:cstheme="majorBidi"/>
          <w:color w:val="222222"/>
          <w:shd w:val="clear" w:color="auto" w:fill="FFFFFF"/>
        </w:rPr>
        <w:t>(23), p.6876.</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Daylan, A., 2023. Examining the Disruptive Innovation Theory by Analysing Tesla, Inc.</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Dobrokhotov, V., 2023. </w:t>
      </w:r>
      <w:r>
        <w:rPr>
          <w:rFonts w:asciiTheme="majorBidi" w:hAnsiTheme="majorBidi" w:cstheme="majorBidi"/>
          <w:i/>
          <w:iCs/>
          <w:color w:val="222222"/>
          <w:shd w:val="clear" w:color="auto" w:fill="FFFFFF"/>
        </w:rPr>
        <w:t>The Art of After-Sales Marketing: Turning Satisfied Customers Into Loyal Brand Advocates</w:t>
      </w:r>
      <w:r>
        <w:rPr>
          <w:rFonts w:asciiTheme="majorBidi" w:hAnsiTheme="majorBidi" w:cstheme="majorBidi"/>
          <w:color w:val="222222"/>
          <w:shd w:val="clear" w:color="auto" w:fill="FFFFFF"/>
        </w:rPr>
        <w:t>. Virtual Inspiration.</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Gammon, R. and Sallah, M., 2021. Preliminary findings from a pilot study of electric vehicle recharging from a stand-alone solar minigrid. </w:t>
      </w:r>
      <w:r>
        <w:rPr>
          <w:rFonts w:asciiTheme="majorBidi" w:hAnsiTheme="majorBidi" w:cstheme="majorBidi"/>
          <w:i/>
          <w:iCs/>
          <w:color w:val="222222"/>
          <w:shd w:val="clear" w:color="auto" w:fill="FFFFFF"/>
        </w:rPr>
        <w:t>Frontiers in Energy Research</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8</w:t>
      </w:r>
      <w:r>
        <w:rPr>
          <w:rFonts w:asciiTheme="majorBidi" w:hAnsiTheme="majorBidi" w:cstheme="majorBidi"/>
          <w:color w:val="222222"/>
          <w:shd w:val="clear" w:color="auto" w:fill="FFFFFF"/>
        </w:rPr>
        <w:t>, p.374.</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Ghosh, A., 2020. Possibilities and challenges for the inclusion of the electric vehicle (EV) to reduce the carbon footprint in the transport sector: A review. </w:t>
      </w:r>
      <w:r>
        <w:rPr>
          <w:rFonts w:asciiTheme="majorBidi" w:hAnsiTheme="majorBidi" w:cstheme="majorBidi"/>
          <w:i/>
          <w:iCs/>
          <w:color w:val="222222"/>
          <w:shd w:val="clear" w:color="auto" w:fill="FFFFFF"/>
        </w:rPr>
        <w:t>Energies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13</w:t>
      </w:r>
      <w:r>
        <w:rPr>
          <w:rFonts w:asciiTheme="majorBidi" w:hAnsiTheme="majorBidi" w:cstheme="majorBidi"/>
          <w:color w:val="222222"/>
          <w:shd w:val="clear" w:color="auto" w:fill="FFFFFF"/>
        </w:rPr>
        <w:t>(10), p.2602.</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Grewal, D. and Roggeveen, A.L., 2020. Understanding retail experiences and customer journey management. </w:t>
      </w:r>
      <w:r>
        <w:rPr>
          <w:rFonts w:asciiTheme="majorBidi" w:hAnsiTheme="majorBidi" w:cstheme="majorBidi"/>
          <w:i/>
          <w:iCs/>
          <w:color w:val="222222"/>
          <w:shd w:val="clear" w:color="auto" w:fill="FFFFFF"/>
        </w:rPr>
        <w:t>Journal of Retailing</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96</w:t>
      </w:r>
      <w:r>
        <w:rPr>
          <w:rFonts w:asciiTheme="majorBidi" w:hAnsiTheme="majorBidi" w:cstheme="majorBidi"/>
          <w:color w:val="222222"/>
          <w:shd w:val="clear" w:color="auto" w:fill="FFFFFF"/>
        </w:rPr>
        <w:t>(1), pp.3-8.</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Hariri, R.H., Fredericks, E.M. and Bowers, K.M., 2019. Uncertainty in big data analytics: survey, opportunities, and challenges. </w:t>
      </w:r>
      <w:r>
        <w:rPr>
          <w:rFonts w:asciiTheme="majorBidi" w:hAnsiTheme="majorBidi" w:cstheme="majorBidi"/>
          <w:i/>
          <w:iCs/>
          <w:color w:val="222222"/>
          <w:shd w:val="clear" w:color="auto" w:fill="FFFFFF"/>
        </w:rPr>
        <w:t>Journal of Big Data</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6</w:t>
      </w:r>
      <w:r>
        <w:rPr>
          <w:rFonts w:asciiTheme="majorBidi" w:hAnsiTheme="majorBidi" w:cstheme="majorBidi"/>
          <w:color w:val="222222"/>
          <w:shd w:val="clear" w:color="auto" w:fill="FFFFFF"/>
        </w:rPr>
        <w:t>(1), pp.1-16.</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Harris, M., 2022. The Radical Scope of Tesla's Data Hoard: Every Tesla is providing reams of sensitive data about its driver's life. </w:t>
      </w:r>
      <w:r>
        <w:rPr>
          <w:rFonts w:asciiTheme="majorBidi" w:hAnsiTheme="majorBidi" w:cstheme="majorBidi"/>
          <w:i/>
          <w:iCs/>
          <w:color w:val="222222"/>
          <w:shd w:val="clear" w:color="auto" w:fill="FFFFFF"/>
        </w:rPr>
        <w:t>IEEE Spectrum</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59</w:t>
      </w:r>
      <w:r>
        <w:rPr>
          <w:rFonts w:asciiTheme="majorBidi" w:hAnsiTheme="majorBidi" w:cstheme="majorBidi"/>
          <w:color w:val="222222"/>
          <w:shd w:val="clear" w:color="auto" w:fill="FFFFFF"/>
        </w:rPr>
        <w:t>(10), pp.40-45.</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Heinink, S., 2022. </w:t>
      </w:r>
      <w:r>
        <w:rPr>
          <w:rFonts w:asciiTheme="majorBidi" w:hAnsiTheme="majorBidi" w:cstheme="majorBidi"/>
          <w:i/>
          <w:iCs/>
          <w:color w:val="222222"/>
          <w:shd w:val="clear" w:color="auto" w:fill="FFFFFF"/>
        </w:rPr>
        <w:t>The impact of disintermediation on the customer experienced value proposition</w:t>
      </w:r>
      <w:r>
        <w:rPr>
          <w:rFonts w:asciiTheme="majorBidi" w:hAnsiTheme="majorBidi" w:cstheme="majorBidi"/>
          <w:color w:val="222222"/>
          <w:shd w:val="clear" w:color="auto" w:fill="FFFFFF"/>
        </w:rPr>
        <w:t> (Master's thesis, University of Twente).</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Higgins, T., 2021. </w:t>
      </w:r>
      <w:r>
        <w:rPr>
          <w:rFonts w:asciiTheme="majorBidi" w:hAnsiTheme="majorBidi" w:cstheme="majorBidi"/>
          <w:i/>
          <w:iCs/>
          <w:color w:val="222222"/>
          <w:shd w:val="clear" w:color="auto" w:fill="FFFFFF"/>
        </w:rPr>
        <w:t>Power play: Tesla, Elon Musk, and the bet of the century</w:t>
      </w:r>
      <w:r>
        <w:rPr>
          <w:rFonts w:asciiTheme="majorBidi" w:hAnsiTheme="majorBidi" w:cstheme="majorBidi"/>
          <w:color w:val="222222"/>
          <w:shd w:val="clear" w:color="auto" w:fill="FFFFFF"/>
        </w:rPr>
        <w:t>. Anchor.</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Ho, J., Pang, C. and Choy, C., 2020. Content marketing capability building: a conceptual framework. </w:t>
      </w:r>
      <w:r>
        <w:rPr>
          <w:rFonts w:asciiTheme="majorBidi" w:hAnsiTheme="majorBidi" w:cstheme="majorBidi"/>
          <w:i/>
          <w:iCs/>
          <w:color w:val="222222"/>
          <w:shd w:val="clear" w:color="auto" w:fill="FFFFFF"/>
        </w:rPr>
        <w:t>Journal of Research in Interactive Marketing</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14</w:t>
      </w:r>
      <w:r>
        <w:rPr>
          <w:rFonts w:asciiTheme="majorBidi" w:hAnsiTheme="majorBidi" w:cstheme="majorBidi"/>
          <w:color w:val="222222"/>
          <w:shd w:val="clear" w:color="auto" w:fill="FFFFFF"/>
        </w:rPr>
        <w:t>(1), pp.133-151.</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Huang, Y. and Qian, L., 2021. Consumer adoption of electric vehicles in alternative business models. </w:t>
      </w:r>
      <w:r>
        <w:rPr>
          <w:rFonts w:asciiTheme="majorBidi" w:hAnsiTheme="majorBidi" w:cstheme="majorBidi"/>
          <w:i/>
          <w:iCs/>
          <w:color w:val="222222"/>
          <w:shd w:val="clear" w:color="auto" w:fill="FFFFFF"/>
        </w:rPr>
        <w:t>Energy Policy</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155</w:t>
      </w:r>
      <w:r>
        <w:rPr>
          <w:rFonts w:asciiTheme="majorBidi" w:hAnsiTheme="majorBidi" w:cstheme="majorBidi"/>
          <w:color w:val="222222"/>
          <w:shd w:val="clear" w:color="auto" w:fill="FFFFFF"/>
        </w:rPr>
        <w:t>, p.112338.</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Jaymes, A., 2022. NOVEL TECHNOLOGIES AND THEIR EFFECT ON THE CUSTOMER JOURNEY: CUSTOMERS'SENTIMENT WITH TESLA APP.</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Jie, Z., Ma, T.H., Wu, X. and Xia, M., 2023, June. Tesla’s Global Talent Strategy Research and Prospects. In </w:t>
      </w:r>
      <w:r>
        <w:rPr>
          <w:rFonts w:asciiTheme="majorBidi" w:hAnsiTheme="majorBidi" w:cstheme="majorBidi"/>
          <w:i/>
          <w:iCs/>
          <w:color w:val="222222"/>
          <w:shd w:val="clear" w:color="auto" w:fill="FFFFFF"/>
        </w:rPr>
        <w:t>Proceedings of the 6th International Conference on Economic Management and Green Development</w:t>
      </w:r>
      <w:r>
        <w:rPr>
          <w:rFonts w:asciiTheme="majorBidi" w:hAnsiTheme="majorBidi" w:cstheme="majorBidi"/>
          <w:color w:val="222222"/>
          <w:shd w:val="clear" w:color="auto" w:fill="FFFFFF"/>
        </w:rPr>
        <w:t> (pp. 1097-1107). Singapore: Springer Nature Singapore.</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Jing, N., 2020, December. Research on Tesla’s Customer Care Innovation. In </w:t>
      </w:r>
      <w:r>
        <w:rPr>
          <w:rFonts w:asciiTheme="majorBidi" w:hAnsiTheme="majorBidi" w:cstheme="majorBidi"/>
          <w:i/>
          <w:iCs/>
          <w:color w:val="222222"/>
          <w:shd w:val="clear" w:color="auto" w:fill="FFFFFF"/>
        </w:rPr>
        <w:t>2020 Management Science Informatization and Economic Innovation Development Conference (MSIEID)</w:t>
      </w:r>
      <w:r>
        <w:rPr>
          <w:rFonts w:asciiTheme="majorBidi" w:hAnsiTheme="majorBidi" w:cstheme="majorBidi"/>
          <w:color w:val="222222"/>
          <w:shd w:val="clear" w:color="auto" w:fill="FFFFFF"/>
        </w:rPr>
        <w:t> (pp. 469-478). IEEE.</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Jing, N., 2020, December. Research on Tesla’s Customer Care Innovation. In </w:t>
      </w:r>
      <w:r>
        <w:rPr>
          <w:rFonts w:asciiTheme="majorBidi" w:hAnsiTheme="majorBidi" w:cstheme="majorBidi"/>
          <w:i/>
          <w:iCs/>
          <w:color w:val="222222"/>
          <w:shd w:val="clear" w:color="auto" w:fill="FFFFFF"/>
        </w:rPr>
        <w:t>2020 Management Science Informatization and Economic Innovation Development Conference (MSIEID)</w:t>
      </w:r>
      <w:r>
        <w:rPr>
          <w:rFonts w:asciiTheme="majorBidi" w:hAnsiTheme="majorBidi" w:cstheme="majorBidi"/>
          <w:color w:val="222222"/>
          <w:shd w:val="clear" w:color="auto" w:fill="FFFFFF"/>
        </w:rPr>
        <w:t> (pp. 469-478). IEEE.</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Joachimsthaler, E. and Olderog, A., 2022. 13. Branding and digital business models. </w:t>
      </w:r>
      <w:r>
        <w:rPr>
          <w:rFonts w:asciiTheme="majorBidi" w:hAnsiTheme="majorBidi" w:cstheme="majorBidi"/>
          <w:i/>
          <w:iCs/>
          <w:color w:val="222222"/>
          <w:shd w:val="clear" w:color="auto" w:fill="FFFFFF"/>
        </w:rPr>
        <w:t>Handbook of Business-to-Business Marketing</w:t>
      </w:r>
      <w:r>
        <w:rPr>
          <w:rFonts w:asciiTheme="majorBidi" w:hAnsiTheme="majorBidi" w:cstheme="majorBidi"/>
          <w:color w:val="222222"/>
          <w:shd w:val="clear" w:color="auto" w:fill="FFFFFF"/>
        </w:rPr>
        <w:t>, p.225.</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Jung, J. and Mittal, V., 2020. Political identity and the consumer journey: A research review. </w:t>
      </w:r>
      <w:r>
        <w:rPr>
          <w:rFonts w:asciiTheme="majorBidi" w:hAnsiTheme="majorBidi" w:cstheme="majorBidi"/>
          <w:i/>
          <w:iCs/>
          <w:color w:val="222222"/>
          <w:shd w:val="clear" w:color="auto" w:fill="FFFFFF"/>
        </w:rPr>
        <w:t>Journal of Retailing</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96</w:t>
      </w:r>
      <w:r>
        <w:rPr>
          <w:rFonts w:asciiTheme="majorBidi" w:hAnsiTheme="majorBidi" w:cstheme="majorBidi"/>
          <w:color w:val="222222"/>
          <w:shd w:val="clear" w:color="auto" w:fill="FFFFFF"/>
        </w:rPr>
        <w:t>(1), pp.55-73.</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Kang, Y., Yin, H. and Berger, C., 2019. Test your self-driving algorithm: An overview of publicly available driving datasets and virtual testing environments. </w:t>
      </w:r>
      <w:r>
        <w:rPr>
          <w:rFonts w:asciiTheme="majorBidi" w:hAnsiTheme="majorBidi" w:cstheme="majorBidi"/>
          <w:i/>
          <w:iCs/>
          <w:color w:val="222222"/>
          <w:shd w:val="clear" w:color="auto" w:fill="FFFFFF"/>
        </w:rPr>
        <w:t>IEEE Transactions on Intelligent Vehicles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4</w:t>
      </w:r>
      <w:r>
        <w:rPr>
          <w:rFonts w:asciiTheme="majorBidi" w:hAnsiTheme="majorBidi" w:cstheme="majorBidi"/>
          <w:color w:val="222222"/>
          <w:shd w:val="clear" w:color="auto" w:fill="FFFFFF"/>
        </w:rPr>
        <w:t>(2), pp.171-185.</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Kazakova, E. and Lee, J., 2022. Sustainable Manufacturing for a Circular Economy. </w:t>
      </w:r>
      <w:r>
        <w:rPr>
          <w:rFonts w:asciiTheme="majorBidi" w:hAnsiTheme="majorBidi" w:cstheme="majorBidi"/>
          <w:i/>
          <w:iCs/>
          <w:color w:val="222222"/>
          <w:shd w:val="clear" w:color="auto" w:fill="FFFFFF"/>
        </w:rPr>
        <w:t>Sustainability</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14</w:t>
      </w:r>
      <w:r>
        <w:rPr>
          <w:rFonts w:asciiTheme="majorBidi" w:hAnsiTheme="majorBidi" w:cstheme="majorBidi"/>
          <w:color w:val="222222"/>
          <w:shd w:val="clear" w:color="auto" w:fill="FFFFFF"/>
        </w:rPr>
        <w:t>(24), p.17010.</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Khaleque, N. and Krasteva, G., 2021. Experience Technology. How the Creative Industries Help Increase the Audience Engagement at Virtual and Hybrid Events.</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Khan, I., Hollebeek, L.D., Fatma, M., Islam, J.U. and Riivits-Arkonsuo, I., 2020. Customer experience and commitment in retailing: Does customer age matter?. </w:t>
      </w:r>
      <w:r>
        <w:rPr>
          <w:rFonts w:asciiTheme="majorBidi" w:hAnsiTheme="majorBidi" w:cstheme="majorBidi"/>
          <w:i/>
          <w:iCs/>
          <w:color w:val="222222"/>
          <w:shd w:val="clear" w:color="auto" w:fill="FFFFFF"/>
        </w:rPr>
        <w:t>Journal of Retailing and Consumer Services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57</w:t>
      </w:r>
      <w:r>
        <w:rPr>
          <w:rFonts w:asciiTheme="majorBidi" w:hAnsiTheme="majorBidi" w:cstheme="majorBidi"/>
          <w:color w:val="222222"/>
          <w:shd w:val="clear" w:color="auto" w:fill="FFFFFF"/>
        </w:rPr>
        <w:t>, p.102219.</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Khan, M.R., 2021. A critical analysis of Elon Musk’s leadership in Tesla motors. </w:t>
      </w:r>
      <w:r>
        <w:rPr>
          <w:rFonts w:asciiTheme="majorBidi" w:hAnsiTheme="majorBidi" w:cstheme="majorBidi"/>
          <w:i/>
          <w:iCs/>
          <w:color w:val="222222"/>
          <w:shd w:val="clear" w:color="auto" w:fill="FFFFFF"/>
        </w:rPr>
        <w:t>Journal of Global Entrepreneurship Research</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11</w:t>
      </w:r>
      <w:r>
        <w:rPr>
          <w:rFonts w:asciiTheme="majorBidi" w:hAnsiTheme="majorBidi" w:cstheme="majorBidi"/>
          <w:color w:val="222222"/>
          <w:shd w:val="clear" w:color="auto" w:fill="FFFFFF"/>
        </w:rPr>
        <w:t>(1), pp.213-222.</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Khan, M.R., 2021. A critical analysis of Elon Musk’s leadership in Tesla motors. </w:t>
      </w:r>
      <w:r>
        <w:rPr>
          <w:rFonts w:asciiTheme="majorBidi" w:hAnsiTheme="majorBidi" w:cstheme="majorBidi"/>
          <w:i/>
          <w:iCs/>
          <w:color w:val="222222"/>
          <w:shd w:val="clear" w:color="auto" w:fill="FFFFFF"/>
        </w:rPr>
        <w:t>Journal of Global Entrepreneurship Research</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11</w:t>
      </w:r>
      <w:r>
        <w:rPr>
          <w:rFonts w:asciiTheme="majorBidi" w:hAnsiTheme="majorBidi" w:cstheme="majorBidi"/>
          <w:color w:val="222222"/>
          <w:shd w:val="clear" w:color="auto" w:fill="FFFFFF"/>
        </w:rPr>
        <w:t>(1), pp.213-222.</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Kim, S., Tanim, T.R., Dufek, E.J., Scoffield, D., Pennington, T.D., Gering, K.L., Colclasure, A.M., Mai, W., Meintz, A. and Bennett, J., 2022. Projecting Recent Advancements in Battery Technology to Next‐Generation Electric Vehicles. </w:t>
      </w:r>
      <w:r>
        <w:rPr>
          <w:rFonts w:asciiTheme="majorBidi" w:hAnsiTheme="majorBidi" w:cstheme="majorBidi"/>
          <w:i/>
          <w:iCs/>
          <w:color w:val="222222"/>
          <w:shd w:val="clear" w:color="auto" w:fill="FFFFFF"/>
        </w:rPr>
        <w:t>Energy Technology</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10</w:t>
      </w:r>
      <w:r>
        <w:rPr>
          <w:rFonts w:asciiTheme="majorBidi" w:hAnsiTheme="majorBidi" w:cstheme="majorBidi"/>
          <w:color w:val="222222"/>
          <w:shd w:val="clear" w:color="auto" w:fill="FFFFFF"/>
        </w:rPr>
        <w:t>(8), p.2200303.</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Lassala, C., Orero-Blat, M. and Ribeiro-Navarrete, S., 2021. The financial performance of listed companies in pursuit of the Sustainable Development Goals (SDG). </w:t>
      </w:r>
      <w:r>
        <w:rPr>
          <w:rFonts w:asciiTheme="majorBidi" w:hAnsiTheme="majorBidi" w:cstheme="majorBidi"/>
          <w:i/>
          <w:iCs/>
          <w:color w:val="222222"/>
          <w:shd w:val="clear" w:color="auto" w:fill="FFFFFF"/>
        </w:rPr>
        <w:t>Economic Research-Ekonomska Istraživanja</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34</w:t>
      </w:r>
      <w:r>
        <w:rPr>
          <w:rFonts w:asciiTheme="majorBidi" w:hAnsiTheme="majorBidi" w:cstheme="majorBidi"/>
          <w:color w:val="222222"/>
          <w:shd w:val="clear" w:color="auto" w:fill="FFFFFF"/>
        </w:rPr>
        <w:t>(1), pp.427-449.</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Lin, P., Lu, Y. and Xu, Z., 2022, March. Tesla’s Dilemma and Future Development Trends. In </w:t>
      </w:r>
      <w:r>
        <w:rPr>
          <w:rFonts w:asciiTheme="majorBidi" w:hAnsiTheme="majorBidi" w:cstheme="majorBidi"/>
          <w:i/>
          <w:iCs/>
          <w:color w:val="222222"/>
          <w:shd w:val="clear" w:color="auto" w:fill="FFFFFF"/>
        </w:rPr>
        <w:t>2022 7th International Conference on Financial Innovation and Economic Development (ICFIED 2022)</w:t>
      </w:r>
      <w:r>
        <w:rPr>
          <w:rFonts w:asciiTheme="majorBidi" w:hAnsiTheme="majorBidi" w:cstheme="majorBidi"/>
          <w:color w:val="222222"/>
          <w:shd w:val="clear" w:color="auto" w:fill="FFFFFF"/>
        </w:rPr>
        <w:t> (pp. 2174-2180). Atlantis Press.</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Lin, X., 2023. </w:t>
      </w:r>
      <w:r>
        <w:rPr>
          <w:rFonts w:asciiTheme="majorBidi" w:hAnsiTheme="majorBidi" w:cstheme="majorBidi"/>
          <w:i/>
          <w:iCs/>
          <w:color w:val="222222"/>
          <w:shd w:val="clear" w:color="auto" w:fill="FFFFFF"/>
        </w:rPr>
        <w:t>Assessment of the financial position and performance of the company Tesla operating in the electric vehicles industry</w:t>
      </w:r>
      <w:r>
        <w:rPr>
          <w:rFonts w:asciiTheme="majorBidi" w:hAnsiTheme="majorBidi" w:cstheme="majorBidi"/>
          <w:color w:val="222222"/>
          <w:shd w:val="clear" w:color="auto" w:fill="FFFFFF"/>
        </w:rPr>
        <w:t> (Doctoral dissertation, AMBIS vysoká škola, as, AMBIS University).</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Linja, A., Mamun, T.I. and Mueller, S.T., 2022. When self-driving fails: Evaluating social media posts regarding problems and misconceptions about tesla’s fsd mode. </w:t>
      </w:r>
      <w:r>
        <w:rPr>
          <w:rFonts w:asciiTheme="majorBidi" w:hAnsiTheme="majorBidi" w:cstheme="majorBidi"/>
          <w:i/>
          <w:iCs/>
          <w:color w:val="222222"/>
          <w:shd w:val="clear" w:color="auto" w:fill="FFFFFF"/>
        </w:rPr>
        <w:t>Multimodal Technologies and Interaction</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6</w:t>
      </w:r>
      <w:r>
        <w:rPr>
          <w:rFonts w:asciiTheme="majorBidi" w:hAnsiTheme="majorBidi" w:cstheme="majorBidi"/>
          <w:color w:val="222222"/>
          <w:shd w:val="clear" w:color="auto" w:fill="FFFFFF"/>
        </w:rPr>
        <w:t>(10), p.86.</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Lipton, A.M., 2020. Not everything is about investors: the case for mandatory stakeholder disclosure. </w:t>
      </w:r>
      <w:r>
        <w:rPr>
          <w:rFonts w:asciiTheme="majorBidi" w:hAnsiTheme="majorBidi" w:cstheme="majorBidi"/>
          <w:i/>
          <w:iCs/>
          <w:color w:val="222222"/>
          <w:shd w:val="clear" w:color="auto" w:fill="FFFFFF"/>
        </w:rPr>
        <w:t>Yale J. on Reg.</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37</w:t>
      </w:r>
      <w:r>
        <w:rPr>
          <w:rFonts w:asciiTheme="majorBidi" w:hAnsiTheme="majorBidi" w:cstheme="majorBidi"/>
          <w:color w:val="222222"/>
          <w:shd w:val="clear" w:color="auto" w:fill="FFFFFF"/>
        </w:rPr>
        <w:t>, p.499.</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Liu, S., 2021, March. Competition and valuation: a case study of Tesla Motors. In </w:t>
      </w:r>
      <w:r>
        <w:rPr>
          <w:rFonts w:asciiTheme="majorBidi" w:hAnsiTheme="majorBidi" w:cstheme="majorBidi"/>
          <w:i/>
          <w:iCs/>
          <w:color w:val="222222"/>
          <w:shd w:val="clear" w:color="auto" w:fill="FFFFFF"/>
        </w:rPr>
        <w:t>IOP Conference Series: Earth and Environmental Science</w:t>
      </w:r>
      <w:r>
        <w:rPr>
          <w:rFonts w:asciiTheme="majorBidi" w:hAnsiTheme="majorBidi" w:cstheme="majorBidi"/>
          <w:color w:val="222222"/>
          <w:shd w:val="clear" w:color="auto" w:fill="FFFFFF"/>
        </w:rPr>
        <w:t> (Vol. 692, No. 2, p. 022103). IOP Publishing.</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Long, Z., Axsen, J., Miller, I. and Kormos, C., 2019. What does Tesla mean to car buyers? Exploring the role of automotive brand in perceptions of battery electric vehicles. </w:t>
      </w:r>
      <w:r>
        <w:rPr>
          <w:rFonts w:asciiTheme="majorBidi" w:hAnsiTheme="majorBidi" w:cstheme="majorBidi"/>
          <w:i/>
          <w:iCs/>
          <w:color w:val="222222"/>
          <w:shd w:val="clear" w:color="auto" w:fill="FFFFFF"/>
        </w:rPr>
        <w:t>Transportation research part A: Policy and Practice</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129</w:t>
      </w:r>
      <w:r>
        <w:rPr>
          <w:rFonts w:asciiTheme="majorBidi" w:hAnsiTheme="majorBidi" w:cstheme="majorBidi"/>
          <w:color w:val="222222"/>
          <w:shd w:val="clear" w:color="auto" w:fill="FFFFFF"/>
        </w:rPr>
        <w:t>, pp.185-204.</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Lyyra, A., Koskinen, K., Sørensen, C. and Marion, T., 2023. Tethered Architectures in Cyber-Physical System Development: The Case of Tesla's Autopilot System. </w:t>
      </w:r>
      <w:r>
        <w:rPr>
          <w:rFonts w:asciiTheme="majorBidi" w:hAnsiTheme="majorBidi" w:cstheme="majorBidi"/>
          <w:i/>
          <w:iCs/>
          <w:color w:val="222222"/>
          <w:shd w:val="clear" w:color="auto" w:fill="FFFFFF"/>
        </w:rPr>
        <w:t>Available at SSRN 4515061</w:t>
      </w:r>
      <w:r>
        <w:rPr>
          <w:rFonts w:asciiTheme="majorBidi" w:hAnsiTheme="majorBidi" w:cstheme="majorBidi"/>
          <w:color w:val="222222"/>
          <w:shd w:val="clear" w:color="auto" w:fill="FFFFFF"/>
        </w:rPr>
        <w:t>.</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Moghrabi, I.A., Bhat, S.A., Szczuko, P., AlKhaled, R.A. and Dar, M.A., 2023. Digital Transformation and Its Influence on Sustainable Manufacturing and Business Practices. </w:t>
      </w:r>
      <w:r>
        <w:rPr>
          <w:rFonts w:asciiTheme="majorBidi" w:hAnsiTheme="majorBidi" w:cstheme="majorBidi"/>
          <w:i/>
          <w:iCs/>
          <w:color w:val="222222"/>
          <w:shd w:val="clear" w:color="auto" w:fill="FFFFFF"/>
        </w:rPr>
        <w:t>Sustainability</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15</w:t>
      </w:r>
      <w:r>
        <w:rPr>
          <w:rFonts w:asciiTheme="majorBidi" w:hAnsiTheme="majorBidi" w:cstheme="majorBidi"/>
          <w:color w:val="222222"/>
          <w:shd w:val="clear" w:color="auto" w:fill="FFFFFF"/>
        </w:rPr>
        <w:t>(4), p.3010.</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Muratori, M., Alexander, M., Arent, D., Bazilian, M., Cazzola, P., Dede, E.M., Farrell, J., Gearhart, C., Greene, D., Jenn, A. and Keyser, M., 2021. The rise of electric vehicles—2020 status and future expectations. </w:t>
      </w:r>
      <w:r>
        <w:rPr>
          <w:rFonts w:asciiTheme="majorBidi" w:hAnsiTheme="majorBidi" w:cstheme="majorBidi"/>
          <w:i/>
          <w:iCs/>
          <w:color w:val="222222"/>
          <w:shd w:val="clear" w:color="auto" w:fill="FFFFFF"/>
        </w:rPr>
        <w:t>Progress in Energy</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3</w:t>
      </w:r>
      <w:r>
        <w:rPr>
          <w:rFonts w:asciiTheme="majorBidi" w:hAnsiTheme="majorBidi" w:cstheme="majorBidi"/>
          <w:color w:val="222222"/>
          <w:shd w:val="clear" w:color="auto" w:fill="FFFFFF"/>
        </w:rPr>
        <w:t>(2), p.022002.</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Ozuem, W. and Willis, M., 2022. Brand Relationship and Engagement. In </w:t>
      </w:r>
      <w:r>
        <w:rPr>
          <w:rFonts w:asciiTheme="majorBidi" w:hAnsiTheme="majorBidi" w:cstheme="majorBidi"/>
          <w:i/>
          <w:iCs/>
          <w:color w:val="222222"/>
          <w:shd w:val="clear" w:color="auto" w:fill="FFFFFF"/>
        </w:rPr>
        <w:t>Digital Marketing Strategies for Value Co-creation: Models and Approaches for Online Brand Communities</w:t>
      </w:r>
      <w:r>
        <w:rPr>
          <w:rFonts w:asciiTheme="majorBidi" w:hAnsiTheme="majorBidi" w:cstheme="majorBidi"/>
          <w:color w:val="222222"/>
          <w:shd w:val="clear" w:color="auto" w:fill="FFFFFF"/>
        </w:rPr>
        <w:t> (pp. 131-156). Cham: Springer International Publishing.</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Pathak, P., Yadav, V., Pillai, S., Das, S. and Kansal, G., 2022. Unveiling the Success Behind Tesla’s Digital Marketing Strategy. In </w:t>
      </w:r>
      <w:r>
        <w:rPr>
          <w:rFonts w:asciiTheme="majorBidi" w:hAnsiTheme="majorBidi" w:cstheme="majorBidi"/>
          <w:i/>
          <w:iCs/>
          <w:color w:val="222222"/>
          <w:shd w:val="clear" w:color="auto" w:fill="FFFFFF"/>
        </w:rPr>
        <w:t>Emerging Technologies in Data Mining and Information Security: Proceedings of IEMIS 2022, Volume 1</w:t>
      </w:r>
      <w:r>
        <w:rPr>
          <w:rFonts w:asciiTheme="majorBidi" w:hAnsiTheme="majorBidi" w:cstheme="majorBidi"/>
          <w:color w:val="222222"/>
          <w:shd w:val="clear" w:color="auto" w:fill="FFFFFF"/>
        </w:rPr>
        <w:t> (pp. 251-260). Singapore: Springer Nature Singapore.</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Pathak, P., Yadav, V., Pillai, S., Das, S. and Kansal, G., 2022. Unveiling the Success Behind Tesla’s Digital Marketing Strategy. In </w:t>
      </w:r>
      <w:r>
        <w:rPr>
          <w:rFonts w:asciiTheme="majorBidi" w:hAnsiTheme="majorBidi" w:cstheme="majorBidi"/>
          <w:i/>
          <w:iCs/>
          <w:color w:val="222222"/>
          <w:shd w:val="clear" w:color="auto" w:fill="FFFFFF"/>
        </w:rPr>
        <w:t>Emerging Technologies in Data Mining and Information Security: Proceedings of IEMIS 2022, Volume 1</w:t>
      </w:r>
      <w:r>
        <w:rPr>
          <w:rFonts w:asciiTheme="majorBidi" w:hAnsiTheme="majorBidi" w:cstheme="majorBidi"/>
          <w:color w:val="222222"/>
          <w:shd w:val="clear" w:color="auto" w:fill="FFFFFF"/>
        </w:rPr>
        <w:t> (pp. 251-260). Singapore: Springer Nature Singapore.</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Pizzutti, C., Gonçalves, R. and Ferreira, M., 2022. Information search behavior at the post-purchase stage of the customer journey. </w:t>
      </w:r>
      <w:r>
        <w:rPr>
          <w:rFonts w:asciiTheme="majorBidi" w:hAnsiTheme="majorBidi" w:cstheme="majorBidi"/>
          <w:i/>
          <w:iCs/>
          <w:color w:val="222222"/>
          <w:shd w:val="clear" w:color="auto" w:fill="FFFFFF"/>
        </w:rPr>
        <w:t>Journal of the Academy of Marketing Science</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50</w:t>
      </w:r>
      <w:r>
        <w:rPr>
          <w:rFonts w:asciiTheme="majorBidi" w:hAnsiTheme="majorBidi" w:cstheme="majorBidi"/>
          <w:color w:val="222222"/>
          <w:shd w:val="clear" w:color="auto" w:fill="FFFFFF"/>
        </w:rPr>
        <w:t>(5), pp.981-1010.</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Prior, D.D., 2023. Customer Journey Management. In </w:t>
      </w:r>
      <w:r>
        <w:rPr>
          <w:rFonts w:asciiTheme="majorBidi" w:hAnsiTheme="majorBidi" w:cstheme="majorBidi"/>
          <w:i/>
          <w:iCs/>
          <w:color w:val="222222"/>
          <w:shd w:val="clear" w:color="auto" w:fill="FFFFFF"/>
        </w:rPr>
        <w:t>B2B Customer Engagement Strategy: An Introduction to Managing Customer Experience</w:t>
      </w:r>
      <w:r>
        <w:rPr>
          <w:rFonts w:asciiTheme="majorBidi" w:hAnsiTheme="majorBidi" w:cstheme="majorBidi"/>
          <w:color w:val="222222"/>
          <w:shd w:val="clear" w:color="auto" w:fill="FFFFFF"/>
        </w:rPr>
        <w:t> (pp. 91-117). Cham: Springer International Publishing.</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Priya, K., 2020. The customer's path impact in customer satisfaction. </w:t>
      </w:r>
      <w:r>
        <w:rPr>
          <w:rFonts w:asciiTheme="majorBidi" w:hAnsiTheme="majorBidi" w:cstheme="majorBidi"/>
          <w:i/>
          <w:iCs/>
          <w:color w:val="222222"/>
          <w:shd w:val="clear" w:color="auto" w:fill="FFFFFF"/>
        </w:rPr>
        <w:t>Business management dynamics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9</w:t>
      </w:r>
      <w:r>
        <w:rPr>
          <w:rFonts w:asciiTheme="majorBidi" w:hAnsiTheme="majorBidi" w:cstheme="majorBidi"/>
          <w:color w:val="222222"/>
          <w:shd w:val="clear" w:color="auto" w:fill="FFFFFF"/>
        </w:rPr>
        <w:t>(8), p.27.</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Ravi, S.S. and Aziz, M., 2022. Utilization of electric vehicles for vehicle-to-grid services: Progress and perspectives. </w:t>
      </w:r>
      <w:r>
        <w:rPr>
          <w:rFonts w:asciiTheme="majorBidi" w:hAnsiTheme="majorBidi" w:cstheme="majorBidi"/>
          <w:i/>
          <w:iCs/>
          <w:color w:val="222222"/>
          <w:shd w:val="clear" w:color="auto" w:fill="FFFFFF"/>
        </w:rPr>
        <w:t>Energies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15</w:t>
      </w:r>
      <w:r>
        <w:rPr>
          <w:rFonts w:asciiTheme="majorBidi" w:hAnsiTheme="majorBidi" w:cstheme="majorBidi"/>
          <w:color w:val="222222"/>
          <w:shd w:val="clear" w:color="auto" w:fill="FFFFFF"/>
        </w:rPr>
        <w:t>(2), p.589.</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Sachdeva, N., Rathore, A.K., Sondhi, N. and Bamel, U., 2023. Manifestation of customer value co-creation behaviour in the automobile industry: a perspective from Twitter analytics. </w:t>
      </w:r>
      <w:r>
        <w:rPr>
          <w:rFonts w:asciiTheme="majorBidi" w:hAnsiTheme="majorBidi" w:cstheme="majorBidi"/>
          <w:i/>
          <w:iCs/>
          <w:color w:val="222222"/>
          <w:shd w:val="clear" w:color="auto" w:fill="FFFFFF"/>
        </w:rPr>
        <w:t>Electronic Commerce Research</w:t>
      </w:r>
      <w:r>
        <w:rPr>
          <w:rFonts w:asciiTheme="majorBidi" w:hAnsiTheme="majorBidi" w:cstheme="majorBidi"/>
          <w:color w:val="222222"/>
          <w:shd w:val="clear" w:color="auto" w:fill="FFFFFF"/>
        </w:rPr>
        <w:t>, pp.1-38.</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Sanguesa, J.A., Torres-Sanz, V., Garrido, P., Martinez, F.J. and Marquez-Barja, J.M., 2021. A review on electric vehicles: Technologies and challenges. </w:t>
      </w:r>
      <w:r>
        <w:rPr>
          <w:rFonts w:asciiTheme="majorBidi" w:hAnsiTheme="majorBidi" w:cstheme="majorBidi"/>
          <w:i/>
          <w:iCs/>
          <w:color w:val="222222"/>
          <w:shd w:val="clear" w:color="auto" w:fill="FFFFFF"/>
        </w:rPr>
        <w:t>Smart Cities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4</w:t>
      </w:r>
      <w:r>
        <w:rPr>
          <w:rFonts w:asciiTheme="majorBidi" w:hAnsiTheme="majorBidi" w:cstheme="majorBidi"/>
          <w:color w:val="222222"/>
          <w:shd w:val="clear" w:color="auto" w:fill="FFFFFF"/>
        </w:rPr>
        <w:t>(1), pp.372-404.</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Sheth, J.N., Jain, V. and Ambika, A., 2023. The growing importance of customer-centric support services for improving customer experience. </w:t>
      </w:r>
      <w:r>
        <w:rPr>
          <w:rFonts w:asciiTheme="majorBidi" w:hAnsiTheme="majorBidi" w:cstheme="majorBidi"/>
          <w:i/>
          <w:iCs/>
          <w:color w:val="222222"/>
          <w:shd w:val="clear" w:color="auto" w:fill="FFFFFF"/>
        </w:rPr>
        <w:t>Journal of Business Research</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164</w:t>
      </w:r>
      <w:r>
        <w:rPr>
          <w:rFonts w:asciiTheme="majorBidi" w:hAnsiTheme="majorBidi" w:cstheme="majorBidi"/>
          <w:color w:val="222222"/>
          <w:shd w:val="clear" w:color="auto" w:fill="FFFFFF"/>
        </w:rPr>
        <w:t>, p.113943.</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Sheth, J.N., Jain, V. and Ambika, A., 2023. The growing importance of customer-centric support services for improving customer experience. </w:t>
      </w:r>
      <w:r>
        <w:rPr>
          <w:rFonts w:asciiTheme="majorBidi" w:hAnsiTheme="majorBidi" w:cstheme="majorBidi"/>
          <w:i/>
          <w:iCs/>
          <w:color w:val="222222"/>
          <w:shd w:val="clear" w:color="auto" w:fill="FFFFFF"/>
        </w:rPr>
        <w:t>Journal of Business Research</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164</w:t>
      </w:r>
      <w:r>
        <w:rPr>
          <w:rFonts w:asciiTheme="majorBidi" w:hAnsiTheme="majorBidi" w:cstheme="majorBidi"/>
          <w:color w:val="222222"/>
          <w:shd w:val="clear" w:color="auto" w:fill="FFFFFF"/>
        </w:rPr>
        <w:t>, p.113943.</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Siebert, A., Gopaldas, A., Lindridge, A. and Simões, C., 2020. Customer experience journeys: Loyalty loops versus involvement spirals. </w:t>
      </w:r>
      <w:r>
        <w:rPr>
          <w:rFonts w:asciiTheme="majorBidi" w:hAnsiTheme="majorBidi" w:cstheme="majorBidi"/>
          <w:i/>
          <w:iCs/>
          <w:color w:val="222222"/>
          <w:shd w:val="clear" w:color="auto" w:fill="FFFFFF"/>
        </w:rPr>
        <w:t>Journal of Marketing</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84</w:t>
      </w:r>
      <w:r>
        <w:rPr>
          <w:rFonts w:asciiTheme="majorBidi" w:hAnsiTheme="majorBidi" w:cstheme="majorBidi"/>
          <w:color w:val="222222"/>
          <w:shd w:val="clear" w:color="auto" w:fill="FFFFFF"/>
        </w:rPr>
        <w:t>(4), pp.45-66.</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Singh, A., Halgamuge, M.N. and Moses, B., 2019. An analysis of demographic and behavior trends using social media: Facebook, Twitter, and Instagram. </w:t>
      </w:r>
      <w:r>
        <w:rPr>
          <w:rFonts w:asciiTheme="majorBidi" w:hAnsiTheme="majorBidi" w:cstheme="majorBidi"/>
          <w:i/>
          <w:iCs/>
          <w:color w:val="222222"/>
          <w:shd w:val="clear" w:color="auto" w:fill="FFFFFF"/>
        </w:rPr>
        <w:t>Social Network Analytics</w:t>
      </w:r>
      <w:r>
        <w:rPr>
          <w:rFonts w:asciiTheme="majorBidi" w:hAnsiTheme="majorBidi" w:cstheme="majorBidi"/>
          <w:color w:val="222222"/>
          <w:shd w:val="clear" w:color="auto" w:fill="FFFFFF"/>
        </w:rPr>
        <w:t>, p.87.</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Strawhecker, K., 2023. Tesla Energy Division Strategic Audit.</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Sun, S., Gao, Y. and Rui, H., 2021. Does active service intervention drive more complaints on social media? The roles of service quality and awareness. </w:t>
      </w:r>
      <w:r>
        <w:rPr>
          <w:rFonts w:asciiTheme="majorBidi" w:hAnsiTheme="majorBidi" w:cstheme="majorBidi"/>
          <w:i/>
          <w:iCs/>
          <w:color w:val="222222"/>
          <w:shd w:val="clear" w:color="auto" w:fill="FFFFFF"/>
        </w:rPr>
        <w:t>Journal of Management Information Systems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38</w:t>
      </w:r>
      <w:r>
        <w:rPr>
          <w:rFonts w:asciiTheme="majorBidi" w:hAnsiTheme="majorBidi" w:cstheme="majorBidi"/>
          <w:color w:val="222222"/>
          <w:shd w:val="clear" w:color="auto" w:fill="FFFFFF"/>
        </w:rPr>
        <w:t>(3), pp.579-611.</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Sypko, D., 2022. Time-Based Competition in Tesla´ s Supply Chain in the Era of Industry 4.0.</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Tantau, A.D. and Frăţilă, L.C., 2021. Business Development in the Renewable Energy Industry. In </w:t>
      </w:r>
      <w:r>
        <w:rPr>
          <w:rFonts w:asciiTheme="majorBidi" w:hAnsiTheme="majorBidi" w:cstheme="majorBidi"/>
          <w:i/>
          <w:iCs/>
          <w:color w:val="222222"/>
          <w:shd w:val="clear" w:color="auto" w:fill="FFFFFF"/>
        </w:rPr>
        <w:t>Research Anthology on Clean Energy Management and Solutions</w:t>
      </w:r>
      <w:r>
        <w:rPr>
          <w:rFonts w:asciiTheme="majorBidi" w:hAnsiTheme="majorBidi" w:cstheme="majorBidi"/>
          <w:color w:val="222222"/>
          <w:shd w:val="clear" w:color="auto" w:fill="FFFFFF"/>
        </w:rPr>
        <w:t> (pp. 1439-1474). IGI Global.</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Terho, H., Mero, J., Siutla, L. and Jaakkola, E., 2022. Digital content marketing in business markets: Activities, consequences, and contingencies along the customer journey. </w:t>
      </w:r>
      <w:r>
        <w:rPr>
          <w:rFonts w:asciiTheme="majorBidi" w:hAnsiTheme="majorBidi" w:cstheme="majorBidi"/>
          <w:i/>
          <w:iCs/>
          <w:color w:val="222222"/>
          <w:shd w:val="clear" w:color="auto" w:fill="FFFFFF"/>
        </w:rPr>
        <w:t>Industrial Marketing Management</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105</w:t>
      </w:r>
      <w:r>
        <w:rPr>
          <w:rFonts w:asciiTheme="majorBidi" w:hAnsiTheme="majorBidi" w:cstheme="majorBidi"/>
          <w:color w:val="222222"/>
          <w:shd w:val="clear" w:color="auto" w:fill="FFFFFF"/>
        </w:rPr>
        <w:t>, pp.294-310.</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Thomas, V.J. and Maine, E., 2019. Market entry strategies for electric vehicle start-ups in the automotive industry–Lessons from Tesla Motors. </w:t>
      </w:r>
      <w:r>
        <w:rPr>
          <w:rFonts w:asciiTheme="majorBidi" w:hAnsiTheme="majorBidi" w:cstheme="majorBidi"/>
          <w:i/>
          <w:iCs/>
          <w:color w:val="222222"/>
          <w:shd w:val="clear" w:color="auto" w:fill="FFFFFF"/>
        </w:rPr>
        <w:t>Journal of Cleaner Production</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235</w:t>
      </w:r>
      <w:r>
        <w:rPr>
          <w:rFonts w:asciiTheme="majorBidi" w:hAnsiTheme="majorBidi" w:cstheme="majorBidi"/>
          <w:color w:val="222222"/>
          <w:shd w:val="clear" w:color="auto" w:fill="FFFFFF"/>
        </w:rPr>
        <w:t>, pp.653-663.</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Tueanrat, Y., Papagiannidis, S. and Alamanos, E., 2021. Going on a journey: A review of the customer journey literature. </w:t>
      </w:r>
      <w:r>
        <w:rPr>
          <w:rFonts w:asciiTheme="majorBidi" w:hAnsiTheme="majorBidi" w:cstheme="majorBidi"/>
          <w:i/>
          <w:iCs/>
          <w:color w:val="222222"/>
          <w:shd w:val="clear" w:color="auto" w:fill="FFFFFF"/>
        </w:rPr>
        <w:t>Journal of Business Research</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125</w:t>
      </w:r>
      <w:r>
        <w:rPr>
          <w:rFonts w:asciiTheme="majorBidi" w:hAnsiTheme="majorBidi" w:cstheme="majorBidi"/>
          <w:color w:val="222222"/>
          <w:shd w:val="clear" w:color="auto" w:fill="FFFFFF"/>
        </w:rPr>
        <w:t>, pp.336-353.</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Xu, X. and Jackson, J.E., 2019. Examining customer channel selection intention in the omni-channel retail environment. </w:t>
      </w:r>
      <w:r>
        <w:rPr>
          <w:rFonts w:asciiTheme="majorBidi" w:hAnsiTheme="majorBidi" w:cstheme="majorBidi"/>
          <w:i/>
          <w:iCs/>
          <w:color w:val="222222"/>
          <w:shd w:val="clear" w:color="auto" w:fill="FFFFFF"/>
        </w:rPr>
        <w:t>International Journal of Production Economics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208</w:t>
      </w:r>
      <w:r>
        <w:rPr>
          <w:rFonts w:asciiTheme="majorBidi" w:hAnsiTheme="majorBidi" w:cstheme="majorBidi"/>
          <w:color w:val="222222"/>
          <w:shd w:val="clear" w:color="auto" w:fill="FFFFFF"/>
        </w:rPr>
        <w:t>, pp.434-445.</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Yang, Z., Huang, H. and Lin, F., 2022. Sustainable electric vehicle batteries for a sustainable world: Perspectives on battery cathodes, environment, supply chain, manufacturing, life cycle, and policy. </w:t>
      </w:r>
      <w:r>
        <w:rPr>
          <w:rFonts w:asciiTheme="majorBidi" w:hAnsiTheme="majorBidi" w:cstheme="majorBidi"/>
          <w:i/>
          <w:iCs/>
          <w:color w:val="222222"/>
          <w:shd w:val="clear" w:color="auto" w:fill="FFFFFF"/>
        </w:rPr>
        <w:t>Advanced Energy Materials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12</w:t>
      </w:r>
      <w:r>
        <w:rPr>
          <w:rFonts w:asciiTheme="majorBidi" w:hAnsiTheme="majorBidi" w:cstheme="majorBidi"/>
          <w:color w:val="222222"/>
          <w:shd w:val="clear" w:color="auto" w:fill="FFFFFF"/>
        </w:rPr>
        <w:t>(26), p.2200383.</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Yin, C.C., Chiu, H.C., Hsieh, Y.C. and Kuo, C.Y., 2022. How to retain customers in omnichannel retailing: Considering the roles of brand experience and purchase behavior. </w:t>
      </w:r>
      <w:r>
        <w:rPr>
          <w:rFonts w:asciiTheme="majorBidi" w:hAnsiTheme="majorBidi" w:cstheme="majorBidi"/>
          <w:i/>
          <w:iCs/>
          <w:color w:val="222222"/>
          <w:shd w:val="clear" w:color="auto" w:fill="FFFFFF"/>
        </w:rPr>
        <w:t>Journal of Retailing and Consumer Services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69</w:t>
      </w:r>
      <w:r>
        <w:rPr>
          <w:rFonts w:asciiTheme="majorBidi" w:hAnsiTheme="majorBidi" w:cstheme="majorBidi"/>
          <w:color w:val="222222"/>
          <w:shd w:val="clear" w:color="auto" w:fill="FFFFFF"/>
        </w:rPr>
        <w:t>, p.103070.</w:t>
      </w:r>
    </w:p>
    <w:p>
      <w:pPr>
        <w:spacing w:after="0"/>
        <w:ind w:left="720" w:hanging="720"/>
        <w:rPr>
          <w:rFonts w:asciiTheme="majorBidi" w:hAnsiTheme="majorBidi" w:cstheme="majorBidi"/>
          <w:color w:val="222222"/>
          <w:shd w:val="clear" w:color="auto" w:fill="FFFFFF"/>
        </w:rPr>
      </w:pPr>
      <w:r>
        <w:rPr>
          <w:rFonts w:asciiTheme="majorBidi" w:hAnsiTheme="majorBidi" w:cstheme="majorBidi"/>
          <w:color w:val="222222"/>
          <w:shd w:val="clear" w:color="auto" w:fill="FFFFFF"/>
        </w:rPr>
        <w:t>Yin, C.C., Chiu, H.C., Hsieh, Y.C. and Kuo, C.Y., 2022. How to retain customers in omnichannel retailing: Considering the roles of brand experience and purchase behavior. </w:t>
      </w:r>
      <w:r>
        <w:rPr>
          <w:rFonts w:asciiTheme="majorBidi" w:hAnsiTheme="majorBidi" w:cstheme="majorBidi"/>
          <w:i/>
          <w:iCs/>
          <w:color w:val="222222"/>
          <w:shd w:val="clear" w:color="auto" w:fill="FFFFFF"/>
        </w:rPr>
        <w:t>Journal of Retailing and Consumer Services</w:t>
      </w:r>
      <w:r>
        <w:rPr>
          <w:rFonts w:asciiTheme="majorBidi" w:hAnsiTheme="majorBidi" w:cstheme="majorBidi"/>
          <w:color w:val="222222"/>
          <w:shd w:val="clear" w:color="auto" w:fill="FFFFFF"/>
        </w:rPr>
        <w:t>, </w:t>
      </w:r>
      <w:r>
        <w:rPr>
          <w:rFonts w:asciiTheme="majorBidi" w:hAnsiTheme="majorBidi" w:cstheme="majorBidi"/>
          <w:i/>
          <w:iCs/>
          <w:color w:val="222222"/>
          <w:shd w:val="clear" w:color="auto" w:fill="FFFFFF"/>
        </w:rPr>
        <w:t>69</w:t>
      </w:r>
      <w:r>
        <w:rPr>
          <w:rFonts w:asciiTheme="majorBidi" w:hAnsiTheme="majorBidi" w:cstheme="majorBidi"/>
          <w:color w:val="222222"/>
          <w:shd w:val="clear" w:color="auto" w:fill="FFFFFF"/>
        </w:rPr>
        <w:t>, p.103070.</w:t>
      </w:r>
    </w:p>
    <w:p/>
    <w:sectPr>
      <w:headerReference r:id="rId5" w:type="default"/>
      <w:pgSz w:w="12240" w:h="15840"/>
      <w:pgMar w:top="1440" w:right="1440" w:bottom="1440" w:left="1440" w:header="720" w:footer="720" w:gutter="0"/>
      <w:pgBorders w:offsetFrom="page">
        <w:top w:val="double" w:color="auto" w:sz="4" w:space="24"/>
        <w:left w:val="double" w:color="auto" w:sz="4" w:space="24"/>
        <w:bottom w:val="double" w:color="auto" w:sz="4" w:space="24"/>
        <w:right w:val="double" w:color="auto" w:sz="4" w:space="24"/>
      </w:pgBorders>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Georgia">
    <w:panose1 w:val="02040502050405020303"/>
    <w:charset w:val="00"/>
    <w:family w:val="roman"/>
    <w:pitch w:val="default"/>
    <w:sig w:usb0="00000287" w:usb1="00000000" w:usb2="00000000" w:usb3="00000000" w:csb0="2000009F" w:csb1="00000000"/>
  </w:font>
  <w:font w:name="Cambria">
    <w:panose1 w:val="02040503050406030204"/>
    <w:charset w:val="00"/>
    <w:family w:val="roman"/>
    <w:pitch w:val="default"/>
    <w:sig w:usb0="E00006FF" w:usb1="420024FF" w:usb2="02000000" w:usb3="00000000" w:csb0="2000019F" w:csb1="00000000"/>
  </w:font>
  <w:font w:name="Verdana">
    <w:panose1 w:val="020B0604030504040204"/>
    <w:charset w:val="00"/>
    <w:family w:val="swiss"/>
    <w:pitch w:val="default"/>
    <w:sig w:usb0="A00006FF" w:usb1="4000205B" w:usb2="00000010" w:usb3="00000000" w:csb0="2000019F" w:csb1="00000000"/>
  </w:font>
  <w:font w:name="Segoe UI">
    <w:panose1 w:val="020B0502040204020203"/>
    <w:charset w:val="00"/>
    <w:family w:val="swiss"/>
    <w:pitch w:val="default"/>
    <w:sig w:usb0="E4002EFF" w:usb1="C000E47F" w:usb2="00000009" w:usb3="00000000" w:csb0="200001FF" w:csb1="00000000"/>
  </w:font>
  <w:font w:name="MS Mincho">
    <w:altName w:val="Yu Gothic UI"/>
    <w:panose1 w:val="02020609040205080304"/>
    <w:charset w:val="80"/>
    <w:family w:val="roman"/>
    <w:pitch w:val="default"/>
    <w:sig w:usb0="00000000" w:usb1="00000000" w:usb2="00000010" w:usb3="00000000" w:csb0="00020000" w:csb1="00000000"/>
  </w:font>
  <w:font w:name="Yu Gothic UI">
    <w:panose1 w:val="020B0500000000000000"/>
    <w:charset w:val="80"/>
    <w:family w:val="auto"/>
    <w:pitch w:val="default"/>
    <w:sig w:usb0="E00002FF" w:usb1="2AC7FDFF" w:usb2="00000016" w:usb3="00000000" w:csb0="2002009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after="0" w:line="240" w:lineRule="auto"/>
      <w:jc w:val="right"/>
      <w:rPr>
        <w:color w:val="000000"/>
      </w:rPr>
    </w:pPr>
    <w:r>
      <w:rPr>
        <w:color w:val="000000"/>
      </w:rPr>
      <w:fldChar w:fldCharType="begin"/>
    </w:r>
    <w:r>
      <w:rPr>
        <w:color w:val="000000"/>
      </w:rPr>
      <w:instrText xml:space="preserve">PAGE</w:instrText>
    </w:r>
    <w:r>
      <w:rPr>
        <w:color w:val="000000"/>
      </w:rPr>
      <w:fldChar w:fldCharType="separate"/>
    </w:r>
    <w:r>
      <w:rPr>
        <w:color w:val="000000"/>
      </w:rPr>
      <w:t>2</w:t>
    </w:r>
    <w:r>
      <w:rPr>
        <w:color w:val="000000"/>
      </w:rPr>
      <w:fldChar w:fldCharType="end"/>
    </w:r>
  </w:p>
  <w:p>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FE8429B"/>
    <w:multiLevelType w:val="singleLevel"/>
    <w:tmpl w:val="1FE8429B"/>
    <w:lvl w:ilvl="0" w:tentative="0">
      <w:start w:val="1"/>
      <w:numFmt w:val="decimal"/>
      <w:pStyle w:val="23"/>
      <w:lvlText w:val="%1."/>
      <w:lvlJc w:val="left"/>
      <w:pPr>
        <w:tabs>
          <w:tab w:val="left" w:pos="360"/>
        </w:tabs>
        <w:ind w:left="360" w:hanging="360"/>
      </w:pPr>
      <w:rPr>
        <w:rFonts w:ascii="Times New Roman" w:hAnsi="Times New Roman" w:eastAsia="Times New Roman" w:cs="Times New Roman"/>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EyNbM0MbG0sLQwNbJQ0lEKTi0uzszPAykwN6kFAOkNz8ctAAAA"/>
  </w:docVars>
  <w:rsids>
    <w:rsidRoot w:val="00942AF8"/>
    <w:rsid w:val="0000034C"/>
    <w:rsid w:val="00000754"/>
    <w:rsid w:val="00002411"/>
    <w:rsid w:val="00006B05"/>
    <w:rsid w:val="00010C15"/>
    <w:rsid w:val="00011B21"/>
    <w:rsid w:val="00014D85"/>
    <w:rsid w:val="0001704C"/>
    <w:rsid w:val="00017A43"/>
    <w:rsid w:val="00020E72"/>
    <w:rsid w:val="00021EC7"/>
    <w:rsid w:val="0002406C"/>
    <w:rsid w:val="00026EDB"/>
    <w:rsid w:val="000304C7"/>
    <w:rsid w:val="00030632"/>
    <w:rsid w:val="00030CC3"/>
    <w:rsid w:val="0003189C"/>
    <w:rsid w:val="0003210A"/>
    <w:rsid w:val="000337F7"/>
    <w:rsid w:val="00033A45"/>
    <w:rsid w:val="000377D6"/>
    <w:rsid w:val="000445FF"/>
    <w:rsid w:val="00045392"/>
    <w:rsid w:val="00046DA1"/>
    <w:rsid w:val="00047125"/>
    <w:rsid w:val="0005256B"/>
    <w:rsid w:val="00052662"/>
    <w:rsid w:val="00055CDF"/>
    <w:rsid w:val="000618AE"/>
    <w:rsid w:val="00067F77"/>
    <w:rsid w:val="000708D3"/>
    <w:rsid w:val="00071440"/>
    <w:rsid w:val="00071DE3"/>
    <w:rsid w:val="00072278"/>
    <w:rsid w:val="00072A7F"/>
    <w:rsid w:val="0007485F"/>
    <w:rsid w:val="000757D6"/>
    <w:rsid w:val="000807A5"/>
    <w:rsid w:val="00080F50"/>
    <w:rsid w:val="00081B20"/>
    <w:rsid w:val="00086E16"/>
    <w:rsid w:val="0008747A"/>
    <w:rsid w:val="00087F11"/>
    <w:rsid w:val="000901A0"/>
    <w:rsid w:val="00091ED5"/>
    <w:rsid w:val="00093EE2"/>
    <w:rsid w:val="00094673"/>
    <w:rsid w:val="000A020F"/>
    <w:rsid w:val="000A2616"/>
    <w:rsid w:val="000A2CEB"/>
    <w:rsid w:val="000A5D1A"/>
    <w:rsid w:val="000A7708"/>
    <w:rsid w:val="000B2D4E"/>
    <w:rsid w:val="000B43D9"/>
    <w:rsid w:val="000B4705"/>
    <w:rsid w:val="000B4DEE"/>
    <w:rsid w:val="000B6F93"/>
    <w:rsid w:val="000B7FBF"/>
    <w:rsid w:val="000C1C27"/>
    <w:rsid w:val="000C555F"/>
    <w:rsid w:val="000C64C5"/>
    <w:rsid w:val="000D0DB2"/>
    <w:rsid w:val="000D1427"/>
    <w:rsid w:val="000D1C1F"/>
    <w:rsid w:val="000D2341"/>
    <w:rsid w:val="000D2BC9"/>
    <w:rsid w:val="000E1268"/>
    <w:rsid w:val="000E2C34"/>
    <w:rsid w:val="000E429E"/>
    <w:rsid w:val="000E54D4"/>
    <w:rsid w:val="000F3644"/>
    <w:rsid w:val="000F37A9"/>
    <w:rsid w:val="000F4F62"/>
    <w:rsid w:val="001029BA"/>
    <w:rsid w:val="00103CAA"/>
    <w:rsid w:val="0010615E"/>
    <w:rsid w:val="00106FE5"/>
    <w:rsid w:val="001103B5"/>
    <w:rsid w:val="0011272D"/>
    <w:rsid w:val="001148EB"/>
    <w:rsid w:val="00117695"/>
    <w:rsid w:val="00117CFD"/>
    <w:rsid w:val="00122FD6"/>
    <w:rsid w:val="0012396A"/>
    <w:rsid w:val="0012403B"/>
    <w:rsid w:val="00124ADE"/>
    <w:rsid w:val="00125008"/>
    <w:rsid w:val="00130B21"/>
    <w:rsid w:val="00131606"/>
    <w:rsid w:val="00131ADB"/>
    <w:rsid w:val="00131F48"/>
    <w:rsid w:val="00132501"/>
    <w:rsid w:val="00132C6C"/>
    <w:rsid w:val="001373B8"/>
    <w:rsid w:val="00137AEA"/>
    <w:rsid w:val="00137FC9"/>
    <w:rsid w:val="0014221A"/>
    <w:rsid w:val="00143101"/>
    <w:rsid w:val="00143D25"/>
    <w:rsid w:val="00151EC9"/>
    <w:rsid w:val="00152A0F"/>
    <w:rsid w:val="001536A2"/>
    <w:rsid w:val="00153CE6"/>
    <w:rsid w:val="00155350"/>
    <w:rsid w:val="001570D6"/>
    <w:rsid w:val="00157849"/>
    <w:rsid w:val="0016182E"/>
    <w:rsid w:val="00161C80"/>
    <w:rsid w:val="00164BF0"/>
    <w:rsid w:val="00166CAE"/>
    <w:rsid w:val="001676E3"/>
    <w:rsid w:val="00172B86"/>
    <w:rsid w:val="00174CF3"/>
    <w:rsid w:val="00174DF3"/>
    <w:rsid w:val="00181E91"/>
    <w:rsid w:val="001857F4"/>
    <w:rsid w:val="001908A3"/>
    <w:rsid w:val="00192299"/>
    <w:rsid w:val="00193528"/>
    <w:rsid w:val="00194620"/>
    <w:rsid w:val="001951AC"/>
    <w:rsid w:val="0019540A"/>
    <w:rsid w:val="0019544B"/>
    <w:rsid w:val="0019673C"/>
    <w:rsid w:val="0019745E"/>
    <w:rsid w:val="00197B0C"/>
    <w:rsid w:val="001A04AF"/>
    <w:rsid w:val="001A1F9D"/>
    <w:rsid w:val="001A28D1"/>
    <w:rsid w:val="001A36F0"/>
    <w:rsid w:val="001A3AA0"/>
    <w:rsid w:val="001A4208"/>
    <w:rsid w:val="001A46F4"/>
    <w:rsid w:val="001A489B"/>
    <w:rsid w:val="001B10E0"/>
    <w:rsid w:val="001B130B"/>
    <w:rsid w:val="001B2848"/>
    <w:rsid w:val="001B28A5"/>
    <w:rsid w:val="001B6BD7"/>
    <w:rsid w:val="001C1617"/>
    <w:rsid w:val="001C3EAD"/>
    <w:rsid w:val="001C5070"/>
    <w:rsid w:val="001C79B6"/>
    <w:rsid w:val="001D01A4"/>
    <w:rsid w:val="001D303B"/>
    <w:rsid w:val="001D313B"/>
    <w:rsid w:val="001D437A"/>
    <w:rsid w:val="001D459C"/>
    <w:rsid w:val="001D6371"/>
    <w:rsid w:val="001D6CCC"/>
    <w:rsid w:val="001E05B5"/>
    <w:rsid w:val="001E0D4E"/>
    <w:rsid w:val="001E142C"/>
    <w:rsid w:val="001E19AD"/>
    <w:rsid w:val="001E2B19"/>
    <w:rsid w:val="001E5906"/>
    <w:rsid w:val="001E703D"/>
    <w:rsid w:val="001F095D"/>
    <w:rsid w:val="001F1722"/>
    <w:rsid w:val="0020154A"/>
    <w:rsid w:val="00204400"/>
    <w:rsid w:val="00204DF0"/>
    <w:rsid w:val="002066D9"/>
    <w:rsid w:val="00211113"/>
    <w:rsid w:val="00211215"/>
    <w:rsid w:val="00211F07"/>
    <w:rsid w:val="00212D6B"/>
    <w:rsid w:val="00214661"/>
    <w:rsid w:val="00220405"/>
    <w:rsid w:val="00221472"/>
    <w:rsid w:val="002216F2"/>
    <w:rsid w:val="00222398"/>
    <w:rsid w:val="0022243B"/>
    <w:rsid w:val="00223B48"/>
    <w:rsid w:val="002261D9"/>
    <w:rsid w:val="00227C7A"/>
    <w:rsid w:val="00232F79"/>
    <w:rsid w:val="00234214"/>
    <w:rsid w:val="002347C9"/>
    <w:rsid w:val="002353AC"/>
    <w:rsid w:val="00235609"/>
    <w:rsid w:val="00236FAA"/>
    <w:rsid w:val="00242B93"/>
    <w:rsid w:val="00243874"/>
    <w:rsid w:val="002442A0"/>
    <w:rsid w:val="00245E79"/>
    <w:rsid w:val="002476AF"/>
    <w:rsid w:val="00247954"/>
    <w:rsid w:val="00250272"/>
    <w:rsid w:val="00250403"/>
    <w:rsid w:val="002509E9"/>
    <w:rsid w:val="00253156"/>
    <w:rsid w:val="00264EB7"/>
    <w:rsid w:val="002652B6"/>
    <w:rsid w:val="00270BD4"/>
    <w:rsid w:val="002738FB"/>
    <w:rsid w:val="00273CB8"/>
    <w:rsid w:val="002742B8"/>
    <w:rsid w:val="00276447"/>
    <w:rsid w:val="002779DE"/>
    <w:rsid w:val="0028464E"/>
    <w:rsid w:val="00285E76"/>
    <w:rsid w:val="002862E0"/>
    <w:rsid w:val="0028673A"/>
    <w:rsid w:val="00286FDA"/>
    <w:rsid w:val="00292A8D"/>
    <w:rsid w:val="002966F4"/>
    <w:rsid w:val="00297D0B"/>
    <w:rsid w:val="002A11B3"/>
    <w:rsid w:val="002A300C"/>
    <w:rsid w:val="002A4936"/>
    <w:rsid w:val="002A5DF8"/>
    <w:rsid w:val="002B0186"/>
    <w:rsid w:val="002B0341"/>
    <w:rsid w:val="002B2FF4"/>
    <w:rsid w:val="002B5B26"/>
    <w:rsid w:val="002C1922"/>
    <w:rsid w:val="002C1D36"/>
    <w:rsid w:val="002C6138"/>
    <w:rsid w:val="002C62E7"/>
    <w:rsid w:val="002C71F4"/>
    <w:rsid w:val="002C71FA"/>
    <w:rsid w:val="002D12D0"/>
    <w:rsid w:val="002D40B7"/>
    <w:rsid w:val="002D5BBE"/>
    <w:rsid w:val="002D7504"/>
    <w:rsid w:val="002E03EC"/>
    <w:rsid w:val="002E3B94"/>
    <w:rsid w:val="002E7880"/>
    <w:rsid w:val="002F3B8A"/>
    <w:rsid w:val="002F6E10"/>
    <w:rsid w:val="002F7346"/>
    <w:rsid w:val="002F7882"/>
    <w:rsid w:val="00301728"/>
    <w:rsid w:val="00303AE3"/>
    <w:rsid w:val="00304A80"/>
    <w:rsid w:val="00310669"/>
    <w:rsid w:val="00311E8F"/>
    <w:rsid w:val="00313551"/>
    <w:rsid w:val="003225A7"/>
    <w:rsid w:val="0032275E"/>
    <w:rsid w:val="00325DF5"/>
    <w:rsid w:val="003272B0"/>
    <w:rsid w:val="00327F59"/>
    <w:rsid w:val="00331FF4"/>
    <w:rsid w:val="003329DA"/>
    <w:rsid w:val="00333087"/>
    <w:rsid w:val="003330AC"/>
    <w:rsid w:val="00333A78"/>
    <w:rsid w:val="003348D6"/>
    <w:rsid w:val="003352DC"/>
    <w:rsid w:val="00336383"/>
    <w:rsid w:val="00336683"/>
    <w:rsid w:val="003377D2"/>
    <w:rsid w:val="003428E7"/>
    <w:rsid w:val="003433DF"/>
    <w:rsid w:val="00343984"/>
    <w:rsid w:val="003443BB"/>
    <w:rsid w:val="0034443C"/>
    <w:rsid w:val="0034648F"/>
    <w:rsid w:val="00346FEE"/>
    <w:rsid w:val="00347B0B"/>
    <w:rsid w:val="00347F13"/>
    <w:rsid w:val="00351005"/>
    <w:rsid w:val="003521C2"/>
    <w:rsid w:val="00353000"/>
    <w:rsid w:val="00353D5B"/>
    <w:rsid w:val="0035443B"/>
    <w:rsid w:val="00356C8D"/>
    <w:rsid w:val="00356E4C"/>
    <w:rsid w:val="00360912"/>
    <w:rsid w:val="0036120C"/>
    <w:rsid w:val="00361257"/>
    <w:rsid w:val="00361270"/>
    <w:rsid w:val="0036260A"/>
    <w:rsid w:val="00362C89"/>
    <w:rsid w:val="00362D05"/>
    <w:rsid w:val="00363FFB"/>
    <w:rsid w:val="0036571D"/>
    <w:rsid w:val="00366112"/>
    <w:rsid w:val="0036650E"/>
    <w:rsid w:val="00366809"/>
    <w:rsid w:val="00371C1C"/>
    <w:rsid w:val="003740F9"/>
    <w:rsid w:val="00374724"/>
    <w:rsid w:val="00374E3C"/>
    <w:rsid w:val="00375916"/>
    <w:rsid w:val="00375ACF"/>
    <w:rsid w:val="00376F8F"/>
    <w:rsid w:val="00380702"/>
    <w:rsid w:val="003817EF"/>
    <w:rsid w:val="00382A9C"/>
    <w:rsid w:val="00384925"/>
    <w:rsid w:val="003879F6"/>
    <w:rsid w:val="00391FB9"/>
    <w:rsid w:val="00392863"/>
    <w:rsid w:val="00393A54"/>
    <w:rsid w:val="0039475A"/>
    <w:rsid w:val="0039477A"/>
    <w:rsid w:val="00397335"/>
    <w:rsid w:val="003A0699"/>
    <w:rsid w:val="003A0BD7"/>
    <w:rsid w:val="003A138C"/>
    <w:rsid w:val="003A186B"/>
    <w:rsid w:val="003A359C"/>
    <w:rsid w:val="003A5899"/>
    <w:rsid w:val="003A5A18"/>
    <w:rsid w:val="003A67A2"/>
    <w:rsid w:val="003A7243"/>
    <w:rsid w:val="003B0BA6"/>
    <w:rsid w:val="003B24F9"/>
    <w:rsid w:val="003B5D72"/>
    <w:rsid w:val="003B6725"/>
    <w:rsid w:val="003B6AD8"/>
    <w:rsid w:val="003B7C69"/>
    <w:rsid w:val="003C03BB"/>
    <w:rsid w:val="003C1405"/>
    <w:rsid w:val="003C719A"/>
    <w:rsid w:val="003D0254"/>
    <w:rsid w:val="003D05A4"/>
    <w:rsid w:val="003D05F0"/>
    <w:rsid w:val="003D1B3C"/>
    <w:rsid w:val="003D1F12"/>
    <w:rsid w:val="003D2314"/>
    <w:rsid w:val="003D24CB"/>
    <w:rsid w:val="003D261A"/>
    <w:rsid w:val="003D3F8B"/>
    <w:rsid w:val="003D6E96"/>
    <w:rsid w:val="003D6EF6"/>
    <w:rsid w:val="003D7A42"/>
    <w:rsid w:val="003E0595"/>
    <w:rsid w:val="003E077D"/>
    <w:rsid w:val="003E318D"/>
    <w:rsid w:val="003E39D2"/>
    <w:rsid w:val="003E3E5E"/>
    <w:rsid w:val="003E595B"/>
    <w:rsid w:val="003E75C2"/>
    <w:rsid w:val="003F315C"/>
    <w:rsid w:val="0040112D"/>
    <w:rsid w:val="00401161"/>
    <w:rsid w:val="00402260"/>
    <w:rsid w:val="00403B5C"/>
    <w:rsid w:val="00405210"/>
    <w:rsid w:val="00407BE2"/>
    <w:rsid w:val="0041154E"/>
    <w:rsid w:val="00412166"/>
    <w:rsid w:val="00413759"/>
    <w:rsid w:val="0041682C"/>
    <w:rsid w:val="0042191B"/>
    <w:rsid w:val="00422E7A"/>
    <w:rsid w:val="00426DC7"/>
    <w:rsid w:val="00430416"/>
    <w:rsid w:val="00432F98"/>
    <w:rsid w:val="00434558"/>
    <w:rsid w:val="0043722A"/>
    <w:rsid w:val="0044012A"/>
    <w:rsid w:val="00441252"/>
    <w:rsid w:val="00442ABA"/>
    <w:rsid w:val="00443414"/>
    <w:rsid w:val="00451D49"/>
    <w:rsid w:val="00451E26"/>
    <w:rsid w:val="00453007"/>
    <w:rsid w:val="00455238"/>
    <w:rsid w:val="00455D42"/>
    <w:rsid w:val="00455E65"/>
    <w:rsid w:val="0045629B"/>
    <w:rsid w:val="00457A6E"/>
    <w:rsid w:val="004605F1"/>
    <w:rsid w:val="00462DEB"/>
    <w:rsid w:val="004661A1"/>
    <w:rsid w:val="004673FE"/>
    <w:rsid w:val="00472E28"/>
    <w:rsid w:val="00475989"/>
    <w:rsid w:val="00475E3A"/>
    <w:rsid w:val="0047733A"/>
    <w:rsid w:val="004840BD"/>
    <w:rsid w:val="00484A70"/>
    <w:rsid w:val="00485869"/>
    <w:rsid w:val="00485E2F"/>
    <w:rsid w:val="00487103"/>
    <w:rsid w:val="004909ED"/>
    <w:rsid w:val="00490BF6"/>
    <w:rsid w:val="00492070"/>
    <w:rsid w:val="004A0349"/>
    <w:rsid w:val="004A0E96"/>
    <w:rsid w:val="004A346F"/>
    <w:rsid w:val="004A3ABD"/>
    <w:rsid w:val="004A3D43"/>
    <w:rsid w:val="004A4622"/>
    <w:rsid w:val="004A5299"/>
    <w:rsid w:val="004A7E93"/>
    <w:rsid w:val="004B451C"/>
    <w:rsid w:val="004B79F7"/>
    <w:rsid w:val="004C0135"/>
    <w:rsid w:val="004C0E43"/>
    <w:rsid w:val="004C0E92"/>
    <w:rsid w:val="004C23AA"/>
    <w:rsid w:val="004C2BEA"/>
    <w:rsid w:val="004C34D7"/>
    <w:rsid w:val="004C4C74"/>
    <w:rsid w:val="004C4FB3"/>
    <w:rsid w:val="004C5E00"/>
    <w:rsid w:val="004C694D"/>
    <w:rsid w:val="004D0D06"/>
    <w:rsid w:val="004D306F"/>
    <w:rsid w:val="004D33CC"/>
    <w:rsid w:val="004D3A91"/>
    <w:rsid w:val="004D7625"/>
    <w:rsid w:val="004D7A9A"/>
    <w:rsid w:val="004E179E"/>
    <w:rsid w:val="004E3AFA"/>
    <w:rsid w:val="004E51F9"/>
    <w:rsid w:val="004E5D06"/>
    <w:rsid w:val="004E6257"/>
    <w:rsid w:val="004E6AFF"/>
    <w:rsid w:val="004E6D9C"/>
    <w:rsid w:val="004E7964"/>
    <w:rsid w:val="004F25F8"/>
    <w:rsid w:val="004F27D2"/>
    <w:rsid w:val="004F2ADE"/>
    <w:rsid w:val="004F363C"/>
    <w:rsid w:val="004F5C57"/>
    <w:rsid w:val="004F6EF2"/>
    <w:rsid w:val="004F7179"/>
    <w:rsid w:val="00501675"/>
    <w:rsid w:val="00503F66"/>
    <w:rsid w:val="0050415F"/>
    <w:rsid w:val="00504162"/>
    <w:rsid w:val="005105FA"/>
    <w:rsid w:val="0051255E"/>
    <w:rsid w:val="005136EF"/>
    <w:rsid w:val="0051446A"/>
    <w:rsid w:val="0051638C"/>
    <w:rsid w:val="00517032"/>
    <w:rsid w:val="0051794A"/>
    <w:rsid w:val="00517F78"/>
    <w:rsid w:val="0052140E"/>
    <w:rsid w:val="005242AC"/>
    <w:rsid w:val="00524BB9"/>
    <w:rsid w:val="00525922"/>
    <w:rsid w:val="00527E39"/>
    <w:rsid w:val="005308AA"/>
    <w:rsid w:val="00531F73"/>
    <w:rsid w:val="00533DE2"/>
    <w:rsid w:val="00534E67"/>
    <w:rsid w:val="0053517C"/>
    <w:rsid w:val="00541A8F"/>
    <w:rsid w:val="005422A7"/>
    <w:rsid w:val="005435DE"/>
    <w:rsid w:val="00545E36"/>
    <w:rsid w:val="005460D6"/>
    <w:rsid w:val="00547C84"/>
    <w:rsid w:val="00551159"/>
    <w:rsid w:val="00552A7F"/>
    <w:rsid w:val="00553522"/>
    <w:rsid w:val="00554319"/>
    <w:rsid w:val="00556845"/>
    <w:rsid w:val="0055710E"/>
    <w:rsid w:val="00557274"/>
    <w:rsid w:val="00557EFA"/>
    <w:rsid w:val="005611C4"/>
    <w:rsid w:val="00561BD6"/>
    <w:rsid w:val="00567585"/>
    <w:rsid w:val="005679B7"/>
    <w:rsid w:val="005708B3"/>
    <w:rsid w:val="00573B9C"/>
    <w:rsid w:val="00576F56"/>
    <w:rsid w:val="00576FB2"/>
    <w:rsid w:val="0057748D"/>
    <w:rsid w:val="005800A7"/>
    <w:rsid w:val="00580672"/>
    <w:rsid w:val="00581EC2"/>
    <w:rsid w:val="0058315C"/>
    <w:rsid w:val="005831C7"/>
    <w:rsid w:val="00586C74"/>
    <w:rsid w:val="005916E4"/>
    <w:rsid w:val="00591F93"/>
    <w:rsid w:val="005932A7"/>
    <w:rsid w:val="00593B01"/>
    <w:rsid w:val="0059545C"/>
    <w:rsid w:val="00595629"/>
    <w:rsid w:val="0059717B"/>
    <w:rsid w:val="00597F26"/>
    <w:rsid w:val="005A05F7"/>
    <w:rsid w:val="005A081E"/>
    <w:rsid w:val="005A0E56"/>
    <w:rsid w:val="005A134E"/>
    <w:rsid w:val="005A48C8"/>
    <w:rsid w:val="005A5869"/>
    <w:rsid w:val="005A5EEA"/>
    <w:rsid w:val="005A6B21"/>
    <w:rsid w:val="005A6B87"/>
    <w:rsid w:val="005A6CC8"/>
    <w:rsid w:val="005A6CD9"/>
    <w:rsid w:val="005B55C9"/>
    <w:rsid w:val="005C3D2D"/>
    <w:rsid w:val="005C7335"/>
    <w:rsid w:val="005D1C43"/>
    <w:rsid w:val="005D28C5"/>
    <w:rsid w:val="005D35B4"/>
    <w:rsid w:val="005D5F5E"/>
    <w:rsid w:val="005E0627"/>
    <w:rsid w:val="005E5E76"/>
    <w:rsid w:val="005E629E"/>
    <w:rsid w:val="005E64DD"/>
    <w:rsid w:val="005E6E40"/>
    <w:rsid w:val="005F1B39"/>
    <w:rsid w:val="005F2200"/>
    <w:rsid w:val="005F25E9"/>
    <w:rsid w:val="005F3FF2"/>
    <w:rsid w:val="005F6E99"/>
    <w:rsid w:val="005F6F79"/>
    <w:rsid w:val="00600C80"/>
    <w:rsid w:val="00601712"/>
    <w:rsid w:val="006033A6"/>
    <w:rsid w:val="00604BF1"/>
    <w:rsid w:val="006064B3"/>
    <w:rsid w:val="006122B5"/>
    <w:rsid w:val="006128E7"/>
    <w:rsid w:val="006130E7"/>
    <w:rsid w:val="0061463F"/>
    <w:rsid w:val="006150F8"/>
    <w:rsid w:val="00615A20"/>
    <w:rsid w:val="00621A56"/>
    <w:rsid w:val="006258EB"/>
    <w:rsid w:val="00632601"/>
    <w:rsid w:val="00633878"/>
    <w:rsid w:val="00633CF9"/>
    <w:rsid w:val="00633FE4"/>
    <w:rsid w:val="00634449"/>
    <w:rsid w:val="0063486A"/>
    <w:rsid w:val="0064268D"/>
    <w:rsid w:val="00642932"/>
    <w:rsid w:val="00643D63"/>
    <w:rsid w:val="00647E16"/>
    <w:rsid w:val="00650B5B"/>
    <w:rsid w:val="00651F64"/>
    <w:rsid w:val="00652DDD"/>
    <w:rsid w:val="00653836"/>
    <w:rsid w:val="00655551"/>
    <w:rsid w:val="006556C5"/>
    <w:rsid w:val="00656C69"/>
    <w:rsid w:val="00657397"/>
    <w:rsid w:val="00657664"/>
    <w:rsid w:val="00662A12"/>
    <w:rsid w:val="0066333A"/>
    <w:rsid w:val="00663722"/>
    <w:rsid w:val="00664465"/>
    <w:rsid w:val="006645D3"/>
    <w:rsid w:val="006666E3"/>
    <w:rsid w:val="006707BD"/>
    <w:rsid w:val="00670FE7"/>
    <w:rsid w:val="00672643"/>
    <w:rsid w:val="00675F55"/>
    <w:rsid w:val="00680175"/>
    <w:rsid w:val="006816C7"/>
    <w:rsid w:val="00681E75"/>
    <w:rsid w:val="00682616"/>
    <w:rsid w:val="006833E0"/>
    <w:rsid w:val="00683D32"/>
    <w:rsid w:val="00684E03"/>
    <w:rsid w:val="0068587A"/>
    <w:rsid w:val="00690B91"/>
    <w:rsid w:val="00692821"/>
    <w:rsid w:val="00694443"/>
    <w:rsid w:val="006969AC"/>
    <w:rsid w:val="00697EB6"/>
    <w:rsid w:val="006A083E"/>
    <w:rsid w:val="006A12F6"/>
    <w:rsid w:val="006A1CCE"/>
    <w:rsid w:val="006A3272"/>
    <w:rsid w:val="006A4B74"/>
    <w:rsid w:val="006A66B8"/>
    <w:rsid w:val="006A7AAA"/>
    <w:rsid w:val="006B090F"/>
    <w:rsid w:val="006B4312"/>
    <w:rsid w:val="006B5CD1"/>
    <w:rsid w:val="006B6473"/>
    <w:rsid w:val="006B7DA4"/>
    <w:rsid w:val="006C283C"/>
    <w:rsid w:val="006C2893"/>
    <w:rsid w:val="006C2EF0"/>
    <w:rsid w:val="006C3A36"/>
    <w:rsid w:val="006C3C3E"/>
    <w:rsid w:val="006C5C06"/>
    <w:rsid w:val="006C66B8"/>
    <w:rsid w:val="006C7343"/>
    <w:rsid w:val="006C7E96"/>
    <w:rsid w:val="006D16FB"/>
    <w:rsid w:val="006D34F0"/>
    <w:rsid w:val="006D40BB"/>
    <w:rsid w:val="006D43F3"/>
    <w:rsid w:val="006D45F6"/>
    <w:rsid w:val="006D4B22"/>
    <w:rsid w:val="006D5C88"/>
    <w:rsid w:val="006D5D3D"/>
    <w:rsid w:val="006D61D1"/>
    <w:rsid w:val="006D67A8"/>
    <w:rsid w:val="006D6D94"/>
    <w:rsid w:val="006E1B99"/>
    <w:rsid w:val="006E6FFC"/>
    <w:rsid w:val="006F0AF1"/>
    <w:rsid w:val="006F4074"/>
    <w:rsid w:val="006F510A"/>
    <w:rsid w:val="006F5DDD"/>
    <w:rsid w:val="006F6D37"/>
    <w:rsid w:val="00701AB8"/>
    <w:rsid w:val="007025B1"/>
    <w:rsid w:val="00702A48"/>
    <w:rsid w:val="00710B24"/>
    <w:rsid w:val="00711754"/>
    <w:rsid w:val="0071247B"/>
    <w:rsid w:val="00714244"/>
    <w:rsid w:val="007149F8"/>
    <w:rsid w:val="00717E35"/>
    <w:rsid w:val="00720174"/>
    <w:rsid w:val="0072053E"/>
    <w:rsid w:val="00720B99"/>
    <w:rsid w:val="007224B0"/>
    <w:rsid w:val="00723818"/>
    <w:rsid w:val="00726CF1"/>
    <w:rsid w:val="00727483"/>
    <w:rsid w:val="00730304"/>
    <w:rsid w:val="0073096B"/>
    <w:rsid w:val="0073162A"/>
    <w:rsid w:val="00731633"/>
    <w:rsid w:val="0073334A"/>
    <w:rsid w:val="007349D3"/>
    <w:rsid w:val="00743DE5"/>
    <w:rsid w:val="007454BA"/>
    <w:rsid w:val="00746BA6"/>
    <w:rsid w:val="00752556"/>
    <w:rsid w:val="00753973"/>
    <w:rsid w:val="00760B78"/>
    <w:rsid w:val="00763253"/>
    <w:rsid w:val="00764A61"/>
    <w:rsid w:val="00766BCE"/>
    <w:rsid w:val="00770F2E"/>
    <w:rsid w:val="00774A02"/>
    <w:rsid w:val="00775A02"/>
    <w:rsid w:val="00775A2E"/>
    <w:rsid w:val="0077695B"/>
    <w:rsid w:val="0077775F"/>
    <w:rsid w:val="007809A6"/>
    <w:rsid w:val="00780D6D"/>
    <w:rsid w:val="0078180A"/>
    <w:rsid w:val="0078312D"/>
    <w:rsid w:val="00784C51"/>
    <w:rsid w:val="007850FD"/>
    <w:rsid w:val="00786041"/>
    <w:rsid w:val="007867DF"/>
    <w:rsid w:val="007869A5"/>
    <w:rsid w:val="00790E60"/>
    <w:rsid w:val="00795A92"/>
    <w:rsid w:val="00796ADC"/>
    <w:rsid w:val="00797633"/>
    <w:rsid w:val="007A06BD"/>
    <w:rsid w:val="007A3AC4"/>
    <w:rsid w:val="007A3C13"/>
    <w:rsid w:val="007A57B3"/>
    <w:rsid w:val="007A5A05"/>
    <w:rsid w:val="007B197F"/>
    <w:rsid w:val="007B19A0"/>
    <w:rsid w:val="007B3906"/>
    <w:rsid w:val="007B42F2"/>
    <w:rsid w:val="007B496B"/>
    <w:rsid w:val="007B4F78"/>
    <w:rsid w:val="007B5D81"/>
    <w:rsid w:val="007C05EE"/>
    <w:rsid w:val="007C0B51"/>
    <w:rsid w:val="007C38DB"/>
    <w:rsid w:val="007C43BD"/>
    <w:rsid w:val="007C4637"/>
    <w:rsid w:val="007C4E7A"/>
    <w:rsid w:val="007D0E10"/>
    <w:rsid w:val="007D1D9B"/>
    <w:rsid w:val="007D24A3"/>
    <w:rsid w:val="007D3BCD"/>
    <w:rsid w:val="007D45EB"/>
    <w:rsid w:val="007D588F"/>
    <w:rsid w:val="007D7C01"/>
    <w:rsid w:val="007E03CC"/>
    <w:rsid w:val="007E06D9"/>
    <w:rsid w:val="007E1275"/>
    <w:rsid w:val="007E131A"/>
    <w:rsid w:val="007E26B8"/>
    <w:rsid w:val="007E39D7"/>
    <w:rsid w:val="007E5BF2"/>
    <w:rsid w:val="007E7389"/>
    <w:rsid w:val="007E7E9C"/>
    <w:rsid w:val="007F1721"/>
    <w:rsid w:val="007F1FA5"/>
    <w:rsid w:val="007F2B09"/>
    <w:rsid w:val="007F4539"/>
    <w:rsid w:val="007F4926"/>
    <w:rsid w:val="007F6E6C"/>
    <w:rsid w:val="007F70D4"/>
    <w:rsid w:val="00803CC6"/>
    <w:rsid w:val="008064C8"/>
    <w:rsid w:val="008101E4"/>
    <w:rsid w:val="00811117"/>
    <w:rsid w:val="00811153"/>
    <w:rsid w:val="00811307"/>
    <w:rsid w:val="00811D3B"/>
    <w:rsid w:val="00812C26"/>
    <w:rsid w:val="008170D1"/>
    <w:rsid w:val="00817CAD"/>
    <w:rsid w:val="0082162B"/>
    <w:rsid w:val="00824CA0"/>
    <w:rsid w:val="00832136"/>
    <w:rsid w:val="00832578"/>
    <w:rsid w:val="00840E8E"/>
    <w:rsid w:val="00842CE0"/>
    <w:rsid w:val="00850CF6"/>
    <w:rsid w:val="00851C9B"/>
    <w:rsid w:val="0086134C"/>
    <w:rsid w:val="00862C4E"/>
    <w:rsid w:val="00863FA8"/>
    <w:rsid w:val="00866234"/>
    <w:rsid w:val="00870587"/>
    <w:rsid w:val="0087257C"/>
    <w:rsid w:val="008743E5"/>
    <w:rsid w:val="00875EC7"/>
    <w:rsid w:val="008810D8"/>
    <w:rsid w:val="00881B3D"/>
    <w:rsid w:val="00883F1D"/>
    <w:rsid w:val="00884135"/>
    <w:rsid w:val="00884635"/>
    <w:rsid w:val="00885DD4"/>
    <w:rsid w:val="008865D9"/>
    <w:rsid w:val="0088718E"/>
    <w:rsid w:val="00890947"/>
    <w:rsid w:val="00890B16"/>
    <w:rsid w:val="00892499"/>
    <w:rsid w:val="00892774"/>
    <w:rsid w:val="008952AA"/>
    <w:rsid w:val="0089636C"/>
    <w:rsid w:val="00896EB0"/>
    <w:rsid w:val="008A0801"/>
    <w:rsid w:val="008A2F0B"/>
    <w:rsid w:val="008A4165"/>
    <w:rsid w:val="008A477D"/>
    <w:rsid w:val="008A79D2"/>
    <w:rsid w:val="008B01EB"/>
    <w:rsid w:val="008B09B6"/>
    <w:rsid w:val="008B2182"/>
    <w:rsid w:val="008B27D7"/>
    <w:rsid w:val="008B2879"/>
    <w:rsid w:val="008B371E"/>
    <w:rsid w:val="008B5A67"/>
    <w:rsid w:val="008B623D"/>
    <w:rsid w:val="008B62FC"/>
    <w:rsid w:val="008B6E36"/>
    <w:rsid w:val="008C03BA"/>
    <w:rsid w:val="008C06C2"/>
    <w:rsid w:val="008C19C2"/>
    <w:rsid w:val="008C54E5"/>
    <w:rsid w:val="008C57FD"/>
    <w:rsid w:val="008C6EF8"/>
    <w:rsid w:val="008D02B5"/>
    <w:rsid w:val="008D08DC"/>
    <w:rsid w:val="008D0ECF"/>
    <w:rsid w:val="008D1752"/>
    <w:rsid w:val="008D3D72"/>
    <w:rsid w:val="008D4594"/>
    <w:rsid w:val="008D4A75"/>
    <w:rsid w:val="008D5D23"/>
    <w:rsid w:val="008D5DAD"/>
    <w:rsid w:val="008D77F4"/>
    <w:rsid w:val="008E369E"/>
    <w:rsid w:val="008E49E7"/>
    <w:rsid w:val="008E61BA"/>
    <w:rsid w:val="008E627D"/>
    <w:rsid w:val="008E6C9D"/>
    <w:rsid w:val="008E7187"/>
    <w:rsid w:val="008E79C1"/>
    <w:rsid w:val="008F213C"/>
    <w:rsid w:val="008F46CA"/>
    <w:rsid w:val="008F4CE4"/>
    <w:rsid w:val="008F6CBE"/>
    <w:rsid w:val="00901CA5"/>
    <w:rsid w:val="009029CC"/>
    <w:rsid w:val="0090341A"/>
    <w:rsid w:val="00905500"/>
    <w:rsid w:val="00906A07"/>
    <w:rsid w:val="009111FC"/>
    <w:rsid w:val="00911606"/>
    <w:rsid w:val="00914183"/>
    <w:rsid w:val="00914187"/>
    <w:rsid w:val="00915E1F"/>
    <w:rsid w:val="00920035"/>
    <w:rsid w:val="00920BFD"/>
    <w:rsid w:val="00922236"/>
    <w:rsid w:val="009224B5"/>
    <w:rsid w:val="00923BB0"/>
    <w:rsid w:val="0092421D"/>
    <w:rsid w:val="00927310"/>
    <w:rsid w:val="00930496"/>
    <w:rsid w:val="00931576"/>
    <w:rsid w:val="009321D3"/>
    <w:rsid w:val="009349C6"/>
    <w:rsid w:val="009372F9"/>
    <w:rsid w:val="00940C92"/>
    <w:rsid w:val="00941128"/>
    <w:rsid w:val="009411EE"/>
    <w:rsid w:val="00942711"/>
    <w:rsid w:val="00942AF8"/>
    <w:rsid w:val="00945388"/>
    <w:rsid w:val="00945687"/>
    <w:rsid w:val="00945780"/>
    <w:rsid w:val="00945C45"/>
    <w:rsid w:val="00951571"/>
    <w:rsid w:val="00951AA2"/>
    <w:rsid w:val="00952856"/>
    <w:rsid w:val="00952E8A"/>
    <w:rsid w:val="009538EF"/>
    <w:rsid w:val="009563C3"/>
    <w:rsid w:val="00957BF1"/>
    <w:rsid w:val="00962A3F"/>
    <w:rsid w:val="00965DB8"/>
    <w:rsid w:val="00966F40"/>
    <w:rsid w:val="0096750C"/>
    <w:rsid w:val="00970308"/>
    <w:rsid w:val="0097203A"/>
    <w:rsid w:val="0097498A"/>
    <w:rsid w:val="00975D3D"/>
    <w:rsid w:val="009761BB"/>
    <w:rsid w:val="009803D7"/>
    <w:rsid w:val="00981699"/>
    <w:rsid w:val="00981CAA"/>
    <w:rsid w:val="0098299B"/>
    <w:rsid w:val="00984012"/>
    <w:rsid w:val="009856F9"/>
    <w:rsid w:val="00990F7E"/>
    <w:rsid w:val="00990FF6"/>
    <w:rsid w:val="0099444A"/>
    <w:rsid w:val="0099469C"/>
    <w:rsid w:val="009954E5"/>
    <w:rsid w:val="009A147B"/>
    <w:rsid w:val="009A1FFE"/>
    <w:rsid w:val="009A2CB2"/>
    <w:rsid w:val="009A3DEE"/>
    <w:rsid w:val="009A4BE0"/>
    <w:rsid w:val="009A59D3"/>
    <w:rsid w:val="009A5CA5"/>
    <w:rsid w:val="009A663B"/>
    <w:rsid w:val="009A7E0B"/>
    <w:rsid w:val="009A7EFF"/>
    <w:rsid w:val="009B1958"/>
    <w:rsid w:val="009B4E2D"/>
    <w:rsid w:val="009B7645"/>
    <w:rsid w:val="009C22A2"/>
    <w:rsid w:val="009C275E"/>
    <w:rsid w:val="009C4B8D"/>
    <w:rsid w:val="009C71CD"/>
    <w:rsid w:val="009C77BE"/>
    <w:rsid w:val="009D10C4"/>
    <w:rsid w:val="009D38C7"/>
    <w:rsid w:val="009D5411"/>
    <w:rsid w:val="009D56F4"/>
    <w:rsid w:val="009D5863"/>
    <w:rsid w:val="009D6031"/>
    <w:rsid w:val="009D6D56"/>
    <w:rsid w:val="009E1B17"/>
    <w:rsid w:val="009E4166"/>
    <w:rsid w:val="009F00D7"/>
    <w:rsid w:val="009F4312"/>
    <w:rsid w:val="009F4A77"/>
    <w:rsid w:val="009F5576"/>
    <w:rsid w:val="009F7613"/>
    <w:rsid w:val="009F7926"/>
    <w:rsid w:val="00A031C6"/>
    <w:rsid w:val="00A0527E"/>
    <w:rsid w:val="00A05505"/>
    <w:rsid w:val="00A05716"/>
    <w:rsid w:val="00A05B6E"/>
    <w:rsid w:val="00A07D3D"/>
    <w:rsid w:val="00A07FDF"/>
    <w:rsid w:val="00A102CD"/>
    <w:rsid w:val="00A1695B"/>
    <w:rsid w:val="00A16A1D"/>
    <w:rsid w:val="00A17BF6"/>
    <w:rsid w:val="00A20F27"/>
    <w:rsid w:val="00A23E49"/>
    <w:rsid w:val="00A2460E"/>
    <w:rsid w:val="00A24C33"/>
    <w:rsid w:val="00A265D3"/>
    <w:rsid w:val="00A26686"/>
    <w:rsid w:val="00A31655"/>
    <w:rsid w:val="00A31D01"/>
    <w:rsid w:val="00A32BCF"/>
    <w:rsid w:val="00A32D2E"/>
    <w:rsid w:val="00A34C52"/>
    <w:rsid w:val="00A36B67"/>
    <w:rsid w:val="00A40F47"/>
    <w:rsid w:val="00A422C3"/>
    <w:rsid w:val="00A43F80"/>
    <w:rsid w:val="00A445D8"/>
    <w:rsid w:val="00A45C3A"/>
    <w:rsid w:val="00A46612"/>
    <w:rsid w:val="00A501E9"/>
    <w:rsid w:val="00A51890"/>
    <w:rsid w:val="00A5302E"/>
    <w:rsid w:val="00A53E70"/>
    <w:rsid w:val="00A54530"/>
    <w:rsid w:val="00A54EE0"/>
    <w:rsid w:val="00A55A41"/>
    <w:rsid w:val="00A57799"/>
    <w:rsid w:val="00A57D5A"/>
    <w:rsid w:val="00A60BAC"/>
    <w:rsid w:val="00A60BE6"/>
    <w:rsid w:val="00A615EF"/>
    <w:rsid w:val="00A62731"/>
    <w:rsid w:val="00A627CC"/>
    <w:rsid w:val="00A632CD"/>
    <w:rsid w:val="00A63874"/>
    <w:rsid w:val="00A63BBE"/>
    <w:rsid w:val="00A65545"/>
    <w:rsid w:val="00A66038"/>
    <w:rsid w:val="00A6733E"/>
    <w:rsid w:val="00A7336F"/>
    <w:rsid w:val="00A75DE7"/>
    <w:rsid w:val="00A75EBC"/>
    <w:rsid w:val="00A81D62"/>
    <w:rsid w:val="00A82ABB"/>
    <w:rsid w:val="00A83061"/>
    <w:rsid w:val="00A83439"/>
    <w:rsid w:val="00A84520"/>
    <w:rsid w:val="00A91FDE"/>
    <w:rsid w:val="00A92414"/>
    <w:rsid w:val="00A9488E"/>
    <w:rsid w:val="00A94CDC"/>
    <w:rsid w:val="00A95531"/>
    <w:rsid w:val="00A971E3"/>
    <w:rsid w:val="00A97799"/>
    <w:rsid w:val="00AA17D3"/>
    <w:rsid w:val="00AA197A"/>
    <w:rsid w:val="00AA1CB8"/>
    <w:rsid w:val="00AA305E"/>
    <w:rsid w:val="00AA3710"/>
    <w:rsid w:val="00AA7200"/>
    <w:rsid w:val="00AB0EA5"/>
    <w:rsid w:val="00AB1038"/>
    <w:rsid w:val="00AB2463"/>
    <w:rsid w:val="00AB3940"/>
    <w:rsid w:val="00AB5630"/>
    <w:rsid w:val="00AB56CD"/>
    <w:rsid w:val="00AB5D82"/>
    <w:rsid w:val="00AB72C0"/>
    <w:rsid w:val="00AC1D47"/>
    <w:rsid w:val="00AC2E8E"/>
    <w:rsid w:val="00AC4D9D"/>
    <w:rsid w:val="00AC559B"/>
    <w:rsid w:val="00AC70F6"/>
    <w:rsid w:val="00AD214B"/>
    <w:rsid w:val="00AD358F"/>
    <w:rsid w:val="00AD3A95"/>
    <w:rsid w:val="00AD3E30"/>
    <w:rsid w:val="00AD6C66"/>
    <w:rsid w:val="00AD7A2B"/>
    <w:rsid w:val="00AD7EE7"/>
    <w:rsid w:val="00AE0858"/>
    <w:rsid w:val="00AE0B5C"/>
    <w:rsid w:val="00AE4724"/>
    <w:rsid w:val="00AE52CC"/>
    <w:rsid w:val="00AF0126"/>
    <w:rsid w:val="00AF3441"/>
    <w:rsid w:val="00AF359C"/>
    <w:rsid w:val="00AF415F"/>
    <w:rsid w:val="00AF47DD"/>
    <w:rsid w:val="00AF4D0E"/>
    <w:rsid w:val="00AF59A2"/>
    <w:rsid w:val="00B00379"/>
    <w:rsid w:val="00B008A9"/>
    <w:rsid w:val="00B01571"/>
    <w:rsid w:val="00B02216"/>
    <w:rsid w:val="00B0528C"/>
    <w:rsid w:val="00B074B8"/>
    <w:rsid w:val="00B11191"/>
    <w:rsid w:val="00B13C50"/>
    <w:rsid w:val="00B16ABF"/>
    <w:rsid w:val="00B17C02"/>
    <w:rsid w:val="00B20371"/>
    <w:rsid w:val="00B2344D"/>
    <w:rsid w:val="00B23FDA"/>
    <w:rsid w:val="00B249CC"/>
    <w:rsid w:val="00B24DA2"/>
    <w:rsid w:val="00B26614"/>
    <w:rsid w:val="00B341A8"/>
    <w:rsid w:val="00B3574B"/>
    <w:rsid w:val="00B3598B"/>
    <w:rsid w:val="00B364ED"/>
    <w:rsid w:val="00B37721"/>
    <w:rsid w:val="00B41B3F"/>
    <w:rsid w:val="00B42BC0"/>
    <w:rsid w:val="00B43B66"/>
    <w:rsid w:val="00B44349"/>
    <w:rsid w:val="00B443F3"/>
    <w:rsid w:val="00B44B9F"/>
    <w:rsid w:val="00B471AB"/>
    <w:rsid w:val="00B5179D"/>
    <w:rsid w:val="00B543CF"/>
    <w:rsid w:val="00B56783"/>
    <w:rsid w:val="00B57571"/>
    <w:rsid w:val="00B57EDE"/>
    <w:rsid w:val="00B6135E"/>
    <w:rsid w:val="00B62180"/>
    <w:rsid w:val="00B62366"/>
    <w:rsid w:val="00B62AEA"/>
    <w:rsid w:val="00B70A75"/>
    <w:rsid w:val="00B71008"/>
    <w:rsid w:val="00B73CF9"/>
    <w:rsid w:val="00B75ADC"/>
    <w:rsid w:val="00B7667B"/>
    <w:rsid w:val="00B77AB6"/>
    <w:rsid w:val="00B8018D"/>
    <w:rsid w:val="00B80868"/>
    <w:rsid w:val="00B81389"/>
    <w:rsid w:val="00B81BE8"/>
    <w:rsid w:val="00B8414E"/>
    <w:rsid w:val="00B85659"/>
    <w:rsid w:val="00B85688"/>
    <w:rsid w:val="00B8704A"/>
    <w:rsid w:val="00B871B6"/>
    <w:rsid w:val="00B87870"/>
    <w:rsid w:val="00B87D54"/>
    <w:rsid w:val="00B935F1"/>
    <w:rsid w:val="00B93D79"/>
    <w:rsid w:val="00B9411C"/>
    <w:rsid w:val="00B955DA"/>
    <w:rsid w:val="00B95B5A"/>
    <w:rsid w:val="00B97C11"/>
    <w:rsid w:val="00BA1F15"/>
    <w:rsid w:val="00BA2555"/>
    <w:rsid w:val="00BA545E"/>
    <w:rsid w:val="00BA58B2"/>
    <w:rsid w:val="00BA5AEE"/>
    <w:rsid w:val="00BB4949"/>
    <w:rsid w:val="00BB5EA5"/>
    <w:rsid w:val="00BB7140"/>
    <w:rsid w:val="00BC1269"/>
    <w:rsid w:val="00BC4919"/>
    <w:rsid w:val="00BC50FB"/>
    <w:rsid w:val="00BC562C"/>
    <w:rsid w:val="00BC627A"/>
    <w:rsid w:val="00BC77CC"/>
    <w:rsid w:val="00BC79E8"/>
    <w:rsid w:val="00BD03A3"/>
    <w:rsid w:val="00BD073F"/>
    <w:rsid w:val="00BD388F"/>
    <w:rsid w:val="00BD50B7"/>
    <w:rsid w:val="00BD6B1D"/>
    <w:rsid w:val="00BD7B53"/>
    <w:rsid w:val="00BD7E70"/>
    <w:rsid w:val="00BE0A01"/>
    <w:rsid w:val="00BE4A14"/>
    <w:rsid w:val="00BE7758"/>
    <w:rsid w:val="00BE7B9A"/>
    <w:rsid w:val="00BF0DAA"/>
    <w:rsid w:val="00BF1034"/>
    <w:rsid w:val="00BF2F7B"/>
    <w:rsid w:val="00BF332E"/>
    <w:rsid w:val="00BF73C7"/>
    <w:rsid w:val="00C01B34"/>
    <w:rsid w:val="00C0276D"/>
    <w:rsid w:val="00C0358B"/>
    <w:rsid w:val="00C060C5"/>
    <w:rsid w:val="00C100FB"/>
    <w:rsid w:val="00C1055D"/>
    <w:rsid w:val="00C1209A"/>
    <w:rsid w:val="00C14240"/>
    <w:rsid w:val="00C15615"/>
    <w:rsid w:val="00C16151"/>
    <w:rsid w:val="00C1674E"/>
    <w:rsid w:val="00C17191"/>
    <w:rsid w:val="00C2067D"/>
    <w:rsid w:val="00C20A3A"/>
    <w:rsid w:val="00C20FAD"/>
    <w:rsid w:val="00C22964"/>
    <w:rsid w:val="00C2399A"/>
    <w:rsid w:val="00C23E2C"/>
    <w:rsid w:val="00C24CFD"/>
    <w:rsid w:val="00C26B46"/>
    <w:rsid w:val="00C270F2"/>
    <w:rsid w:val="00C27BFA"/>
    <w:rsid w:val="00C30382"/>
    <w:rsid w:val="00C30598"/>
    <w:rsid w:val="00C35481"/>
    <w:rsid w:val="00C36460"/>
    <w:rsid w:val="00C40504"/>
    <w:rsid w:val="00C4076E"/>
    <w:rsid w:val="00C4345C"/>
    <w:rsid w:val="00C4791A"/>
    <w:rsid w:val="00C53150"/>
    <w:rsid w:val="00C53612"/>
    <w:rsid w:val="00C53B8B"/>
    <w:rsid w:val="00C54E49"/>
    <w:rsid w:val="00C611AB"/>
    <w:rsid w:val="00C6126E"/>
    <w:rsid w:val="00C61549"/>
    <w:rsid w:val="00C63B80"/>
    <w:rsid w:val="00C63C26"/>
    <w:rsid w:val="00C662CA"/>
    <w:rsid w:val="00C703D0"/>
    <w:rsid w:val="00C70961"/>
    <w:rsid w:val="00C70FB2"/>
    <w:rsid w:val="00C7153A"/>
    <w:rsid w:val="00C7486F"/>
    <w:rsid w:val="00C76162"/>
    <w:rsid w:val="00C76413"/>
    <w:rsid w:val="00C77843"/>
    <w:rsid w:val="00C81100"/>
    <w:rsid w:val="00C821DA"/>
    <w:rsid w:val="00C84AE3"/>
    <w:rsid w:val="00C84B77"/>
    <w:rsid w:val="00C8562C"/>
    <w:rsid w:val="00C8643E"/>
    <w:rsid w:val="00C87CEF"/>
    <w:rsid w:val="00C93188"/>
    <w:rsid w:val="00C9416A"/>
    <w:rsid w:val="00C94D63"/>
    <w:rsid w:val="00CA2670"/>
    <w:rsid w:val="00CA5B9C"/>
    <w:rsid w:val="00CB0CDA"/>
    <w:rsid w:val="00CB12EF"/>
    <w:rsid w:val="00CB28DD"/>
    <w:rsid w:val="00CB3772"/>
    <w:rsid w:val="00CB597F"/>
    <w:rsid w:val="00CB75CD"/>
    <w:rsid w:val="00CB79C4"/>
    <w:rsid w:val="00CC174A"/>
    <w:rsid w:val="00CC1AE3"/>
    <w:rsid w:val="00CC1ED2"/>
    <w:rsid w:val="00CC3609"/>
    <w:rsid w:val="00CC3DCD"/>
    <w:rsid w:val="00CC5FAB"/>
    <w:rsid w:val="00CC61E4"/>
    <w:rsid w:val="00CC6C92"/>
    <w:rsid w:val="00CC6EF5"/>
    <w:rsid w:val="00CC76D5"/>
    <w:rsid w:val="00CD1788"/>
    <w:rsid w:val="00CD412E"/>
    <w:rsid w:val="00CE161D"/>
    <w:rsid w:val="00CE2350"/>
    <w:rsid w:val="00CE2596"/>
    <w:rsid w:val="00CE7429"/>
    <w:rsid w:val="00CF23CE"/>
    <w:rsid w:val="00CF3123"/>
    <w:rsid w:val="00CF46E4"/>
    <w:rsid w:val="00CF47F1"/>
    <w:rsid w:val="00CF69E8"/>
    <w:rsid w:val="00D03E05"/>
    <w:rsid w:val="00D04BE3"/>
    <w:rsid w:val="00D04D20"/>
    <w:rsid w:val="00D06CC5"/>
    <w:rsid w:val="00D11083"/>
    <w:rsid w:val="00D13A7F"/>
    <w:rsid w:val="00D13D8C"/>
    <w:rsid w:val="00D13FB3"/>
    <w:rsid w:val="00D15C1E"/>
    <w:rsid w:val="00D1651A"/>
    <w:rsid w:val="00D16789"/>
    <w:rsid w:val="00D16DDA"/>
    <w:rsid w:val="00D1757F"/>
    <w:rsid w:val="00D17BA0"/>
    <w:rsid w:val="00D2007B"/>
    <w:rsid w:val="00D201A6"/>
    <w:rsid w:val="00D2046C"/>
    <w:rsid w:val="00D208D3"/>
    <w:rsid w:val="00D21ECA"/>
    <w:rsid w:val="00D2244B"/>
    <w:rsid w:val="00D22AEC"/>
    <w:rsid w:val="00D23BD2"/>
    <w:rsid w:val="00D2691F"/>
    <w:rsid w:val="00D27387"/>
    <w:rsid w:val="00D27731"/>
    <w:rsid w:val="00D30AA7"/>
    <w:rsid w:val="00D311D6"/>
    <w:rsid w:val="00D31AEC"/>
    <w:rsid w:val="00D32748"/>
    <w:rsid w:val="00D32DCF"/>
    <w:rsid w:val="00D335BA"/>
    <w:rsid w:val="00D34279"/>
    <w:rsid w:val="00D34E07"/>
    <w:rsid w:val="00D37109"/>
    <w:rsid w:val="00D41BC7"/>
    <w:rsid w:val="00D421B9"/>
    <w:rsid w:val="00D4232C"/>
    <w:rsid w:val="00D424B8"/>
    <w:rsid w:val="00D44203"/>
    <w:rsid w:val="00D46927"/>
    <w:rsid w:val="00D5289C"/>
    <w:rsid w:val="00D52A22"/>
    <w:rsid w:val="00D532AF"/>
    <w:rsid w:val="00D60F4A"/>
    <w:rsid w:val="00D6228C"/>
    <w:rsid w:val="00D63166"/>
    <w:rsid w:val="00D63A8D"/>
    <w:rsid w:val="00D63FCC"/>
    <w:rsid w:val="00D6436C"/>
    <w:rsid w:val="00D65683"/>
    <w:rsid w:val="00D71171"/>
    <w:rsid w:val="00D76AE8"/>
    <w:rsid w:val="00D76CDE"/>
    <w:rsid w:val="00D77EBA"/>
    <w:rsid w:val="00D8065D"/>
    <w:rsid w:val="00D80DDF"/>
    <w:rsid w:val="00D8111E"/>
    <w:rsid w:val="00D811FA"/>
    <w:rsid w:val="00D82F44"/>
    <w:rsid w:val="00D867F6"/>
    <w:rsid w:val="00D90240"/>
    <w:rsid w:val="00D9073B"/>
    <w:rsid w:val="00D93DA2"/>
    <w:rsid w:val="00D93EFC"/>
    <w:rsid w:val="00D9553B"/>
    <w:rsid w:val="00D959DA"/>
    <w:rsid w:val="00D95CF5"/>
    <w:rsid w:val="00D9655D"/>
    <w:rsid w:val="00D97198"/>
    <w:rsid w:val="00DA10CC"/>
    <w:rsid w:val="00DA1480"/>
    <w:rsid w:val="00DA298C"/>
    <w:rsid w:val="00DA2BA7"/>
    <w:rsid w:val="00DA4398"/>
    <w:rsid w:val="00DA54AD"/>
    <w:rsid w:val="00DB1049"/>
    <w:rsid w:val="00DB12AF"/>
    <w:rsid w:val="00DB32C0"/>
    <w:rsid w:val="00DB5415"/>
    <w:rsid w:val="00DB6718"/>
    <w:rsid w:val="00DB6DF8"/>
    <w:rsid w:val="00DC0C78"/>
    <w:rsid w:val="00DC2C22"/>
    <w:rsid w:val="00DD1652"/>
    <w:rsid w:val="00DD360E"/>
    <w:rsid w:val="00DD498F"/>
    <w:rsid w:val="00DD4BB5"/>
    <w:rsid w:val="00DD5864"/>
    <w:rsid w:val="00DD65A8"/>
    <w:rsid w:val="00DD7500"/>
    <w:rsid w:val="00DE3272"/>
    <w:rsid w:val="00DE395D"/>
    <w:rsid w:val="00DE396F"/>
    <w:rsid w:val="00DE40BD"/>
    <w:rsid w:val="00DE40F2"/>
    <w:rsid w:val="00DE454D"/>
    <w:rsid w:val="00DE50BF"/>
    <w:rsid w:val="00DE6962"/>
    <w:rsid w:val="00DF07A7"/>
    <w:rsid w:val="00DF4432"/>
    <w:rsid w:val="00DF4FB9"/>
    <w:rsid w:val="00DF52B8"/>
    <w:rsid w:val="00DF6B6C"/>
    <w:rsid w:val="00E019C0"/>
    <w:rsid w:val="00E01A82"/>
    <w:rsid w:val="00E02658"/>
    <w:rsid w:val="00E02E2C"/>
    <w:rsid w:val="00E0335F"/>
    <w:rsid w:val="00E0492F"/>
    <w:rsid w:val="00E049C8"/>
    <w:rsid w:val="00E067F2"/>
    <w:rsid w:val="00E11645"/>
    <w:rsid w:val="00E11D44"/>
    <w:rsid w:val="00E1361E"/>
    <w:rsid w:val="00E14E55"/>
    <w:rsid w:val="00E20A94"/>
    <w:rsid w:val="00E2166B"/>
    <w:rsid w:val="00E24AC3"/>
    <w:rsid w:val="00E252EC"/>
    <w:rsid w:val="00E25D6B"/>
    <w:rsid w:val="00E30BBA"/>
    <w:rsid w:val="00E3168A"/>
    <w:rsid w:val="00E32771"/>
    <w:rsid w:val="00E32A7B"/>
    <w:rsid w:val="00E33289"/>
    <w:rsid w:val="00E34927"/>
    <w:rsid w:val="00E34CAD"/>
    <w:rsid w:val="00E3581D"/>
    <w:rsid w:val="00E35B56"/>
    <w:rsid w:val="00E36136"/>
    <w:rsid w:val="00E40D65"/>
    <w:rsid w:val="00E4340A"/>
    <w:rsid w:val="00E441B6"/>
    <w:rsid w:val="00E44505"/>
    <w:rsid w:val="00E4521D"/>
    <w:rsid w:val="00E4575F"/>
    <w:rsid w:val="00E458FF"/>
    <w:rsid w:val="00E47340"/>
    <w:rsid w:val="00E5169D"/>
    <w:rsid w:val="00E541A8"/>
    <w:rsid w:val="00E5474B"/>
    <w:rsid w:val="00E559D8"/>
    <w:rsid w:val="00E63459"/>
    <w:rsid w:val="00E65593"/>
    <w:rsid w:val="00E66806"/>
    <w:rsid w:val="00E72FBA"/>
    <w:rsid w:val="00E7415D"/>
    <w:rsid w:val="00E741F2"/>
    <w:rsid w:val="00E74EC5"/>
    <w:rsid w:val="00E755B1"/>
    <w:rsid w:val="00E75EBC"/>
    <w:rsid w:val="00E77005"/>
    <w:rsid w:val="00E82926"/>
    <w:rsid w:val="00E83ABA"/>
    <w:rsid w:val="00E841A6"/>
    <w:rsid w:val="00E84C95"/>
    <w:rsid w:val="00E8532C"/>
    <w:rsid w:val="00E85BCC"/>
    <w:rsid w:val="00E85EE6"/>
    <w:rsid w:val="00E8701A"/>
    <w:rsid w:val="00E908E2"/>
    <w:rsid w:val="00E90B20"/>
    <w:rsid w:val="00E92993"/>
    <w:rsid w:val="00E93DB0"/>
    <w:rsid w:val="00E94698"/>
    <w:rsid w:val="00E94A86"/>
    <w:rsid w:val="00E94FEE"/>
    <w:rsid w:val="00E95261"/>
    <w:rsid w:val="00EA5826"/>
    <w:rsid w:val="00EA7AAA"/>
    <w:rsid w:val="00EB0884"/>
    <w:rsid w:val="00EB2DE2"/>
    <w:rsid w:val="00EB3137"/>
    <w:rsid w:val="00EB637F"/>
    <w:rsid w:val="00EC1A3A"/>
    <w:rsid w:val="00EC1CA9"/>
    <w:rsid w:val="00EC652C"/>
    <w:rsid w:val="00EC7C24"/>
    <w:rsid w:val="00EC7F5E"/>
    <w:rsid w:val="00ED0289"/>
    <w:rsid w:val="00ED0588"/>
    <w:rsid w:val="00ED07D5"/>
    <w:rsid w:val="00ED2E4A"/>
    <w:rsid w:val="00ED4E0C"/>
    <w:rsid w:val="00ED6805"/>
    <w:rsid w:val="00ED722B"/>
    <w:rsid w:val="00EE1504"/>
    <w:rsid w:val="00EE18C2"/>
    <w:rsid w:val="00EE1D90"/>
    <w:rsid w:val="00EE4A5F"/>
    <w:rsid w:val="00EE512F"/>
    <w:rsid w:val="00EE5FC6"/>
    <w:rsid w:val="00EF20B1"/>
    <w:rsid w:val="00EF2BB7"/>
    <w:rsid w:val="00EF5937"/>
    <w:rsid w:val="00EF5F51"/>
    <w:rsid w:val="00EF5FDA"/>
    <w:rsid w:val="00EF6B5F"/>
    <w:rsid w:val="00F00899"/>
    <w:rsid w:val="00F030D7"/>
    <w:rsid w:val="00F0618D"/>
    <w:rsid w:val="00F06284"/>
    <w:rsid w:val="00F07495"/>
    <w:rsid w:val="00F11446"/>
    <w:rsid w:val="00F11828"/>
    <w:rsid w:val="00F13788"/>
    <w:rsid w:val="00F13929"/>
    <w:rsid w:val="00F13AFF"/>
    <w:rsid w:val="00F1612F"/>
    <w:rsid w:val="00F16344"/>
    <w:rsid w:val="00F173D9"/>
    <w:rsid w:val="00F17D0B"/>
    <w:rsid w:val="00F21FF4"/>
    <w:rsid w:val="00F225D2"/>
    <w:rsid w:val="00F23C9B"/>
    <w:rsid w:val="00F24805"/>
    <w:rsid w:val="00F25566"/>
    <w:rsid w:val="00F255F0"/>
    <w:rsid w:val="00F2633B"/>
    <w:rsid w:val="00F26DF6"/>
    <w:rsid w:val="00F273D8"/>
    <w:rsid w:val="00F27ADA"/>
    <w:rsid w:val="00F30EA1"/>
    <w:rsid w:val="00F313AC"/>
    <w:rsid w:val="00F316FC"/>
    <w:rsid w:val="00F31B73"/>
    <w:rsid w:val="00F329A2"/>
    <w:rsid w:val="00F32D6B"/>
    <w:rsid w:val="00F333ED"/>
    <w:rsid w:val="00F34627"/>
    <w:rsid w:val="00F35E90"/>
    <w:rsid w:val="00F42E28"/>
    <w:rsid w:val="00F467EE"/>
    <w:rsid w:val="00F47D00"/>
    <w:rsid w:val="00F5127C"/>
    <w:rsid w:val="00F513B3"/>
    <w:rsid w:val="00F52C5D"/>
    <w:rsid w:val="00F536CD"/>
    <w:rsid w:val="00F55C99"/>
    <w:rsid w:val="00F57291"/>
    <w:rsid w:val="00F57E5C"/>
    <w:rsid w:val="00F60D56"/>
    <w:rsid w:val="00F64C59"/>
    <w:rsid w:val="00F669DE"/>
    <w:rsid w:val="00F66A32"/>
    <w:rsid w:val="00F67938"/>
    <w:rsid w:val="00F707FB"/>
    <w:rsid w:val="00F72474"/>
    <w:rsid w:val="00F72C4C"/>
    <w:rsid w:val="00F741C8"/>
    <w:rsid w:val="00F74D1C"/>
    <w:rsid w:val="00F76392"/>
    <w:rsid w:val="00F80F95"/>
    <w:rsid w:val="00F816BC"/>
    <w:rsid w:val="00F81F2D"/>
    <w:rsid w:val="00F82B8D"/>
    <w:rsid w:val="00F8372B"/>
    <w:rsid w:val="00F83D74"/>
    <w:rsid w:val="00F875C2"/>
    <w:rsid w:val="00F875FA"/>
    <w:rsid w:val="00F90C2A"/>
    <w:rsid w:val="00F91445"/>
    <w:rsid w:val="00F918D5"/>
    <w:rsid w:val="00F922BA"/>
    <w:rsid w:val="00F969A7"/>
    <w:rsid w:val="00FA00D5"/>
    <w:rsid w:val="00FA37A4"/>
    <w:rsid w:val="00FA3B0A"/>
    <w:rsid w:val="00FA4E72"/>
    <w:rsid w:val="00FA6BA2"/>
    <w:rsid w:val="00FA74BB"/>
    <w:rsid w:val="00FB1016"/>
    <w:rsid w:val="00FB2A90"/>
    <w:rsid w:val="00FB3874"/>
    <w:rsid w:val="00FB3ADD"/>
    <w:rsid w:val="00FB3EB8"/>
    <w:rsid w:val="00FB5E1B"/>
    <w:rsid w:val="00FB5FD0"/>
    <w:rsid w:val="00FB68BD"/>
    <w:rsid w:val="00FB6EBC"/>
    <w:rsid w:val="00FC0EFD"/>
    <w:rsid w:val="00FC4A59"/>
    <w:rsid w:val="00FC757D"/>
    <w:rsid w:val="00FC7831"/>
    <w:rsid w:val="00FC7BA2"/>
    <w:rsid w:val="00FD1FD0"/>
    <w:rsid w:val="00FD20BF"/>
    <w:rsid w:val="00FD52C9"/>
    <w:rsid w:val="00FD7598"/>
    <w:rsid w:val="00FE1F72"/>
    <w:rsid w:val="00FF05E7"/>
    <w:rsid w:val="00FF0C1B"/>
    <w:rsid w:val="00FF1E97"/>
    <w:rsid w:val="00FF4442"/>
    <w:rsid w:val="00FF6280"/>
    <w:rsid w:val="00FF6991"/>
    <w:rsid w:val="00FF7AFE"/>
    <w:rsid w:val="1E90699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39" w:semiHidden="0" w:name="toc 1"/>
    <w:lsdException w:unhideWhenUsed="0" w:uiPriority="39" w:semiHidden="0" w:name="toc 2"/>
    <w:lsdException w:unhideWhenUsed="0"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nhideWhenUsed="0" w:uiPriority="99" w:semiHidden="0" w:name="footnote text"/>
    <w:lsdException w:qFormat="1" w:uiPriority="99" w:name="annotation text"/>
    <w:lsdException w:unhideWhenUsed="0" w:uiPriority="99" w:semiHidden="0" w:name="header"/>
    <w:lsdException w:unhideWhenUsed="0" w:uiPriority="0"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nhideWhenUsed="0" w:uiPriority="99" w:semiHidden="0"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nhideWhenUsed="0" w:uiPriority="99" w:semiHidden="0"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480" w:lineRule="auto"/>
      <w:jc w:val="both"/>
    </w:pPr>
    <w:rPr>
      <w:rFonts w:ascii="Times New Roman" w:hAnsi="Times New Roman" w:eastAsia="Times New Roman" w:cs="Times New Roman"/>
      <w:sz w:val="24"/>
      <w:szCs w:val="24"/>
      <w:lang w:val="en-US" w:eastAsia="en-US" w:bidi="ar-SA"/>
    </w:rPr>
  </w:style>
  <w:style w:type="paragraph" w:styleId="2">
    <w:name w:val="heading 1"/>
    <w:basedOn w:val="1"/>
    <w:next w:val="1"/>
    <w:link w:val="35"/>
    <w:qFormat/>
    <w:uiPriority w:val="9"/>
    <w:pPr>
      <w:outlineLvl w:val="0"/>
    </w:pPr>
    <w:rPr>
      <w:b/>
      <w:i/>
      <w:highlight w:val="white"/>
    </w:rPr>
  </w:style>
  <w:style w:type="paragraph" w:styleId="3">
    <w:name w:val="heading 2"/>
    <w:basedOn w:val="1"/>
    <w:next w:val="1"/>
    <w:link w:val="37"/>
    <w:unhideWhenUsed/>
    <w:qFormat/>
    <w:uiPriority w:val="9"/>
    <w:pPr>
      <w:keepNext/>
      <w:keepLines/>
      <w:spacing w:before="200" w:after="0" w:line="360" w:lineRule="auto"/>
      <w:jc w:val="left"/>
      <w:outlineLvl w:val="1"/>
    </w:pPr>
    <w:rPr>
      <w:b/>
    </w:rPr>
  </w:style>
  <w:style w:type="paragraph" w:styleId="4">
    <w:name w:val="heading 3"/>
    <w:basedOn w:val="1"/>
    <w:next w:val="1"/>
    <w:unhideWhenUsed/>
    <w:qFormat/>
    <w:uiPriority w:val="9"/>
    <w:pPr>
      <w:keepNext/>
      <w:keepLines/>
      <w:spacing w:before="200" w:after="0"/>
      <w:ind w:left="720"/>
      <w:outlineLvl w:val="2"/>
    </w:pPr>
    <w:rPr>
      <w:b/>
    </w:rPr>
  </w:style>
  <w:style w:type="paragraph" w:styleId="5">
    <w:name w:val="heading 4"/>
    <w:basedOn w:val="1"/>
    <w:next w:val="1"/>
    <w:unhideWhenUsed/>
    <w:qFormat/>
    <w:uiPriority w:val="9"/>
    <w:pPr>
      <w:keepNext/>
      <w:keepLines/>
      <w:spacing w:before="240" w:after="40"/>
      <w:outlineLvl w:val="3"/>
    </w:pPr>
    <w:rPr>
      <w:b/>
    </w:rPr>
  </w:style>
  <w:style w:type="paragraph" w:styleId="6">
    <w:name w:val="heading 5"/>
    <w:basedOn w:val="1"/>
    <w:next w:val="1"/>
    <w:semiHidden/>
    <w:unhideWhenUsed/>
    <w:qFormat/>
    <w:uiPriority w:val="9"/>
    <w:pPr>
      <w:keepNext/>
      <w:keepLines/>
      <w:spacing w:before="220" w:after="40"/>
      <w:outlineLvl w:val="4"/>
    </w:pPr>
    <w:rPr>
      <w:b/>
      <w:sz w:val="22"/>
      <w:szCs w:val="22"/>
    </w:rPr>
  </w:style>
  <w:style w:type="paragraph" w:styleId="7">
    <w:name w:val="heading 6"/>
    <w:basedOn w:val="1"/>
    <w:next w:val="1"/>
    <w:semiHidden/>
    <w:unhideWhenUsed/>
    <w:qFormat/>
    <w:uiPriority w:val="9"/>
    <w:pPr>
      <w:keepNext/>
      <w:keepLines/>
      <w:spacing w:before="200" w:after="40"/>
      <w:outlineLvl w:val="5"/>
    </w:pPr>
    <w:rPr>
      <w:b/>
      <w:sz w:val="20"/>
      <w:szCs w:val="20"/>
    </w:rPr>
  </w:style>
  <w:style w:type="character" w:default="1" w:styleId="8">
    <w:name w:val="Default Paragraph Font"/>
    <w:semiHidden/>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59"/>
    <w:semiHidden/>
    <w:unhideWhenUsed/>
    <w:uiPriority w:val="99"/>
    <w:pPr>
      <w:spacing w:after="0" w:line="240" w:lineRule="auto"/>
    </w:pPr>
    <w:rPr>
      <w:rFonts w:ascii="Segoe UI" w:hAnsi="Segoe UI" w:cs="Segoe UI"/>
      <w:sz w:val="18"/>
      <w:szCs w:val="18"/>
    </w:rPr>
  </w:style>
  <w:style w:type="paragraph" w:styleId="11">
    <w:name w:val="Body Text"/>
    <w:basedOn w:val="1"/>
    <w:link w:val="61"/>
    <w:unhideWhenUsed/>
    <w:qFormat/>
    <w:uiPriority w:val="0"/>
    <w:pPr>
      <w:spacing w:after="120" w:line="240" w:lineRule="auto"/>
      <w:jc w:val="left"/>
    </w:pPr>
    <w:rPr>
      <w:rFonts w:ascii="Cambria" w:hAnsi="Cambria" w:eastAsia="MS Mincho"/>
    </w:rPr>
  </w:style>
  <w:style w:type="paragraph" w:styleId="12">
    <w:name w:val="caption"/>
    <w:basedOn w:val="1"/>
    <w:next w:val="1"/>
    <w:unhideWhenUsed/>
    <w:qFormat/>
    <w:uiPriority w:val="35"/>
    <w:pPr>
      <w:spacing w:after="200" w:line="240" w:lineRule="auto"/>
      <w:jc w:val="left"/>
    </w:pPr>
    <w:rPr>
      <w:rFonts w:asciiTheme="minorHAnsi" w:hAnsiTheme="minorHAnsi" w:eastAsiaTheme="minorHAnsi" w:cstheme="minorBidi"/>
      <w:i/>
      <w:iCs/>
      <w:color w:val="1F497D" w:themeColor="text2"/>
      <w:sz w:val="18"/>
      <w:szCs w:val="18"/>
      <w14:textFill>
        <w14:solidFill>
          <w14:schemeClr w14:val="tx2"/>
        </w14:solidFill>
      </w14:textFill>
    </w:rPr>
  </w:style>
  <w:style w:type="character" w:styleId="13">
    <w:name w:val="annotation reference"/>
    <w:basedOn w:val="8"/>
    <w:semiHidden/>
    <w:unhideWhenUsed/>
    <w:qFormat/>
    <w:uiPriority w:val="99"/>
    <w:rPr>
      <w:sz w:val="16"/>
      <w:szCs w:val="16"/>
    </w:rPr>
  </w:style>
  <w:style w:type="paragraph" w:styleId="14">
    <w:name w:val="annotation text"/>
    <w:basedOn w:val="1"/>
    <w:link w:val="58"/>
    <w:semiHidden/>
    <w:unhideWhenUsed/>
    <w:qFormat/>
    <w:uiPriority w:val="99"/>
    <w:pPr>
      <w:spacing w:line="240" w:lineRule="auto"/>
      <w:jc w:val="left"/>
    </w:pPr>
    <w:rPr>
      <w:rFonts w:asciiTheme="minorHAnsi" w:hAnsiTheme="minorHAnsi" w:eastAsiaTheme="minorHAnsi" w:cstheme="minorBidi"/>
      <w:sz w:val="20"/>
      <w:szCs w:val="20"/>
    </w:rPr>
  </w:style>
  <w:style w:type="paragraph" w:styleId="15">
    <w:name w:val="annotation subject"/>
    <w:basedOn w:val="14"/>
    <w:next w:val="14"/>
    <w:link w:val="60"/>
    <w:semiHidden/>
    <w:unhideWhenUsed/>
    <w:uiPriority w:val="99"/>
    <w:pPr>
      <w:jc w:val="both"/>
    </w:pPr>
    <w:rPr>
      <w:rFonts w:ascii="Times New Roman" w:hAnsi="Times New Roman" w:eastAsia="Times New Roman" w:cs="Times New Roman"/>
      <w:b/>
      <w:bCs/>
    </w:rPr>
  </w:style>
  <w:style w:type="character" w:styleId="16">
    <w:name w:val="Emphasis"/>
    <w:basedOn w:val="8"/>
    <w:qFormat/>
    <w:uiPriority w:val="20"/>
    <w:rPr>
      <w:i/>
      <w:iCs/>
    </w:rPr>
  </w:style>
  <w:style w:type="character" w:styleId="17">
    <w:name w:val="FollowedHyperlink"/>
    <w:basedOn w:val="8"/>
    <w:semiHidden/>
    <w:unhideWhenUsed/>
    <w:qFormat/>
    <w:uiPriority w:val="99"/>
    <w:rPr>
      <w:color w:val="800080" w:themeColor="followedHyperlink"/>
      <w:u w:val="single"/>
      <w14:textFill>
        <w14:solidFill>
          <w14:schemeClr w14:val="folHlink"/>
        </w14:solidFill>
      </w14:textFill>
    </w:rPr>
  </w:style>
  <w:style w:type="paragraph" w:styleId="18">
    <w:name w:val="footer"/>
    <w:basedOn w:val="1"/>
    <w:link w:val="33"/>
    <w:uiPriority w:val="0"/>
    <w:pPr>
      <w:tabs>
        <w:tab w:val="center" w:pos="4680"/>
        <w:tab w:val="right" w:pos="9360"/>
      </w:tabs>
      <w:spacing w:after="0" w:line="240" w:lineRule="auto"/>
    </w:pPr>
  </w:style>
  <w:style w:type="character" w:styleId="19">
    <w:name w:val="footnote reference"/>
    <w:basedOn w:val="8"/>
    <w:uiPriority w:val="99"/>
    <w:rPr>
      <w:vertAlign w:val="superscript"/>
    </w:rPr>
  </w:style>
  <w:style w:type="paragraph" w:styleId="20">
    <w:name w:val="footnote text"/>
    <w:basedOn w:val="1"/>
    <w:link w:val="36"/>
    <w:uiPriority w:val="99"/>
    <w:pPr>
      <w:spacing w:after="0" w:line="240" w:lineRule="auto"/>
    </w:pPr>
    <w:rPr>
      <w:sz w:val="20"/>
      <w:szCs w:val="20"/>
    </w:rPr>
  </w:style>
  <w:style w:type="paragraph" w:styleId="21">
    <w:name w:val="header"/>
    <w:basedOn w:val="1"/>
    <w:link w:val="32"/>
    <w:uiPriority w:val="99"/>
    <w:pPr>
      <w:tabs>
        <w:tab w:val="center" w:pos="4680"/>
        <w:tab w:val="right" w:pos="9360"/>
      </w:tabs>
      <w:spacing w:after="0" w:line="240" w:lineRule="auto"/>
    </w:pPr>
  </w:style>
  <w:style w:type="character" w:styleId="22">
    <w:name w:val="Hyperlink"/>
    <w:basedOn w:val="8"/>
    <w:uiPriority w:val="99"/>
    <w:rPr>
      <w:color w:val="0000FF"/>
      <w:u w:val="single"/>
    </w:rPr>
  </w:style>
  <w:style w:type="paragraph" w:styleId="23">
    <w:name w:val="List Bullet"/>
    <w:basedOn w:val="1"/>
    <w:uiPriority w:val="99"/>
    <w:pPr>
      <w:numPr>
        <w:ilvl w:val="0"/>
        <w:numId w:val="1"/>
      </w:numPr>
      <w:spacing w:line="259" w:lineRule="auto"/>
      <w:contextualSpacing/>
      <w:jc w:val="left"/>
    </w:pPr>
    <w:rPr>
      <w:rFonts w:ascii="Cambria" w:hAnsi="Cambria" w:eastAsia="Cambria" w:cs="SimSun"/>
      <w:sz w:val="22"/>
      <w:szCs w:val="22"/>
    </w:rPr>
  </w:style>
  <w:style w:type="paragraph" w:styleId="24">
    <w:name w:val="Normal (Web)"/>
    <w:basedOn w:val="1"/>
    <w:uiPriority w:val="99"/>
    <w:pPr>
      <w:spacing w:before="100" w:beforeAutospacing="1" w:after="100" w:afterAutospacing="1" w:line="240" w:lineRule="auto"/>
      <w:jc w:val="left"/>
    </w:pPr>
  </w:style>
  <w:style w:type="character" w:styleId="25">
    <w:name w:val="Strong"/>
    <w:basedOn w:val="8"/>
    <w:qFormat/>
    <w:uiPriority w:val="22"/>
    <w:rPr>
      <w:b/>
      <w:bCs/>
    </w:rPr>
  </w:style>
  <w:style w:type="paragraph" w:styleId="26">
    <w:name w:val="Subtitle"/>
    <w:basedOn w:val="1"/>
    <w:next w:val="1"/>
    <w:qFormat/>
    <w:uiPriority w:val="11"/>
    <w:pPr>
      <w:keepNext/>
      <w:keepLines/>
      <w:spacing w:before="360" w:after="80"/>
    </w:pPr>
    <w:rPr>
      <w:rFonts w:ascii="Georgia" w:hAnsi="Georgia" w:eastAsia="Georgia" w:cs="Georgia"/>
      <w:i/>
      <w:color w:val="666666"/>
      <w:sz w:val="48"/>
      <w:szCs w:val="48"/>
    </w:rPr>
  </w:style>
  <w:style w:type="table" w:styleId="27">
    <w:name w:val="Table Grid"/>
    <w:basedOn w:val="9"/>
    <w:uiPriority w:val="39"/>
    <w:pPr>
      <w:spacing w:after="0" w:line="240" w:lineRule="auto"/>
      <w:jc w:val="left"/>
    </w:pPr>
    <w:rPr>
      <w:rFonts w:asciiTheme="minorHAnsi" w:hAnsiTheme="minorHAnsi" w:eastAsiaTheme="minorHAnsi" w:cstheme="minorBidi"/>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8">
    <w:name w:val="Title"/>
    <w:basedOn w:val="1"/>
    <w:next w:val="1"/>
    <w:link w:val="64"/>
    <w:qFormat/>
    <w:uiPriority w:val="10"/>
    <w:pPr>
      <w:keepNext/>
      <w:keepLines/>
      <w:spacing w:before="480" w:after="120"/>
    </w:pPr>
    <w:rPr>
      <w:b/>
      <w:sz w:val="72"/>
      <w:szCs w:val="72"/>
    </w:rPr>
  </w:style>
  <w:style w:type="paragraph" w:styleId="29">
    <w:name w:val="toc 1"/>
    <w:basedOn w:val="1"/>
    <w:next w:val="1"/>
    <w:uiPriority w:val="39"/>
    <w:pPr>
      <w:spacing w:after="100"/>
    </w:pPr>
  </w:style>
  <w:style w:type="paragraph" w:styleId="30">
    <w:name w:val="toc 2"/>
    <w:basedOn w:val="1"/>
    <w:next w:val="1"/>
    <w:uiPriority w:val="39"/>
    <w:pPr>
      <w:spacing w:after="100"/>
      <w:ind w:left="240"/>
    </w:pPr>
  </w:style>
  <w:style w:type="paragraph" w:styleId="31">
    <w:name w:val="toc 3"/>
    <w:basedOn w:val="1"/>
    <w:next w:val="1"/>
    <w:uiPriority w:val="39"/>
    <w:pPr>
      <w:spacing w:after="100"/>
      <w:ind w:left="480"/>
    </w:pPr>
  </w:style>
  <w:style w:type="character" w:customStyle="1" w:styleId="32">
    <w:name w:val="Header Char"/>
    <w:basedOn w:val="8"/>
    <w:link w:val="21"/>
    <w:uiPriority w:val="99"/>
  </w:style>
  <w:style w:type="character" w:customStyle="1" w:styleId="33">
    <w:name w:val="Footer Char"/>
    <w:basedOn w:val="8"/>
    <w:link w:val="18"/>
    <w:uiPriority w:val="0"/>
  </w:style>
  <w:style w:type="paragraph" w:styleId="34">
    <w:name w:val="List Paragraph"/>
    <w:basedOn w:val="1"/>
    <w:link w:val="63"/>
    <w:qFormat/>
    <w:uiPriority w:val="34"/>
    <w:pPr>
      <w:ind w:left="720"/>
      <w:contextualSpacing/>
    </w:pPr>
  </w:style>
  <w:style w:type="character" w:customStyle="1" w:styleId="35">
    <w:name w:val="Heading 1 Char"/>
    <w:basedOn w:val="8"/>
    <w:link w:val="2"/>
    <w:uiPriority w:val="9"/>
    <w:rPr>
      <w:b/>
      <w:i/>
      <w:highlight w:val="white"/>
    </w:rPr>
  </w:style>
  <w:style w:type="character" w:customStyle="1" w:styleId="36">
    <w:name w:val="Footnote Text Char"/>
    <w:basedOn w:val="8"/>
    <w:link w:val="20"/>
    <w:uiPriority w:val="99"/>
    <w:rPr>
      <w:sz w:val="20"/>
      <w:szCs w:val="20"/>
    </w:rPr>
  </w:style>
  <w:style w:type="character" w:customStyle="1" w:styleId="37">
    <w:name w:val="Heading 2 Char"/>
    <w:basedOn w:val="8"/>
    <w:link w:val="3"/>
    <w:uiPriority w:val="9"/>
    <w:rPr>
      <w:b/>
    </w:rPr>
  </w:style>
  <w:style w:type="paragraph" w:customStyle="1" w:styleId="38">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i w:val="0"/>
      <w:color w:val="376092" w:themeColor="accent1" w:themeShade="BF"/>
      <w:sz w:val="32"/>
      <w:szCs w:val="32"/>
      <w:highlight w:val="none"/>
    </w:rPr>
  </w:style>
  <w:style w:type="table" w:customStyle="1" w:styleId="39">
    <w:name w:val="Grid Table 4 Accent 5"/>
    <w:basedOn w:val="9"/>
    <w:uiPriority w:val="49"/>
    <w:pPr>
      <w:spacing w:after="0" w:line="240" w:lineRule="auto"/>
      <w:jc w:val="left"/>
    </w:pPr>
    <w:rPr>
      <w:rFonts w:asciiTheme="minorHAnsi" w:hAnsiTheme="minorHAnsi" w:eastAsiaTheme="minorHAnsi" w:cstheme="minorBidi"/>
      <w:sz w:val="22"/>
      <w:szCs w:val="22"/>
    </w:rPr>
    <w:tblPr>
      <w:tblBorders>
        <w:top w:val="single" w:color="92CDDC" w:themeColor="accent5" w:themeTint="99" w:sz="4" w:space="0"/>
        <w:left w:val="single" w:color="92CDDC" w:themeColor="accent5" w:themeTint="99" w:sz="4" w:space="0"/>
        <w:bottom w:val="single" w:color="92CDDC" w:themeColor="accent5" w:themeTint="99" w:sz="4" w:space="0"/>
        <w:right w:val="single" w:color="92CDDC" w:themeColor="accent5" w:themeTint="99" w:sz="4" w:space="0"/>
        <w:insideH w:val="single" w:color="92CDDC" w:themeColor="accent5" w:themeTint="99" w:sz="4" w:space="0"/>
        <w:insideV w:val="single" w:color="92CDDC" w:themeColor="accent5" w:themeTint="99" w:sz="4" w:space="0"/>
      </w:tblBorders>
    </w:tblPr>
    <w:tblStylePr w:type="firstRow">
      <w:rPr>
        <w:b/>
        <w:bCs/>
        <w:color w:val="FFFFFF" w:themeColor="background1"/>
        <w14:textFill>
          <w14:solidFill>
            <w14:schemeClr w14:val="bg1"/>
          </w14:solidFill>
        </w14:textFill>
      </w:rPr>
      <w:tcPr>
        <w:tcBorders>
          <w:top w:val="single" w:color="4BACC6" w:themeColor="accent5" w:sz="4" w:space="0"/>
          <w:left w:val="single" w:color="4BACC6" w:themeColor="accent5" w:sz="4" w:space="0"/>
          <w:bottom w:val="single" w:color="4BACC6" w:themeColor="accent5" w:sz="4" w:space="0"/>
          <w:right w:val="single" w:color="4BACC6" w:themeColor="accent5" w:sz="4" w:space="0"/>
          <w:insideH w:val="nil"/>
          <w:insideV w:val="nil"/>
        </w:tcBorders>
        <w:shd w:val="clear" w:color="auto" w:fill="4BACC6" w:themeFill="accent5"/>
      </w:tcPr>
    </w:tblStylePr>
    <w:tblStylePr w:type="lastRow">
      <w:rPr>
        <w:b/>
        <w:bCs/>
      </w:rPr>
      <w:tcPr>
        <w:tcBorders>
          <w:top w:val="double" w:color="4BACC6" w:themeColor="accent5" w:sz="4" w:space="0"/>
        </w:tcBorders>
      </w:tcPr>
    </w:tblStylePr>
    <w:tblStylePr w:type="firstCol">
      <w:rPr>
        <w:b/>
        <w:bCs/>
      </w:rPr>
    </w:tblStylePr>
    <w:tblStylePr w:type="lastCol">
      <w:rPr>
        <w:b/>
        <w:bCs/>
      </w:rPr>
    </w:tblStylePr>
    <w:tblStylePr w:type="band1Vert">
      <w:tcPr>
        <w:shd w:val="clear" w:color="auto" w:fill="DAEEF3" w:themeFill="accent5" w:themeFillTint="33"/>
      </w:tcPr>
    </w:tblStylePr>
    <w:tblStylePr w:type="band1Horz">
      <w:tcPr>
        <w:shd w:val="clear" w:color="auto" w:fill="DAEEF3" w:themeFill="accent5" w:themeFillTint="33"/>
      </w:tcPr>
    </w:tblStylePr>
  </w:style>
  <w:style w:type="table" w:customStyle="1" w:styleId="40">
    <w:name w:val="Grid Table 4 Accent 6"/>
    <w:basedOn w:val="9"/>
    <w:uiPriority w:val="49"/>
    <w:pPr>
      <w:spacing w:after="0" w:line="240" w:lineRule="auto"/>
    </w:pPr>
    <w:tblPr>
      <w:tblBorders>
        <w:top w:val="single" w:color="FABF8F" w:themeColor="accent6" w:themeTint="99" w:sz="4" w:space="0"/>
        <w:left w:val="single" w:color="FABF8F" w:themeColor="accent6" w:themeTint="99" w:sz="4" w:space="0"/>
        <w:bottom w:val="single" w:color="FABF8F" w:themeColor="accent6" w:themeTint="99" w:sz="4" w:space="0"/>
        <w:right w:val="single" w:color="FABF8F" w:themeColor="accent6" w:themeTint="99" w:sz="4" w:space="0"/>
        <w:insideH w:val="single" w:color="FABF8F" w:themeColor="accent6" w:themeTint="99" w:sz="4" w:space="0"/>
        <w:insideV w:val="single" w:color="FABF8F" w:themeColor="accent6" w:themeTint="99" w:sz="4" w:space="0"/>
      </w:tblBorders>
    </w:tblPr>
    <w:tblStylePr w:type="firstRow">
      <w:rPr>
        <w:b/>
        <w:bCs/>
        <w:color w:val="FFFFFF" w:themeColor="background1"/>
        <w14:textFill>
          <w14:solidFill>
            <w14:schemeClr w14:val="bg1"/>
          </w14:solidFill>
        </w14:textFill>
      </w:rPr>
      <w:tcPr>
        <w:tcBorders>
          <w:top w:val="single" w:color="F79646" w:themeColor="accent6" w:sz="4" w:space="0"/>
          <w:left w:val="single" w:color="F79646" w:themeColor="accent6" w:sz="4" w:space="0"/>
          <w:bottom w:val="single" w:color="F79646" w:themeColor="accent6" w:sz="4" w:space="0"/>
          <w:right w:val="single" w:color="F79646" w:themeColor="accent6" w:sz="4" w:space="0"/>
          <w:insideH w:val="nil"/>
          <w:insideV w:val="nil"/>
        </w:tcBorders>
        <w:shd w:val="clear" w:color="auto" w:fill="F79646" w:themeFill="accent6"/>
      </w:tcPr>
    </w:tblStylePr>
    <w:tblStylePr w:type="lastRow">
      <w:rPr>
        <w:b/>
        <w:bCs/>
      </w:rPr>
      <w:tcPr>
        <w:tcBorders>
          <w:top w:val="double" w:color="F79646" w:themeColor="accent6" w:sz="4" w:space="0"/>
        </w:tcBorders>
      </w:tcPr>
    </w:tblStylePr>
    <w:tblStylePr w:type="firstCol">
      <w:rPr>
        <w:b/>
        <w:bCs/>
      </w:rPr>
    </w:tblStylePr>
    <w:tblStylePr w:type="lastCol">
      <w:rPr>
        <w:b/>
        <w:bCs/>
      </w:rPr>
    </w:tblStylePr>
    <w:tblStylePr w:type="band1Vert">
      <w:tcPr>
        <w:shd w:val="clear" w:color="auto" w:fill="FDE9D9" w:themeFill="accent6" w:themeFillTint="33"/>
      </w:tcPr>
    </w:tblStylePr>
    <w:tblStylePr w:type="band1Horz">
      <w:tcPr>
        <w:shd w:val="clear" w:color="auto" w:fill="FDE9D9" w:themeFill="accent6" w:themeFillTint="33"/>
      </w:tcPr>
    </w:tblStylePr>
  </w:style>
  <w:style w:type="table" w:customStyle="1" w:styleId="41">
    <w:name w:val="Grid Table 5 Dark Accent 4"/>
    <w:basedOn w:val="9"/>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5DFEC" w:themeFill="accent4"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064A2" w:themeFill="accent4"/>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064A2" w:themeFill="accent4"/>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8064A2" w:themeFill="accent4"/>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064A2" w:themeFill="accent4"/>
      </w:tcPr>
    </w:tblStylePr>
    <w:tblStylePr w:type="band1Vert">
      <w:tcPr>
        <w:shd w:val="clear" w:color="auto" w:fill="CCC0D9" w:themeFill="accent4" w:themeFillTint="66"/>
      </w:tcPr>
    </w:tblStylePr>
    <w:tblStylePr w:type="band1Horz">
      <w:tcPr>
        <w:shd w:val="clear" w:color="auto" w:fill="CCC0D9" w:themeFill="accent4" w:themeFillTint="66"/>
      </w:tcPr>
    </w:tblStylePr>
  </w:style>
  <w:style w:type="table" w:customStyle="1" w:styleId="42">
    <w:name w:val="Grid Table 5 Dark Accent 5"/>
    <w:basedOn w:val="9"/>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AEEF3" w:themeFill="accent5"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BACC6" w:themeFill="accent5"/>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BACC6" w:themeFill="accent5"/>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4BACC6" w:themeFill="accent5"/>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BACC6" w:themeFill="accent5"/>
      </w:tcPr>
    </w:tblStylePr>
    <w:tblStylePr w:type="band1Vert">
      <w:tcPr>
        <w:shd w:val="clear" w:color="auto" w:fill="B6DDE8" w:themeFill="accent5" w:themeFillTint="66"/>
      </w:tcPr>
    </w:tblStylePr>
    <w:tblStylePr w:type="band1Horz">
      <w:tcPr>
        <w:shd w:val="clear" w:color="auto" w:fill="B6DDE8" w:themeFill="accent5" w:themeFillTint="66"/>
      </w:tcPr>
    </w:tblStylePr>
  </w:style>
  <w:style w:type="table" w:customStyle="1" w:styleId="43">
    <w:name w:val="Grid Table 4 Accent 3"/>
    <w:basedOn w:val="9"/>
    <w:qFormat/>
    <w:uiPriority w:val="49"/>
    <w:pPr>
      <w:spacing w:after="0" w:line="240" w:lineRule="auto"/>
    </w:pPr>
    <w:tblPr>
      <w:tblBorders>
        <w:top w:val="single" w:color="C2D69B" w:themeColor="accent3" w:themeTint="99" w:sz="4" w:space="0"/>
        <w:left w:val="single" w:color="C2D69B" w:themeColor="accent3" w:themeTint="99" w:sz="4" w:space="0"/>
        <w:bottom w:val="single" w:color="C2D69B" w:themeColor="accent3" w:themeTint="99" w:sz="4" w:space="0"/>
        <w:right w:val="single" w:color="C2D69B" w:themeColor="accent3" w:themeTint="99" w:sz="4" w:space="0"/>
        <w:insideH w:val="single" w:color="C2D69B" w:themeColor="accent3" w:themeTint="99" w:sz="4" w:space="0"/>
        <w:insideV w:val="single" w:color="C2D69B" w:themeColor="accent3" w:themeTint="99" w:sz="4" w:space="0"/>
      </w:tblBorders>
    </w:tblPr>
    <w:tblStylePr w:type="firstRow">
      <w:rPr>
        <w:b/>
        <w:bCs/>
        <w:color w:val="FFFFFF" w:themeColor="background1"/>
        <w14:textFill>
          <w14:solidFill>
            <w14:schemeClr w14:val="bg1"/>
          </w14:solidFill>
        </w14:textFill>
      </w:rPr>
      <w:tcPr>
        <w:tcBorders>
          <w:top w:val="single" w:color="9BBB59" w:themeColor="accent3" w:sz="4" w:space="0"/>
          <w:left w:val="single" w:color="9BBB59" w:themeColor="accent3" w:sz="4" w:space="0"/>
          <w:bottom w:val="single" w:color="9BBB59" w:themeColor="accent3" w:sz="4" w:space="0"/>
          <w:right w:val="single" w:color="9BBB59" w:themeColor="accent3" w:sz="4" w:space="0"/>
          <w:insideH w:val="nil"/>
          <w:insideV w:val="nil"/>
        </w:tcBorders>
        <w:shd w:val="clear" w:color="auto" w:fill="9BBB59" w:themeFill="accent3"/>
      </w:tcPr>
    </w:tblStylePr>
    <w:tblStylePr w:type="lastRow">
      <w:rPr>
        <w:b/>
        <w:bCs/>
      </w:rPr>
      <w:tcPr>
        <w:tcBorders>
          <w:top w:val="double" w:color="9BBB59" w:themeColor="accent3" w:sz="4" w:space="0"/>
        </w:tcBorders>
      </w:tcPr>
    </w:tblStylePr>
    <w:tblStylePr w:type="firstCol">
      <w:rPr>
        <w:b/>
        <w:bCs/>
      </w:rPr>
    </w:tblStylePr>
    <w:tblStylePr w:type="lastCol">
      <w:rPr>
        <w:b/>
        <w:bCs/>
      </w:rPr>
    </w:tblStylePr>
    <w:tblStylePr w:type="band1Vert">
      <w:tcPr>
        <w:shd w:val="clear" w:color="auto" w:fill="EAF1DD" w:themeFill="accent3" w:themeFillTint="33"/>
      </w:tcPr>
    </w:tblStylePr>
    <w:tblStylePr w:type="band1Horz">
      <w:tcPr>
        <w:shd w:val="clear" w:color="auto" w:fill="EAF1DD" w:themeFill="accent3" w:themeFillTint="33"/>
      </w:tcPr>
    </w:tblStylePr>
  </w:style>
  <w:style w:type="table" w:customStyle="1" w:styleId="44">
    <w:name w:val="Grid Table 4 Accent 2"/>
    <w:basedOn w:val="9"/>
    <w:qFormat/>
    <w:uiPriority w:val="49"/>
    <w:pPr>
      <w:spacing w:after="0" w:line="240" w:lineRule="auto"/>
    </w:pPr>
    <w:tblPr>
      <w:tblBorders>
        <w:top w:val="single" w:color="D99594" w:themeColor="accent2" w:themeTint="99" w:sz="4" w:space="0"/>
        <w:left w:val="single" w:color="D99594" w:themeColor="accent2" w:themeTint="99" w:sz="4" w:space="0"/>
        <w:bottom w:val="single" w:color="D99594" w:themeColor="accent2" w:themeTint="99" w:sz="4" w:space="0"/>
        <w:right w:val="single" w:color="D99594" w:themeColor="accent2" w:themeTint="99" w:sz="4" w:space="0"/>
        <w:insideH w:val="single" w:color="D99594" w:themeColor="accent2" w:themeTint="99" w:sz="4" w:space="0"/>
        <w:insideV w:val="single" w:color="D99594" w:themeColor="accent2" w:themeTint="99" w:sz="4" w:space="0"/>
      </w:tblBorders>
    </w:tblPr>
    <w:tblStylePr w:type="firstRow">
      <w:rPr>
        <w:b/>
        <w:bCs/>
        <w:color w:val="FFFFFF" w:themeColor="background1"/>
        <w14:textFill>
          <w14:solidFill>
            <w14:schemeClr w14:val="bg1"/>
          </w14:solidFill>
        </w14:textFill>
      </w:rPr>
      <w:tcPr>
        <w:tcBorders>
          <w:top w:val="single" w:color="C0504D" w:themeColor="accent2" w:sz="4" w:space="0"/>
          <w:left w:val="single" w:color="C0504D" w:themeColor="accent2" w:sz="4" w:space="0"/>
          <w:bottom w:val="single" w:color="C0504D" w:themeColor="accent2" w:sz="4" w:space="0"/>
          <w:right w:val="single" w:color="C0504D" w:themeColor="accent2" w:sz="4" w:space="0"/>
          <w:insideH w:val="nil"/>
          <w:insideV w:val="nil"/>
        </w:tcBorders>
        <w:shd w:val="clear" w:color="auto" w:fill="C0504D" w:themeFill="accent2"/>
      </w:tcPr>
    </w:tblStylePr>
    <w:tblStylePr w:type="lastRow">
      <w:rPr>
        <w:b/>
        <w:bCs/>
      </w:rPr>
      <w:tcPr>
        <w:tcBorders>
          <w:top w:val="double" w:color="C0504D" w:themeColor="accent2" w:sz="4" w:space="0"/>
        </w:tcBorders>
      </w:tcPr>
    </w:tblStylePr>
    <w:tblStylePr w:type="firstCol">
      <w:rPr>
        <w:b/>
        <w:bCs/>
      </w:rPr>
    </w:tblStylePr>
    <w:tblStylePr w:type="lastCol">
      <w:rPr>
        <w:b/>
        <w:bCs/>
      </w:rPr>
    </w:tblStylePr>
    <w:tblStylePr w:type="band1Vert">
      <w:tcPr>
        <w:shd w:val="clear" w:color="auto" w:fill="F2DBDB" w:themeFill="accent2" w:themeFillTint="33"/>
      </w:tcPr>
    </w:tblStylePr>
    <w:tblStylePr w:type="band1Horz">
      <w:tcPr>
        <w:shd w:val="clear" w:color="auto" w:fill="F2DBDB" w:themeFill="accent2" w:themeFillTint="33"/>
      </w:tcPr>
    </w:tblStylePr>
  </w:style>
  <w:style w:type="table" w:customStyle="1" w:styleId="45">
    <w:name w:val="Grid Table 4 Accent 1"/>
    <w:basedOn w:val="9"/>
    <w:uiPriority w:val="49"/>
    <w:pPr>
      <w:spacing w:after="0" w:line="240" w:lineRule="auto"/>
    </w:pPr>
    <w:tblPr>
      <w:tblBorders>
        <w:top w:val="single" w:color="95B3D7" w:themeColor="accent1" w:themeTint="99" w:sz="4" w:space="0"/>
        <w:left w:val="single" w:color="95B3D7" w:themeColor="accent1" w:themeTint="99" w:sz="4" w:space="0"/>
        <w:bottom w:val="single" w:color="95B3D7" w:themeColor="accent1" w:themeTint="99" w:sz="4" w:space="0"/>
        <w:right w:val="single" w:color="95B3D7" w:themeColor="accent1" w:themeTint="99" w:sz="4" w:space="0"/>
        <w:insideH w:val="single" w:color="95B3D7" w:themeColor="accent1" w:themeTint="99" w:sz="4" w:space="0"/>
        <w:insideV w:val="single" w:color="95B3D7" w:themeColor="accent1" w:themeTint="99" w:sz="4" w:space="0"/>
      </w:tblBorders>
    </w:tblPr>
    <w:tblStylePr w:type="firstRow">
      <w:rPr>
        <w:b/>
        <w:bCs/>
        <w:color w:val="FFFFFF" w:themeColor="background1"/>
        <w14:textFill>
          <w14:solidFill>
            <w14:schemeClr w14:val="bg1"/>
          </w14:solidFill>
        </w14:textFill>
      </w:rPr>
      <w:tcPr>
        <w:tcBorders>
          <w:top w:val="single" w:color="4F81BD" w:themeColor="accent1" w:sz="4" w:space="0"/>
          <w:left w:val="single" w:color="4F81BD" w:themeColor="accent1" w:sz="4" w:space="0"/>
          <w:bottom w:val="single" w:color="4F81BD" w:themeColor="accent1" w:sz="4" w:space="0"/>
          <w:right w:val="single" w:color="4F81BD" w:themeColor="accent1" w:sz="4" w:space="0"/>
          <w:insideH w:val="nil"/>
          <w:insideV w:val="nil"/>
        </w:tcBorders>
        <w:shd w:val="clear" w:color="auto" w:fill="4F81BD" w:themeFill="accent1"/>
      </w:tcPr>
    </w:tblStylePr>
    <w:tblStylePr w:type="lastRow">
      <w:rPr>
        <w:b/>
        <w:bCs/>
      </w:rPr>
      <w:tcPr>
        <w:tcBorders>
          <w:top w:val="double" w:color="4F81BD" w:themeColor="accent1" w:sz="4" w:space="0"/>
        </w:tcBorders>
      </w:tcPr>
    </w:tblStylePr>
    <w:tblStylePr w:type="firstCol">
      <w:rPr>
        <w:b/>
        <w:bCs/>
      </w:rPr>
    </w:tblStylePr>
    <w:tblStylePr w:type="lastCol">
      <w:rPr>
        <w:b/>
        <w:bCs/>
      </w:rPr>
    </w:tblStylePr>
    <w:tblStylePr w:type="band1Vert">
      <w:tcPr>
        <w:shd w:val="clear" w:color="auto" w:fill="DBE5F1" w:themeFill="accent1" w:themeFillTint="33"/>
      </w:tcPr>
    </w:tblStylePr>
    <w:tblStylePr w:type="band1Horz">
      <w:tcPr>
        <w:shd w:val="clear" w:color="auto" w:fill="DBE5F1" w:themeFill="accent1" w:themeFillTint="33"/>
      </w:tcPr>
    </w:tblStylePr>
  </w:style>
  <w:style w:type="table" w:customStyle="1" w:styleId="46">
    <w:name w:val="Grid Table 7 Colorful Accent 6"/>
    <w:basedOn w:val="9"/>
    <w:uiPriority w:val="52"/>
    <w:pPr>
      <w:spacing w:after="0" w:line="240" w:lineRule="auto"/>
    </w:pPr>
    <w:rPr>
      <w:color w:val="E46C0A" w:themeColor="accent6" w:themeShade="BF"/>
    </w:rPr>
    <w:tblPr>
      <w:tblBorders>
        <w:top w:val="single" w:color="FABF8F" w:themeColor="accent6" w:themeTint="99" w:sz="4" w:space="0"/>
        <w:left w:val="single" w:color="FABF8F" w:themeColor="accent6" w:themeTint="99" w:sz="4" w:space="0"/>
        <w:bottom w:val="single" w:color="FABF8F" w:themeColor="accent6" w:themeTint="99" w:sz="4" w:space="0"/>
        <w:right w:val="single" w:color="FABF8F" w:themeColor="accent6" w:themeTint="99" w:sz="4" w:space="0"/>
        <w:insideH w:val="single" w:color="FABF8F" w:themeColor="accent6" w:themeTint="99" w:sz="4" w:space="0"/>
        <w:insideV w:val="single" w:color="FABF8F" w:themeColor="accent6"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FDE9D9" w:themeFill="accent6" w:themeFillTint="33"/>
      </w:tcPr>
    </w:tblStylePr>
    <w:tblStylePr w:type="band1Horz">
      <w:tcPr>
        <w:shd w:val="clear" w:color="auto" w:fill="FDE9D9" w:themeFill="accent6" w:themeFillTint="33"/>
      </w:tcPr>
    </w:tblStylePr>
    <w:tblStylePr w:type="neCell">
      <w:tcPr>
        <w:tcBorders>
          <w:bottom w:val="single" w:color="FABF8F" w:themeColor="accent6" w:themeTint="99" w:sz="4" w:space="0"/>
        </w:tcBorders>
      </w:tcPr>
    </w:tblStylePr>
    <w:tblStylePr w:type="nwCell">
      <w:tcPr>
        <w:tcBorders>
          <w:bottom w:val="single" w:color="FABF8F" w:themeColor="accent6" w:themeTint="99" w:sz="4" w:space="0"/>
        </w:tcBorders>
      </w:tcPr>
    </w:tblStylePr>
    <w:tblStylePr w:type="seCell">
      <w:tcPr>
        <w:tcBorders>
          <w:top w:val="single" w:color="FABF8F" w:themeColor="accent6" w:themeTint="99" w:sz="4" w:space="0"/>
        </w:tcBorders>
      </w:tcPr>
    </w:tblStylePr>
    <w:tblStylePr w:type="swCell">
      <w:tcPr>
        <w:tcBorders>
          <w:top w:val="single" w:color="FABF8F" w:themeColor="accent6" w:themeTint="99" w:sz="4" w:space="0"/>
        </w:tcBorders>
      </w:tcPr>
    </w:tblStylePr>
  </w:style>
  <w:style w:type="table" w:customStyle="1" w:styleId="47">
    <w:name w:val="Grid Table 7 Colorful Accent 5"/>
    <w:basedOn w:val="9"/>
    <w:uiPriority w:val="52"/>
    <w:pPr>
      <w:spacing w:after="0" w:line="240" w:lineRule="auto"/>
    </w:pPr>
    <w:rPr>
      <w:color w:val="31859C" w:themeColor="accent5" w:themeShade="BF"/>
    </w:rPr>
    <w:tblPr>
      <w:tblBorders>
        <w:top w:val="single" w:color="92CDDC" w:themeColor="accent5" w:themeTint="99" w:sz="4" w:space="0"/>
        <w:left w:val="single" w:color="92CDDC" w:themeColor="accent5" w:themeTint="99" w:sz="4" w:space="0"/>
        <w:bottom w:val="single" w:color="92CDDC" w:themeColor="accent5" w:themeTint="99" w:sz="4" w:space="0"/>
        <w:right w:val="single" w:color="92CDDC" w:themeColor="accent5" w:themeTint="99" w:sz="4" w:space="0"/>
        <w:insideH w:val="single" w:color="92CDDC" w:themeColor="accent5" w:themeTint="99" w:sz="4" w:space="0"/>
        <w:insideV w:val="single" w:color="92CDDC" w:themeColor="accent5"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DAEEF3" w:themeFill="accent5" w:themeFillTint="33"/>
      </w:tcPr>
    </w:tblStylePr>
    <w:tblStylePr w:type="band1Horz">
      <w:tcPr>
        <w:shd w:val="clear" w:color="auto" w:fill="DAEEF3" w:themeFill="accent5" w:themeFillTint="33"/>
      </w:tcPr>
    </w:tblStylePr>
    <w:tblStylePr w:type="neCell">
      <w:tcPr>
        <w:tcBorders>
          <w:bottom w:val="single" w:color="92CDDC" w:themeColor="accent5" w:themeTint="99" w:sz="4" w:space="0"/>
        </w:tcBorders>
      </w:tcPr>
    </w:tblStylePr>
    <w:tblStylePr w:type="nwCell">
      <w:tcPr>
        <w:tcBorders>
          <w:bottom w:val="single" w:color="92CDDC" w:themeColor="accent5" w:themeTint="99" w:sz="4" w:space="0"/>
        </w:tcBorders>
      </w:tcPr>
    </w:tblStylePr>
    <w:tblStylePr w:type="seCell">
      <w:tcPr>
        <w:tcBorders>
          <w:top w:val="single" w:color="92CDDC" w:themeColor="accent5" w:themeTint="99" w:sz="4" w:space="0"/>
        </w:tcBorders>
      </w:tcPr>
    </w:tblStylePr>
    <w:tblStylePr w:type="swCell">
      <w:tcPr>
        <w:tcBorders>
          <w:top w:val="single" w:color="92CDDC" w:themeColor="accent5" w:themeTint="99" w:sz="4" w:space="0"/>
        </w:tcBorders>
      </w:tcPr>
    </w:tblStylePr>
  </w:style>
  <w:style w:type="table" w:customStyle="1" w:styleId="48">
    <w:name w:val="List Table 2 Accent 5"/>
    <w:basedOn w:val="9"/>
    <w:uiPriority w:val="47"/>
    <w:pPr>
      <w:spacing w:after="0" w:line="240" w:lineRule="auto"/>
    </w:pPr>
    <w:tblPr>
      <w:tblBorders>
        <w:top w:val="single" w:color="92CDDC" w:themeColor="accent5" w:themeTint="99" w:sz="4" w:space="0"/>
        <w:bottom w:val="single" w:color="92CDDC" w:themeColor="accent5" w:themeTint="99" w:sz="4" w:space="0"/>
        <w:insideH w:val="single" w:color="92CDDC"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cPr>
        <w:shd w:val="clear" w:color="auto" w:fill="DAEEF3" w:themeFill="accent5" w:themeFillTint="33"/>
      </w:tcPr>
    </w:tblStylePr>
    <w:tblStylePr w:type="band1Horz">
      <w:tcPr>
        <w:shd w:val="clear" w:color="auto" w:fill="DAEEF3" w:themeFill="accent5" w:themeFillTint="33"/>
      </w:tcPr>
    </w:tblStylePr>
  </w:style>
  <w:style w:type="table" w:customStyle="1" w:styleId="49">
    <w:name w:val="List Table 3 Accent 6"/>
    <w:basedOn w:val="9"/>
    <w:uiPriority w:val="48"/>
    <w:pPr>
      <w:spacing w:after="0" w:line="240" w:lineRule="auto"/>
    </w:pPr>
    <w:tblPr>
      <w:tblBorders>
        <w:top w:val="single" w:color="F79646" w:themeColor="accent6" w:sz="4" w:space="0"/>
        <w:left w:val="single" w:color="F79646" w:themeColor="accent6" w:sz="4" w:space="0"/>
        <w:bottom w:val="single" w:color="F79646" w:themeColor="accent6" w:sz="4" w:space="0"/>
        <w:right w:val="single" w:color="F79646" w:themeColor="accent6" w:sz="4" w:space="0"/>
      </w:tblBorders>
    </w:tblPr>
    <w:tblStylePr w:type="firstRow">
      <w:rPr>
        <w:b/>
        <w:bCs/>
        <w:color w:val="FFFFFF" w:themeColor="background1"/>
        <w14:textFill>
          <w14:solidFill>
            <w14:schemeClr w14:val="bg1"/>
          </w14:solidFill>
        </w14:textFill>
      </w:rPr>
      <w:tcPr>
        <w:shd w:val="clear" w:color="auto" w:fill="F79646" w:themeFill="accent6"/>
      </w:tcPr>
    </w:tblStylePr>
    <w:tblStylePr w:type="lastRow">
      <w:rPr>
        <w:b/>
        <w:bCs/>
      </w:rPr>
      <w:tcPr>
        <w:tcBorders>
          <w:top w:val="double" w:color="F79646" w:themeColor="accent6" w:sz="4" w:space="0"/>
        </w:tcBorders>
        <w:shd w:val="clear" w:color="auto" w:fill="FFFFFF" w:themeFill="background1"/>
      </w:tcPr>
    </w:tblStylePr>
    <w:tblStylePr w:type="firstCol">
      <w:rPr>
        <w:b/>
        <w:bCs/>
      </w:rPr>
      <w:tcPr>
        <w:tcBorders>
          <w:right w:val="nil"/>
        </w:tcBorders>
        <w:shd w:val="clear" w:color="auto" w:fill="FFFFFF" w:themeFill="background1"/>
      </w:tcPr>
    </w:tblStylePr>
    <w:tblStylePr w:type="lastCol">
      <w:rPr>
        <w:b/>
        <w:bCs/>
      </w:rPr>
      <w:tcPr>
        <w:tcBorders>
          <w:left w:val="nil"/>
        </w:tcBorders>
        <w:shd w:val="clear" w:color="auto" w:fill="FFFFFF" w:themeFill="background1"/>
      </w:tcPr>
    </w:tblStylePr>
    <w:tblStylePr w:type="band1Vert">
      <w:tcPr>
        <w:tcBorders>
          <w:left w:val="single" w:color="F79646" w:themeColor="accent6" w:sz="4" w:space="0"/>
          <w:right w:val="single" w:color="F79646" w:themeColor="accent6" w:sz="4" w:space="0"/>
        </w:tcBorders>
      </w:tcPr>
    </w:tblStylePr>
    <w:tblStylePr w:type="band1Horz">
      <w:tcPr>
        <w:tcBorders>
          <w:top w:val="single" w:color="F79646" w:themeColor="accent6" w:sz="4" w:space="0"/>
          <w:bottom w:val="single" w:color="F79646" w:themeColor="accent6" w:sz="4" w:space="0"/>
          <w:insideH w:val="nil"/>
        </w:tcBorders>
      </w:tcPr>
    </w:tblStylePr>
    <w:tblStylePr w:type="neCell">
      <w:tcPr>
        <w:tcBorders>
          <w:left w:val="nil"/>
          <w:bottom w:val="nil"/>
        </w:tcBorders>
      </w:tcPr>
    </w:tblStylePr>
    <w:tblStylePr w:type="nwCell">
      <w:tcPr>
        <w:tcBorders>
          <w:bottom w:val="nil"/>
          <w:right w:val="nil"/>
        </w:tcBorders>
      </w:tcPr>
    </w:tblStylePr>
    <w:tblStylePr w:type="seCell">
      <w:tcPr>
        <w:tcBorders>
          <w:top w:val="double" w:color="F79646" w:themeColor="accent6" w:sz="4" w:space="0"/>
          <w:left w:val="nil"/>
        </w:tcBorders>
      </w:tcPr>
    </w:tblStylePr>
    <w:tblStylePr w:type="swCell">
      <w:tcPr>
        <w:tcBorders>
          <w:top w:val="double" w:color="F79646" w:themeColor="accent6" w:sz="4" w:space="0"/>
          <w:right w:val="nil"/>
        </w:tcBorders>
      </w:tcPr>
    </w:tblStylePr>
  </w:style>
  <w:style w:type="table" w:customStyle="1" w:styleId="50">
    <w:name w:val="Grid Table 6 Colorful Accent 6"/>
    <w:basedOn w:val="9"/>
    <w:uiPriority w:val="51"/>
    <w:pPr>
      <w:spacing w:after="0" w:line="240" w:lineRule="auto"/>
    </w:pPr>
    <w:rPr>
      <w:color w:val="E46C0A" w:themeColor="accent6" w:themeShade="BF"/>
    </w:rPr>
    <w:tblPr>
      <w:tblBorders>
        <w:top w:val="single" w:color="FABF8F" w:themeColor="accent6" w:themeTint="99" w:sz="4" w:space="0"/>
        <w:left w:val="single" w:color="FABF8F" w:themeColor="accent6" w:themeTint="99" w:sz="4" w:space="0"/>
        <w:bottom w:val="single" w:color="FABF8F" w:themeColor="accent6" w:themeTint="99" w:sz="4" w:space="0"/>
        <w:right w:val="single" w:color="FABF8F" w:themeColor="accent6" w:themeTint="99" w:sz="4" w:space="0"/>
        <w:insideH w:val="single" w:color="FABF8F" w:themeColor="accent6" w:themeTint="99" w:sz="4" w:space="0"/>
        <w:insideV w:val="single" w:color="FABF8F" w:themeColor="accent6" w:themeTint="99" w:sz="4" w:space="0"/>
      </w:tblBorders>
    </w:tblPr>
    <w:tblStylePr w:type="firstRow">
      <w:rPr>
        <w:b/>
        <w:bCs/>
      </w:rPr>
      <w:tcPr>
        <w:tcBorders>
          <w:bottom w:val="single" w:color="FABF8F" w:themeColor="accent6" w:themeTint="99" w:sz="12" w:space="0"/>
        </w:tcBorders>
      </w:tcPr>
    </w:tblStylePr>
    <w:tblStylePr w:type="lastRow">
      <w:rPr>
        <w:b/>
        <w:bCs/>
      </w:rPr>
      <w:tcPr>
        <w:tcBorders>
          <w:top w:val="double" w:color="FABF8F" w:themeColor="accent6" w:themeTint="99" w:sz="4" w:space="0"/>
        </w:tcBorders>
      </w:tcPr>
    </w:tblStylePr>
    <w:tblStylePr w:type="firstCol">
      <w:rPr>
        <w:b/>
        <w:bCs/>
      </w:rPr>
    </w:tblStylePr>
    <w:tblStylePr w:type="lastCol">
      <w:rPr>
        <w:b/>
        <w:bCs/>
      </w:rPr>
    </w:tblStylePr>
    <w:tblStylePr w:type="band1Vert">
      <w:tcPr>
        <w:shd w:val="clear" w:color="auto" w:fill="FDE9D9" w:themeFill="accent6" w:themeFillTint="33"/>
      </w:tcPr>
    </w:tblStylePr>
    <w:tblStylePr w:type="band1Horz">
      <w:tcPr>
        <w:shd w:val="clear" w:color="auto" w:fill="FDE9D9" w:themeFill="accent6" w:themeFillTint="33"/>
      </w:tcPr>
    </w:tblStylePr>
  </w:style>
  <w:style w:type="paragraph" w:customStyle="1" w:styleId="51">
    <w:name w:val="Table Paragraph"/>
    <w:basedOn w:val="1"/>
    <w:qFormat/>
    <w:uiPriority w:val="1"/>
    <w:pPr>
      <w:widowControl w:val="0"/>
      <w:autoSpaceDE w:val="0"/>
      <w:autoSpaceDN w:val="0"/>
      <w:spacing w:after="0" w:line="240" w:lineRule="auto"/>
      <w:ind w:left="110"/>
      <w:jc w:val="left"/>
    </w:pPr>
    <w:rPr>
      <w:rFonts w:ascii="Verdana" w:hAnsi="Verdana" w:eastAsia="Verdana" w:cs="Verdana"/>
      <w:sz w:val="22"/>
      <w:szCs w:val="22"/>
    </w:rPr>
  </w:style>
  <w:style w:type="paragraph" w:customStyle="1" w:styleId="52">
    <w:name w:val="x_msonormal"/>
    <w:basedOn w:val="1"/>
    <w:uiPriority w:val="0"/>
    <w:pPr>
      <w:spacing w:after="0" w:line="240" w:lineRule="auto"/>
      <w:jc w:val="left"/>
    </w:pPr>
    <w:rPr>
      <w:rFonts w:ascii="Calibri" w:hAnsi="Calibri" w:cs="Calibri" w:eastAsiaTheme="minorEastAsia"/>
      <w:sz w:val="22"/>
      <w:szCs w:val="22"/>
      <w:lang w:val="en-GB" w:eastAsia="en-GB"/>
    </w:rPr>
  </w:style>
  <w:style w:type="character" w:customStyle="1" w:styleId="53">
    <w:name w:val="elementtoproof"/>
    <w:basedOn w:val="8"/>
    <w:uiPriority w:val="0"/>
  </w:style>
  <w:style w:type="character" w:customStyle="1" w:styleId="54">
    <w:name w:val="Unresolved Mention1"/>
    <w:basedOn w:val="8"/>
    <w:semiHidden/>
    <w:unhideWhenUsed/>
    <w:uiPriority w:val="99"/>
    <w:rPr>
      <w:color w:val="605E5C"/>
      <w:shd w:val="clear" w:color="auto" w:fill="E1DFDD"/>
    </w:rPr>
  </w:style>
  <w:style w:type="table" w:customStyle="1" w:styleId="55">
    <w:name w:val="Grid Table 4 Accent 4"/>
    <w:basedOn w:val="9"/>
    <w:uiPriority w:val="49"/>
    <w:pPr>
      <w:spacing w:after="0" w:line="240" w:lineRule="auto"/>
      <w:jc w:val="left"/>
    </w:pPr>
    <w:rPr>
      <w:rFonts w:asciiTheme="minorHAnsi" w:hAnsiTheme="minorHAnsi" w:eastAsiaTheme="minorHAnsi" w:cstheme="minorBidi"/>
      <w:sz w:val="22"/>
      <w:szCs w:val="22"/>
    </w:rPr>
    <w:tblPr>
      <w:tblBorders>
        <w:top w:val="single" w:color="B2A1C7" w:themeColor="accent4" w:themeTint="99" w:sz="4" w:space="0"/>
        <w:left w:val="single" w:color="B2A1C7" w:themeColor="accent4" w:themeTint="99" w:sz="4" w:space="0"/>
        <w:bottom w:val="single" w:color="B2A1C7" w:themeColor="accent4" w:themeTint="99" w:sz="4" w:space="0"/>
        <w:right w:val="single" w:color="B2A1C7" w:themeColor="accent4" w:themeTint="99" w:sz="4" w:space="0"/>
        <w:insideH w:val="single" w:color="B2A1C7" w:themeColor="accent4" w:themeTint="99" w:sz="4" w:space="0"/>
        <w:insideV w:val="single" w:color="B2A1C7" w:themeColor="accent4" w:themeTint="99" w:sz="4" w:space="0"/>
      </w:tblBorders>
    </w:tblPr>
    <w:tblStylePr w:type="firstRow">
      <w:rPr>
        <w:b/>
        <w:bCs/>
        <w:color w:val="FFFFFF" w:themeColor="background1"/>
        <w14:textFill>
          <w14:solidFill>
            <w14:schemeClr w14:val="bg1"/>
          </w14:solidFill>
        </w14:textFill>
      </w:rPr>
      <w:tcPr>
        <w:tcBorders>
          <w:top w:val="single" w:color="8064A2" w:themeColor="accent4" w:sz="4" w:space="0"/>
          <w:left w:val="single" w:color="8064A2" w:themeColor="accent4" w:sz="4" w:space="0"/>
          <w:bottom w:val="single" w:color="8064A2" w:themeColor="accent4" w:sz="4" w:space="0"/>
          <w:right w:val="single" w:color="8064A2" w:themeColor="accent4" w:sz="4" w:space="0"/>
          <w:insideH w:val="nil"/>
          <w:insideV w:val="nil"/>
        </w:tcBorders>
        <w:shd w:val="clear" w:color="auto" w:fill="8064A2" w:themeFill="accent4"/>
      </w:tcPr>
    </w:tblStylePr>
    <w:tblStylePr w:type="lastRow">
      <w:rPr>
        <w:b/>
        <w:bCs/>
      </w:rPr>
      <w:tcPr>
        <w:tcBorders>
          <w:top w:val="double" w:color="8064A2" w:themeColor="accent4" w:sz="4" w:space="0"/>
        </w:tcBorders>
      </w:tcPr>
    </w:tblStylePr>
    <w:tblStylePr w:type="firstCol">
      <w:rPr>
        <w:b/>
        <w:bCs/>
      </w:rPr>
    </w:tblStylePr>
    <w:tblStylePr w:type="lastCol">
      <w:rPr>
        <w:b/>
        <w:bCs/>
      </w:rPr>
    </w:tblStylePr>
    <w:tblStylePr w:type="band1Vert">
      <w:tcPr>
        <w:shd w:val="clear" w:color="auto" w:fill="E5DFEC" w:themeFill="accent4" w:themeFillTint="33"/>
      </w:tcPr>
    </w:tblStylePr>
    <w:tblStylePr w:type="band1Horz">
      <w:tcPr>
        <w:shd w:val="clear" w:color="auto" w:fill="E5DFEC" w:themeFill="accent4" w:themeFillTint="33"/>
      </w:tcPr>
    </w:tblStylePr>
  </w:style>
  <w:style w:type="table" w:customStyle="1" w:styleId="56">
    <w:name w:val="Grid Table 3 Accent 5"/>
    <w:basedOn w:val="9"/>
    <w:uiPriority w:val="48"/>
    <w:pPr>
      <w:spacing w:after="0" w:line="240" w:lineRule="auto"/>
      <w:jc w:val="left"/>
    </w:pPr>
    <w:rPr>
      <w:rFonts w:asciiTheme="minorHAnsi" w:hAnsiTheme="minorHAnsi" w:eastAsiaTheme="minorHAnsi" w:cstheme="minorBidi"/>
      <w:sz w:val="22"/>
      <w:szCs w:val="22"/>
    </w:rPr>
    <w:tblPr>
      <w:tblBorders>
        <w:top w:val="single" w:color="92CDDC" w:themeColor="accent5" w:themeTint="99" w:sz="4" w:space="0"/>
        <w:left w:val="single" w:color="92CDDC" w:themeColor="accent5" w:themeTint="99" w:sz="4" w:space="0"/>
        <w:bottom w:val="single" w:color="92CDDC" w:themeColor="accent5" w:themeTint="99" w:sz="4" w:space="0"/>
        <w:right w:val="single" w:color="92CDDC" w:themeColor="accent5" w:themeTint="99" w:sz="4" w:space="0"/>
        <w:insideH w:val="single" w:color="92CDDC" w:themeColor="accent5" w:themeTint="99" w:sz="4" w:space="0"/>
        <w:insideV w:val="single" w:color="92CDDC" w:themeColor="accent5"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DAEEF3" w:themeFill="accent5" w:themeFillTint="33"/>
      </w:tcPr>
    </w:tblStylePr>
    <w:tblStylePr w:type="band1Horz">
      <w:tcPr>
        <w:shd w:val="clear" w:color="auto" w:fill="DAEEF3" w:themeFill="accent5" w:themeFillTint="33"/>
      </w:tcPr>
    </w:tblStylePr>
    <w:tblStylePr w:type="neCell">
      <w:tcPr>
        <w:tcBorders>
          <w:bottom w:val="single" w:color="92CDDC" w:themeColor="accent5" w:themeTint="99" w:sz="4" w:space="0"/>
        </w:tcBorders>
      </w:tcPr>
    </w:tblStylePr>
    <w:tblStylePr w:type="nwCell">
      <w:tcPr>
        <w:tcBorders>
          <w:bottom w:val="single" w:color="92CDDC" w:themeColor="accent5" w:themeTint="99" w:sz="4" w:space="0"/>
        </w:tcBorders>
      </w:tcPr>
    </w:tblStylePr>
    <w:tblStylePr w:type="seCell">
      <w:tcPr>
        <w:tcBorders>
          <w:top w:val="single" w:color="92CDDC" w:themeColor="accent5" w:themeTint="99" w:sz="4" w:space="0"/>
        </w:tcBorders>
      </w:tcPr>
    </w:tblStylePr>
    <w:tblStylePr w:type="swCell">
      <w:tcPr>
        <w:tcBorders>
          <w:top w:val="single" w:color="92CDDC" w:themeColor="accent5" w:themeTint="99" w:sz="4" w:space="0"/>
        </w:tcBorders>
      </w:tcPr>
    </w:tblStylePr>
  </w:style>
  <w:style w:type="table" w:customStyle="1" w:styleId="57">
    <w:name w:val="List Table 3"/>
    <w:basedOn w:val="9"/>
    <w:uiPriority w:val="48"/>
    <w:pPr>
      <w:spacing w:after="0" w:line="240" w:lineRule="auto"/>
      <w:jc w:val="left"/>
    </w:pPr>
    <w:rPr>
      <w:rFonts w:asciiTheme="minorHAnsi" w:hAnsiTheme="minorHAnsi" w:eastAsiaTheme="minorHAnsi" w:cstheme="minorBidi"/>
      <w:sz w:val="22"/>
      <w:szCs w:val="22"/>
    </w:rPr>
    <w:tblPr>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14:textFill>
          <w14:solidFill>
            <w14:schemeClr w14:val="bg1"/>
          </w14:solidFill>
        </w14:textFill>
      </w:rPr>
      <w:tcPr>
        <w:shd w:val="clear" w:color="auto" w:fill="000000" w:themeFill="text1"/>
      </w:tcPr>
    </w:tblStylePr>
    <w:tblStylePr w:type="lastRow">
      <w:rPr>
        <w:b/>
        <w:bCs/>
      </w:rPr>
      <w:tcPr>
        <w:tcBorders>
          <w:top w:val="double" w:color="000000" w:themeColor="text1" w:sz="4" w:space="0"/>
        </w:tcBorders>
        <w:shd w:val="clear" w:color="auto" w:fill="FFFFFF" w:themeFill="background1"/>
      </w:tcPr>
    </w:tblStylePr>
    <w:tblStylePr w:type="firstCol">
      <w:rPr>
        <w:b/>
        <w:bCs/>
      </w:rPr>
      <w:tcPr>
        <w:tcBorders>
          <w:right w:val="nil"/>
        </w:tcBorders>
        <w:shd w:val="clear" w:color="auto" w:fill="FFFFFF" w:themeFill="background1"/>
      </w:tcPr>
    </w:tblStylePr>
    <w:tblStylePr w:type="lastCol">
      <w:rPr>
        <w:b/>
        <w:bCs/>
      </w:rPr>
      <w:tcPr>
        <w:tcBorders>
          <w:left w:val="nil"/>
        </w:tcBorders>
        <w:shd w:val="clear" w:color="auto" w:fill="FFFFFF" w:themeFill="background1"/>
      </w:tcPr>
    </w:tblStylePr>
    <w:tblStylePr w:type="band1Vert">
      <w:tcPr>
        <w:tcBorders>
          <w:left w:val="single" w:color="000000" w:themeColor="text1" w:sz="4" w:space="0"/>
          <w:right w:val="single" w:color="000000" w:themeColor="text1" w:sz="4" w:space="0"/>
        </w:tcBorders>
      </w:tcPr>
    </w:tblStylePr>
    <w:tblStylePr w:type="band1Horz">
      <w:tcPr>
        <w:tcBorders>
          <w:top w:val="single" w:color="000000" w:themeColor="text1" w:sz="4" w:space="0"/>
          <w:bottom w:val="single" w:color="000000" w:themeColor="text1" w:sz="4" w:space="0"/>
          <w:insideH w:val="nil"/>
        </w:tcBorders>
      </w:tcPr>
    </w:tblStylePr>
    <w:tblStylePr w:type="neCell">
      <w:tcPr>
        <w:tcBorders>
          <w:left w:val="nil"/>
          <w:bottom w:val="nil"/>
        </w:tcBorders>
      </w:tcPr>
    </w:tblStylePr>
    <w:tblStylePr w:type="nwCell">
      <w:tcPr>
        <w:tcBorders>
          <w:bottom w:val="nil"/>
          <w:right w:val="nil"/>
        </w:tcBorders>
      </w:tcPr>
    </w:tblStylePr>
    <w:tblStylePr w:type="seCell">
      <w:tcPr>
        <w:tcBorders>
          <w:top w:val="double" w:color="000000" w:themeColor="text1" w:sz="4" w:space="0"/>
          <w:left w:val="nil"/>
        </w:tcBorders>
      </w:tcPr>
    </w:tblStylePr>
    <w:tblStylePr w:type="swCell">
      <w:tcPr>
        <w:tcBorders>
          <w:top w:val="double" w:color="000000" w:themeColor="text1" w:sz="4" w:space="0"/>
          <w:right w:val="nil"/>
        </w:tcBorders>
      </w:tcPr>
    </w:tblStylePr>
  </w:style>
  <w:style w:type="character" w:customStyle="1" w:styleId="58">
    <w:name w:val="Comment Text Char"/>
    <w:basedOn w:val="8"/>
    <w:link w:val="14"/>
    <w:semiHidden/>
    <w:uiPriority w:val="99"/>
    <w:rPr>
      <w:rFonts w:asciiTheme="minorHAnsi" w:hAnsiTheme="minorHAnsi" w:eastAsiaTheme="minorHAnsi" w:cstheme="minorBidi"/>
      <w:sz w:val="20"/>
      <w:szCs w:val="20"/>
    </w:rPr>
  </w:style>
  <w:style w:type="character" w:customStyle="1" w:styleId="59">
    <w:name w:val="Balloon Text Char"/>
    <w:basedOn w:val="8"/>
    <w:link w:val="10"/>
    <w:semiHidden/>
    <w:qFormat/>
    <w:uiPriority w:val="99"/>
    <w:rPr>
      <w:rFonts w:ascii="Segoe UI" w:hAnsi="Segoe UI" w:cs="Segoe UI"/>
      <w:sz w:val="18"/>
      <w:szCs w:val="18"/>
    </w:rPr>
  </w:style>
  <w:style w:type="character" w:customStyle="1" w:styleId="60">
    <w:name w:val="Comment Subject Char"/>
    <w:basedOn w:val="58"/>
    <w:link w:val="15"/>
    <w:semiHidden/>
    <w:qFormat/>
    <w:uiPriority w:val="99"/>
    <w:rPr>
      <w:rFonts w:asciiTheme="minorHAnsi" w:hAnsiTheme="minorHAnsi" w:eastAsiaTheme="minorHAnsi" w:cstheme="minorBidi"/>
      <w:b/>
      <w:bCs/>
      <w:sz w:val="20"/>
      <w:szCs w:val="20"/>
    </w:rPr>
  </w:style>
  <w:style w:type="character" w:customStyle="1" w:styleId="61">
    <w:name w:val="Body Text Char"/>
    <w:basedOn w:val="8"/>
    <w:link w:val="11"/>
    <w:qFormat/>
    <w:uiPriority w:val="0"/>
    <w:rPr>
      <w:rFonts w:ascii="Cambria" w:hAnsi="Cambria" w:eastAsia="MS Mincho"/>
    </w:rPr>
  </w:style>
  <w:style w:type="table" w:customStyle="1" w:styleId="62">
    <w:name w:val="Grid Table 2 Accent 4"/>
    <w:basedOn w:val="9"/>
    <w:uiPriority w:val="47"/>
    <w:pPr>
      <w:spacing w:after="0" w:line="240" w:lineRule="auto"/>
      <w:jc w:val="left"/>
    </w:pPr>
    <w:rPr>
      <w:rFonts w:asciiTheme="minorHAnsi" w:hAnsiTheme="minorHAnsi" w:eastAsiaTheme="minorHAnsi" w:cstheme="minorBidi"/>
      <w:sz w:val="22"/>
      <w:szCs w:val="22"/>
      <w:lang w:val="en-GB"/>
    </w:rPr>
    <w:tblPr>
      <w:tblBorders>
        <w:top w:val="single" w:color="B2A1C7" w:themeColor="accent4" w:themeTint="99" w:sz="2" w:space="0"/>
        <w:bottom w:val="single" w:color="B2A1C7" w:themeColor="accent4" w:themeTint="99" w:sz="2" w:space="0"/>
        <w:insideH w:val="single" w:color="B2A1C7" w:themeColor="accent4" w:themeTint="99" w:sz="2" w:space="0"/>
        <w:insideV w:val="single" w:color="B2A1C7" w:themeColor="accent4" w:themeTint="99" w:sz="2" w:space="0"/>
      </w:tblBorders>
    </w:tblPr>
    <w:tblStylePr w:type="firstRow">
      <w:rPr>
        <w:b/>
        <w:bCs/>
      </w:rPr>
      <w:tcPr>
        <w:tcBorders>
          <w:top w:val="nil"/>
          <w:bottom w:val="single" w:color="B2A1C7" w:themeColor="accent4" w:themeTint="99" w:sz="12" w:space="0"/>
          <w:insideH w:val="nil"/>
          <w:insideV w:val="nil"/>
        </w:tcBorders>
        <w:shd w:val="clear" w:color="auto" w:fill="FFFFFF" w:themeFill="background1"/>
      </w:tcPr>
    </w:tblStylePr>
    <w:tblStylePr w:type="lastRow">
      <w:rPr>
        <w:b/>
        <w:bCs/>
      </w:rPr>
      <w:tcPr>
        <w:tcBorders>
          <w:top w:val="double" w:color="B2A1C7"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E5DFEC" w:themeFill="accent4" w:themeFillTint="33"/>
      </w:tcPr>
    </w:tblStylePr>
    <w:tblStylePr w:type="band1Horz">
      <w:tcPr>
        <w:shd w:val="clear" w:color="auto" w:fill="E5DFEC" w:themeFill="accent4" w:themeFillTint="33"/>
      </w:tcPr>
    </w:tblStylePr>
  </w:style>
  <w:style w:type="character" w:customStyle="1" w:styleId="63">
    <w:name w:val="List Paragraph Char"/>
    <w:basedOn w:val="8"/>
    <w:link w:val="34"/>
    <w:uiPriority w:val="34"/>
  </w:style>
  <w:style w:type="character" w:customStyle="1" w:styleId="64">
    <w:name w:val="Title Char"/>
    <w:basedOn w:val="8"/>
    <w:link w:val="28"/>
    <w:uiPriority w:val="10"/>
    <w:rPr>
      <w:b/>
      <w:sz w:val="72"/>
      <w:szCs w:val="72"/>
    </w:rPr>
  </w:style>
  <w:style w:type="table" w:customStyle="1" w:styleId="65">
    <w:name w:val="Grid Table 5 Dark Accent 6"/>
    <w:basedOn w:val="9"/>
    <w:uiPriority w:val="50"/>
    <w:pPr>
      <w:spacing w:after="0" w:line="240" w:lineRule="auto"/>
      <w:jc w:val="left"/>
    </w:pPr>
    <w:rPr>
      <w:rFonts w:asciiTheme="minorHAnsi" w:hAnsiTheme="minorHAnsi" w:eastAsiaTheme="minorHAnsi" w:cstheme="minorBidi"/>
      <w:sz w:val="22"/>
      <w:szCs w:val="22"/>
      <w:lang w:val="en-GB"/>
    </w:r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DE9D9" w:themeFill="accent6"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79646" w:themeFill="accent6"/>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79646" w:themeFill="accent6"/>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F79646" w:themeFill="accent6"/>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79646" w:themeFill="accent6"/>
      </w:tcPr>
    </w:tblStylePr>
    <w:tblStylePr w:type="band1Vert">
      <w:tcPr>
        <w:shd w:val="clear" w:color="auto" w:fill="FBD4B4" w:themeFill="accent6" w:themeFillTint="66"/>
      </w:tcPr>
    </w:tblStylePr>
    <w:tblStylePr w:type="band1Horz">
      <w:tcPr>
        <w:shd w:val="clear" w:color="auto" w:fill="FBD4B4" w:themeFill="accent6" w:themeFillTint="66"/>
      </w:tcPr>
    </w:tblStylePr>
  </w:style>
  <w:style w:type="table" w:customStyle="1" w:styleId="66">
    <w:name w:val="Grid Table 1 Light Accent 2"/>
    <w:basedOn w:val="9"/>
    <w:uiPriority w:val="46"/>
    <w:pPr>
      <w:spacing w:after="0" w:line="240" w:lineRule="auto"/>
      <w:jc w:val="left"/>
    </w:pPr>
    <w:rPr>
      <w:rFonts w:asciiTheme="minorHAnsi" w:hAnsiTheme="minorHAnsi" w:eastAsiaTheme="minorHAnsi" w:cstheme="minorBidi"/>
      <w:kern w:val="2"/>
      <w:sz w:val="22"/>
      <w:szCs w:val="22"/>
      <w:lang w:val="en-GB"/>
      <w14:ligatures w14:val="standardContextual"/>
    </w:rPr>
    <w:tblPr>
      <w:tblBorders>
        <w:top w:val="single" w:color="E5B8B7" w:themeColor="accent2" w:themeTint="66" w:sz="4" w:space="0"/>
        <w:left w:val="single" w:color="E5B8B7" w:themeColor="accent2" w:themeTint="66" w:sz="4" w:space="0"/>
        <w:bottom w:val="single" w:color="E5B8B7" w:themeColor="accent2" w:themeTint="66" w:sz="4" w:space="0"/>
        <w:right w:val="single" w:color="E5B8B7" w:themeColor="accent2" w:themeTint="66" w:sz="4" w:space="0"/>
        <w:insideH w:val="single" w:color="E5B8B7" w:themeColor="accent2" w:themeTint="66" w:sz="4" w:space="0"/>
        <w:insideV w:val="single" w:color="E5B8B7" w:themeColor="accent2" w:themeTint="66" w:sz="4" w:space="0"/>
      </w:tblBorders>
    </w:tblPr>
    <w:tblStylePr w:type="firstRow">
      <w:rPr>
        <w:b/>
        <w:bCs/>
      </w:rPr>
      <w:tcPr>
        <w:tcBorders>
          <w:bottom w:val="single" w:color="D99594" w:themeColor="accent2" w:themeTint="99" w:sz="12" w:space="0"/>
        </w:tcBorders>
      </w:tcPr>
    </w:tblStylePr>
    <w:tblStylePr w:type="lastRow">
      <w:rPr>
        <w:b/>
        <w:bCs/>
      </w:rPr>
      <w:tcPr>
        <w:tcBorders>
          <w:top w:val="double" w:color="D99594" w:themeColor="accent2" w:themeTint="99" w:sz="2" w:space="0"/>
        </w:tcBorders>
      </w:tcPr>
    </w:tblStylePr>
    <w:tblStylePr w:type="firstCol">
      <w:rPr>
        <w:b/>
        <w:bCs/>
      </w:rPr>
    </w:tblStylePr>
    <w:tblStylePr w:type="lastCol">
      <w:rPr>
        <w:b/>
        <w:bCs/>
      </w:rPr>
    </w:tblStylePr>
  </w:style>
  <w:style w:type="table" w:customStyle="1" w:styleId="67">
    <w:name w:val="Grid Table 1 Light Accent 3"/>
    <w:basedOn w:val="9"/>
    <w:uiPriority w:val="46"/>
    <w:pPr>
      <w:spacing w:after="0" w:line="240" w:lineRule="auto"/>
      <w:jc w:val="left"/>
    </w:pPr>
    <w:rPr>
      <w:rFonts w:asciiTheme="minorHAnsi" w:hAnsiTheme="minorHAnsi" w:eastAsiaTheme="minorHAnsi" w:cstheme="minorBidi"/>
      <w:kern w:val="2"/>
      <w:sz w:val="22"/>
      <w:szCs w:val="22"/>
      <w:lang w:val="en-GB"/>
      <w14:ligatures w14:val="standardContextual"/>
    </w:rPr>
    <w:tblPr>
      <w:tblBorders>
        <w:top w:val="single" w:color="D6E3BC" w:themeColor="accent3" w:themeTint="66" w:sz="4" w:space="0"/>
        <w:left w:val="single" w:color="D6E3BC" w:themeColor="accent3" w:themeTint="66" w:sz="4" w:space="0"/>
        <w:bottom w:val="single" w:color="D6E3BC" w:themeColor="accent3" w:themeTint="66" w:sz="4" w:space="0"/>
        <w:right w:val="single" w:color="D6E3BC" w:themeColor="accent3" w:themeTint="66" w:sz="4" w:space="0"/>
        <w:insideH w:val="single" w:color="D6E3BC" w:themeColor="accent3" w:themeTint="66" w:sz="4" w:space="0"/>
        <w:insideV w:val="single" w:color="D6E3BC" w:themeColor="accent3" w:themeTint="66" w:sz="4" w:space="0"/>
      </w:tblBorders>
    </w:tblPr>
    <w:tblStylePr w:type="firstRow">
      <w:rPr>
        <w:b/>
        <w:bCs/>
      </w:rPr>
      <w:tcPr>
        <w:tcBorders>
          <w:bottom w:val="single" w:color="C2D69B" w:themeColor="accent3" w:themeTint="99" w:sz="12" w:space="0"/>
        </w:tcBorders>
      </w:tcPr>
    </w:tblStylePr>
    <w:tblStylePr w:type="lastRow">
      <w:rPr>
        <w:b/>
        <w:bCs/>
      </w:rPr>
      <w:tcPr>
        <w:tcBorders>
          <w:top w:val="double" w:color="C2D69B" w:themeColor="accent3" w:themeTint="99" w:sz="2" w:space="0"/>
        </w:tcBorders>
      </w:tcPr>
    </w:tblStylePr>
    <w:tblStylePr w:type="firstCol">
      <w:rPr>
        <w:b/>
        <w:bCs/>
      </w:rPr>
    </w:tblStylePr>
    <w:tblStylePr w:type="lastCol">
      <w:rPr>
        <w:b/>
        <w:bCs/>
      </w:rPr>
    </w:tblStylePr>
  </w:style>
  <w:style w:type="table" w:customStyle="1" w:styleId="68">
    <w:name w:val="Grid Table 1 Light Accent 4"/>
    <w:basedOn w:val="9"/>
    <w:uiPriority w:val="46"/>
    <w:pPr>
      <w:spacing w:after="0" w:line="240" w:lineRule="auto"/>
      <w:jc w:val="left"/>
    </w:pPr>
    <w:rPr>
      <w:rFonts w:asciiTheme="minorHAnsi" w:hAnsiTheme="minorHAnsi" w:eastAsiaTheme="minorHAnsi" w:cstheme="minorBidi"/>
      <w:kern w:val="2"/>
      <w:sz w:val="22"/>
      <w:szCs w:val="22"/>
      <w:lang w:val="en-GB"/>
      <w14:ligatures w14:val="standardContextual"/>
    </w:rPr>
    <w:tblPr>
      <w:tblBorders>
        <w:top w:val="single" w:color="CCC0D9" w:themeColor="accent4" w:themeTint="66" w:sz="4" w:space="0"/>
        <w:left w:val="single" w:color="CCC0D9" w:themeColor="accent4" w:themeTint="66" w:sz="4" w:space="0"/>
        <w:bottom w:val="single" w:color="CCC0D9" w:themeColor="accent4" w:themeTint="66" w:sz="4" w:space="0"/>
        <w:right w:val="single" w:color="CCC0D9" w:themeColor="accent4" w:themeTint="66" w:sz="4" w:space="0"/>
        <w:insideH w:val="single" w:color="CCC0D9" w:themeColor="accent4" w:themeTint="66" w:sz="4" w:space="0"/>
        <w:insideV w:val="single" w:color="CCC0D9" w:themeColor="accent4" w:themeTint="66" w:sz="4" w:space="0"/>
      </w:tblBorders>
    </w:tblPr>
    <w:tblStylePr w:type="firstRow">
      <w:rPr>
        <w:b/>
        <w:bCs/>
      </w:rPr>
      <w:tcPr>
        <w:tcBorders>
          <w:bottom w:val="single" w:color="B2A1C7" w:themeColor="accent4" w:themeTint="99" w:sz="12" w:space="0"/>
        </w:tcBorders>
      </w:tcPr>
    </w:tblStylePr>
    <w:tblStylePr w:type="lastRow">
      <w:rPr>
        <w:b/>
        <w:bCs/>
      </w:rPr>
      <w:tcPr>
        <w:tcBorders>
          <w:top w:val="double" w:color="B2A1C7" w:themeColor="accent4" w:themeTint="99" w:sz="2" w:space="0"/>
        </w:tcBorders>
      </w:tcPr>
    </w:tblStylePr>
    <w:tblStylePr w:type="firstCol">
      <w:rPr>
        <w:b/>
        <w:bCs/>
      </w:rPr>
    </w:tblStylePr>
    <w:tblStylePr w:type="lastCol">
      <w:rPr>
        <w:b/>
        <w:bCs/>
      </w:rPr>
    </w:tblStylePr>
  </w:style>
  <w:style w:type="table" w:customStyle="1" w:styleId="69">
    <w:name w:val="Grid Table 1 Light Accent 5"/>
    <w:basedOn w:val="9"/>
    <w:uiPriority w:val="46"/>
    <w:pPr>
      <w:spacing w:after="0" w:line="240" w:lineRule="auto"/>
      <w:jc w:val="left"/>
    </w:pPr>
    <w:rPr>
      <w:rFonts w:asciiTheme="minorHAnsi" w:hAnsiTheme="minorHAnsi" w:eastAsiaTheme="minorHAnsi" w:cstheme="minorBidi"/>
      <w:kern w:val="2"/>
      <w:sz w:val="22"/>
      <w:szCs w:val="22"/>
      <w:lang w:val="en-GB"/>
      <w14:ligatures w14:val="standardContextual"/>
    </w:rPr>
    <w:tblPr>
      <w:tblBorders>
        <w:top w:val="single" w:color="B6DDE8" w:themeColor="accent5" w:themeTint="66" w:sz="4" w:space="0"/>
        <w:left w:val="single" w:color="B6DDE8" w:themeColor="accent5" w:themeTint="66" w:sz="4" w:space="0"/>
        <w:bottom w:val="single" w:color="B6DDE8" w:themeColor="accent5" w:themeTint="66" w:sz="4" w:space="0"/>
        <w:right w:val="single" w:color="B6DDE8" w:themeColor="accent5" w:themeTint="66" w:sz="4" w:space="0"/>
        <w:insideH w:val="single" w:color="B6DDE8" w:themeColor="accent5" w:themeTint="66" w:sz="4" w:space="0"/>
        <w:insideV w:val="single" w:color="B6DDE8" w:themeColor="accent5" w:themeTint="66" w:sz="4" w:space="0"/>
      </w:tblBorders>
    </w:tblPr>
    <w:tblStylePr w:type="firstRow">
      <w:rPr>
        <w:b/>
        <w:bCs/>
      </w:rPr>
      <w:tcPr>
        <w:tcBorders>
          <w:bottom w:val="single" w:color="92CDDC" w:themeColor="accent5" w:themeTint="99" w:sz="12" w:space="0"/>
        </w:tcBorders>
      </w:tcPr>
    </w:tblStylePr>
    <w:tblStylePr w:type="lastRow">
      <w:rPr>
        <w:b/>
        <w:bCs/>
      </w:rPr>
      <w:tcPr>
        <w:tcBorders>
          <w:top w:val="double" w:color="92CDDC" w:themeColor="accent5" w:themeTint="99" w:sz="2" w:space="0"/>
        </w:tcBorders>
      </w:tcPr>
    </w:tblStylePr>
    <w:tblStylePr w:type="firstCol">
      <w:rPr>
        <w:b/>
        <w:bCs/>
      </w:rPr>
    </w:tblStylePr>
    <w:tblStylePr w:type="lastCol">
      <w:rPr>
        <w:b/>
        <w:bCs/>
      </w:rPr>
    </w:tblStylePr>
  </w:style>
  <w:style w:type="table" w:customStyle="1" w:styleId="70">
    <w:name w:val="Grid Table 1 Light Accent 6"/>
    <w:basedOn w:val="9"/>
    <w:uiPriority w:val="46"/>
    <w:pPr>
      <w:spacing w:after="0" w:line="240" w:lineRule="auto"/>
      <w:jc w:val="left"/>
    </w:pPr>
    <w:rPr>
      <w:rFonts w:asciiTheme="minorHAnsi" w:hAnsiTheme="minorHAnsi" w:eastAsiaTheme="minorHAnsi" w:cstheme="minorBidi"/>
      <w:kern w:val="2"/>
      <w:sz w:val="22"/>
      <w:szCs w:val="22"/>
      <w:lang w:val="en-GB"/>
      <w14:ligatures w14:val="standardContextual"/>
    </w:rPr>
    <w:tblPr>
      <w:tblBorders>
        <w:top w:val="single" w:color="FBD4B4" w:themeColor="accent6" w:themeTint="66" w:sz="4" w:space="0"/>
        <w:left w:val="single" w:color="FBD4B4" w:themeColor="accent6" w:themeTint="66" w:sz="4" w:space="0"/>
        <w:bottom w:val="single" w:color="FBD4B4" w:themeColor="accent6" w:themeTint="66" w:sz="4" w:space="0"/>
        <w:right w:val="single" w:color="FBD4B4" w:themeColor="accent6" w:themeTint="66" w:sz="4" w:space="0"/>
        <w:insideH w:val="single" w:color="FBD4B4" w:themeColor="accent6" w:themeTint="66" w:sz="4" w:space="0"/>
        <w:insideV w:val="single" w:color="FBD4B4" w:themeColor="accent6" w:themeTint="66" w:sz="4" w:space="0"/>
      </w:tblBorders>
    </w:tblPr>
    <w:tblStylePr w:type="firstRow">
      <w:rPr>
        <w:b/>
        <w:bCs/>
      </w:rPr>
      <w:tcPr>
        <w:tcBorders>
          <w:bottom w:val="single" w:color="FABF8F" w:themeColor="accent6" w:themeTint="99" w:sz="12" w:space="0"/>
        </w:tcBorders>
      </w:tcPr>
    </w:tblStylePr>
    <w:tblStylePr w:type="lastRow">
      <w:rPr>
        <w:b/>
        <w:bCs/>
      </w:rPr>
      <w:tcPr>
        <w:tcBorders>
          <w:top w:val="double" w:color="FABF8F" w:themeColor="accent6" w:themeTint="99" w:sz="2" w:space="0"/>
        </w:tcBorders>
      </w:tcPr>
    </w:tblStylePr>
    <w:tblStylePr w:type="firstCol">
      <w:rPr>
        <w:b/>
        <w:bCs/>
      </w:rPr>
    </w:tblStylePr>
    <w:tblStylePr w:type="lastCol">
      <w:rPr>
        <w:b/>
        <w:bCs/>
      </w:rPr>
    </w:tblStylePr>
  </w:style>
  <w:style w:type="table" w:customStyle="1" w:styleId="71">
    <w:name w:val="Grid Table 1 Light Accent 1"/>
    <w:basedOn w:val="9"/>
    <w:uiPriority w:val="46"/>
    <w:pPr>
      <w:spacing w:after="0" w:line="240" w:lineRule="auto"/>
      <w:jc w:val="left"/>
    </w:pPr>
    <w:rPr>
      <w:rFonts w:asciiTheme="minorHAnsi" w:hAnsiTheme="minorHAnsi" w:eastAsiaTheme="minorHAnsi" w:cstheme="minorBidi"/>
      <w:kern w:val="2"/>
      <w:sz w:val="22"/>
      <w:szCs w:val="22"/>
      <w:lang w:val="en-GB"/>
      <w14:ligatures w14:val="standardContextual"/>
    </w:rPr>
    <w:tblPr>
      <w:tblBorders>
        <w:top w:val="single" w:color="B8CCE4" w:themeColor="accent1" w:themeTint="66" w:sz="4" w:space="0"/>
        <w:left w:val="single" w:color="B8CCE4" w:themeColor="accent1" w:themeTint="66" w:sz="4" w:space="0"/>
        <w:bottom w:val="single" w:color="B8CCE4" w:themeColor="accent1" w:themeTint="66" w:sz="4" w:space="0"/>
        <w:right w:val="single" w:color="B8CCE4" w:themeColor="accent1" w:themeTint="66" w:sz="4" w:space="0"/>
        <w:insideH w:val="single" w:color="B8CCE4" w:themeColor="accent1" w:themeTint="66" w:sz="4" w:space="0"/>
        <w:insideV w:val="single" w:color="B8CCE4" w:themeColor="accent1" w:themeTint="66" w:sz="4" w:space="0"/>
      </w:tblBorders>
    </w:tblPr>
    <w:tblStylePr w:type="firstRow">
      <w:rPr>
        <w:b/>
        <w:bCs/>
      </w:rPr>
      <w:tcPr>
        <w:tcBorders>
          <w:bottom w:val="single" w:color="95B3D7" w:themeColor="accent1" w:themeTint="99" w:sz="12" w:space="0"/>
        </w:tcBorders>
      </w:tcPr>
    </w:tblStylePr>
    <w:tblStylePr w:type="lastRow">
      <w:rPr>
        <w:b/>
        <w:bCs/>
      </w:rPr>
      <w:tcPr>
        <w:tcBorders>
          <w:top w:val="double" w:color="95B3D7" w:themeColor="accent1" w:themeTint="99" w:sz="2" w:space="0"/>
        </w:tcBorders>
      </w:tcPr>
    </w:tblStylePr>
    <w:tblStylePr w:type="firstCol">
      <w:rPr>
        <w:b/>
        <w:bCs/>
      </w:rPr>
    </w:tblStylePr>
    <w:tblStylePr w:type="lastCol">
      <w:rPr>
        <w:b/>
        <w:bCs/>
      </w:rPr>
    </w:tblStylePr>
  </w:style>
  <w:style w:type="table" w:customStyle="1" w:styleId="72">
    <w:name w:val="Grid Table 6 Colorful Accent 2"/>
    <w:basedOn w:val="9"/>
    <w:uiPriority w:val="51"/>
    <w:pPr>
      <w:spacing w:after="0" w:line="240" w:lineRule="auto"/>
      <w:jc w:val="left"/>
    </w:pPr>
    <w:rPr>
      <w:rFonts w:asciiTheme="minorHAnsi" w:hAnsiTheme="minorHAnsi" w:eastAsiaTheme="minorHAnsi" w:cstheme="minorBidi"/>
      <w:color w:val="953735" w:themeColor="accent2" w:themeShade="BF"/>
      <w:kern w:val="2"/>
      <w:sz w:val="22"/>
      <w:szCs w:val="22"/>
      <w:lang w:val="en-GB"/>
      <w14:ligatures w14:val="standardContextual"/>
    </w:rPr>
    <w:tblPr>
      <w:tblBorders>
        <w:top w:val="single" w:color="D99594" w:themeColor="accent2" w:themeTint="99" w:sz="4" w:space="0"/>
        <w:left w:val="single" w:color="D99594" w:themeColor="accent2" w:themeTint="99" w:sz="4" w:space="0"/>
        <w:bottom w:val="single" w:color="D99594" w:themeColor="accent2" w:themeTint="99" w:sz="4" w:space="0"/>
        <w:right w:val="single" w:color="D99594" w:themeColor="accent2" w:themeTint="99" w:sz="4" w:space="0"/>
        <w:insideH w:val="single" w:color="D99594" w:themeColor="accent2" w:themeTint="99" w:sz="4" w:space="0"/>
        <w:insideV w:val="single" w:color="D99594" w:themeColor="accent2" w:themeTint="99" w:sz="4" w:space="0"/>
      </w:tblBorders>
    </w:tblPr>
    <w:tblStylePr w:type="firstRow">
      <w:rPr>
        <w:b/>
        <w:bCs/>
      </w:rPr>
      <w:tcPr>
        <w:tcBorders>
          <w:bottom w:val="single" w:color="D99594" w:themeColor="accent2" w:themeTint="99" w:sz="12" w:space="0"/>
        </w:tcBorders>
      </w:tcPr>
    </w:tblStylePr>
    <w:tblStylePr w:type="lastRow">
      <w:rPr>
        <w:b/>
        <w:bCs/>
      </w:rPr>
      <w:tcPr>
        <w:tcBorders>
          <w:top w:val="double" w:color="D99594" w:themeColor="accent2" w:themeTint="99" w:sz="4" w:space="0"/>
        </w:tcBorders>
      </w:tcPr>
    </w:tblStylePr>
    <w:tblStylePr w:type="firstCol">
      <w:rPr>
        <w:b/>
        <w:bCs/>
      </w:rPr>
    </w:tblStylePr>
    <w:tblStylePr w:type="lastCol">
      <w:rPr>
        <w:b/>
        <w:bCs/>
      </w:rPr>
    </w:tblStylePr>
    <w:tblStylePr w:type="band1Vert">
      <w:tcPr>
        <w:shd w:val="clear" w:color="auto" w:fill="F2DBDB" w:themeFill="accent2" w:themeFillTint="33"/>
      </w:tcPr>
    </w:tblStylePr>
    <w:tblStylePr w:type="band1Horz">
      <w:tcPr>
        <w:shd w:val="clear" w:color="auto" w:fill="F2DBDB" w:themeFill="accent2" w:themeFillTint="33"/>
      </w:tcPr>
    </w:tblStylePr>
  </w:style>
  <w:style w:type="table" w:customStyle="1" w:styleId="73">
    <w:name w:val="Grid Table 6 Colorful Accent 5"/>
    <w:basedOn w:val="9"/>
    <w:uiPriority w:val="51"/>
    <w:pPr>
      <w:spacing w:after="0" w:line="240" w:lineRule="auto"/>
      <w:jc w:val="left"/>
    </w:pPr>
    <w:rPr>
      <w:rFonts w:asciiTheme="minorHAnsi" w:hAnsiTheme="minorHAnsi" w:eastAsiaTheme="minorHAnsi" w:cstheme="minorBidi"/>
      <w:color w:val="31859C" w:themeColor="accent5" w:themeShade="BF"/>
      <w:kern w:val="2"/>
      <w:sz w:val="22"/>
      <w:szCs w:val="22"/>
      <w:lang w:val="en-GB"/>
      <w14:ligatures w14:val="standardContextual"/>
    </w:rPr>
    <w:tblPr>
      <w:tblBorders>
        <w:top w:val="single" w:color="92CDDC" w:themeColor="accent5" w:themeTint="99" w:sz="4" w:space="0"/>
        <w:left w:val="single" w:color="92CDDC" w:themeColor="accent5" w:themeTint="99" w:sz="4" w:space="0"/>
        <w:bottom w:val="single" w:color="92CDDC" w:themeColor="accent5" w:themeTint="99" w:sz="4" w:space="0"/>
        <w:right w:val="single" w:color="92CDDC" w:themeColor="accent5" w:themeTint="99" w:sz="4" w:space="0"/>
        <w:insideH w:val="single" w:color="92CDDC" w:themeColor="accent5" w:themeTint="99" w:sz="4" w:space="0"/>
        <w:insideV w:val="single" w:color="92CDDC" w:themeColor="accent5" w:themeTint="99" w:sz="4" w:space="0"/>
      </w:tblBorders>
    </w:tblPr>
    <w:tblStylePr w:type="firstRow">
      <w:rPr>
        <w:b/>
        <w:bCs/>
      </w:rPr>
      <w:tcPr>
        <w:tcBorders>
          <w:bottom w:val="single" w:color="92CDDC" w:themeColor="accent5" w:themeTint="99" w:sz="12" w:space="0"/>
        </w:tcBorders>
      </w:tcPr>
    </w:tblStylePr>
    <w:tblStylePr w:type="lastRow">
      <w:rPr>
        <w:b/>
        <w:bCs/>
      </w:rPr>
      <w:tcPr>
        <w:tcBorders>
          <w:top w:val="double" w:color="92CDDC" w:themeColor="accent5" w:themeTint="99" w:sz="4" w:space="0"/>
        </w:tcBorders>
      </w:tcPr>
    </w:tblStylePr>
    <w:tblStylePr w:type="firstCol">
      <w:rPr>
        <w:b/>
        <w:bCs/>
      </w:rPr>
    </w:tblStylePr>
    <w:tblStylePr w:type="lastCol">
      <w:rPr>
        <w:b/>
        <w:bCs/>
      </w:rPr>
    </w:tblStylePr>
    <w:tblStylePr w:type="band1Vert">
      <w:tcPr>
        <w:shd w:val="clear" w:color="auto" w:fill="DAEEF3" w:themeFill="accent5" w:themeFillTint="33"/>
      </w:tcPr>
    </w:tblStylePr>
    <w:tblStylePr w:type="band1Horz">
      <w:tcPr>
        <w:shd w:val="clear" w:color="auto" w:fill="DAEEF3" w:themeFill="accent5" w:themeFillTint="33"/>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2.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image" Target="media/image11.png"/><Relationship Id="rId16" Type="http://schemas.openxmlformats.org/officeDocument/2006/relationships/image" Target="media/image10.jpeg"/><Relationship Id="rId15" Type="http://schemas.openxmlformats.org/officeDocument/2006/relationships/image" Target="media/image9.jpe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jpe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B7DF28F-B6C9-4F7C-975C-F4967EAAD158}">
  <ds:schemaRefs/>
</ds:datastoreItem>
</file>

<file path=docProps/app.xml><?xml version="1.0" encoding="utf-8"?>
<Properties xmlns="http://schemas.openxmlformats.org/officeDocument/2006/extended-properties" xmlns:vt="http://schemas.openxmlformats.org/officeDocument/2006/docPropsVTypes">
  <Template>Normal</Template>
  <Pages>28</Pages>
  <Words>5848</Words>
  <Characters>33340</Characters>
  <Lines>277</Lines>
  <Paragraphs>78</Paragraphs>
  <TotalTime>1</TotalTime>
  <ScaleCrop>false</ScaleCrop>
  <LinksUpToDate>false</LinksUpToDate>
  <CharactersWithSpaces>39110</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2023-08-29T05:02:00Z</dcterms:created>
  <dc:creator>WPS Office</dc:creator>
  <cp:lastModifiedBy>Hamza Kiyani</cp:lastModifiedBy>
  <dcterms:modified xsi:type="dcterms:W3CDTF">2023-08-30T11:54:02Z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3453377dc36197a8a59aaa25fd3bf5ac087cc48febeb1bd26e3659568d5db7ac</vt:lpwstr>
  </property>
  <property fmtid="{D5CDD505-2E9C-101B-9397-08002B2CF9AE}" pid="3" name="ICV">
    <vt:lpwstr>c0d82dd054124926a6cb7980e5a90f59</vt:lpwstr>
  </property>
  <property fmtid="{D5CDD505-2E9C-101B-9397-08002B2CF9AE}" pid="4" name="KSOProductBuildVer">
    <vt:lpwstr>1033-11.2.0.11537</vt:lpwstr>
  </property>
</Properties>
</file>