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ED9B1" w14:textId="77777777" w:rsidR="00D05C77" w:rsidRPr="00F71B58" w:rsidRDefault="00D05C77">
      <w:pPr>
        <w:spacing w:before="1000"/>
      </w:pPr>
    </w:p>
    <w:p w14:paraId="31EA5281" w14:textId="77777777" w:rsidR="00F71B58" w:rsidRDefault="00F71B58">
      <w:pPr>
        <w:spacing w:after="100"/>
        <w:jc w:val="center"/>
        <w:rPr>
          <w:sz w:val="26"/>
          <w:szCs w:val="26"/>
        </w:rPr>
      </w:pPr>
      <w:r w:rsidRPr="0095106F">
        <w:rPr>
          <w:noProof/>
        </w:rPr>
        <w:drawing>
          <wp:inline distT="0" distB="0" distL="0" distR="0" wp14:anchorId="08BF8D92" wp14:editId="2E4AF519">
            <wp:extent cx="5731510" cy="2004060"/>
            <wp:effectExtent l="0" t="0" r="2540" b="0"/>
            <wp:docPr id="686660920"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04060"/>
                    </a:xfrm>
                    <a:prstGeom prst="rect">
                      <a:avLst/>
                    </a:prstGeom>
                    <a:noFill/>
                    <a:ln>
                      <a:noFill/>
                    </a:ln>
                  </pic:spPr>
                </pic:pic>
              </a:graphicData>
            </a:graphic>
          </wp:inline>
        </w:drawing>
      </w:r>
    </w:p>
    <w:p w14:paraId="1902757A" w14:textId="40B33B64" w:rsidR="00F71B58" w:rsidRPr="00F71B58" w:rsidRDefault="00F71B58" w:rsidP="00F71B58">
      <w:pPr>
        <w:spacing w:after="100"/>
        <w:jc w:val="center"/>
        <w:rPr>
          <w:b/>
          <w:bCs/>
          <w:sz w:val="32"/>
          <w:szCs w:val="32"/>
        </w:rPr>
      </w:pPr>
      <w:r w:rsidRPr="00F71B58">
        <w:rPr>
          <w:b/>
          <w:bCs/>
          <w:sz w:val="32"/>
          <w:szCs w:val="32"/>
        </w:rPr>
        <w:t>Digital Forensic Reconstruction of Autonomous AI Agent Actions in Security Incidents</w:t>
      </w:r>
    </w:p>
    <w:p w14:paraId="16708671" w14:textId="464A8565" w:rsidR="00F71B58" w:rsidRDefault="00F71B58" w:rsidP="00F71B58">
      <w:pPr>
        <w:spacing w:after="100"/>
        <w:jc w:val="center"/>
        <w:rPr>
          <w:sz w:val="26"/>
          <w:szCs w:val="26"/>
        </w:rPr>
      </w:pPr>
    </w:p>
    <w:p w14:paraId="0D0DB912" w14:textId="77777777" w:rsidR="00F71B58" w:rsidRDefault="00F71B58" w:rsidP="00F71B58">
      <w:pPr>
        <w:spacing w:after="100"/>
        <w:jc w:val="center"/>
        <w:rPr>
          <w:sz w:val="26"/>
          <w:szCs w:val="26"/>
        </w:rPr>
      </w:pPr>
    </w:p>
    <w:p w14:paraId="1ACCFDF9" w14:textId="090EC568" w:rsidR="00F71B58" w:rsidRPr="00F71B58" w:rsidRDefault="00F71B58" w:rsidP="00F71B58">
      <w:pPr>
        <w:pStyle w:val="Strong1"/>
        <w:rPr>
          <w:b w:val="0"/>
          <w:bCs w:val="0"/>
          <w:sz w:val="28"/>
          <w:szCs w:val="28"/>
        </w:rPr>
      </w:pPr>
      <w:r w:rsidRPr="00F71B58">
        <w:rPr>
          <w:b w:val="0"/>
          <w:bCs w:val="0"/>
          <w:sz w:val="28"/>
          <w:szCs w:val="28"/>
        </w:rPr>
        <w:t xml:space="preserve">Student Name &amp; ID </w:t>
      </w:r>
      <w:proofErr w:type="gramStart"/>
      <w:r w:rsidRPr="00F71B58">
        <w:rPr>
          <w:b w:val="0"/>
          <w:bCs w:val="0"/>
          <w:sz w:val="28"/>
          <w:szCs w:val="28"/>
        </w:rPr>
        <w:t xml:space="preserve">  :</w:t>
      </w:r>
      <w:proofErr w:type="gramEnd"/>
      <w:r w:rsidRPr="00F71B58">
        <w:rPr>
          <w:b w:val="0"/>
          <w:bCs w:val="0"/>
          <w:sz w:val="28"/>
          <w:szCs w:val="28"/>
        </w:rPr>
        <w:t xml:space="preserve">      </w:t>
      </w:r>
      <w:proofErr w:type="gramStart"/>
      <w:r w:rsidRPr="00F71B58">
        <w:rPr>
          <w:b w:val="0"/>
          <w:bCs w:val="0"/>
          <w:sz w:val="28"/>
          <w:szCs w:val="28"/>
        </w:rPr>
        <w:t xml:space="preserve">GAUTAM </w:t>
      </w:r>
      <w:r>
        <w:rPr>
          <w:b w:val="0"/>
          <w:bCs w:val="0"/>
          <w:sz w:val="28"/>
          <w:szCs w:val="28"/>
        </w:rPr>
        <w:t xml:space="preserve"> </w:t>
      </w:r>
      <w:r w:rsidRPr="00F71B58">
        <w:rPr>
          <w:b w:val="0"/>
          <w:bCs w:val="0"/>
          <w:sz w:val="28"/>
          <w:szCs w:val="28"/>
        </w:rPr>
        <w:t>MALVIYA</w:t>
      </w:r>
      <w:proofErr w:type="gramEnd"/>
      <w:r>
        <w:rPr>
          <w:b w:val="0"/>
          <w:bCs w:val="0"/>
          <w:sz w:val="28"/>
          <w:szCs w:val="28"/>
        </w:rPr>
        <w:t xml:space="preserve">  (2504384)</w:t>
      </w:r>
    </w:p>
    <w:p w14:paraId="45380728" w14:textId="4BE326FA" w:rsidR="00F71B58" w:rsidRPr="00F71B58" w:rsidRDefault="00F71B58" w:rsidP="00F71B58">
      <w:pPr>
        <w:pStyle w:val="Strong1"/>
        <w:rPr>
          <w:b w:val="0"/>
          <w:bCs w:val="0"/>
          <w:sz w:val="28"/>
          <w:szCs w:val="28"/>
        </w:rPr>
      </w:pPr>
      <w:r w:rsidRPr="00F71B58">
        <w:rPr>
          <w:b w:val="0"/>
          <w:bCs w:val="0"/>
          <w:sz w:val="28"/>
          <w:szCs w:val="28"/>
        </w:rPr>
        <w:t xml:space="preserve">Module Code           </w:t>
      </w:r>
      <w:proofErr w:type="gramStart"/>
      <w:r w:rsidRPr="00F71B58">
        <w:rPr>
          <w:b w:val="0"/>
          <w:bCs w:val="0"/>
          <w:sz w:val="28"/>
          <w:szCs w:val="28"/>
        </w:rPr>
        <w:t xml:space="preserve">  :</w:t>
      </w:r>
      <w:proofErr w:type="gramEnd"/>
      <w:r w:rsidRPr="00F71B58">
        <w:rPr>
          <w:b w:val="0"/>
          <w:bCs w:val="0"/>
          <w:sz w:val="28"/>
          <w:szCs w:val="28"/>
        </w:rPr>
        <w:t xml:space="preserve">      ACFA7004</w:t>
      </w:r>
    </w:p>
    <w:p w14:paraId="1177713C" w14:textId="337C4360" w:rsidR="00F71B58" w:rsidRPr="00F71B58" w:rsidRDefault="00F71B58" w:rsidP="00F71B58">
      <w:pPr>
        <w:pStyle w:val="Strong1"/>
        <w:rPr>
          <w:b w:val="0"/>
          <w:bCs w:val="0"/>
          <w:sz w:val="28"/>
          <w:szCs w:val="28"/>
        </w:rPr>
      </w:pPr>
      <w:r w:rsidRPr="00F71B58">
        <w:rPr>
          <w:b w:val="0"/>
          <w:bCs w:val="0"/>
          <w:sz w:val="28"/>
          <w:szCs w:val="28"/>
        </w:rPr>
        <w:t xml:space="preserve">Module Name          </w:t>
      </w:r>
      <w:proofErr w:type="gramStart"/>
      <w:r w:rsidRPr="00F71B58">
        <w:rPr>
          <w:b w:val="0"/>
          <w:bCs w:val="0"/>
          <w:sz w:val="28"/>
          <w:szCs w:val="28"/>
        </w:rPr>
        <w:t xml:space="preserve">  :</w:t>
      </w:r>
      <w:proofErr w:type="gramEnd"/>
      <w:r w:rsidRPr="00F71B58">
        <w:rPr>
          <w:b w:val="0"/>
          <w:bCs w:val="0"/>
          <w:sz w:val="28"/>
          <w:szCs w:val="28"/>
        </w:rPr>
        <w:t xml:space="preserve">      Research Methods and Professional Development </w:t>
      </w:r>
    </w:p>
    <w:p w14:paraId="2E3FCD42" w14:textId="7E1E3B01" w:rsidR="00F71B58" w:rsidRPr="00F71B58" w:rsidRDefault="00F71B58" w:rsidP="00F71B58">
      <w:pPr>
        <w:pStyle w:val="Strong1"/>
        <w:rPr>
          <w:b w:val="0"/>
          <w:bCs w:val="0"/>
          <w:sz w:val="28"/>
          <w:szCs w:val="28"/>
        </w:rPr>
      </w:pPr>
      <w:r w:rsidRPr="00F71B58">
        <w:rPr>
          <w:b w:val="0"/>
          <w:bCs w:val="0"/>
          <w:sz w:val="28"/>
          <w:szCs w:val="28"/>
        </w:rPr>
        <w:t xml:space="preserve">Assignment Title     </w:t>
      </w:r>
      <w:proofErr w:type="gramStart"/>
      <w:r w:rsidRPr="00F71B58">
        <w:rPr>
          <w:b w:val="0"/>
          <w:bCs w:val="0"/>
          <w:sz w:val="28"/>
          <w:szCs w:val="28"/>
        </w:rPr>
        <w:t xml:space="preserve">  :</w:t>
      </w:r>
      <w:proofErr w:type="gramEnd"/>
      <w:r w:rsidRPr="00F71B58">
        <w:rPr>
          <w:b w:val="0"/>
          <w:bCs w:val="0"/>
          <w:sz w:val="28"/>
          <w:szCs w:val="28"/>
        </w:rPr>
        <w:t xml:space="preserve">      Research Proposal </w:t>
      </w:r>
    </w:p>
    <w:p w14:paraId="22470D11" w14:textId="77777777" w:rsidR="00F71B58" w:rsidRPr="00F71B58" w:rsidRDefault="00F71B58" w:rsidP="00F71B58">
      <w:pPr>
        <w:spacing w:after="100"/>
        <w:jc w:val="center"/>
      </w:pPr>
    </w:p>
    <w:p w14:paraId="126A617B" w14:textId="60970F02" w:rsidR="00D05C77" w:rsidRDefault="00C90EF7">
      <w:r w:rsidRPr="00F71B58">
        <w:br w:type="page"/>
      </w:r>
    </w:p>
    <w:p w14:paraId="37D29304" w14:textId="77777777" w:rsidR="00F77CBE" w:rsidRDefault="00F77CBE"/>
    <w:p w14:paraId="6539E8CE" w14:textId="77777777" w:rsidR="00F77CBE" w:rsidRDefault="00F77CBE"/>
    <w:sdt>
      <w:sdtPr>
        <w:rPr>
          <w:rFonts w:ascii="Times New Roman" w:eastAsia="Times New Roman" w:hAnsi="Times New Roman" w:cs="Times New Roman"/>
          <w:color w:val="auto"/>
          <w:sz w:val="20"/>
          <w:szCs w:val="20"/>
          <w:lang w:val="en-IN" w:eastAsia="en-IN"/>
        </w:rPr>
        <w:id w:val="-969589974"/>
        <w:docPartObj>
          <w:docPartGallery w:val="Table of Contents"/>
          <w:docPartUnique/>
        </w:docPartObj>
      </w:sdtPr>
      <w:sdtEndPr>
        <w:rPr>
          <w:noProof/>
        </w:rPr>
      </w:sdtEndPr>
      <w:sdtContent>
        <w:p w14:paraId="1B941408" w14:textId="53F7F6E9" w:rsidR="00F77CBE" w:rsidRDefault="00F77CBE">
          <w:pPr>
            <w:pStyle w:val="TOCHeading"/>
          </w:pPr>
          <w:r>
            <w:t>Contents</w:t>
          </w:r>
        </w:p>
        <w:p w14:paraId="53844E04" w14:textId="11324819" w:rsidR="00F77CBE" w:rsidRPr="00E208FD" w:rsidRDefault="00F77CBE">
          <w:pPr>
            <w:pStyle w:val="TOC1"/>
            <w:tabs>
              <w:tab w:val="right" w:leader="dot" w:pos="9016"/>
            </w:tabs>
            <w:rPr>
              <w:noProof/>
              <w:sz w:val="24"/>
              <w:szCs w:val="24"/>
            </w:rPr>
          </w:pPr>
          <w:r w:rsidRPr="00E208FD">
            <w:fldChar w:fldCharType="begin"/>
          </w:r>
          <w:r w:rsidRPr="00E208FD">
            <w:instrText xml:space="preserve"> TOC \o "1-3" \h \z \u </w:instrText>
          </w:r>
          <w:r w:rsidRPr="00E208FD">
            <w:fldChar w:fldCharType="separate"/>
          </w:r>
          <w:hyperlink w:anchor="_Toc236575843" w:history="1">
            <w:r w:rsidRPr="00E208FD">
              <w:rPr>
                <w:rStyle w:val="Hyperlink"/>
                <w:noProof/>
                <w:sz w:val="24"/>
                <w:szCs w:val="24"/>
              </w:rPr>
              <w:t>Section 1: Introduction</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_Toc236575843 \h </w:instrText>
            </w:r>
            <w:r w:rsidRPr="00E208FD">
              <w:rPr>
                <w:noProof/>
                <w:webHidden/>
                <w:sz w:val="24"/>
                <w:szCs w:val="24"/>
              </w:rPr>
            </w:r>
            <w:r w:rsidRPr="00E208FD">
              <w:rPr>
                <w:noProof/>
                <w:webHidden/>
                <w:sz w:val="24"/>
                <w:szCs w:val="24"/>
              </w:rPr>
              <w:fldChar w:fldCharType="separate"/>
            </w:r>
            <w:r w:rsidRPr="00E208FD">
              <w:rPr>
                <w:noProof/>
                <w:webHidden/>
                <w:sz w:val="24"/>
                <w:szCs w:val="24"/>
              </w:rPr>
              <w:t>4</w:t>
            </w:r>
            <w:r w:rsidRPr="00E208FD">
              <w:rPr>
                <w:noProof/>
                <w:webHidden/>
                <w:sz w:val="24"/>
                <w:szCs w:val="24"/>
              </w:rPr>
              <w:fldChar w:fldCharType="end"/>
            </w:r>
          </w:hyperlink>
        </w:p>
        <w:p w14:paraId="15B1D968" w14:textId="37E6BA6B" w:rsidR="00F77CBE" w:rsidRPr="00E208FD" w:rsidRDefault="00F77CBE">
          <w:pPr>
            <w:pStyle w:val="TOC2"/>
            <w:tabs>
              <w:tab w:val="right" w:leader="dot" w:pos="9016"/>
            </w:tabs>
            <w:rPr>
              <w:noProof/>
              <w:sz w:val="24"/>
              <w:szCs w:val="24"/>
            </w:rPr>
          </w:pPr>
          <w:hyperlink w:anchor="_Toc236575844" w:history="1">
            <w:r w:rsidRPr="00E208FD">
              <w:rPr>
                <w:rStyle w:val="Hyperlink"/>
                <w:noProof/>
                <w:sz w:val="24"/>
                <w:szCs w:val="24"/>
              </w:rPr>
              <w:t>1.1 Context and Background</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_Toc236575844 \h </w:instrText>
            </w:r>
            <w:r w:rsidRPr="00E208FD">
              <w:rPr>
                <w:noProof/>
                <w:webHidden/>
                <w:sz w:val="24"/>
                <w:szCs w:val="24"/>
              </w:rPr>
            </w:r>
            <w:r w:rsidRPr="00E208FD">
              <w:rPr>
                <w:noProof/>
                <w:webHidden/>
                <w:sz w:val="24"/>
                <w:szCs w:val="24"/>
              </w:rPr>
              <w:fldChar w:fldCharType="separate"/>
            </w:r>
            <w:r w:rsidRPr="00E208FD">
              <w:rPr>
                <w:noProof/>
                <w:webHidden/>
                <w:sz w:val="24"/>
                <w:szCs w:val="24"/>
              </w:rPr>
              <w:t>4</w:t>
            </w:r>
            <w:r w:rsidRPr="00E208FD">
              <w:rPr>
                <w:noProof/>
                <w:webHidden/>
                <w:sz w:val="24"/>
                <w:szCs w:val="24"/>
              </w:rPr>
              <w:fldChar w:fldCharType="end"/>
            </w:r>
          </w:hyperlink>
        </w:p>
        <w:p w14:paraId="62EE181C" w14:textId="3B9BAA9B" w:rsidR="00F77CBE" w:rsidRPr="00E208FD" w:rsidRDefault="00F77CBE">
          <w:pPr>
            <w:pStyle w:val="TOC2"/>
            <w:tabs>
              <w:tab w:val="right" w:leader="dot" w:pos="9016"/>
            </w:tabs>
            <w:rPr>
              <w:noProof/>
              <w:sz w:val="24"/>
              <w:szCs w:val="24"/>
            </w:rPr>
          </w:pPr>
          <w:hyperlink w:anchor="_Toc236575845" w:history="1">
            <w:r w:rsidRPr="00E208FD">
              <w:rPr>
                <w:rStyle w:val="Hyperlink"/>
                <w:noProof/>
                <w:sz w:val="24"/>
                <w:szCs w:val="24"/>
              </w:rPr>
              <w:t>1.2 Research Problem</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_Toc236575845 \h </w:instrText>
            </w:r>
            <w:r w:rsidRPr="00E208FD">
              <w:rPr>
                <w:noProof/>
                <w:webHidden/>
                <w:sz w:val="24"/>
                <w:szCs w:val="24"/>
              </w:rPr>
            </w:r>
            <w:r w:rsidRPr="00E208FD">
              <w:rPr>
                <w:noProof/>
                <w:webHidden/>
                <w:sz w:val="24"/>
                <w:szCs w:val="24"/>
              </w:rPr>
              <w:fldChar w:fldCharType="separate"/>
            </w:r>
            <w:r w:rsidRPr="00E208FD">
              <w:rPr>
                <w:noProof/>
                <w:webHidden/>
                <w:sz w:val="24"/>
                <w:szCs w:val="24"/>
              </w:rPr>
              <w:t>5</w:t>
            </w:r>
            <w:r w:rsidRPr="00E208FD">
              <w:rPr>
                <w:noProof/>
                <w:webHidden/>
                <w:sz w:val="24"/>
                <w:szCs w:val="24"/>
              </w:rPr>
              <w:fldChar w:fldCharType="end"/>
            </w:r>
          </w:hyperlink>
        </w:p>
        <w:p w14:paraId="631FE640" w14:textId="612849C0" w:rsidR="00F77CBE" w:rsidRPr="00E208FD" w:rsidRDefault="00F77CBE">
          <w:pPr>
            <w:pStyle w:val="TOC2"/>
            <w:tabs>
              <w:tab w:val="right" w:leader="dot" w:pos="9016"/>
            </w:tabs>
            <w:rPr>
              <w:noProof/>
              <w:sz w:val="24"/>
              <w:szCs w:val="24"/>
            </w:rPr>
          </w:pPr>
          <w:hyperlink w:anchor="_Toc236575846" w:history="1">
            <w:r w:rsidRPr="00E208FD">
              <w:rPr>
                <w:rStyle w:val="Hyperlink"/>
                <w:noProof/>
                <w:sz w:val="24"/>
                <w:szCs w:val="24"/>
              </w:rPr>
              <w:t>1.3 Research Aim and Objectives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_Toc236575846 \h </w:instrText>
            </w:r>
            <w:r w:rsidRPr="00E208FD">
              <w:rPr>
                <w:noProof/>
                <w:webHidden/>
                <w:sz w:val="24"/>
                <w:szCs w:val="24"/>
              </w:rPr>
            </w:r>
            <w:r w:rsidRPr="00E208FD">
              <w:rPr>
                <w:noProof/>
                <w:webHidden/>
                <w:sz w:val="24"/>
                <w:szCs w:val="24"/>
              </w:rPr>
              <w:fldChar w:fldCharType="separate"/>
            </w:r>
            <w:r w:rsidRPr="00E208FD">
              <w:rPr>
                <w:noProof/>
                <w:webHidden/>
                <w:sz w:val="24"/>
                <w:szCs w:val="24"/>
              </w:rPr>
              <w:t>6</w:t>
            </w:r>
            <w:r w:rsidRPr="00E208FD">
              <w:rPr>
                <w:noProof/>
                <w:webHidden/>
                <w:sz w:val="24"/>
                <w:szCs w:val="24"/>
              </w:rPr>
              <w:fldChar w:fldCharType="end"/>
            </w:r>
          </w:hyperlink>
        </w:p>
        <w:p w14:paraId="59D11DA9" w14:textId="29590D5E" w:rsidR="00F77CBE" w:rsidRPr="00E208FD" w:rsidRDefault="00F77CBE">
          <w:pPr>
            <w:pStyle w:val="TOC2"/>
            <w:tabs>
              <w:tab w:val="right" w:leader="dot" w:pos="9016"/>
            </w:tabs>
            <w:rPr>
              <w:noProof/>
              <w:sz w:val="24"/>
              <w:szCs w:val="24"/>
            </w:rPr>
          </w:pPr>
          <w:hyperlink w:anchor="_Toc236575847" w:history="1">
            <w:r w:rsidRPr="00E208FD">
              <w:rPr>
                <w:rStyle w:val="Hyperlink"/>
                <w:noProof/>
                <w:sz w:val="24"/>
                <w:szCs w:val="24"/>
              </w:rPr>
              <w:t>1.4 Significance of the Research</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_Toc236575847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466BB243" w14:textId="5925642C" w:rsidR="00F77CBE" w:rsidRPr="00E208FD" w:rsidRDefault="00F77CBE">
          <w:pPr>
            <w:pStyle w:val="TOC1"/>
            <w:tabs>
              <w:tab w:val="right" w:leader="dot" w:pos="9016"/>
            </w:tabs>
            <w:rPr>
              <w:noProof/>
              <w:sz w:val="24"/>
              <w:szCs w:val="24"/>
            </w:rPr>
          </w:pPr>
          <w:hyperlink w:anchor="_Toc236575848" w:history="1">
            <w:r w:rsidRPr="00E208FD">
              <w:rPr>
                <w:rStyle w:val="Hyperlink"/>
                <w:noProof/>
                <w:sz w:val="24"/>
                <w:szCs w:val="24"/>
              </w:rPr>
              <w:t>Section 2: Literature Review</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_Toc236575848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2CA29453" w14:textId="09883D73" w:rsidR="00F77CBE" w:rsidRPr="00E208FD" w:rsidRDefault="00F77CBE">
          <w:pPr>
            <w:pStyle w:val="TOC2"/>
            <w:tabs>
              <w:tab w:val="right" w:leader="dot" w:pos="9016"/>
            </w:tabs>
            <w:rPr>
              <w:noProof/>
              <w:sz w:val="24"/>
              <w:szCs w:val="24"/>
            </w:rPr>
          </w:pPr>
          <w:hyperlink w:anchor="_Toc236575849" w:history="1">
            <w:r w:rsidRPr="00E208FD">
              <w:rPr>
                <w:rStyle w:val="Hyperlink"/>
                <w:noProof/>
                <w:sz w:val="24"/>
                <w:szCs w:val="24"/>
              </w:rPr>
              <w:t>Search Strategy</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_Toc236575849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742101C6" w14:textId="791856CD" w:rsidR="00F77CBE" w:rsidRPr="00E208FD" w:rsidRDefault="00F77CBE">
          <w:pPr>
            <w:pStyle w:val="TOC2"/>
            <w:tabs>
              <w:tab w:val="right" w:leader="dot" w:pos="9016"/>
            </w:tabs>
            <w:rPr>
              <w:noProof/>
              <w:sz w:val="24"/>
              <w:szCs w:val="24"/>
            </w:rPr>
          </w:pPr>
          <w:hyperlink w:anchor="_Toc236575850" w:history="1">
            <w:r w:rsidRPr="00E208FD">
              <w:rPr>
                <w:rStyle w:val="Hyperlink"/>
                <w:noProof/>
                <w:sz w:val="24"/>
                <w:szCs w:val="24"/>
              </w:rPr>
              <w:t>Synthesis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_Toc236575850 \h </w:instrText>
            </w:r>
            <w:r w:rsidRPr="00E208FD">
              <w:rPr>
                <w:noProof/>
                <w:webHidden/>
                <w:sz w:val="24"/>
                <w:szCs w:val="24"/>
              </w:rPr>
            </w:r>
            <w:r w:rsidRPr="00E208FD">
              <w:rPr>
                <w:noProof/>
                <w:webHidden/>
                <w:sz w:val="24"/>
                <w:szCs w:val="24"/>
              </w:rPr>
              <w:fldChar w:fldCharType="separate"/>
            </w:r>
            <w:r w:rsidRPr="00E208FD">
              <w:rPr>
                <w:noProof/>
                <w:webHidden/>
                <w:sz w:val="24"/>
                <w:szCs w:val="24"/>
              </w:rPr>
              <w:t>8</w:t>
            </w:r>
            <w:r w:rsidRPr="00E208FD">
              <w:rPr>
                <w:noProof/>
                <w:webHidden/>
                <w:sz w:val="24"/>
                <w:szCs w:val="24"/>
              </w:rPr>
              <w:fldChar w:fldCharType="end"/>
            </w:r>
          </w:hyperlink>
        </w:p>
        <w:p w14:paraId="314E1007" w14:textId="2C3FE49D" w:rsidR="00F77CBE" w:rsidRPr="00E208FD" w:rsidRDefault="00F77CBE">
          <w:pPr>
            <w:pStyle w:val="TOC1"/>
            <w:tabs>
              <w:tab w:val="right" w:leader="dot" w:pos="9016"/>
            </w:tabs>
            <w:rPr>
              <w:noProof/>
              <w:sz w:val="24"/>
              <w:szCs w:val="24"/>
            </w:rPr>
          </w:pPr>
          <w:hyperlink w:anchor="_Toc236575851" w:history="1">
            <w:r w:rsidRPr="00E208FD">
              <w:rPr>
                <w:rStyle w:val="Hyperlink"/>
                <w:noProof/>
                <w:sz w:val="24"/>
                <w:szCs w:val="24"/>
              </w:rPr>
              <w:t>Section 3: Research Design and Methodology</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_Toc236575851 \h </w:instrText>
            </w:r>
            <w:r w:rsidRPr="00E208FD">
              <w:rPr>
                <w:noProof/>
                <w:webHidden/>
                <w:sz w:val="24"/>
                <w:szCs w:val="24"/>
              </w:rPr>
            </w:r>
            <w:r w:rsidRPr="00E208FD">
              <w:rPr>
                <w:noProof/>
                <w:webHidden/>
                <w:sz w:val="24"/>
                <w:szCs w:val="24"/>
              </w:rPr>
              <w:fldChar w:fldCharType="separate"/>
            </w:r>
            <w:r w:rsidRPr="00E208FD">
              <w:rPr>
                <w:noProof/>
                <w:webHidden/>
                <w:sz w:val="24"/>
                <w:szCs w:val="24"/>
              </w:rPr>
              <w:t>10</w:t>
            </w:r>
            <w:r w:rsidRPr="00E208FD">
              <w:rPr>
                <w:noProof/>
                <w:webHidden/>
                <w:sz w:val="24"/>
                <w:szCs w:val="24"/>
              </w:rPr>
              <w:fldChar w:fldCharType="end"/>
            </w:r>
          </w:hyperlink>
        </w:p>
        <w:p w14:paraId="1AC9A334" w14:textId="6229324C" w:rsidR="00F77CBE" w:rsidRPr="00E208FD" w:rsidRDefault="00F77CBE">
          <w:pPr>
            <w:pStyle w:val="TOC2"/>
            <w:tabs>
              <w:tab w:val="right" w:leader="dot" w:pos="9016"/>
            </w:tabs>
            <w:rPr>
              <w:noProof/>
              <w:sz w:val="24"/>
              <w:szCs w:val="24"/>
            </w:rPr>
          </w:pPr>
          <w:hyperlink w:anchor="_Toc236575852" w:history="1">
            <w:r w:rsidRPr="00E208FD">
              <w:rPr>
                <w:rStyle w:val="Hyperlink"/>
                <w:noProof/>
                <w:sz w:val="24"/>
                <w:szCs w:val="24"/>
              </w:rPr>
              <w:t>3.1 Research Design</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_Toc236575852 \h </w:instrText>
            </w:r>
            <w:r w:rsidRPr="00E208FD">
              <w:rPr>
                <w:noProof/>
                <w:webHidden/>
                <w:sz w:val="24"/>
                <w:szCs w:val="24"/>
              </w:rPr>
            </w:r>
            <w:r w:rsidRPr="00E208FD">
              <w:rPr>
                <w:noProof/>
                <w:webHidden/>
                <w:sz w:val="24"/>
                <w:szCs w:val="24"/>
              </w:rPr>
              <w:fldChar w:fldCharType="separate"/>
            </w:r>
            <w:r w:rsidRPr="00E208FD">
              <w:rPr>
                <w:noProof/>
                <w:webHidden/>
                <w:sz w:val="24"/>
                <w:szCs w:val="24"/>
              </w:rPr>
              <w:t>10</w:t>
            </w:r>
            <w:r w:rsidRPr="00E208FD">
              <w:rPr>
                <w:noProof/>
                <w:webHidden/>
                <w:sz w:val="24"/>
                <w:szCs w:val="24"/>
              </w:rPr>
              <w:fldChar w:fldCharType="end"/>
            </w:r>
          </w:hyperlink>
        </w:p>
        <w:p w14:paraId="4486C062" w14:textId="58280255" w:rsidR="00F77CBE" w:rsidRPr="00E208FD" w:rsidRDefault="00F77CBE">
          <w:pPr>
            <w:pStyle w:val="TOC2"/>
            <w:tabs>
              <w:tab w:val="right" w:leader="dot" w:pos="9016"/>
            </w:tabs>
            <w:rPr>
              <w:noProof/>
              <w:sz w:val="24"/>
              <w:szCs w:val="24"/>
            </w:rPr>
          </w:pPr>
          <w:hyperlink w:anchor="_Toc236575853" w:history="1">
            <w:r w:rsidRPr="00E208FD">
              <w:rPr>
                <w:rStyle w:val="Hyperlink"/>
                <w:noProof/>
                <w:sz w:val="24"/>
                <w:szCs w:val="24"/>
              </w:rPr>
              <w:t>3.2 Research Methods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_Toc236575853 \h </w:instrText>
            </w:r>
            <w:r w:rsidRPr="00E208FD">
              <w:rPr>
                <w:noProof/>
                <w:webHidden/>
                <w:sz w:val="24"/>
                <w:szCs w:val="24"/>
              </w:rPr>
            </w:r>
            <w:r w:rsidRPr="00E208FD">
              <w:rPr>
                <w:noProof/>
                <w:webHidden/>
                <w:sz w:val="24"/>
                <w:szCs w:val="24"/>
              </w:rPr>
              <w:fldChar w:fldCharType="separate"/>
            </w:r>
            <w:r w:rsidRPr="00E208FD">
              <w:rPr>
                <w:noProof/>
                <w:webHidden/>
                <w:sz w:val="24"/>
                <w:szCs w:val="24"/>
              </w:rPr>
              <w:t>11</w:t>
            </w:r>
            <w:r w:rsidRPr="00E208FD">
              <w:rPr>
                <w:noProof/>
                <w:webHidden/>
                <w:sz w:val="24"/>
                <w:szCs w:val="24"/>
              </w:rPr>
              <w:fldChar w:fldCharType="end"/>
            </w:r>
          </w:hyperlink>
        </w:p>
        <w:p w14:paraId="008F35D0" w14:textId="022AAB86" w:rsidR="00F77CBE" w:rsidRPr="00E208FD" w:rsidRDefault="00F77CBE">
          <w:pPr>
            <w:pStyle w:val="TOC2"/>
            <w:tabs>
              <w:tab w:val="right" w:leader="dot" w:pos="9016"/>
            </w:tabs>
            <w:rPr>
              <w:noProof/>
              <w:sz w:val="24"/>
              <w:szCs w:val="24"/>
            </w:rPr>
          </w:pPr>
          <w:hyperlink w:anchor="_Toc236575854" w:history="1">
            <w:r w:rsidRPr="00E208FD">
              <w:rPr>
                <w:rStyle w:val="Hyperlink"/>
                <w:noProof/>
                <w:sz w:val="24"/>
                <w:szCs w:val="24"/>
              </w:rPr>
              <w:t>3.3 Research Materials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_Toc236575854 \h </w:instrText>
            </w:r>
            <w:r w:rsidRPr="00E208FD">
              <w:rPr>
                <w:noProof/>
                <w:webHidden/>
                <w:sz w:val="24"/>
                <w:szCs w:val="24"/>
              </w:rPr>
            </w:r>
            <w:r w:rsidRPr="00E208FD">
              <w:rPr>
                <w:noProof/>
                <w:webHidden/>
                <w:sz w:val="24"/>
                <w:szCs w:val="24"/>
              </w:rPr>
              <w:fldChar w:fldCharType="separate"/>
            </w:r>
            <w:r w:rsidRPr="00E208FD">
              <w:rPr>
                <w:noProof/>
                <w:webHidden/>
                <w:sz w:val="24"/>
                <w:szCs w:val="24"/>
              </w:rPr>
              <w:t>12</w:t>
            </w:r>
            <w:r w:rsidRPr="00E208FD">
              <w:rPr>
                <w:noProof/>
                <w:webHidden/>
                <w:sz w:val="24"/>
                <w:szCs w:val="24"/>
              </w:rPr>
              <w:fldChar w:fldCharType="end"/>
            </w:r>
          </w:hyperlink>
        </w:p>
        <w:p w14:paraId="1110279C" w14:textId="1C0BDF7A" w:rsidR="00F77CBE" w:rsidRPr="00E208FD" w:rsidRDefault="00F77CBE">
          <w:pPr>
            <w:pStyle w:val="TOC1"/>
            <w:tabs>
              <w:tab w:val="right" w:leader="dot" w:pos="9016"/>
            </w:tabs>
            <w:rPr>
              <w:noProof/>
              <w:sz w:val="24"/>
              <w:szCs w:val="24"/>
            </w:rPr>
          </w:pPr>
          <w:hyperlink w:anchor="_Toc236575855" w:history="1">
            <w:r w:rsidRPr="00E208FD">
              <w:rPr>
                <w:rStyle w:val="Hyperlink"/>
                <w:noProof/>
                <w:sz w:val="24"/>
                <w:szCs w:val="24"/>
              </w:rPr>
              <w:t>Section 4: Expected Outcome</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_Toc236575855 \h </w:instrText>
            </w:r>
            <w:r w:rsidRPr="00E208FD">
              <w:rPr>
                <w:noProof/>
                <w:webHidden/>
                <w:sz w:val="24"/>
                <w:szCs w:val="24"/>
              </w:rPr>
            </w:r>
            <w:r w:rsidRPr="00E208FD">
              <w:rPr>
                <w:noProof/>
                <w:webHidden/>
                <w:sz w:val="24"/>
                <w:szCs w:val="24"/>
              </w:rPr>
              <w:fldChar w:fldCharType="separate"/>
            </w:r>
            <w:r w:rsidRPr="00E208FD">
              <w:rPr>
                <w:noProof/>
                <w:webHidden/>
                <w:sz w:val="24"/>
                <w:szCs w:val="24"/>
              </w:rPr>
              <w:t>12</w:t>
            </w:r>
            <w:r w:rsidRPr="00E208FD">
              <w:rPr>
                <w:noProof/>
                <w:webHidden/>
                <w:sz w:val="24"/>
                <w:szCs w:val="24"/>
              </w:rPr>
              <w:fldChar w:fldCharType="end"/>
            </w:r>
          </w:hyperlink>
        </w:p>
        <w:p w14:paraId="33CC443F" w14:textId="396720FD" w:rsidR="00F77CBE" w:rsidRPr="00E208FD" w:rsidRDefault="00F77CBE">
          <w:pPr>
            <w:pStyle w:val="TOC1"/>
            <w:tabs>
              <w:tab w:val="right" w:leader="dot" w:pos="9016"/>
            </w:tabs>
            <w:rPr>
              <w:noProof/>
              <w:sz w:val="24"/>
              <w:szCs w:val="24"/>
            </w:rPr>
          </w:pPr>
          <w:hyperlink w:anchor="_Toc236575856" w:history="1">
            <w:r w:rsidRPr="00E208FD">
              <w:rPr>
                <w:rStyle w:val="Hyperlink"/>
                <w:noProof/>
                <w:sz w:val="24"/>
                <w:szCs w:val="24"/>
              </w:rPr>
              <w:t>Section 5: Timeline</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_Toc236575856 \h </w:instrText>
            </w:r>
            <w:r w:rsidRPr="00E208FD">
              <w:rPr>
                <w:noProof/>
                <w:webHidden/>
                <w:sz w:val="24"/>
                <w:szCs w:val="24"/>
              </w:rPr>
            </w:r>
            <w:r w:rsidRPr="00E208FD">
              <w:rPr>
                <w:noProof/>
                <w:webHidden/>
                <w:sz w:val="24"/>
                <w:szCs w:val="24"/>
              </w:rPr>
              <w:fldChar w:fldCharType="separate"/>
            </w:r>
            <w:r w:rsidRPr="00E208FD">
              <w:rPr>
                <w:noProof/>
                <w:webHidden/>
                <w:sz w:val="24"/>
                <w:szCs w:val="24"/>
              </w:rPr>
              <w:t>13</w:t>
            </w:r>
            <w:r w:rsidRPr="00E208FD">
              <w:rPr>
                <w:noProof/>
                <w:webHidden/>
                <w:sz w:val="24"/>
                <w:szCs w:val="24"/>
              </w:rPr>
              <w:fldChar w:fldCharType="end"/>
            </w:r>
          </w:hyperlink>
        </w:p>
        <w:p w14:paraId="3E62E92F" w14:textId="1852E360" w:rsidR="00F77CBE" w:rsidRPr="00E208FD" w:rsidRDefault="00F77CBE">
          <w:pPr>
            <w:pStyle w:val="TOC1"/>
            <w:tabs>
              <w:tab w:val="right" w:leader="dot" w:pos="9016"/>
            </w:tabs>
            <w:rPr>
              <w:noProof/>
              <w:sz w:val="24"/>
              <w:szCs w:val="24"/>
            </w:rPr>
          </w:pPr>
          <w:hyperlink w:anchor="_Toc236575857" w:history="1">
            <w:r w:rsidRPr="00E208FD">
              <w:rPr>
                <w:rStyle w:val="Hyperlink"/>
                <w:noProof/>
                <w:sz w:val="24"/>
                <w:szCs w:val="24"/>
              </w:rPr>
              <w:t>Section 6: Overall Presentation of the Proposal</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_Toc236575857 \h </w:instrText>
            </w:r>
            <w:r w:rsidRPr="00E208FD">
              <w:rPr>
                <w:noProof/>
                <w:webHidden/>
                <w:sz w:val="24"/>
                <w:szCs w:val="24"/>
              </w:rPr>
            </w:r>
            <w:r w:rsidRPr="00E208FD">
              <w:rPr>
                <w:noProof/>
                <w:webHidden/>
                <w:sz w:val="24"/>
                <w:szCs w:val="24"/>
              </w:rPr>
              <w:fldChar w:fldCharType="separate"/>
            </w:r>
            <w:r w:rsidRPr="00E208FD">
              <w:rPr>
                <w:noProof/>
                <w:webHidden/>
                <w:sz w:val="24"/>
                <w:szCs w:val="24"/>
              </w:rPr>
              <w:t>14</w:t>
            </w:r>
            <w:r w:rsidRPr="00E208FD">
              <w:rPr>
                <w:noProof/>
                <w:webHidden/>
                <w:sz w:val="24"/>
                <w:szCs w:val="24"/>
              </w:rPr>
              <w:fldChar w:fldCharType="end"/>
            </w:r>
          </w:hyperlink>
        </w:p>
        <w:p w14:paraId="73988C6C" w14:textId="231F6D81" w:rsidR="00F77CBE" w:rsidRPr="00E208FD" w:rsidRDefault="00F77CBE">
          <w:pPr>
            <w:pStyle w:val="TOC1"/>
            <w:tabs>
              <w:tab w:val="right" w:leader="dot" w:pos="9016"/>
            </w:tabs>
            <w:rPr>
              <w:noProof/>
              <w:sz w:val="24"/>
              <w:szCs w:val="24"/>
            </w:rPr>
          </w:pPr>
          <w:hyperlink w:anchor="_Toc236575858" w:history="1">
            <w:r w:rsidRPr="00E208FD">
              <w:rPr>
                <w:rStyle w:val="Hyperlink"/>
                <w:noProof/>
                <w:sz w:val="24"/>
                <w:szCs w:val="24"/>
              </w:rPr>
              <w:t>Section 7: References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_Toc236575858 \h </w:instrText>
            </w:r>
            <w:r w:rsidRPr="00E208FD">
              <w:rPr>
                <w:noProof/>
                <w:webHidden/>
                <w:sz w:val="24"/>
                <w:szCs w:val="24"/>
              </w:rPr>
            </w:r>
            <w:r w:rsidRPr="00E208FD">
              <w:rPr>
                <w:noProof/>
                <w:webHidden/>
                <w:sz w:val="24"/>
                <w:szCs w:val="24"/>
              </w:rPr>
              <w:fldChar w:fldCharType="separate"/>
            </w:r>
            <w:r w:rsidRPr="00E208FD">
              <w:rPr>
                <w:noProof/>
                <w:webHidden/>
                <w:sz w:val="24"/>
                <w:szCs w:val="24"/>
              </w:rPr>
              <w:t>14</w:t>
            </w:r>
            <w:r w:rsidRPr="00E208FD">
              <w:rPr>
                <w:noProof/>
                <w:webHidden/>
                <w:sz w:val="24"/>
                <w:szCs w:val="24"/>
              </w:rPr>
              <w:fldChar w:fldCharType="end"/>
            </w:r>
          </w:hyperlink>
        </w:p>
        <w:p w14:paraId="1AD149DB" w14:textId="07B8B4AD" w:rsidR="00F77CBE" w:rsidRPr="00E208FD" w:rsidRDefault="00F77CBE">
          <w:r w:rsidRPr="00E208FD">
            <w:rPr>
              <w:noProof/>
            </w:rPr>
            <w:fldChar w:fldCharType="end"/>
          </w:r>
        </w:p>
      </w:sdtContent>
    </w:sdt>
    <w:p w14:paraId="4D33FAB2" w14:textId="77777777" w:rsidR="00F77CBE" w:rsidRDefault="00F77CBE"/>
    <w:p w14:paraId="5B1A0F04" w14:textId="77777777" w:rsidR="00F77CBE" w:rsidRDefault="00F77CBE"/>
    <w:p w14:paraId="64255673" w14:textId="77777777" w:rsidR="00F77CBE" w:rsidRDefault="00F77CBE"/>
    <w:p w14:paraId="4B8AFD34" w14:textId="77777777" w:rsidR="00F77CBE" w:rsidRDefault="00F77CBE"/>
    <w:p w14:paraId="32294DC3" w14:textId="77777777" w:rsidR="00F77CBE" w:rsidRDefault="00F77CBE"/>
    <w:p w14:paraId="0939FCB8" w14:textId="77777777" w:rsidR="00F77CBE" w:rsidRDefault="00F77CBE"/>
    <w:p w14:paraId="027DFED0" w14:textId="77777777" w:rsidR="00F77CBE" w:rsidRDefault="00F77CBE"/>
    <w:p w14:paraId="78C9FF75" w14:textId="77777777" w:rsidR="00F77CBE" w:rsidRDefault="00F77CBE"/>
    <w:p w14:paraId="379621B4" w14:textId="77777777" w:rsidR="00F77CBE" w:rsidRDefault="00F77CBE"/>
    <w:p w14:paraId="7C1C391A" w14:textId="77777777" w:rsidR="00F77CBE" w:rsidRDefault="00F77CBE"/>
    <w:p w14:paraId="417364D4" w14:textId="77777777" w:rsidR="00F77CBE" w:rsidRDefault="00F77CBE"/>
    <w:p w14:paraId="49337984" w14:textId="77777777" w:rsidR="00F77CBE" w:rsidRDefault="00F77CBE"/>
    <w:p w14:paraId="0FC7659F" w14:textId="77777777" w:rsidR="00F77CBE" w:rsidRDefault="00F77CBE"/>
    <w:p w14:paraId="5830C612" w14:textId="77777777" w:rsidR="00F77CBE" w:rsidRDefault="00F77CBE"/>
    <w:p w14:paraId="3C2788B3" w14:textId="77777777" w:rsidR="00F77CBE" w:rsidRDefault="00F77CBE"/>
    <w:p w14:paraId="3E0D2045" w14:textId="77777777" w:rsidR="00F77CBE" w:rsidRDefault="00F77CBE"/>
    <w:p w14:paraId="2C42AA9C" w14:textId="77777777" w:rsidR="00F77CBE" w:rsidRDefault="00F77CBE"/>
    <w:p w14:paraId="24EA48D5" w14:textId="77777777" w:rsidR="00F77CBE" w:rsidRDefault="00F77CBE"/>
    <w:p w14:paraId="4A555327" w14:textId="77777777" w:rsidR="00F77CBE" w:rsidRDefault="00F77CBE"/>
    <w:p w14:paraId="01FB9736" w14:textId="77777777" w:rsidR="00F77CBE" w:rsidRDefault="00F77CBE"/>
    <w:p w14:paraId="7B4C54D7" w14:textId="77777777" w:rsidR="00F77CBE" w:rsidRDefault="00F77CBE"/>
    <w:p w14:paraId="070CC5C3" w14:textId="77777777" w:rsidR="00F77CBE" w:rsidRDefault="00F77CBE"/>
    <w:p w14:paraId="22F6080F" w14:textId="77777777" w:rsidR="00F77CBE" w:rsidRDefault="00F77CBE"/>
    <w:p w14:paraId="381CD692" w14:textId="77777777" w:rsidR="00F77CBE" w:rsidRDefault="00F77CBE"/>
    <w:p w14:paraId="1F525533" w14:textId="77777777" w:rsidR="00F77CBE" w:rsidRDefault="00F77CBE"/>
    <w:p w14:paraId="346C2B0B" w14:textId="77777777" w:rsidR="00E208FD" w:rsidRDefault="00E208FD"/>
    <w:p w14:paraId="659F94FE" w14:textId="77777777" w:rsidR="00F77CBE" w:rsidRPr="00F71B58" w:rsidRDefault="00F77CBE"/>
    <w:p w14:paraId="162A5426" w14:textId="77777777" w:rsidR="00D05C77" w:rsidRPr="00F71B58" w:rsidRDefault="00C90EF7">
      <w:pPr>
        <w:pStyle w:val="Heading1"/>
        <w:spacing w:before="320" w:after="160"/>
      </w:pPr>
      <w:bookmarkStart w:id="0" w:name="_Toc236575843"/>
      <w:r w:rsidRPr="00F71B58">
        <w:rPr>
          <w:b/>
          <w:bCs/>
        </w:rPr>
        <w:lastRenderedPageBreak/>
        <w:t>Section 1: Introduction</w:t>
      </w:r>
      <w:bookmarkEnd w:id="0"/>
    </w:p>
    <w:p w14:paraId="70EAEC93" w14:textId="77777777" w:rsidR="00D05C77" w:rsidRPr="00F71B58" w:rsidRDefault="00C90EF7">
      <w:pPr>
        <w:pStyle w:val="Heading2"/>
        <w:spacing w:before="320" w:after="160"/>
        <w:rPr>
          <w:sz w:val="28"/>
          <w:szCs w:val="28"/>
        </w:rPr>
      </w:pPr>
      <w:bookmarkStart w:id="1" w:name="_Toc236575844"/>
      <w:r w:rsidRPr="00F71B58">
        <w:rPr>
          <w:b/>
          <w:bCs/>
          <w:sz w:val="28"/>
          <w:szCs w:val="28"/>
        </w:rPr>
        <w:t>1.1 Context and Background</w:t>
      </w:r>
      <w:bookmarkEnd w:id="1"/>
    </w:p>
    <w:p w14:paraId="278956D8" w14:textId="75E061F2" w:rsidR="00D05C77" w:rsidRPr="00F71B58" w:rsidRDefault="00153079">
      <w:pPr>
        <w:spacing w:after="200" w:line="276" w:lineRule="auto"/>
        <w:jc w:val="both"/>
        <w:rPr>
          <w:sz w:val="24"/>
          <w:szCs w:val="24"/>
        </w:rPr>
      </w:pPr>
      <w:r w:rsidRPr="00F71B58">
        <w:rPr>
          <w:sz w:val="24"/>
          <w:szCs w:val="24"/>
        </w:rPr>
        <w:t xml:space="preserve">Digital forensics is a field of cyber security that focuses on the identification, preservation, analysis and presentation of digital evidence in a scientifically defensible, legally acceptable way. It is relevant today because organisations, courts and regulators are increasingly relying on electronic evidence to determine the details of the security incident, data breach or dispute; and the trustworthiness of the evidence chain supports incident response and accountability. There are three recent changes that are changing this field. In 2024, the use of autonomous AI agents powered by large language models (LLMs), which can interact with enterprise systems, browse the web, write and execute code, and do so with minimal human supervision, has increased greatly, from research demonstrations to production tooling in software creation and business applications [3, 10]. Secondly, security researchers have discovered prompt injection to be a feasible and repeatable attack method against these agents, whereby malicious instructions contained in the content the agent processes lead it to act beyond its scope, without the adversary having to take steps to compromise the host where the agent runs or to write traditional malware [3]. Third, and specifically in digital forensics, a small number of rapidly emerging studies have started to consider not whether an LLM can help investigators, but whether an LLM-based agent can be treated as a part of the incident being investigated [1], [10]. There is real industry concern behind these developments and AI agent security incidents continue to appear in the news without a consensus on how to create evidence to support the investigation of such incidents: at this time, organisations with agents that have actual access to systems have little confidence that a subsequent investigation of an agentic incident will be able to distinguish between an attacker-manipulated action and a natural model error [3]. This is not an imagined threat class, it is a reality of granting autonomous, natural-language controlled systems the same status as an administrator, or developer. This research further constrains this larger field to a specific point: How to reconstruct the path of actions and decisions that an AI agent took in a security incident, especially in the context of prompt injection. The funnel progresses </w:t>
      </w:r>
      <w:proofErr w:type="gramStart"/>
      <w:r w:rsidRPr="00F71B58">
        <w:rPr>
          <w:sz w:val="24"/>
          <w:szCs w:val="24"/>
        </w:rPr>
        <w:t>from a general level of digital forensics,</w:t>
      </w:r>
      <w:proofErr w:type="gramEnd"/>
      <w:r w:rsidRPr="00F71B58">
        <w:rPr>
          <w:sz w:val="24"/>
          <w:szCs w:val="24"/>
        </w:rPr>
        <w:t xml:space="preserve"> to an emerging sub-field called AI/LLM forensics, and then to the specific yet un-resolved issue of agent-action reconstruction, which this proposal tackles. This narrowing is also driven by the change in software development and deployment model. Traditional incident response assumes a human or a deterministic script started an action and forensic tools ranging from disk imaging tools to SIEM-based log correlation were built on that premise. Agentic AI takes away the certainty of an action being by one clear source: one request from a human could lead to a series of sub-decisions that are generated autonomously by the model, some of which might never be brought to the attention of a human reviewer, unless the platform is designed to collect them. This is not only a problem of scaling of the tools already in use, but a distinction in the nature of the term “the actor” in the context of AI agent forensics and its use in the forensics context, which is the one that makes it possible to consider AI agent forensics as a new research problem instead of an extension of current practice.</w:t>
      </w:r>
    </w:p>
    <w:p w14:paraId="1F031A27" w14:textId="77777777" w:rsidR="00A155C3" w:rsidRPr="00F71B58" w:rsidRDefault="00A155C3">
      <w:pPr>
        <w:spacing w:after="200" w:line="276" w:lineRule="auto"/>
        <w:jc w:val="both"/>
        <w:rPr>
          <w:sz w:val="24"/>
          <w:szCs w:val="24"/>
        </w:rPr>
      </w:pPr>
    </w:p>
    <w:p w14:paraId="3D4A7BEA" w14:textId="6D80858A" w:rsidR="00A155C3" w:rsidRPr="00F71B58" w:rsidRDefault="00A155C3">
      <w:pPr>
        <w:spacing w:after="200" w:line="276" w:lineRule="auto"/>
        <w:jc w:val="both"/>
        <w:rPr>
          <w:sz w:val="24"/>
          <w:szCs w:val="24"/>
        </w:rPr>
      </w:pPr>
      <w:r w:rsidRPr="00F71B58">
        <w:rPr>
          <w:noProof/>
        </w:rPr>
        <w:lastRenderedPageBreak/>
        <w:drawing>
          <wp:inline distT="0" distB="0" distL="0" distR="0" wp14:anchorId="768FEE8C" wp14:editId="62E9D4D3">
            <wp:extent cx="4754468" cy="2202180"/>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funnel.png"/>
                    <pic:cNvPicPr/>
                  </pic:nvPicPr>
                  <pic:blipFill>
                    <a:blip r:embed="rId9"/>
                    <a:stretch>
                      <a:fillRect/>
                    </a:stretch>
                  </pic:blipFill>
                  <pic:spPr>
                    <a:xfrm>
                      <a:off x="0" y="0"/>
                      <a:ext cx="4758002" cy="2203817"/>
                    </a:xfrm>
                    <a:prstGeom prst="rect">
                      <a:avLst/>
                    </a:prstGeom>
                  </pic:spPr>
                </pic:pic>
              </a:graphicData>
            </a:graphic>
          </wp:inline>
        </w:drawing>
      </w:r>
    </w:p>
    <w:p w14:paraId="7BB1072C" w14:textId="0CE72BF5" w:rsidR="00A155C3" w:rsidRPr="00F77CBE" w:rsidRDefault="00A155C3">
      <w:pPr>
        <w:spacing w:after="200" w:line="276" w:lineRule="auto"/>
        <w:jc w:val="both"/>
        <w:rPr>
          <w:rStyle w:val="IntenseEmphasis"/>
        </w:rPr>
      </w:pPr>
      <w:r w:rsidRPr="00F71B58">
        <w:rPr>
          <w:sz w:val="21"/>
        </w:rPr>
        <w:t xml:space="preserve">                        </w:t>
      </w:r>
      <w:r w:rsidRPr="00F77CBE">
        <w:rPr>
          <w:rStyle w:val="IntenseEmphasis"/>
        </w:rPr>
        <w:t>Fig. 1. Research funnel from digital forensics to agent-action reconstruction</w:t>
      </w:r>
    </w:p>
    <w:p w14:paraId="42A6BDA8" w14:textId="11C6A156" w:rsidR="00A155C3" w:rsidRPr="00F71B58" w:rsidRDefault="00C90EF7">
      <w:pPr>
        <w:pStyle w:val="Heading2"/>
        <w:spacing w:before="320" w:after="160"/>
        <w:rPr>
          <w:b/>
          <w:bCs/>
          <w:sz w:val="24"/>
          <w:szCs w:val="24"/>
        </w:rPr>
      </w:pPr>
      <w:bookmarkStart w:id="2" w:name="_Toc236575845"/>
      <w:r w:rsidRPr="00F71B58">
        <w:rPr>
          <w:b/>
          <w:bCs/>
          <w:sz w:val="24"/>
          <w:szCs w:val="24"/>
        </w:rPr>
        <w:t>1.2 Research Problem</w:t>
      </w:r>
      <w:bookmarkEnd w:id="2"/>
    </w:p>
    <w:p w14:paraId="5BC91628" w14:textId="1838BF15" w:rsidR="00D05C77" w:rsidRPr="00F71B58" w:rsidRDefault="00C90EF7">
      <w:pPr>
        <w:spacing w:after="200" w:line="276" w:lineRule="auto"/>
        <w:jc w:val="both"/>
      </w:pPr>
      <w:r w:rsidRPr="00F71B58">
        <w:rPr>
          <w:b/>
          <w:bCs/>
          <w:sz w:val="24"/>
          <w:szCs w:val="24"/>
        </w:rPr>
        <w:t>Problem statement</w:t>
      </w:r>
      <w:r w:rsidRPr="00F71B58">
        <w:rPr>
          <w:sz w:val="24"/>
          <w:szCs w:val="24"/>
        </w:rPr>
        <w:t xml:space="preserve">: </w:t>
      </w:r>
      <w:r w:rsidR="0090387C" w:rsidRPr="00F71B58">
        <w:rPr>
          <w:sz w:val="24"/>
          <w:szCs w:val="24"/>
        </w:rPr>
        <w:t xml:space="preserve">There is no prevalent and commonly used artifact taxonomy or investigative framework in place to attribute an AI agent action responsible for a security incident to a manipulated prompt, memory entry, flawed tool integration, or a benign model error. This gap can be seen in the following </w:t>
      </w:r>
      <w:proofErr w:type="spellStart"/>
      <w:proofErr w:type="gramStart"/>
      <w:r w:rsidR="0090387C" w:rsidRPr="00F71B58">
        <w:rPr>
          <w:sz w:val="24"/>
          <w:szCs w:val="24"/>
        </w:rPr>
        <w:t>ways:This</w:t>
      </w:r>
      <w:proofErr w:type="spellEnd"/>
      <w:proofErr w:type="gramEnd"/>
      <w:r w:rsidR="0090387C" w:rsidRPr="00F71B58">
        <w:rPr>
          <w:sz w:val="24"/>
          <w:szCs w:val="24"/>
        </w:rPr>
        <w:t xml:space="preserve"> gap can be illustrated by the following. Most existing LLM-assisted forensic tooling is designed to leverage LLMs to assist in investigating traditional information, like network traffic, or file systems, rather than to use the LLM as the source of the information [2, 4, 9]. The study of agents as forensic subjects, if it has been done, has focused on real case studies for a single platform or framework, such as forensic artifact recovery from a single multi-agent framework [10] and there is no general taxonomy that can be readily transferred to other platforms. Most importantly, no one has yet suggested a mechanism to tag an injected instruction as part of a specific context window in a shared context window [3] was found to be the major challenge for detecting injected instruction after the fact. If left unanswered the technical, organisational, and legal implications </w:t>
      </w:r>
      <w:proofErr w:type="gramStart"/>
      <w:r w:rsidR="0090387C" w:rsidRPr="00F71B58">
        <w:rPr>
          <w:sz w:val="24"/>
          <w:szCs w:val="24"/>
        </w:rPr>
        <w:t>are:</w:t>
      </w:r>
      <w:proofErr w:type="gramEnd"/>
      <w:r w:rsidR="0090387C" w:rsidRPr="00F71B58">
        <w:rPr>
          <w:sz w:val="24"/>
          <w:szCs w:val="24"/>
        </w:rPr>
        <w:t xml:space="preserve"> the incident responder will not be able to present a defensible explanation that justifies the actions of the agent; the organization will have a difficult time proving accountability for automated decisions, as required by frameworks like the EU AI Act; and any evidence produced may be successfully contested in court proceedings due to a lack of a chain of custody. Previous studies have addressed parts of this problem, for example, by conducting a benchmarking study of the LLM as an investigator in controlled settings [1], [6], but this previous benchmarking study focused on the LLM as an investigator, rather than on the underlying evidentiary model that the LLM needs to investigate in order to investigate the agent itself, which is the gap this proposal fills. There's also an understated second-order effect that can be overlooked: with no standard evidentiary model, each individual organisation is creating an ad hoc system for logs to be recorded on agent deployments, so even if logs are taken, they're not the same across all platforms or vendors. With this fragmentation, it becomes challenging for incident-response teams, auditors or regulators to develop reusable expertise or tooling; a method used for one agent framework may not be useful for another. The creation of such a shared taxonomy therefore is not just a piece of convenient engineering but a necessary step </w:t>
      </w:r>
      <w:r w:rsidR="0090387C" w:rsidRPr="00F71B58">
        <w:rPr>
          <w:sz w:val="24"/>
          <w:szCs w:val="24"/>
        </w:rPr>
        <w:lastRenderedPageBreak/>
        <w:t>towards the development of the field beyond the isolated case study, platform-specific approaches.</w:t>
      </w:r>
    </w:p>
    <w:p w14:paraId="4C63DB77" w14:textId="77777777" w:rsidR="00D05C77" w:rsidRPr="00F71B58" w:rsidRDefault="00C90EF7">
      <w:pPr>
        <w:pStyle w:val="Heading2"/>
        <w:spacing w:before="320" w:after="160"/>
      </w:pPr>
      <w:bookmarkStart w:id="3" w:name="_Toc236575846"/>
      <w:r w:rsidRPr="00F71B58">
        <w:rPr>
          <w:b/>
          <w:bCs/>
          <w:sz w:val="24"/>
          <w:szCs w:val="24"/>
        </w:rPr>
        <w:t>1.3 Research Aim and Objectives</w:t>
      </w:r>
      <w:bookmarkEnd w:id="3"/>
    </w:p>
    <w:p w14:paraId="14E263FA" w14:textId="53C85238" w:rsidR="0090387C" w:rsidRPr="00F71B58" w:rsidRDefault="0090387C" w:rsidP="0090387C">
      <w:pPr>
        <w:spacing w:after="200" w:line="276" w:lineRule="auto"/>
        <w:jc w:val="both"/>
        <w:rPr>
          <w:sz w:val="24"/>
          <w:szCs w:val="24"/>
        </w:rPr>
      </w:pPr>
      <w:r w:rsidRPr="00F71B58">
        <w:rPr>
          <w:sz w:val="24"/>
          <w:szCs w:val="24"/>
        </w:rPr>
        <w:t>The objective of this research is to create and test an AI agent forensic investigation framework that can reconstruct the security incident and the decision-making of autonomous AI agents or (LLM-based) systems.</w:t>
      </w:r>
    </w:p>
    <w:p w14:paraId="4C222CAF" w14:textId="77777777" w:rsidR="0090387C" w:rsidRPr="00F71B58" w:rsidRDefault="0090387C" w:rsidP="0090387C">
      <w:pPr>
        <w:spacing w:after="200" w:line="276" w:lineRule="auto"/>
        <w:jc w:val="both"/>
        <w:rPr>
          <w:sz w:val="24"/>
          <w:szCs w:val="24"/>
        </w:rPr>
      </w:pPr>
      <w:r w:rsidRPr="00F71B58">
        <w:rPr>
          <w:sz w:val="24"/>
          <w:szCs w:val="24"/>
        </w:rPr>
        <w:t>This goal is divided into four SMART goals:</w:t>
      </w:r>
    </w:p>
    <w:p w14:paraId="43F2030B" w14:textId="4059E863" w:rsidR="00D05C77" w:rsidRPr="00F71B58" w:rsidRDefault="0090387C" w:rsidP="0090387C">
      <w:pPr>
        <w:spacing w:after="200" w:line="276" w:lineRule="auto"/>
        <w:jc w:val="both"/>
        <w:rPr>
          <w:sz w:val="24"/>
          <w:szCs w:val="24"/>
        </w:rPr>
      </w:pPr>
      <w:r w:rsidRPr="00F71B58">
        <w:rPr>
          <w:sz w:val="24"/>
          <w:szCs w:val="24"/>
        </w:rPr>
        <w:t xml:space="preserve">Design an artifact taxonomy for the evidentiary data types that are produced by AI agent and LLM-based systems, which includes: prompt provenance, session/reasoning trace, memory state, tool-call attribution, and multi-agent causal chain. Specific: specifies precisely what type of evidence will be included in the framework. Measurable: success is a </w:t>
      </w:r>
      <w:proofErr w:type="gramStart"/>
      <w:r w:rsidRPr="00F71B58">
        <w:rPr>
          <w:sz w:val="24"/>
          <w:szCs w:val="24"/>
        </w:rPr>
        <w:t>five category</w:t>
      </w:r>
      <w:proofErr w:type="gramEnd"/>
      <w:r w:rsidRPr="00F71B58">
        <w:rPr>
          <w:sz w:val="24"/>
          <w:szCs w:val="24"/>
        </w:rPr>
        <w:t xml:space="preserve"> taxonomy that has measurable steps and is supported by literature review. Achievable: A structured literature review has been completed and scoped in Section 2, so there is no special expertise required to achieve. Relevant: gives a conceptual backdrop on which the rest of the objectives build. Time </w:t>
      </w:r>
      <w:proofErr w:type="gramStart"/>
      <w:r w:rsidRPr="00F71B58">
        <w:rPr>
          <w:sz w:val="24"/>
          <w:szCs w:val="24"/>
        </w:rPr>
        <w:t>bound:</w:t>
      </w:r>
      <w:proofErr w:type="gramEnd"/>
      <w:r w:rsidRPr="00F71B58">
        <w:rPr>
          <w:sz w:val="24"/>
          <w:szCs w:val="24"/>
        </w:rPr>
        <w:t xml:space="preserve"> finished during Week 4 of the project. To outline a </w:t>
      </w:r>
      <w:proofErr w:type="gramStart"/>
      <w:r w:rsidRPr="00F71B58">
        <w:rPr>
          <w:sz w:val="24"/>
          <w:szCs w:val="24"/>
        </w:rPr>
        <w:t>four phase</w:t>
      </w:r>
      <w:proofErr w:type="gramEnd"/>
      <w:r w:rsidRPr="00F71B58">
        <w:rPr>
          <w:sz w:val="24"/>
          <w:szCs w:val="24"/>
        </w:rPr>
        <w:t xml:space="preserve"> investigative approach to </w:t>
      </w:r>
      <w:proofErr w:type="gramStart"/>
      <w:r w:rsidRPr="00F71B58">
        <w:rPr>
          <w:sz w:val="24"/>
          <w:szCs w:val="24"/>
        </w:rPr>
        <w:t>an incident forensics</w:t>
      </w:r>
      <w:proofErr w:type="gramEnd"/>
      <w:r w:rsidRPr="00F71B58">
        <w:rPr>
          <w:sz w:val="24"/>
          <w:szCs w:val="24"/>
        </w:rPr>
        <w:t xml:space="preserve"> for AI agents (preservation, reconstruction, attribution, reporting) Specific: outlines the steps involved in a procedure that an investigator takes. Measurable: an explicit method that can be applied to an experiment. Achievable: developed with an </w:t>
      </w:r>
      <w:proofErr w:type="gramStart"/>
      <w:r w:rsidRPr="00F71B58">
        <w:rPr>
          <w:sz w:val="24"/>
          <w:szCs w:val="24"/>
        </w:rPr>
        <w:t>open source</w:t>
      </w:r>
      <w:proofErr w:type="gramEnd"/>
      <w:r w:rsidRPr="00F71B58">
        <w:rPr>
          <w:sz w:val="24"/>
          <w:szCs w:val="24"/>
        </w:rPr>
        <w:t xml:space="preserve"> multi agent platform, only a research workstation and API access needed. Relevant: takes the taxonomy from O1 and makes it operational in a usable approach. Time </w:t>
      </w:r>
      <w:proofErr w:type="gramStart"/>
      <w:r w:rsidRPr="00F71B58">
        <w:rPr>
          <w:sz w:val="24"/>
          <w:szCs w:val="24"/>
        </w:rPr>
        <w:t>bound:</w:t>
      </w:r>
      <w:proofErr w:type="gramEnd"/>
      <w:r w:rsidRPr="00F71B58">
        <w:rPr>
          <w:sz w:val="24"/>
          <w:szCs w:val="24"/>
        </w:rPr>
        <w:t xml:space="preserve"> should be finished by Week 7. To assess the framework in a simulated scenario of a prompt injection attack. Specific: </w:t>
      </w:r>
      <w:proofErr w:type="gramStart"/>
      <w:r w:rsidRPr="00F71B58">
        <w:rPr>
          <w:sz w:val="24"/>
          <w:szCs w:val="24"/>
        </w:rPr>
        <w:t>is able to</w:t>
      </w:r>
      <w:proofErr w:type="gramEnd"/>
      <w:r w:rsidRPr="00F71B58">
        <w:rPr>
          <w:sz w:val="24"/>
          <w:szCs w:val="24"/>
        </w:rPr>
        <w:t xml:space="preserve"> identify the source of a harmful acts/situation as it is perceived. Measurable: An attribute value in terms of an actual ground truth timeline, expressed with a clear confidence statement. Achievable: the sandbox situation is completely under the researcher's control. Relevant: directly examines the applicability of O1 and O2. Time-bound: must be done by Week 9. To develop design recommendations for AI agent platform developers and adopting organisations to be forensic ready. Specific: maps the results of the evaluations into specific logging and provenance needs. A documented recommendation that can be backed up with evidence and is cross-referenced to the gaps in evidence identified in O3. Achievable: from own evaluation data. Relevant: provides the implementation of the aim in practice. Time </w:t>
      </w:r>
      <w:proofErr w:type="gramStart"/>
      <w:r w:rsidRPr="00F71B58">
        <w:rPr>
          <w:sz w:val="24"/>
          <w:szCs w:val="24"/>
        </w:rPr>
        <w:t>bound:</w:t>
      </w:r>
      <w:proofErr w:type="gramEnd"/>
      <w:r w:rsidRPr="00F71B58">
        <w:rPr>
          <w:sz w:val="24"/>
          <w:szCs w:val="24"/>
        </w:rPr>
        <w:t xml:space="preserve"> accomplished by Week 11. There is no break between the problem, and the final deliverable, the objectives are logical in the sequence from the problem to the expected outcome, O1 says what evidence should be present, O2 says how to get the evidence and how to interpret it, O3 says whether or not that is the way it works in an actual setting, O4 says how to turn the results of evidence into something practical.</w:t>
      </w:r>
    </w:p>
    <w:p w14:paraId="4171EC81" w14:textId="021E3201" w:rsidR="00A155C3" w:rsidRPr="00F77CBE" w:rsidRDefault="00A155C3" w:rsidP="00A155C3">
      <w:pPr>
        <w:spacing w:after="280"/>
        <w:jc w:val="center"/>
        <w:rPr>
          <w:rStyle w:val="IntenseEmphasis"/>
        </w:rPr>
      </w:pPr>
      <w:r w:rsidRPr="00F71B58">
        <w:rPr>
          <w:noProof/>
        </w:rPr>
        <w:lastRenderedPageBreak/>
        <w:drawing>
          <wp:inline distT="0" distB="0" distL="0" distR="0" wp14:anchorId="4B4CF03D" wp14:editId="0F7E7A15">
            <wp:extent cx="5729881" cy="13030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logic_chain.png"/>
                    <pic:cNvPicPr/>
                  </pic:nvPicPr>
                  <pic:blipFill>
                    <a:blip r:embed="rId10"/>
                    <a:stretch>
                      <a:fillRect/>
                    </a:stretch>
                  </pic:blipFill>
                  <pic:spPr>
                    <a:xfrm>
                      <a:off x="0" y="0"/>
                      <a:ext cx="5736202" cy="1304458"/>
                    </a:xfrm>
                    <a:prstGeom prst="rect">
                      <a:avLst/>
                    </a:prstGeom>
                  </pic:spPr>
                </pic:pic>
              </a:graphicData>
            </a:graphic>
          </wp:inline>
        </w:drawing>
      </w:r>
      <w:r w:rsidRPr="00F71B58">
        <w:rPr>
          <w:sz w:val="21"/>
        </w:rPr>
        <w:t xml:space="preserve"> </w:t>
      </w:r>
      <w:r w:rsidRPr="00F77CBE">
        <w:rPr>
          <w:rStyle w:val="IntenseEmphasis"/>
        </w:rPr>
        <w:t>Fig. 2. Logical chain from research problem to expected outcome (O1-O4).</w:t>
      </w:r>
    </w:p>
    <w:p w14:paraId="366BA84B" w14:textId="77777777" w:rsidR="00D05C77" w:rsidRPr="00F71B58" w:rsidRDefault="00C90EF7">
      <w:pPr>
        <w:pStyle w:val="Heading2"/>
        <w:spacing w:before="320" w:after="160"/>
      </w:pPr>
      <w:bookmarkStart w:id="4" w:name="_Toc236575847"/>
      <w:r w:rsidRPr="00F71B58">
        <w:rPr>
          <w:b/>
          <w:bCs/>
          <w:sz w:val="24"/>
          <w:szCs w:val="24"/>
        </w:rPr>
        <w:t>1.4 Significance of the Research</w:t>
      </w:r>
      <w:bookmarkEnd w:id="4"/>
    </w:p>
    <w:p w14:paraId="5B242348" w14:textId="77777777" w:rsidR="00D05C77" w:rsidRPr="00F71B58" w:rsidRDefault="00C90EF7">
      <w:pPr>
        <w:spacing w:after="200" w:line="276" w:lineRule="auto"/>
        <w:jc w:val="both"/>
      </w:pPr>
      <w:r w:rsidRPr="00F71B58">
        <w:rPr>
          <w:sz w:val="24"/>
          <w:szCs w:val="24"/>
        </w:rPr>
        <w:t>This research benefits three groups. Incident response practitioners gain a concrete method for investigating agent-related incidents rather than relying on ad hoc log analysis. Platform developers gain a design-time checklist for building forensically sound logging into agent frameworks before incidents occur, addressing the design-time responsibility identified in industry commentary [3]. Academically, the research contributes an artifact taxonomy and evaluated framework to a literature that currently lacks one, extending rather than duplicating the benchmarking work already published on LLM investigative performance [1], [6]. Practical applications include incident-response playbooks, procurement criteria for evaluating third-party agent platforms, and a foundation for future standardisation efforts.</w:t>
      </w:r>
    </w:p>
    <w:p w14:paraId="146A596D" w14:textId="77777777" w:rsidR="00D05C77" w:rsidRPr="00F71B58" w:rsidRDefault="00C90EF7">
      <w:pPr>
        <w:pStyle w:val="Heading1"/>
        <w:spacing w:before="320" w:after="160"/>
      </w:pPr>
      <w:bookmarkStart w:id="5" w:name="_Toc236575848"/>
      <w:r w:rsidRPr="00F71B58">
        <w:rPr>
          <w:b/>
          <w:bCs/>
          <w:sz w:val="28"/>
          <w:szCs w:val="28"/>
        </w:rPr>
        <w:t>Section 2: Literature Review</w:t>
      </w:r>
      <w:bookmarkEnd w:id="5"/>
    </w:p>
    <w:p w14:paraId="4EF55D06" w14:textId="77777777" w:rsidR="00D05C77" w:rsidRPr="00F71B58" w:rsidRDefault="00C90EF7">
      <w:pPr>
        <w:spacing w:after="200" w:line="276" w:lineRule="auto"/>
        <w:jc w:val="both"/>
      </w:pPr>
      <w:r w:rsidRPr="00F71B58">
        <w:rPr>
          <w:sz w:val="24"/>
          <w:szCs w:val="24"/>
        </w:rPr>
        <w:t>This review is conducted as a systematic literature review (SLR) following the process established by Kitchenham for software engineering research, which specifies an explicit, repeatable search-and-selection protocol in place of an ad hoc reading list [11].</w:t>
      </w:r>
    </w:p>
    <w:p w14:paraId="35FE9263" w14:textId="77777777" w:rsidR="00D05C77" w:rsidRPr="00F71B58" w:rsidRDefault="00C90EF7">
      <w:pPr>
        <w:pStyle w:val="Heading2"/>
        <w:spacing w:before="320" w:after="160"/>
      </w:pPr>
      <w:bookmarkStart w:id="6" w:name="_Toc236575849"/>
      <w:r w:rsidRPr="00F71B58">
        <w:rPr>
          <w:b/>
          <w:bCs/>
          <w:sz w:val="24"/>
          <w:szCs w:val="24"/>
        </w:rPr>
        <w:t>Search Strategy</w:t>
      </w:r>
      <w:bookmarkEnd w:id="6"/>
    </w:p>
    <w:p w14:paraId="0693FA0D" w14:textId="0EED72DA" w:rsidR="00D05C77" w:rsidRPr="00F71B58" w:rsidRDefault="0090387C">
      <w:pPr>
        <w:spacing w:after="200" w:line="276" w:lineRule="auto"/>
        <w:jc w:val="both"/>
        <w:rPr>
          <w:sz w:val="24"/>
          <w:szCs w:val="24"/>
        </w:rPr>
      </w:pPr>
      <w:r w:rsidRPr="00F71B58">
        <w:rPr>
          <w:sz w:val="24"/>
          <w:szCs w:val="24"/>
        </w:rPr>
        <w:t xml:space="preserve">Sources were found using IEEE Xplore and ACM Digital Library and ScienceDirect, plus </w:t>
      </w:r>
      <w:proofErr w:type="spellStart"/>
      <w:r w:rsidRPr="00F71B58">
        <w:rPr>
          <w:sz w:val="24"/>
          <w:szCs w:val="24"/>
        </w:rPr>
        <w:t>arXiv</w:t>
      </w:r>
      <w:proofErr w:type="spellEnd"/>
      <w:r w:rsidRPr="00F71B58">
        <w:rPr>
          <w:sz w:val="24"/>
          <w:szCs w:val="24"/>
        </w:rPr>
        <w:t xml:space="preserve"> for pre-print material, and vendor security-research security blogs and NIST for targeted searching for sources that had peer-reviewed </w:t>
      </w:r>
      <w:proofErr w:type="gramStart"/>
      <w:r w:rsidRPr="00F71B58">
        <w:rPr>
          <w:sz w:val="24"/>
          <w:szCs w:val="24"/>
        </w:rPr>
        <w:t>coverage, but</w:t>
      </w:r>
      <w:proofErr w:type="gramEnd"/>
      <w:r w:rsidRPr="00F71B58">
        <w:rPr>
          <w:sz w:val="24"/>
          <w:szCs w:val="24"/>
        </w:rPr>
        <w:t xml:space="preserve"> were not yet available. Boolean combinations of search strings that contained agent/LLM terms and forensic and security terms, such as (“large language model” OR “LLM agent” OR “AI agent”) AND (“digital forensics” OR “incident response” OR “forensic investigation”), and a second search string that replaced the forensic and security terms with “prompt injection” to capture the literature specifically around the attack-vector. The search was limited to the years 2021-2026, as LLM agents were not found in previous literature, </w:t>
      </w:r>
      <w:proofErr w:type="gramStart"/>
      <w:r w:rsidRPr="00F71B58">
        <w:rPr>
          <w:sz w:val="24"/>
          <w:szCs w:val="24"/>
        </w:rPr>
        <w:t>with the exception of</w:t>
      </w:r>
      <w:proofErr w:type="gramEnd"/>
      <w:r w:rsidRPr="00F71B58">
        <w:rPr>
          <w:sz w:val="24"/>
          <w:szCs w:val="24"/>
        </w:rPr>
        <w:t xml:space="preserve"> process models for the use of digital forensics previously published by NIST (SP 800-61) and the NGDFIM. The following criteria were applied to include articles: They were peer-reviewed or credible pre-print articles published in the English language, and they had a direct relevance to LLM/agent forensics, LLM-assisted investigation, or agentic security incidents. The following articles were excluded from the study: articles where LLM was mentioned only as a productivity or content generation tool without security or forensic element; and non-technical opinion pieces that did not contribute to the methodological or evidential aspects. Around 60 candidate records were found in the databases searched in the first search. Following de-duplication and title/abstract </w:t>
      </w:r>
      <w:r w:rsidRPr="00F71B58">
        <w:rPr>
          <w:sz w:val="24"/>
          <w:szCs w:val="24"/>
        </w:rPr>
        <w:lastRenderedPageBreak/>
        <w:t xml:space="preserve">screening of sources, 24 were advanced to full-text review, with 10 advancing to the criteria that are summarised below and two sources that </w:t>
      </w:r>
      <w:proofErr w:type="gramStart"/>
      <w:r w:rsidRPr="00F71B58">
        <w:rPr>
          <w:sz w:val="24"/>
          <w:szCs w:val="24"/>
        </w:rPr>
        <w:t>were considered to be</w:t>
      </w:r>
      <w:proofErr w:type="gramEnd"/>
      <w:r w:rsidRPr="00F71B58">
        <w:rPr>
          <w:sz w:val="24"/>
          <w:szCs w:val="24"/>
        </w:rPr>
        <w:t xml:space="preserve"> foundational forensic process/standards sources (identified as exceptions) being retained. This is an estimate from the proposal stage and will be elaborated and fully documented – ideally using a simple numbers in/numbers out document – as the review is completed as part of the dissertation.</w:t>
      </w:r>
    </w:p>
    <w:p w14:paraId="75EC6EE8" w14:textId="77777777" w:rsidR="00D05C77" w:rsidRPr="00F71B58" w:rsidRDefault="00C90EF7">
      <w:pPr>
        <w:pStyle w:val="Heading2"/>
        <w:spacing w:before="320" w:after="160"/>
      </w:pPr>
      <w:bookmarkStart w:id="7" w:name="_Toc236575850"/>
      <w:r w:rsidRPr="00F71B58">
        <w:rPr>
          <w:b/>
          <w:bCs/>
          <w:sz w:val="24"/>
          <w:szCs w:val="24"/>
        </w:rPr>
        <w:t>Synthesis</w:t>
      </w:r>
      <w:bookmarkEnd w:id="7"/>
    </w:p>
    <w:p w14:paraId="330FD020" w14:textId="77777777" w:rsidR="00A155C3" w:rsidRPr="00F71B58" w:rsidRDefault="0090387C">
      <w:pPr>
        <w:spacing w:after="200" w:line="276" w:lineRule="auto"/>
        <w:jc w:val="both"/>
        <w:rPr>
          <w:sz w:val="24"/>
          <w:szCs w:val="24"/>
        </w:rPr>
      </w:pPr>
      <w:r w:rsidRPr="00F71B58">
        <w:rPr>
          <w:sz w:val="24"/>
          <w:szCs w:val="24"/>
        </w:rPr>
        <w:t xml:space="preserve">The aim of this review is to give insight into the current knowledge of forensically investigating LLM-based agents and to pinpoint exactly where the central research problem of the literature remains unresolved. The review is thematic, and not chronological, because the literature is limited to the past 2-3 years and the thematic organisation is more useful in revealing the unique research questions each strand is addressing. Four themes emerge. The most well-developed of these, LLM as Forensic Assistant, involves breaking up investigator tasking into smaller subtasks carried out by specialized agents, and reducing workload and tooling complexity [2, 7] and related work investigates the use of LLM pipelines in the context of network-traffic timeline reconstruction and the wider concept of automating the forensic process [4] and </w:t>
      </w:r>
      <w:proofErr w:type="spellStart"/>
      <w:r w:rsidRPr="00F71B58">
        <w:rPr>
          <w:sz w:val="24"/>
          <w:szCs w:val="24"/>
        </w:rPr>
        <w:t>ForensicLLM</w:t>
      </w:r>
      <w:proofErr w:type="spellEnd"/>
      <w:r w:rsidRPr="00F71B58">
        <w:rPr>
          <w:sz w:val="24"/>
          <w:szCs w:val="24"/>
        </w:rPr>
        <w:t xml:space="preserve"> outlines a methodology for timeline-analysis tasks that draws on NIST requirements and is quantitatively benchmarked on BLEU/ROUGE scores [9]. The great strength of this theme is the actual reduction of investigator workload by using LLM as tooling and the limitation is that the LLM is used as a tool and not investigating the agent itself when it is the cause of an incident. The latter theme LLM/Agent as a Forensic subject is newer and directly relevant to this proposal. This is where validation controls, human oversight, checks for reproducibility and interpretability were added to the research done at the conference, with the aim of dealing with the non-determinism that is present in an LLM being used in a way to investigate or be investigated by them. The </w:t>
      </w:r>
      <w:proofErr w:type="spellStart"/>
      <w:r w:rsidRPr="00F71B58">
        <w:rPr>
          <w:sz w:val="24"/>
          <w:szCs w:val="24"/>
        </w:rPr>
        <w:t>AutoGen</w:t>
      </w:r>
      <w:proofErr w:type="spellEnd"/>
      <w:r w:rsidRPr="00F71B58">
        <w:rPr>
          <w:sz w:val="24"/>
          <w:szCs w:val="24"/>
        </w:rPr>
        <w:t xml:space="preserve"> framework itself logged its activities and state as forensic evidence [10] in a case study of the platform, and the industry discussed the types of evidence agents need to gather which are not traditionally captured by forensics, such as the history of construction progress and chains of tool calls [3]. The contribution here is that agents need to be forensically examined (which is true in all three cases), and the limitation in all three is that none suggests a taxonomy and a source-tagging mechanism to rapidly attribute provenance, which remains as an open problem.  The third theme is on benchmarking investigative agents, which assesses LLM agents' ability to conduct security-analysis tasks. Prior studies evaluated LLM agents against attack-investigation tasks defined by NIST SP 800-61, while </w:t>
      </w:r>
      <w:proofErr w:type="spellStart"/>
      <w:r w:rsidRPr="00F71B58">
        <w:rPr>
          <w:sz w:val="24"/>
          <w:szCs w:val="24"/>
        </w:rPr>
        <w:t>CyberSleuth</w:t>
      </w:r>
      <w:proofErr w:type="spellEnd"/>
      <w:r w:rsidRPr="00F71B58">
        <w:rPr>
          <w:sz w:val="24"/>
          <w:szCs w:val="24"/>
        </w:rPr>
        <w:t xml:space="preserve"> compared different architectures of agents and model backends in a controlled scenario using a set of CVE-based web-attack tasks [6] to demonstrate that simple multi-agent orchestration outperforms deeply nested coordination. This theme provides strong, consistent assessment practice, and this proposal translates this to the assessment of investigating an agent as a subject rather than the quality of the agent's performance as investigator. The fourth theme is methodological: Forensic process models themselves. Conventionally, the forensic process is represented in terms of the four phases of forensic practice: Identification, Preservation, Analysis, and Reporting, as are the NGDFIM and NIST SP 800-61. Therefore, the output of this proposal's four phases is compatible with existing practice, not introducing a completely new process vocabulary. In addition to the process </w:t>
      </w:r>
      <w:r w:rsidRPr="00F71B58">
        <w:rPr>
          <w:sz w:val="24"/>
          <w:szCs w:val="24"/>
        </w:rPr>
        <w:lastRenderedPageBreak/>
        <w:t xml:space="preserve">models, the literature reviewed is based on </w:t>
      </w:r>
      <w:proofErr w:type="gramStart"/>
      <w:r w:rsidRPr="00F71B58">
        <w:rPr>
          <w:sz w:val="24"/>
          <w:szCs w:val="24"/>
        </w:rPr>
        <w:t>a number of</w:t>
      </w:r>
      <w:proofErr w:type="gramEnd"/>
      <w:r w:rsidRPr="00F71B58">
        <w:rPr>
          <w:sz w:val="24"/>
          <w:szCs w:val="24"/>
        </w:rPr>
        <w:t xml:space="preserve"> different technical frameworks, which this proposal adopts selectively. The multi-agent orchestration model employed in the studies of </w:t>
      </w:r>
      <w:proofErr w:type="spellStart"/>
      <w:r w:rsidRPr="00F71B58">
        <w:rPr>
          <w:sz w:val="24"/>
          <w:szCs w:val="24"/>
        </w:rPr>
        <w:t>AutoGen</w:t>
      </w:r>
      <w:proofErr w:type="spellEnd"/>
      <w:r w:rsidRPr="00F71B58">
        <w:rPr>
          <w:sz w:val="24"/>
          <w:szCs w:val="24"/>
        </w:rPr>
        <w:t xml:space="preserve"> [2] and [10] differentiates between the specialised worker agents that are assigned sub-tasks by the controller agent, is the foundation for the multi-agent causal-chain evidence category proposed in Section 4 of this study's eventual framework. </w:t>
      </w:r>
    </w:p>
    <w:p w14:paraId="0195B834" w14:textId="77777777" w:rsidR="00A155C3" w:rsidRPr="00F71B58" w:rsidRDefault="00A155C3">
      <w:pPr>
        <w:spacing w:after="200" w:line="276" w:lineRule="auto"/>
        <w:jc w:val="both"/>
        <w:rPr>
          <w:sz w:val="24"/>
          <w:szCs w:val="24"/>
        </w:rPr>
      </w:pPr>
    </w:p>
    <w:p w14:paraId="5A7C3896" w14:textId="6A9189F7" w:rsidR="00F77CBE" w:rsidRPr="00F77CBE" w:rsidRDefault="00A155C3" w:rsidP="00F77CBE">
      <w:pPr>
        <w:spacing w:after="280"/>
        <w:jc w:val="center"/>
        <w:rPr>
          <w:rStyle w:val="IntenseEmphasis"/>
        </w:rPr>
      </w:pPr>
      <w:r w:rsidRPr="00F71B58">
        <w:rPr>
          <w:noProof/>
        </w:rPr>
        <w:drawing>
          <wp:inline distT="0" distB="0" distL="0" distR="0" wp14:anchorId="08E8D0E1" wp14:editId="35DC5980">
            <wp:extent cx="5494020"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lit_themes.png"/>
                    <pic:cNvPicPr/>
                  </pic:nvPicPr>
                  <pic:blipFill>
                    <a:blip r:embed="rId11"/>
                    <a:stretch>
                      <a:fillRect/>
                    </a:stretch>
                  </pic:blipFill>
                  <pic:spPr>
                    <a:xfrm>
                      <a:off x="0" y="0"/>
                      <a:ext cx="5494505" cy="2571977"/>
                    </a:xfrm>
                    <a:prstGeom prst="rect">
                      <a:avLst/>
                    </a:prstGeom>
                  </pic:spPr>
                </pic:pic>
              </a:graphicData>
            </a:graphic>
          </wp:inline>
        </w:drawing>
      </w:r>
      <w:r w:rsidR="00F77CBE" w:rsidRPr="00F77CBE">
        <w:rPr>
          <w:i/>
          <w:sz w:val="21"/>
        </w:rPr>
        <w:t xml:space="preserve"> </w:t>
      </w:r>
      <w:r w:rsidR="00F77CBE" w:rsidRPr="00F77CBE">
        <w:rPr>
          <w:rStyle w:val="IntenseEmphasis"/>
        </w:rPr>
        <w:t>Fig. 3. Four thematic strands in the reviewed literature and their relationship to the research gap.</w:t>
      </w:r>
    </w:p>
    <w:p w14:paraId="0D0C9C8D" w14:textId="6F6A423E" w:rsidR="00D05C77" w:rsidRPr="00F71B58" w:rsidRDefault="0090387C">
      <w:pPr>
        <w:spacing w:after="200" w:line="276" w:lineRule="auto"/>
        <w:jc w:val="both"/>
        <w:rPr>
          <w:sz w:val="24"/>
          <w:szCs w:val="24"/>
        </w:rPr>
      </w:pPr>
      <w:r w:rsidRPr="00F71B58">
        <w:rPr>
          <w:sz w:val="24"/>
          <w:szCs w:val="24"/>
        </w:rPr>
        <w:t xml:space="preserve">The attribution-accuracy metric proposed here should be reported in the same way as in the twelve-model benchmarking study, i.e. along with an explicit statement of uncertainty, not merely as a percentage [1]. </w:t>
      </w:r>
      <w:proofErr w:type="spellStart"/>
      <w:r w:rsidRPr="00F71B58">
        <w:rPr>
          <w:sz w:val="24"/>
          <w:szCs w:val="24"/>
        </w:rPr>
        <w:t>ForensicLLM's</w:t>
      </w:r>
      <w:proofErr w:type="spellEnd"/>
      <w:r w:rsidRPr="00F71B58">
        <w:rPr>
          <w:sz w:val="24"/>
          <w:szCs w:val="24"/>
        </w:rPr>
        <w:t xml:space="preserve"> proposed quantitative evaluation, based on BLEU/ROUGE, further confirms that the ability to reconstruct a timeline can be quantified, but as BLEU/ROUGE were developed for measuring the similarity of natural language, it is more suitable for the problem of measuring the correctness of the chronological reconstruction than this study's research question. Regarding quality, each of the 10 core sources was evaluated informally using three criteria found in SLR quality-appraisal practice: the explicitness of the description of the evaluation method, whether any claims in the study are made based on reported data rather than using assertions, and whether the scope of the study (single platform, multi-platform, or purely conceptual) is clearly described. All ten sources addressed at least two of the three </w:t>
      </w:r>
      <w:proofErr w:type="gramStart"/>
      <w:r w:rsidRPr="00F71B58">
        <w:rPr>
          <w:sz w:val="24"/>
          <w:szCs w:val="24"/>
        </w:rPr>
        <w:t>criteria</w:t>
      </w:r>
      <w:proofErr w:type="gramEnd"/>
      <w:r w:rsidRPr="00F71B58">
        <w:rPr>
          <w:sz w:val="24"/>
          <w:szCs w:val="24"/>
        </w:rPr>
        <w:t xml:space="preserve"> and </w:t>
      </w:r>
      <w:proofErr w:type="gramStart"/>
      <w:r w:rsidRPr="00F71B58">
        <w:rPr>
          <w:sz w:val="24"/>
          <w:szCs w:val="24"/>
        </w:rPr>
        <w:t>the majority of</w:t>
      </w:r>
      <w:proofErr w:type="gramEnd"/>
      <w:r w:rsidRPr="00F71B58">
        <w:rPr>
          <w:sz w:val="24"/>
          <w:szCs w:val="24"/>
        </w:rPr>
        <w:t xml:space="preserve"> the sources mainly assessed one agent platform or one set of benchmarks, indicating that the generalisability gap is a major concern that is already present in this proposal. The two main technical challenges – non-determinism and distributed evidence – have been widely recognised, but there are different approaches to solving them: benchmarking-oriented sources prioritise quantitative accuracy measures [1, 6, 9] while the </w:t>
      </w:r>
      <w:proofErr w:type="spellStart"/>
      <w:r w:rsidRPr="00F71B58">
        <w:rPr>
          <w:sz w:val="24"/>
          <w:szCs w:val="24"/>
        </w:rPr>
        <w:t>AutoGen</w:t>
      </w:r>
      <w:proofErr w:type="spellEnd"/>
      <w:r w:rsidRPr="00F71B58">
        <w:rPr>
          <w:sz w:val="24"/>
          <w:szCs w:val="24"/>
        </w:rPr>
        <w:t xml:space="preserve"> case study and industry commentary are interested in qualitative evidence-type cataloguing [3, 10]. This difference is probably due to the immaturity of the field: whilst quantitative benchmarks require a solid ground truth which is not currently available for agent-forensic taxonomies, cataloguing is a descriptive process at this early stage. This proposal's mixed methods design (Section 3.2) will be designed to do just that, synthesize the two using a qualitative taxonomy design based on literature found in the cataloguing </w:t>
      </w:r>
      <w:r w:rsidRPr="00F71B58">
        <w:rPr>
          <w:sz w:val="24"/>
          <w:szCs w:val="24"/>
        </w:rPr>
        <w:lastRenderedPageBreak/>
        <w:t>literature, and a quantitative design that utilizes an attribution-accuracy evaluation based on the benchmarking literature. To conclude, the literature reviewed shows that forensics with LLM is fairly developed, forensics as an agent is a nascent and pressing issue and that strong benchmarking methodologies are already in place and can be modified. This study lacks a taxonomy of artifacts that is organized and cross-platform, a source-tagged prompt-provenance mechanism, and an evaluated investigational framework – the very things that this research is seeking.</w:t>
      </w:r>
    </w:p>
    <w:p w14:paraId="4FFF18C4" w14:textId="77777777" w:rsidR="00A155C3" w:rsidRPr="00F71B58" w:rsidRDefault="00A155C3">
      <w:pPr>
        <w:spacing w:after="200" w:line="276" w:lineRule="auto"/>
        <w:jc w:val="both"/>
      </w:pPr>
    </w:p>
    <w:p w14:paraId="37DE8F76" w14:textId="77777777" w:rsidR="00D05C77" w:rsidRPr="00F71B58" w:rsidRDefault="00C90EF7">
      <w:pPr>
        <w:pStyle w:val="Heading1"/>
        <w:spacing w:before="320" w:after="160"/>
      </w:pPr>
      <w:bookmarkStart w:id="8" w:name="_Toc236575851"/>
      <w:r w:rsidRPr="00F71B58">
        <w:rPr>
          <w:b/>
          <w:bCs/>
          <w:sz w:val="28"/>
          <w:szCs w:val="28"/>
        </w:rPr>
        <w:t>Section 3: Research Design and Methodology</w:t>
      </w:r>
      <w:bookmarkEnd w:id="8"/>
    </w:p>
    <w:p w14:paraId="70326B38" w14:textId="77777777" w:rsidR="00D05C77" w:rsidRPr="00F71B58" w:rsidRDefault="00C90EF7">
      <w:pPr>
        <w:pStyle w:val="Heading2"/>
        <w:spacing w:before="320" w:after="160"/>
      </w:pPr>
      <w:bookmarkStart w:id="9" w:name="_Toc236575852"/>
      <w:r w:rsidRPr="00F71B58">
        <w:rPr>
          <w:b/>
          <w:bCs/>
          <w:sz w:val="24"/>
          <w:szCs w:val="24"/>
        </w:rPr>
        <w:t>3.1 Research Design</w:t>
      </w:r>
      <w:bookmarkEnd w:id="9"/>
    </w:p>
    <w:p w14:paraId="146EE145" w14:textId="5E24CA0A" w:rsidR="00D05C77" w:rsidRPr="00F71B58" w:rsidRDefault="0090387C">
      <w:pPr>
        <w:spacing w:after="200" w:line="276" w:lineRule="auto"/>
        <w:jc w:val="both"/>
        <w:rPr>
          <w:sz w:val="24"/>
          <w:szCs w:val="24"/>
        </w:rPr>
      </w:pPr>
      <w:r w:rsidRPr="00F71B58">
        <w:rPr>
          <w:sz w:val="24"/>
          <w:szCs w:val="24"/>
        </w:rPr>
        <w:t>The ontological position taken in this research is a broad approach that assumes an objectivist position: Either agent behaviour, either the calls of the tools or the contents of the log are taken as observable, recordable facts about a technical system, although the internal decision process of the model is non-deterministic. This is in line with a pragmatist epistemological approach, as the research question, "how can the path for a decision-making agent be reliably reconstructed" is a practical, applied question where a combination of qualitative design work and quantitative evaluation will yield a usable, defensible answer, not a single positivist or interpretivist view. My background as a researcher is to have studied and gained technical experience in cyber security and digital forensics tooling in this MSc programme, which encompasses the development of a defensive research platform that features log analysis and forensic tools. This provides hands-on experience of the forensic process models and agent architectures, but can also be a danger of purely technically elegant taxonomy design over usability on the ground; this is offset by focusing each of the elements of the framework on a gap identified in the literature (Section 2) rather than on the designer's personal taste, and is further mitigated by using an example scenario to test the framework, not by relying solely in the designer's personal judgment. The approach used in the overall research is Design Science Research (DSR) which is suitable because the primary product is an artifact; the investigative approach is to solve a defined practical problem, which fits the sections of this proposal: problem identification (Sections 1.2 and 2) and the design, demonstration and evaluation of the artifact (O1–O2), consistent with how DSR has been applied in similar agentic-forensics evaluation research [1]. DSR is desired over a purely theoretical or analytical approach because the research problem stipulated in Sections 1.2 and 2 is not one of lack of conceptual understanding, but one of a usable method – the demonstration and evaluation cycle of DSR ensures a practical test</w:t>
      </w:r>
      <w:r w:rsidR="00C90EF7" w:rsidRPr="00F71B58">
        <w:rPr>
          <w:sz w:val="24"/>
          <w:szCs w:val="24"/>
        </w:rPr>
        <w:t>.</w:t>
      </w:r>
    </w:p>
    <w:p w14:paraId="6B53B2BB" w14:textId="04FCA6A0" w:rsidR="00A155C3" w:rsidRPr="00F71B58" w:rsidRDefault="00A155C3">
      <w:pPr>
        <w:spacing w:after="200" w:line="276" w:lineRule="auto"/>
        <w:jc w:val="both"/>
      </w:pPr>
      <w:r w:rsidRPr="00F71B58">
        <w:rPr>
          <w:noProof/>
        </w:rPr>
        <w:lastRenderedPageBreak/>
        <w:drawing>
          <wp:inline distT="0" distB="0" distL="0" distR="0" wp14:anchorId="6B90F0CF" wp14:editId="6FFF6564">
            <wp:extent cx="5676900" cy="288790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dsr_cycle.png"/>
                    <pic:cNvPicPr/>
                  </pic:nvPicPr>
                  <pic:blipFill>
                    <a:blip r:embed="rId12"/>
                    <a:stretch>
                      <a:fillRect/>
                    </a:stretch>
                  </pic:blipFill>
                  <pic:spPr>
                    <a:xfrm>
                      <a:off x="0" y="0"/>
                      <a:ext cx="5698457" cy="2898873"/>
                    </a:xfrm>
                    <a:prstGeom prst="rect">
                      <a:avLst/>
                    </a:prstGeom>
                  </pic:spPr>
                </pic:pic>
              </a:graphicData>
            </a:graphic>
          </wp:inline>
        </w:drawing>
      </w:r>
    </w:p>
    <w:p w14:paraId="01BD3ED6" w14:textId="7392352B" w:rsidR="00A155C3" w:rsidRPr="00F71B58" w:rsidRDefault="00A155C3">
      <w:pPr>
        <w:spacing w:after="200" w:line="276" w:lineRule="auto"/>
        <w:jc w:val="both"/>
      </w:pPr>
      <w:r w:rsidRPr="00F77CBE">
        <w:rPr>
          <w:rStyle w:val="IntenseEmphasis"/>
        </w:rPr>
        <w:t xml:space="preserve">                                 Fig. 4. Design Science Research (DSR) cycle applied to this study</w:t>
      </w:r>
      <w:r w:rsidRPr="00F71B58">
        <w:rPr>
          <w:sz w:val="21"/>
        </w:rPr>
        <w:t>.</w:t>
      </w:r>
    </w:p>
    <w:p w14:paraId="7CC4DF11" w14:textId="77777777" w:rsidR="00D05C77" w:rsidRPr="00F71B58" w:rsidRDefault="00C90EF7">
      <w:pPr>
        <w:pStyle w:val="Heading2"/>
        <w:spacing w:before="320" w:after="160"/>
      </w:pPr>
      <w:bookmarkStart w:id="10" w:name="_Toc236575853"/>
      <w:r w:rsidRPr="00F71B58">
        <w:rPr>
          <w:b/>
          <w:bCs/>
          <w:sz w:val="24"/>
          <w:szCs w:val="24"/>
        </w:rPr>
        <w:t>3.2 Research Methods</w:t>
      </w:r>
      <w:bookmarkEnd w:id="10"/>
    </w:p>
    <w:p w14:paraId="2F4F74E4" w14:textId="3E85413D" w:rsidR="00A155C3" w:rsidRPr="00F71B58" w:rsidRDefault="003B2620">
      <w:pPr>
        <w:spacing w:after="200" w:line="276" w:lineRule="auto"/>
        <w:jc w:val="both"/>
        <w:rPr>
          <w:sz w:val="24"/>
          <w:szCs w:val="24"/>
        </w:rPr>
      </w:pPr>
      <w:r w:rsidRPr="00F71B58">
        <w:rPr>
          <w:sz w:val="24"/>
          <w:szCs w:val="24"/>
        </w:rPr>
        <w:t xml:space="preserve">The research design of this study is a </w:t>
      </w:r>
      <w:proofErr w:type="gramStart"/>
      <w:r w:rsidRPr="00F71B58">
        <w:rPr>
          <w:sz w:val="24"/>
          <w:szCs w:val="24"/>
        </w:rPr>
        <w:t>mixed methods</w:t>
      </w:r>
      <w:proofErr w:type="gramEnd"/>
      <w:r w:rsidRPr="00F71B58">
        <w:rPr>
          <w:sz w:val="24"/>
          <w:szCs w:val="24"/>
        </w:rPr>
        <w:t xml:space="preserve">. The literature's conceptual structuring, that is, thematic synthesis of the literature and taxonomy framework design, must be done qualitatively because it is a conceptual structuring problem that is not something that can be numerically measured. Objective O3 requires a measurable claim about the accuracy of attribution and, if the proposal is a purely qualitative assessment, then the value of the framework in practice would not be evaluated. The specific strategy is a single case simulation experiment: A simulated security incident will be designed and then run in a system that is a multi-agent orchestration system (e.g., Microsoft </w:t>
      </w:r>
      <w:proofErr w:type="spellStart"/>
      <w:r w:rsidRPr="00F71B58">
        <w:rPr>
          <w:sz w:val="24"/>
          <w:szCs w:val="24"/>
        </w:rPr>
        <w:t>AutoGen</w:t>
      </w:r>
      <w:proofErr w:type="spellEnd"/>
      <w:r w:rsidRPr="00F71B58">
        <w:rPr>
          <w:sz w:val="24"/>
          <w:szCs w:val="24"/>
        </w:rPr>
        <w:t xml:space="preserve"> or a similar system) that will be sandboxed and open source, not an actual security incident that can be observed at the proposal stage, either ethically or practically. This is </w:t>
      </w:r>
      <w:proofErr w:type="gramStart"/>
      <w:r w:rsidRPr="00F71B58">
        <w:rPr>
          <w:sz w:val="24"/>
          <w:szCs w:val="24"/>
        </w:rPr>
        <w:t>similar to</w:t>
      </w:r>
      <w:proofErr w:type="gramEnd"/>
      <w:r w:rsidRPr="00F71B58">
        <w:rPr>
          <w:sz w:val="24"/>
          <w:szCs w:val="24"/>
        </w:rPr>
        <w:t xml:space="preserve"> the approach taken in other benchmarking studies in a controlled scenario [6]. A coding-assistant style agent will be constrained to a benign web-summarisation task where one retrieved page will include a direct command, pointing the agent to an unauthorised shell command, thus simulating a real prompt-injection attack.</w:t>
      </w:r>
    </w:p>
    <w:p w14:paraId="5BB17F88" w14:textId="77777777" w:rsidR="00A155C3" w:rsidRPr="00F77CBE" w:rsidRDefault="00A155C3" w:rsidP="00A155C3">
      <w:pPr>
        <w:spacing w:after="280"/>
        <w:jc w:val="center"/>
        <w:rPr>
          <w:rStyle w:val="IntenseEmphasis"/>
        </w:rPr>
      </w:pPr>
      <w:r w:rsidRPr="00F71B58">
        <w:rPr>
          <w:noProof/>
        </w:rPr>
        <w:drawing>
          <wp:inline distT="0" distB="0" distL="0" distR="0" wp14:anchorId="501836F2" wp14:editId="03C71172">
            <wp:extent cx="5731510" cy="1675481"/>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scenario_flow.png"/>
                    <pic:cNvPicPr/>
                  </pic:nvPicPr>
                  <pic:blipFill>
                    <a:blip r:embed="rId13"/>
                    <a:stretch>
                      <a:fillRect/>
                    </a:stretch>
                  </pic:blipFill>
                  <pic:spPr>
                    <a:xfrm>
                      <a:off x="0" y="0"/>
                      <a:ext cx="5731510" cy="1675481"/>
                    </a:xfrm>
                    <a:prstGeom prst="rect">
                      <a:avLst/>
                    </a:prstGeom>
                  </pic:spPr>
                </pic:pic>
              </a:graphicData>
            </a:graphic>
          </wp:inline>
        </w:drawing>
      </w:r>
      <w:r w:rsidR="003B2620" w:rsidRPr="00F71B58">
        <w:rPr>
          <w:sz w:val="24"/>
          <w:szCs w:val="24"/>
        </w:rPr>
        <w:t xml:space="preserve"> </w:t>
      </w:r>
      <w:r w:rsidRPr="00F77CBE">
        <w:rPr>
          <w:rStyle w:val="IntenseEmphasis"/>
        </w:rPr>
        <w:t>Fig. 5. Simulated prompt-injection incident scenario and evaluation flow.</w:t>
      </w:r>
    </w:p>
    <w:p w14:paraId="096C4E32" w14:textId="4376715A" w:rsidR="00D05C77" w:rsidRPr="00F71B58" w:rsidRDefault="003B2620">
      <w:pPr>
        <w:spacing w:after="200" w:line="276" w:lineRule="auto"/>
        <w:jc w:val="both"/>
        <w:rPr>
          <w:sz w:val="24"/>
          <w:szCs w:val="24"/>
        </w:rPr>
      </w:pPr>
      <w:r w:rsidRPr="00F71B58">
        <w:rPr>
          <w:sz w:val="24"/>
          <w:szCs w:val="24"/>
        </w:rPr>
        <w:lastRenderedPageBreak/>
        <w:t xml:space="preserve">The framework will be evaluated using attribution accuracy, which is defined as the percentage of the constructed ground-truth timeline that is correctly reconstructed by applying the framework, with an explicit confidence statement instead of a simple percentage as in previous LLM-forensic validation studies which account for the non-determinism in agent </w:t>
      </w:r>
      <w:proofErr w:type="spellStart"/>
      <w:r w:rsidRPr="00F71B58">
        <w:rPr>
          <w:sz w:val="24"/>
          <w:szCs w:val="24"/>
        </w:rPr>
        <w:t>behavior</w:t>
      </w:r>
      <w:proofErr w:type="spellEnd"/>
      <w:r w:rsidRPr="00F71B58">
        <w:rPr>
          <w:sz w:val="24"/>
          <w:szCs w:val="24"/>
        </w:rPr>
        <w:t xml:space="preserve"> [1]. For each qualitative divergence between the framework's reconstructed timeline and the ground truth, the cause of the divergence will be analysed, this directly feeding into the Objective O4 recommendations. A secondary metric, evidentiary completeness, will capture the proportion of the five taxonomy categories (Section 4) that could be recovered from the available logging from the platform without additional instrumentation versus the categories that needed to be manually reconstructed from the available logging. This is important since an accurate attribution might be falsely optimistic if it were only possible with extra effort in manually logging the events, but not when it is a working incident responder under time pressure; if the only way to achieve accurate attribution is to do a lot of manual work, then the framework is not doing a lot of the work for you; reporting completeness in conjunction with accuracy is a fair assessment of what the framework can do for you without your extra effort.</w:t>
      </w:r>
    </w:p>
    <w:p w14:paraId="11B0161A" w14:textId="4E485409" w:rsidR="00D05C77" w:rsidRPr="00F71B58" w:rsidRDefault="00C90EF7" w:rsidP="00516B22">
      <w:pPr>
        <w:pStyle w:val="Heading2"/>
        <w:spacing w:before="320" w:after="160"/>
      </w:pPr>
      <w:bookmarkStart w:id="11" w:name="_Toc236575854"/>
      <w:r w:rsidRPr="00F71B58">
        <w:rPr>
          <w:b/>
          <w:bCs/>
          <w:sz w:val="24"/>
          <w:szCs w:val="24"/>
        </w:rPr>
        <w:t>3.3 Research Materials</w:t>
      </w:r>
      <w:bookmarkEnd w:id="11"/>
    </w:p>
    <w:p w14:paraId="2B4CAD1A" w14:textId="77777777" w:rsidR="00D05C77" w:rsidRPr="00F71B58" w:rsidRDefault="00C90EF7">
      <w:pPr>
        <w:pStyle w:val="Heading1"/>
        <w:spacing w:before="320" w:after="160"/>
      </w:pPr>
      <w:bookmarkStart w:id="12" w:name="_Toc236575855"/>
      <w:r w:rsidRPr="00F71B58">
        <w:rPr>
          <w:b/>
          <w:bCs/>
          <w:sz w:val="28"/>
          <w:szCs w:val="28"/>
        </w:rPr>
        <w:t>Section 4: Expected Outcome</w:t>
      </w:r>
      <w:bookmarkEnd w:id="12"/>
    </w:p>
    <w:p w14:paraId="6F2BF212" w14:textId="0BE7489F" w:rsidR="00F77CBE" w:rsidRDefault="00C90EF7">
      <w:pPr>
        <w:spacing w:after="200" w:line="276" w:lineRule="auto"/>
        <w:jc w:val="both"/>
        <w:rPr>
          <w:sz w:val="24"/>
          <w:szCs w:val="24"/>
        </w:rPr>
      </w:pPr>
      <w:r w:rsidRPr="00F71B58">
        <w:rPr>
          <w:sz w:val="24"/>
          <w:szCs w:val="24"/>
        </w:rPr>
        <w:t>The research is expected to produce a validated five-category artifact taxonomy, an evaluated four-phase investigative framework, a measured attribution-accuracy result for the simulated scenario reported with an explicit confidence statement, and a set of forensic-readiness design recommendations for agent platform developers. In practice, this would give incident responders a concrete method for AI-agent incident investigation and give platform developers a design-time checklist for forensically sound logging, contributing to the literature gap identified in Section 2.</w:t>
      </w:r>
      <w:r w:rsidR="001F54CE" w:rsidRPr="00F71B58">
        <w:t xml:space="preserve"> </w:t>
      </w:r>
      <w:r w:rsidRPr="00F71B58">
        <w:rPr>
          <w:sz w:val="24"/>
          <w:szCs w:val="24"/>
        </w:rPr>
        <w:t>Likely limitations include reliance on a single simulated scenario and a single agent platform, which restricts how far the attribution-accuracy figure generalises; the sandbox's inability to capture production-scale complexity such as concurrent sessions or long-running shared memory; and a time constraint that limits evaluation to one attack type (prompt injection) rather than the broader space of possible agent-incident causes, such as memory poisoning occurring independently of any single session.</w:t>
      </w:r>
      <w:r w:rsidR="001F54CE" w:rsidRPr="00F71B58">
        <w:t xml:space="preserve"> </w:t>
      </w:r>
      <w:r w:rsidRPr="00F71B58">
        <w:rPr>
          <w:sz w:val="24"/>
          <w:szCs w:val="24"/>
        </w:rPr>
        <w:t>A further anticipated risk is that the chosen open-source agent platform's architecture may not cleanly separate the five taxonomy categories in practice, for instance if reasoning traces and tool-call records are interleaved in a single log stream rather than stored separately; if so, the framework's reconstruction phase would need to include an explicit log-parsing step not currently anticipated in Section 3.2, which would be documented as a methodological amendment rather than treated as a failure of the overall approach. Despite these constraints, even a partially successful evaluation, for example one that achieves high completeness but only moderate attribution accuracy, would still yield a useful, evidence-based account of exactly where current agent logging falls short, which is itself a valuable and directly usable contribution for Objective O4</w:t>
      </w:r>
      <w:r w:rsidR="00F77CBE">
        <w:rPr>
          <w:sz w:val="24"/>
          <w:szCs w:val="24"/>
        </w:rPr>
        <w:t>.</w:t>
      </w:r>
    </w:p>
    <w:p w14:paraId="712A2AD6" w14:textId="03F29268" w:rsidR="00F71B58" w:rsidRPr="00F71B58" w:rsidRDefault="00A155C3">
      <w:pPr>
        <w:spacing w:after="200" w:line="276" w:lineRule="auto"/>
        <w:jc w:val="both"/>
        <w:rPr>
          <w:sz w:val="24"/>
          <w:szCs w:val="24"/>
        </w:rPr>
      </w:pPr>
      <w:r w:rsidRPr="00F71B58">
        <w:rPr>
          <w:noProof/>
        </w:rPr>
        <w:lastRenderedPageBreak/>
        <w:drawing>
          <wp:inline distT="0" distB="0" distL="0" distR="0" wp14:anchorId="7819C3C3" wp14:editId="16643DF6">
            <wp:extent cx="5730622" cy="21793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taxonomy.png"/>
                    <pic:cNvPicPr/>
                  </pic:nvPicPr>
                  <pic:blipFill>
                    <a:blip r:embed="rId14"/>
                    <a:stretch>
                      <a:fillRect/>
                    </a:stretch>
                  </pic:blipFill>
                  <pic:spPr>
                    <a:xfrm>
                      <a:off x="0" y="0"/>
                      <a:ext cx="5738770" cy="2182418"/>
                    </a:xfrm>
                    <a:prstGeom prst="rect">
                      <a:avLst/>
                    </a:prstGeom>
                  </pic:spPr>
                </pic:pic>
              </a:graphicData>
            </a:graphic>
          </wp:inline>
        </w:drawing>
      </w:r>
    </w:p>
    <w:p w14:paraId="797B9BF4" w14:textId="12AA72DB" w:rsidR="00F71B58" w:rsidRPr="00F77CBE" w:rsidRDefault="00F71B58" w:rsidP="00F71B58">
      <w:pPr>
        <w:spacing w:after="280"/>
        <w:jc w:val="center"/>
        <w:rPr>
          <w:rStyle w:val="IntenseEmphasis"/>
        </w:rPr>
      </w:pPr>
      <w:r w:rsidRPr="00F77CBE">
        <w:rPr>
          <w:rStyle w:val="IntenseEmphasis"/>
        </w:rPr>
        <w:t>Fig. 6. Five-category AI agent artifact taxonomy.</w:t>
      </w:r>
    </w:p>
    <w:p w14:paraId="2515D8BD" w14:textId="79BA41CF" w:rsidR="00A155C3" w:rsidRPr="00F71B58" w:rsidRDefault="00A155C3">
      <w:pPr>
        <w:spacing w:after="200" w:line="276" w:lineRule="auto"/>
        <w:jc w:val="both"/>
      </w:pPr>
      <w:r w:rsidRPr="00F71B58">
        <w:rPr>
          <w:noProof/>
        </w:rPr>
        <w:drawing>
          <wp:inline distT="0" distB="0" distL="0" distR="0" wp14:anchorId="4E282888" wp14:editId="109943AA">
            <wp:extent cx="5731510" cy="164831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7_four_phase.png"/>
                    <pic:cNvPicPr/>
                  </pic:nvPicPr>
                  <pic:blipFill>
                    <a:blip r:embed="rId15"/>
                    <a:stretch>
                      <a:fillRect/>
                    </a:stretch>
                  </pic:blipFill>
                  <pic:spPr>
                    <a:xfrm>
                      <a:off x="0" y="0"/>
                      <a:ext cx="5731510" cy="1648315"/>
                    </a:xfrm>
                    <a:prstGeom prst="rect">
                      <a:avLst/>
                    </a:prstGeom>
                  </pic:spPr>
                </pic:pic>
              </a:graphicData>
            </a:graphic>
          </wp:inline>
        </w:drawing>
      </w:r>
    </w:p>
    <w:p w14:paraId="0C6B94E1" w14:textId="2DFB993B" w:rsidR="00F71B58" w:rsidRPr="00F77CBE" w:rsidRDefault="00F71B58" w:rsidP="00F71B58">
      <w:pPr>
        <w:spacing w:after="280"/>
        <w:jc w:val="center"/>
        <w:rPr>
          <w:rStyle w:val="IntenseEmphasis"/>
        </w:rPr>
      </w:pPr>
      <w:r w:rsidRPr="00F77CBE">
        <w:rPr>
          <w:rStyle w:val="IntenseEmphasis"/>
        </w:rPr>
        <w:t>Fig. 7. Four-phase investigative framework mapped to NIST SP 800-61 phases.</w:t>
      </w:r>
    </w:p>
    <w:p w14:paraId="680D7E97" w14:textId="77777777" w:rsidR="00D05C77" w:rsidRPr="00F71B58" w:rsidRDefault="00C90EF7">
      <w:pPr>
        <w:pStyle w:val="Heading1"/>
        <w:spacing w:before="320" w:after="160"/>
      </w:pPr>
      <w:bookmarkStart w:id="13" w:name="_Toc236575856"/>
      <w:r w:rsidRPr="00F71B58">
        <w:rPr>
          <w:b/>
          <w:bCs/>
          <w:sz w:val="28"/>
          <w:szCs w:val="28"/>
        </w:rPr>
        <w:t>Section 5: Timeline</w:t>
      </w:r>
      <w:bookmarkEnd w:id="13"/>
    </w:p>
    <w:p w14:paraId="68BE59CB" w14:textId="77777777" w:rsidR="00D05C77" w:rsidRPr="00F71B58" w:rsidRDefault="00C90EF7">
      <w:pPr>
        <w:spacing w:after="200" w:line="276" w:lineRule="auto"/>
        <w:jc w:val="both"/>
        <w:rPr>
          <w:sz w:val="24"/>
          <w:szCs w:val="24"/>
        </w:rPr>
      </w:pPr>
      <w:r w:rsidRPr="00F71B58">
        <w:rPr>
          <w:sz w:val="24"/>
          <w:szCs w:val="24"/>
        </w:rPr>
        <w:t>The project is planned across a 14-week period from proposal approval to submission, structured around the four objectives set out in Section 1.3.</w:t>
      </w:r>
    </w:p>
    <w:p w14:paraId="1B7982F6" w14:textId="1FA1CEBE" w:rsidR="00F71B58" w:rsidRPr="00F71B58" w:rsidRDefault="00F71B58">
      <w:pPr>
        <w:spacing w:after="200" w:line="276" w:lineRule="auto"/>
        <w:jc w:val="both"/>
      </w:pPr>
      <w:r w:rsidRPr="00F71B58">
        <w:rPr>
          <w:noProof/>
        </w:rPr>
        <w:drawing>
          <wp:inline distT="0" distB="0" distL="0" distR="0" wp14:anchorId="1D850B6B" wp14:editId="5EF21F1D">
            <wp:extent cx="5731510" cy="2033069"/>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8_gantt.png"/>
                    <pic:cNvPicPr/>
                  </pic:nvPicPr>
                  <pic:blipFill>
                    <a:blip r:embed="rId16"/>
                    <a:stretch>
                      <a:fillRect/>
                    </a:stretch>
                  </pic:blipFill>
                  <pic:spPr>
                    <a:xfrm>
                      <a:off x="0" y="0"/>
                      <a:ext cx="5731510" cy="2033069"/>
                    </a:xfrm>
                    <a:prstGeom prst="rect">
                      <a:avLst/>
                    </a:prstGeom>
                  </pic:spPr>
                </pic:pic>
              </a:graphicData>
            </a:graphic>
          </wp:inline>
        </w:drawing>
      </w:r>
    </w:p>
    <w:p w14:paraId="70E69B80" w14:textId="35ABD154" w:rsidR="00F71B58" w:rsidRDefault="00F71B58">
      <w:pPr>
        <w:spacing w:after="200" w:line="276" w:lineRule="auto"/>
        <w:jc w:val="both"/>
        <w:rPr>
          <w:rStyle w:val="IntenseEmphasis"/>
        </w:rPr>
      </w:pPr>
      <w:r w:rsidRPr="00F77CBE">
        <w:rPr>
          <w:rStyle w:val="IntenseEmphasis"/>
        </w:rPr>
        <w:t xml:space="preserve">                      Fig. 8. 14-week project Gantt chart with risk points and supervisor check-ins</w:t>
      </w:r>
    </w:p>
    <w:p w14:paraId="0EF0086F" w14:textId="77777777" w:rsidR="00F77CBE" w:rsidRPr="00F77CBE" w:rsidRDefault="00F77CBE">
      <w:pPr>
        <w:spacing w:after="200" w:line="276" w:lineRule="auto"/>
        <w:jc w:val="both"/>
        <w:rPr>
          <w:rStyle w:val="IntenseEmphasis"/>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7350"/>
      </w:tblGrid>
      <w:tr w:rsidR="00D05C77" w:rsidRPr="00F71B58" w14:paraId="00028302" w14:textId="77777777">
        <w:trPr>
          <w:tblHeader/>
        </w:trPr>
        <w:tc>
          <w:tcPr>
            <w:tcW w:w="2000" w:type="dxa"/>
            <w:shd w:val="clear" w:color="auto" w:fill="1F3864"/>
          </w:tcPr>
          <w:p w14:paraId="6987B302" w14:textId="77777777" w:rsidR="00D05C77" w:rsidRPr="00F71B58" w:rsidRDefault="00C90EF7">
            <w:pPr>
              <w:spacing w:line="276" w:lineRule="auto"/>
            </w:pPr>
            <w:r w:rsidRPr="00F71B58">
              <w:rPr>
                <w:b/>
                <w:bCs/>
                <w:color w:val="FFFFFF"/>
              </w:rPr>
              <w:lastRenderedPageBreak/>
              <w:t>Period</w:t>
            </w:r>
          </w:p>
        </w:tc>
        <w:tc>
          <w:tcPr>
            <w:tcW w:w="7350" w:type="dxa"/>
            <w:shd w:val="clear" w:color="auto" w:fill="1F3864"/>
          </w:tcPr>
          <w:p w14:paraId="15EB5402" w14:textId="77777777" w:rsidR="00D05C77" w:rsidRPr="00F71B58" w:rsidRDefault="00C90EF7">
            <w:pPr>
              <w:spacing w:line="276" w:lineRule="auto"/>
            </w:pPr>
            <w:r w:rsidRPr="00F71B58">
              <w:rPr>
                <w:b/>
                <w:bCs/>
                <w:color w:val="FFFFFF"/>
              </w:rPr>
              <w:t>Key Activities and Milestones</w:t>
            </w:r>
          </w:p>
        </w:tc>
      </w:tr>
      <w:tr w:rsidR="00D05C77" w:rsidRPr="00F71B58" w14:paraId="7F997B3B" w14:textId="77777777">
        <w:tc>
          <w:tcPr>
            <w:tcW w:w="2000" w:type="dxa"/>
          </w:tcPr>
          <w:p w14:paraId="7B6892A1" w14:textId="77777777" w:rsidR="00D05C77" w:rsidRPr="00F71B58" w:rsidRDefault="00C90EF7">
            <w:pPr>
              <w:spacing w:line="276" w:lineRule="auto"/>
            </w:pPr>
            <w:r w:rsidRPr="00F71B58">
              <w:rPr>
                <w:b/>
                <w:bCs/>
              </w:rPr>
              <w:t>Weeks 1–2</w:t>
            </w:r>
          </w:p>
        </w:tc>
        <w:tc>
          <w:tcPr>
            <w:tcW w:w="7350" w:type="dxa"/>
          </w:tcPr>
          <w:p w14:paraId="75CE1F73" w14:textId="77777777" w:rsidR="00D05C77" w:rsidRPr="00F71B58" w:rsidRDefault="00C90EF7">
            <w:pPr>
              <w:spacing w:line="276" w:lineRule="auto"/>
            </w:pPr>
            <w:r w:rsidRPr="00F71B58">
              <w:t>Finalise proposal, submit ethics form, confirm supervisor sign-off, complete database search and screening for the SLR</w:t>
            </w:r>
          </w:p>
        </w:tc>
      </w:tr>
      <w:tr w:rsidR="00D05C77" w:rsidRPr="00F71B58" w14:paraId="75A36E1F" w14:textId="77777777">
        <w:tc>
          <w:tcPr>
            <w:tcW w:w="2000" w:type="dxa"/>
          </w:tcPr>
          <w:p w14:paraId="3E197B66" w14:textId="77777777" w:rsidR="00D05C77" w:rsidRPr="00F71B58" w:rsidRDefault="00C90EF7">
            <w:pPr>
              <w:spacing w:line="276" w:lineRule="auto"/>
            </w:pPr>
            <w:r w:rsidRPr="00F71B58">
              <w:rPr>
                <w:b/>
                <w:bCs/>
              </w:rPr>
              <w:t>Weeks 3–4</w:t>
            </w:r>
          </w:p>
        </w:tc>
        <w:tc>
          <w:tcPr>
            <w:tcW w:w="7350" w:type="dxa"/>
          </w:tcPr>
          <w:p w14:paraId="729FC05C" w14:textId="77777777" w:rsidR="00D05C77" w:rsidRPr="00F71B58" w:rsidRDefault="00C90EF7">
            <w:pPr>
              <w:spacing w:line="276" w:lineRule="auto"/>
            </w:pPr>
            <w:r w:rsidRPr="00F71B58">
              <w:t>Complete full-text review and thematic synthesis; finalise artifact taxonomy (O1); set up sandboxed multi-agent test environment</w:t>
            </w:r>
          </w:p>
        </w:tc>
      </w:tr>
      <w:tr w:rsidR="00D05C77" w:rsidRPr="00F71B58" w14:paraId="1A5FD12F" w14:textId="77777777">
        <w:tc>
          <w:tcPr>
            <w:tcW w:w="2000" w:type="dxa"/>
          </w:tcPr>
          <w:p w14:paraId="19C4A043" w14:textId="77777777" w:rsidR="00D05C77" w:rsidRPr="00F71B58" w:rsidRDefault="00C90EF7">
            <w:pPr>
              <w:spacing w:line="276" w:lineRule="auto"/>
            </w:pPr>
            <w:r w:rsidRPr="00F71B58">
              <w:rPr>
                <w:b/>
                <w:bCs/>
              </w:rPr>
              <w:t>Weeks 5–7</w:t>
            </w:r>
          </w:p>
        </w:tc>
        <w:tc>
          <w:tcPr>
            <w:tcW w:w="7350" w:type="dxa"/>
          </w:tcPr>
          <w:p w14:paraId="2744EDB4" w14:textId="77777777" w:rsidR="00D05C77" w:rsidRPr="00F71B58" w:rsidRDefault="00C90EF7">
            <w:pPr>
              <w:spacing w:line="276" w:lineRule="auto"/>
            </w:pPr>
            <w:r w:rsidRPr="00F71B58">
              <w:t>Design and implement four-phase investigative framework (O2); configure logging/instrumentation for the test platform</w:t>
            </w:r>
          </w:p>
        </w:tc>
      </w:tr>
      <w:tr w:rsidR="00D05C77" w:rsidRPr="00F71B58" w14:paraId="1C9ED78E" w14:textId="77777777">
        <w:tc>
          <w:tcPr>
            <w:tcW w:w="2000" w:type="dxa"/>
          </w:tcPr>
          <w:p w14:paraId="68E8B3CA" w14:textId="77777777" w:rsidR="00D05C77" w:rsidRPr="00F71B58" w:rsidRDefault="00C90EF7">
            <w:pPr>
              <w:spacing w:line="276" w:lineRule="auto"/>
            </w:pPr>
            <w:r w:rsidRPr="00F71B58">
              <w:rPr>
                <w:b/>
                <w:bCs/>
              </w:rPr>
              <w:t>Weeks 8–9</w:t>
            </w:r>
          </w:p>
        </w:tc>
        <w:tc>
          <w:tcPr>
            <w:tcW w:w="7350" w:type="dxa"/>
          </w:tcPr>
          <w:p w14:paraId="424643AB" w14:textId="77777777" w:rsidR="00D05C77" w:rsidRPr="00F71B58" w:rsidRDefault="00C90EF7">
            <w:pPr>
              <w:spacing w:line="276" w:lineRule="auto"/>
            </w:pPr>
            <w:r w:rsidRPr="00F71B58">
              <w:t>Construct and execute simulated prompt-injection scenarios; apply framework; collect results (O3) — risk point: scenario may need redesign if the agent platform's logging proves too limited to instrument</w:t>
            </w:r>
          </w:p>
        </w:tc>
      </w:tr>
      <w:tr w:rsidR="00D05C77" w:rsidRPr="00F71B58" w14:paraId="5D85123F" w14:textId="77777777">
        <w:tc>
          <w:tcPr>
            <w:tcW w:w="2000" w:type="dxa"/>
          </w:tcPr>
          <w:p w14:paraId="14C033A9" w14:textId="77777777" w:rsidR="00D05C77" w:rsidRPr="00F71B58" w:rsidRDefault="00C90EF7">
            <w:pPr>
              <w:spacing w:line="276" w:lineRule="auto"/>
            </w:pPr>
            <w:r w:rsidRPr="00F71B58">
              <w:rPr>
                <w:b/>
                <w:bCs/>
              </w:rPr>
              <w:t>Weeks 10–11</w:t>
            </w:r>
          </w:p>
        </w:tc>
        <w:tc>
          <w:tcPr>
            <w:tcW w:w="7350" w:type="dxa"/>
          </w:tcPr>
          <w:p w14:paraId="2C8AA267" w14:textId="77777777" w:rsidR="00D05C77" w:rsidRPr="00F71B58" w:rsidRDefault="00C90EF7">
            <w:pPr>
              <w:spacing w:line="276" w:lineRule="auto"/>
            </w:pPr>
            <w:r w:rsidRPr="00F71B58">
              <w:t>Analyse results; synthesise forensic-readiness design recommendations (O4); begin dissertation drafting</w:t>
            </w:r>
          </w:p>
        </w:tc>
      </w:tr>
      <w:tr w:rsidR="00D05C77" w:rsidRPr="00F71B58" w14:paraId="680D5DDC" w14:textId="77777777">
        <w:tc>
          <w:tcPr>
            <w:tcW w:w="2000" w:type="dxa"/>
          </w:tcPr>
          <w:p w14:paraId="5519EA01" w14:textId="77777777" w:rsidR="00D05C77" w:rsidRPr="00F71B58" w:rsidRDefault="00C90EF7">
            <w:pPr>
              <w:spacing w:line="276" w:lineRule="auto"/>
            </w:pPr>
            <w:r w:rsidRPr="00F71B58">
              <w:rPr>
                <w:b/>
                <w:bCs/>
              </w:rPr>
              <w:t>Weeks 12–14</w:t>
            </w:r>
          </w:p>
        </w:tc>
        <w:tc>
          <w:tcPr>
            <w:tcW w:w="7350" w:type="dxa"/>
          </w:tcPr>
          <w:p w14:paraId="5E331083" w14:textId="77777777" w:rsidR="00D05C77" w:rsidRPr="00F71B58" w:rsidRDefault="00C90EF7">
            <w:pPr>
              <w:spacing w:line="276" w:lineRule="auto"/>
            </w:pPr>
            <w:r w:rsidRPr="00F71B58">
              <w:t>Complete analysis, discussion and conclusion chapters; proofread and format; finalise reference list; submit</w:t>
            </w:r>
          </w:p>
        </w:tc>
      </w:tr>
    </w:tbl>
    <w:p w14:paraId="63D6ACD1" w14:textId="77777777" w:rsidR="00D05C77" w:rsidRPr="00F71B58" w:rsidRDefault="00D05C77">
      <w:pPr>
        <w:spacing w:after="200" w:line="276" w:lineRule="auto"/>
        <w:jc w:val="both"/>
      </w:pPr>
    </w:p>
    <w:p w14:paraId="3DB0BD58" w14:textId="77777777" w:rsidR="00D05C77" w:rsidRPr="00F71B58" w:rsidRDefault="00C90EF7">
      <w:pPr>
        <w:spacing w:after="200" w:line="276" w:lineRule="auto"/>
        <w:jc w:val="both"/>
      </w:pPr>
      <w:r w:rsidRPr="00F71B58">
        <w:rPr>
          <w:sz w:val="24"/>
          <w:szCs w:val="24"/>
        </w:rPr>
        <w:t>The principal risk points are the sandbox setup (Weeks 3–4), where the chosen agent platform's default logging may prove more limited than anticipated and require additional instrumentation time, and the scenario-evaluation stage (Weeks 8–9), where an initial scenario design might not produce a clean enough ground truth for reliable accuracy measurement. Both risks are managed by front-loading platform selection and a small pilot scenario earlier than strictly necessary, so that any redesign can happen without displacing the write-up period. A secondary risk sits at the literature-review stage (Weeks 1–4): because this sub-field is publishing rapidly, new directly relevant sources may appear after the search cut-off; this is managed by re-running the core search strings once, briefly, immediately before the analysis chapter is finalised, so that any significant new work can be incorporated without requiring a full re-screening of the review. Supervisor check-ins are planned at the end of Weeks 4, 7, and 11, aligned with the completion of O1, O2, and O4 respectively, so that any structural concerns are caught before they compound into the write-up phase.</w:t>
      </w:r>
    </w:p>
    <w:p w14:paraId="405CB6A1" w14:textId="77777777" w:rsidR="00D05C77" w:rsidRPr="00F71B58" w:rsidRDefault="00C90EF7">
      <w:pPr>
        <w:pStyle w:val="Heading1"/>
        <w:spacing w:before="320" w:after="160"/>
      </w:pPr>
      <w:bookmarkStart w:id="14" w:name="_Toc236575857"/>
      <w:r w:rsidRPr="00F71B58">
        <w:rPr>
          <w:b/>
          <w:bCs/>
          <w:sz w:val="28"/>
          <w:szCs w:val="28"/>
        </w:rPr>
        <w:t>Section 6: Overall Presentation of the Proposal</w:t>
      </w:r>
      <w:bookmarkEnd w:id="14"/>
    </w:p>
    <w:p w14:paraId="3FD71A47" w14:textId="77777777" w:rsidR="00D05C77" w:rsidRPr="00F71B58" w:rsidRDefault="00C90EF7">
      <w:pPr>
        <w:spacing w:after="200" w:line="276" w:lineRule="auto"/>
        <w:jc w:val="both"/>
      </w:pPr>
      <w:r w:rsidRPr="00F71B58">
        <w:rPr>
          <w:sz w:val="24"/>
          <w:szCs w:val="24"/>
        </w:rPr>
        <w:t>Self-check prior to submission: the document is structured with headings matching the assessment specification (Sections 1–7); academic tone, grammar, and formatting have been kept consistent throughout, avoiding contractions and informal language; and the document should be proofread a further time for clarity and consistent terminology before Turnitin submission.</w:t>
      </w:r>
    </w:p>
    <w:p w14:paraId="3A17DCD3" w14:textId="77777777" w:rsidR="00D05C77" w:rsidRPr="00F71B58" w:rsidRDefault="00C90EF7">
      <w:pPr>
        <w:pStyle w:val="Heading1"/>
        <w:spacing w:before="320" w:after="160"/>
      </w:pPr>
      <w:bookmarkStart w:id="15" w:name="_Toc236575858"/>
      <w:r w:rsidRPr="00F71B58">
        <w:rPr>
          <w:b/>
          <w:bCs/>
          <w:sz w:val="28"/>
          <w:szCs w:val="28"/>
        </w:rPr>
        <w:t>Section 7: References</w:t>
      </w:r>
      <w:bookmarkEnd w:id="15"/>
    </w:p>
    <w:p w14:paraId="407F6BFC" w14:textId="77777777" w:rsidR="00D05C77" w:rsidRPr="00F71B58" w:rsidRDefault="00C90EF7">
      <w:pPr>
        <w:spacing w:after="120"/>
        <w:ind w:left="431" w:hanging="431"/>
      </w:pPr>
      <w:r w:rsidRPr="00F71B58">
        <w:rPr>
          <w:sz w:val="22"/>
          <w:szCs w:val="22"/>
        </w:rPr>
        <w:t>[1] M. Chernyshev et al., "LLM-Assisted Digital Forensics," presented at the 16th EAI Int. Conf. Digital Forensics and Cyber Crime (ICDF2C 2025), 2025.</w:t>
      </w:r>
    </w:p>
    <w:p w14:paraId="735E7A83" w14:textId="77777777" w:rsidR="00D05C77" w:rsidRPr="00F71B58" w:rsidRDefault="00C90EF7">
      <w:pPr>
        <w:spacing w:after="120"/>
        <w:ind w:left="431" w:hanging="431"/>
      </w:pPr>
      <w:r w:rsidRPr="00F71B58">
        <w:rPr>
          <w:sz w:val="22"/>
          <w:szCs w:val="22"/>
        </w:rPr>
        <w:t xml:space="preserve">[2] A. </w:t>
      </w:r>
      <w:proofErr w:type="spellStart"/>
      <w:r w:rsidRPr="00F71B58">
        <w:rPr>
          <w:sz w:val="22"/>
          <w:szCs w:val="22"/>
        </w:rPr>
        <w:t>Wickramasekara</w:t>
      </w:r>
      <w:proofErr w:type="spellEnd"/>
      <w:r w:rsidRPr="00F71B58">
        <w:rPr>
          <w:sz w:val="22"/>
          <w:szCs w:val="22"/>
        </w:rPr>
        <w:t xml:space="preserve"> and M. Scanlon, "A Framework for Integrated Digital Forensic Investigation Employing </w:t>
      </w:r>
      <w:proofErr w:type="spellStart"/>
      <w:r w:rsidRPr="00F71B58">
        <w:rPr>
          <w:sz w:val="22"/>
          <w:szCs w:val="22"/>
        </w:rPr>
        <w:t>AutoGen</w:t>
      </w:r>
      <w:proofErr w:type="spellEnd"/>
      <w:r w:rsidRPr="00F71B58">
        <w:rPr>
          <w:sz w:val="22"/>
          <w:szCs w:val="22"/>
        </w:rPr>
        <w:t xml:space="preserve"> AI Agents," in Proc. 2024 12th Int. Symp. Digital Forensics and Security (ISDFS), 2024, </w:t>
      </w:r>
      <w:proofErr w:type="spellStart"/>
      <w:r w:rsidRPr="00F71B58">
        <w:rPr>
          <w:sz w:val="22"/>
          <w:szCs w:val="22"/>
        </w:rPr>
        <w:t>doi</w:t>
      </w:r>
      <w:proofErr w:type="spellEnd"/>
      <w:r w:rsidRPr="00F71B58">
        <w:rPr>
          <w:sz w:val="22"/>
          <w:szCs w:val="22"/>
        </w:rPr>
        <w:t>: 10.1109/ISDFS60797.2024.10527235.</w:t>
      </w:r>
    </w:p>
    <w:p w14:paraId="0A8ED6E0" w14:textId="77777777" w:rsidR="00D05C77" w:rsidRPr="00F71B58" w:rsidRDefault="00C90EF7">
      <w:pPr>
        <w:spacing w:after="120"/>
        <w:ind w:left="431" w:hanging="431"/>
      </w:pPr>
      <w:r w:rsidRPr="00F71B58">
        <w:rPr>
          <w:sz w:val="22"/>
          <w:szCs w:val="22"/>
        </w:rPr>
        <w:t xml:space="preserve">[3] </w:t>
      </w:r>
      <w:proofErr w:type="spellStart"/>
      <w:r w:rsidRPr="00F71B58">
        <w:rPr>
          <w:sz w:val="22"/>
          <w:szCs w:val="22"/>
        </w:rPr>
        <w:t>Armalo</w:t>
      </w:r>
      <w:proofErr w:type="spellEnd"/>
      <w:r w:rsidRPr="00F71B58">
        <w:rPr>
          <w:sz w:val="22"/>
          <w:szCs w:val="22"/>
        </w:rPr>
        <w:t xml:space="preserve">, "AI Agent Incident Forensics," </w:t>
      </w:r>
      <w:proofErr w:type="spellStart"/>
      <w:r w:rsidRPr="00F71B58">
        <w:rPr>
          <w:sz w:val="22"/>
          <w:szCs w:val="22"/>
        </w:rPr>
        <w:t>Armalo</w:t>
      </w:r>
      <w:proofErr w:type="spellEnd"/>
      <w:r w:rsidRPr="00F71B58">
        <w:rPr>
          <w:sz w:val="22"/>
          <w:szCs w:val="22"/>
        </w:rPr>
        <w:t xml:space="preserve"> Learning Centre, 2026. [Online]. Available: https://www.armalo.ai/learn/ai-agent-incident-forensics</w:t>
      </w:r>
    </w:p>
    <w:p w14:paraId="24D5F66A" w14:textId="77777777" w:rsidR="00D05C77" w:rsidRPr="00F71B58" w:rsidRDefault="00C90EF7">
      <w:pPr>
        <w:spacing w:after="120"/>
        <w:ind w:left="431" w:hanging="431"/>
      </w:pPr>
      <w:r w:rsidRPr="00F71B58">
        <w:rPr>
          <w:sz w:val="22"/>
          <w:szCs w:val="22"/>
        </w:rPr>
        <w:lastRenderedPageBreak/>
        <w:t>[4] "Digital Forensics in the Age of Large Language Models," Forensic Science International: Digital Investigation, vol. 52, art. 301859, 2025.</w:t>
      </w:r>
    </w:p>
    <w:p w14:paraId="3F5B0C56" w14:textId="77777777" w:rsidR="00D05C77" w:rsidRPr="00F71B58" w:rsidRDefault="00C90EF7">
      <w:pPr>
        <w:spacing w:after="120"/>
        <w:ind w:left="431" w:hanging="431"/>
      </w:pPr>
      <w:r w:rsidRPr="00F71B58">
        <w:rPr>
          <w:sz w:val="22"/>
          <w:szCs w:val="22"/>
        </w:rPr>
        <w:t xml:space="preserve">[5] "Benchmarking and Exploring the Capabilities of LLMs for Attack Investigations," </w:t>
      </w:r>
      <w:proofErr w:type="spellStart"/>
      <w:r w:rsidRPr="00F71B58">
        <w:rPr>
          <w:sz w:val="22"/>
          <w:szCs w:val="22"/>
        </w:rPr>
        <w:t>arXiv</w:t>
      </w:r>
      <w:proofErr w:type="spellEnd"/>
      <w:r w:rsidRPr="00F71B58">
        <w:rPr>
          <w:sz w:val="22"/>
          <w:szCs w:val="22"/>
        </w:rPr>
        <w:t xml:space="preserve"> preprint arXiv:2606.10281, 2026.</w:t>
      </w:r>
    </w:p>
    <w:p w14:paraId="22F51231" w14:textId="77777777" w:rsidR="00D05C77" w:rsidRPr="00F71B58" w:rsidRDefault="00C90EF7">
      <w:pPr>
        <w:spacing w:after="120"/>
        <w:ind w:left="431" w:hanging="431"/>
      </w:pPr>
      <w:r w:rsidRPr="00F71B58">
        <w:rPr>
          <w:sz w:val="22"/>
          <w:szCs w:val="22"/>
        </w:rPr>
        <w:t>[6] "</w:t>
      </w:r>
      <w:proofErr w:type="spellStart"/>
      <w:r w:rsidRPr="00F71B58">
        <w:rPr>
          <w:sz w:val="22"/>
          <w:szCs w:val="22"/>
        </w:rPr>
        <w:t>CyberSleuth</w:t>
      </w:r>
      <w:proofErr w:type="spellEnd"/>
      <w:r w:rsidRPr="00F71B58">
        <w:rPr>
          <w:sz w:val="22"/>
          <w:szCs w:val="22"/>
        </w:rPr>
        <w:t xml:space="preserve">: Autonomous Blue-Team LLM Agent for Web Attack Forensics," </w:t>
      </w:r>
      <w:proofErr w:type="spellStart"/>
      <w:r w:rsidRPr="00F71B58">
        <w:rPr>
          <w:sz w:val="22"/>
          <w:szCs w:val="22"/>
        </w:rPr>
        <w:t>arXiv</w:t>
      </w:r>
      <w:proofErr w:type="spellEnd"/>
      <w:r w:rsidRPr="00F71B58">
        <w:rPr>
          <w:sz w:val="22"/>
          <w:szCs w:val="22"/>
        </w:rPr>
        <w:t xml:space="preserve"> preprint arXiv:2508.20643, 2026.</w:t>
      </w:r>
    </w:p>
    <w:p w14:paraId="2EC79833" w14:textId="77777777" w:rsidR="00D05C77" w:rsidRPr="00F71B58" w:rsidRDefault="00C90EF7">
      <w:pPr>
        <w:spacing w:after="120"/>
        <w:ind w:left="431" w:hanging="431"/>
      </w:pPr>
      <w:r w:rsidRPr="00F71B58">
        <w:rPr>
          <w:sz w:val="22"/>
          <w:szCs w:val="22"/>
        </w:rPr>
        <w:t xml:space="preserve">[7] A. </w:t>
      </w:r>
      <w:proofErr w:type="spellStart"/>
      <w:r w:rsidRPr="00F71B58">
        <w:rPr>
          <w:sz w:val="22"/>
          <w:szCs w:val="22"/>
        </w:rPr>
        <w:t>Wickramasekara</w:t>
      </w:r>
      <w:proofErr w:type="spellEnd"/>
      <w:r w:rsidRPr="00F71B58">
        <w:rPr>
          <w:sz w:val="22"/>
          <w:szCs w:val="22"/>
        </w:rPr>
        <w:t xml:space="preserve"> and M. Scanlon, "A Framework for Integrated Digital Forensic Investigation Employing </w:t>
      </w:r>
      <w:proofErr w:type="spellStart"/>
      <w:r w:rsidRPr="00F71B58">
        <w:rPr>
          <w:sz w:val="22"/>
          <w:szCs w:val="22"/>
        </w:rPr>
        <w:t>AutoGen</w:t>
      </w:r>
      <w:proofErr w:type="spellEnd"/>
      <w:r w:rsidRPr="00F71B58">
        <w:rPr>
          <w:sz w:val="22"/>
          <w:szCs w:val="22"/>
        </w:rPr>
        <w:t xml:space="preserve"> AI Agents," IEEE Xplore, 2024. [Online]. Available: https://ieeexplore.ieee.org/document/10527235/</w:t>
      </w:r>
    </w:p>
    <w:p w14:paraId="3A26B16C" w14:textId="77777777" w:rsidR="00D05C77" w:rsidRPr="00F71B58" w:rsidRDefault="00C90EF7">
      <w:pPr>
        <w:spacing w:after="120"/>
        <w:ind w:left="431" w:hanging="431"/>
      </w:pPr>
      <w:r w:rsidRPr="00F71B58">
        <w:rPr>
          <w:sz w:val="22"/>
          <w:szCs w:val="22"/>
        </w:rPr>
        <w:t>[8] SANS Institute, "FOR563: Applied AI for Digital Forensics and Incident Response: Leveraging Local Large Language Models," course description, 2026.</w:t>
      </w:r>
    </w:p>
    <w:p w14:paraId="79714E5A" w14:textId="77777777" w:rsidR="00D05C77" w:rsidRPr="00F71B58" w:rsidRDefault="00C90EF7">
      <w:pPr>
        <w:spacing w:after="120"/>
        <w:ind w:left="431" w:hanging="431"/>
      </w:pPr>
      <w:r w:rsidRPr="00F71B58">
        <w:rPr>
          <w:sz w:val="22"/>
          <w:szCs w:val="22"/>
        </w:rPr>
        <w:t>[9] "</w:t>
      </w:r>
      <w:proofErr w:type="spellStart"/>
      <w:r w:rsidRPr="00F71B58">
        <w:rPr>
          <w:sz w:val="22"/>
          <w:szCs w:val="22"/>
        </w:rPr>
        <w:t>ForensicLLM</w:t>
      </w:r>
      <w:proofErr w:type="spellEnd"/>
      <w:r w:rsidRPr="00F71B58">
        <w:rPr>
          <w:sz w:val="22"/>
          <w:szCs w:val="22"/>
        </w:rPr>
        <w:t>: A Local Large Language Model for Digital Forensics," Forensic Science International: Digital Investigation, 2025.</w:t>
      </w:r>
    </w:p>
    <w:p w14:paraId="0AD7D5E6" w14:textId="77777777" w:rsidR="00D05C77" w:rsidRPr="00F71B58" w:rsidRDefault="00C90EF7">
      <w:pPr>
        <w:spacing w:after="120"/>
        <w:ind w:left="431" w:hanging="431"/>
      </w:pPr>
      <w:r w:rsidRPr="00F71B58">
        <w:rPr>
          <w:sz w:val="22"/>
          <w:szCs w:val="22"/>
        </w:rPr>
        <w:t xml:space="preserve">[10] "Foundations for Agentic AI Investigations from the Forensic Analysis of OpenClaw," </w:t>
      </w:r>
      <w:proofErr w:type="spellStart"/>
      <w:r w:rsidRPr="00F71B58">
        <w:rPr>
          <w:sz w:val="22"/>
          <w:szCs w:val="22"/>
        </w:rPr>
        <w:t>arXiv</w:t>
      </w:r>
      <w:proofErr w:type="spellEnd"/>
      <w:r w:rsidRPr="00F71B58">
        <w:rPr>
          <w:sz w:val="22"/>
          <w:szCs w:val="22"/>
        </w:rPr>
        <w:t xml:space="preserve"> preprint arXiv:2604.05589, 2026.</w:t>
      </w:r>
    </w:p>
    <w:p w14:paraId="15358E22" w14:textId="77777777" w:rsidR="00D05C77" w:rsidRPr="00F71B58" w:rsidRDefault="00C90EF7">
      <w:pPr>
        <w:spacing w:after="120"/>
        <w:ind w:left="431" w:hanging="431"/>
      </w:pPr>
      <w:r w:rsidRPr="00F71B58">
        <w:rPr>
          <w:sz w:val="22"/>
          <w:szCs w:val="22"/>
        </w:rPr>
        <w:t>[11] B. A. Kitchenham, "Guidelines for Performing Systematic Literature Reviews in Software Engineering," EBSE Technical Report EBSE-2007-01, Keele University and University of Durham, 2007.</w:t>
      </w:r>
    </w:p>
    <w:sectPr w:rsidR="00D05C77" w:rsidRPr="00F71B58">
      <w:headerReference w:type="default" r:id="rId17"/>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C45BC" w14:textId="77777777" w:rsidR="00A1066B" w:rsidRDefault="00A1066B">
      <w:r>
        <w:separator/>
      </w:r>
    </w:p>
  </w:endnote>
  <w:endnote w:type="continuationSeparator" w:id="0">
    <w:p w14:paraId="0405AEC1" w14:textId="77777777" w:rsidR="00A1066B" w:rsidRDefault="00A10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65096" w14:textId="77777777" w:rsidR="00D05C77" w:rsidRDefault="00C90EF7">
    <w:pPr>
      <w:jc w:val="center"/>
    </w:pPr>
    <w:r>
      <w:rPr>
        <w:sz w:val="18"/>
        <w:szCs w:val="18"/>
      </w:rPr>
      <w:fldChar w:fldCharType="begin"/>
    </w:r>
    <w:r>
      <w:rPr>
        <w:sz w:val="18"/>
        <w:szCs w:val="18"/>
      </w:rPr>
      <w:instrText>PAGE</w:instrText>
    </w:r>
    <w:r>
      <w:rPr>
        <w:sz w:val="18"/>
        <w:szCs w:val="18"/>
      </w:rPr>
      <w:fldChar w:fldCharType="separate"/>
    </w:r>
    <w:r w:rsidR="001F54CE">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BA96F" w14:textId="77777777" w:rsidR="00A1066B" w:rsidRDefault="00A1066B">
      <w:r>
        <w:separator/>
      </w:r>
    </w:p>
  </w:footnote>
  <w:footnote w:type="continuationSeparator" w:id="0">
    <w:p w14:paraId="52237890" w14:textId="77777777" w:rsidR="00A1066B" w:rsidRDefault="00A106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10D3C" w14:textId="2A51E699" w:rsidR="00D05C77" w:rsidRDefault="00D05C7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8720D"/>
    <w:multiLevelType w:val="hybridMultilevel"/>
    <w:tmpl w:val="483A378C"/>
    <w:lvl w:ilvl="0" w:tplc="60481930">
      <w:start w:val="1"/>
      <w:numFmt w:val="bullet"/>
      <w:lvlText w:val="●"/>
      <w:lvlJc w:val="left"/>
      <w:pPr>
        <w:ind w:left="720" w:hanging="360"/>
      </w:pPr>
    </w:lvl>
    <w:lvl w:ilvl="1" w:tplc="8D2666D0">
      <w:start w:val="1"/>
      <w:numFmt w:val="bullet"/>
      <w:lvlText w:val="○"/>
      <w:lvlJc w:val="left"/>
      <w:pPr>
        <w:ind w:left="1440" w:hanging="360"/>
      </w:pPr>
    </w:lvl>
    <w:lvl w:ilvl="2" w:tplc="CBA8758C">
      <w:start w:val="1"/>
      <w:numFmt w:val="bullet"/>
      <w:lvlText w:val="■"/>
      <w:lvlJc w:val="left"/>
      <w:pPr>
        <w:ind w:left="2160" w:hanging="360"/>
      </w:pPr>
    </w:lvl>
    <w:lvl w:ilvl="3" w:tplc="D994C09E">
      <w:start w:val="1"/>
      <w:numFmt w:val="bullet"/>
      <w:lvlText w:val="●"/>
      <w:lvlJc w:val="left"/>
      <w:pPr>
        <w:ind w:left="2880" w:hanging="360"/>
      </w:pPr>
    </w:lvl>
    <w:lvl w:ilvl="4" w:tplc="FC9E0626">
      <w:start w:val="1"/>
      <w:numFmt w:val="bullet"/>
      <w:lvlText w:val="○"/>
      <w:lvlJc w:val="left"/>
      <w:pPr>
        <w:ind w:left="3600" w:hanging="360"/>
      </w:pPr>
    </w:lvl>
    <w:lvl w:ilvl="5" w:tplc="3FBEC636">
      <w:start w:val="1"/>
      <w:numFmt w:val="bullet"/>
      <w:lvlText w:val="■"/>
      <w:lvlJc w:val="left"/>
      <w:pPr>
        <w:ind w:left="4320" w:hanging="360"/>
      </w:pPr>
    </w:lvl>
    <w:lvl w:ilvl="6" w:tplc="9A8C94C8">
      <w:start w:val="1"/>
      <w:numFmt w:val="bullet"/>
      <w:lvlText w:val="●"/>
      <w:lvlJc w:val="left"/>
      <w:pPr>
        <w:ind w:left="5040" w:hanging="360"/>
      </w:pPr>
    </w:lvl>
    <w:lvl w:ilvl="7" w:tplc="2FD8B7E6">
      <w:start w:val="1"/>
      <w:numFmt w:val="bullet"/>
      <w:lvlText w:val="●"/>
      <w:lvlJc w:val="left"/>
      <w:pPr>
        <w:ind w:left="5760" w:hanging="360"/>
      </w:pPr>
    </w:lvl>
    <w:lvl w:ilvl="8" w:tplc="8D64A63C">
      <w:start w:val="1"/>
      <w:numFmt w:val="bullet"/>
      <w:lvlText w:val="●"/>
      <w:lvlJc w:val="left"/>
      <w:pPr>
        <w:ind w:left="6480" w:hanging="360"/>
      </w:pPr>
    </w:lvl>
  </w:abstractNum>
  <w:num w:numId="1" w16cid:durableId="18016057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C77"/>
    <w:rsid w:val="0007782F"/>
    <w:rsid w:val="000F1E23"/>
    <w:rsid w:val="00153079"/>
    <w:rsid w:val="001F54CE"/>
    <w:rsid w:val="002B62FD"/>
    <w:rsid w:val="003B2620"/>
    <w:rsid w:val="00415C98"/>
    <w:rsid w:val="004E009A"/>
    <w:rsid w:val="00516B22"/>
    <w:rsid w:val="006317BE"/>
    <w:rsid w:val="007D475A"/>
    <w:rsid w:val="0090387C"/>
    <w:rsid w:val="00A1066B"/>
    <w:rsid w:val="00A155C3"/>
    <w:rsid w:val="00C90EF7"/>
    <w:rsid w:val="00D05C77"/>
    <w:rsid w:val="00E208FD"/>
    <w:rsid w:val="00F367AD"/>
    <w:rsid w:val="00F71B58"/>
    <w:rsid w:val="00F77CBE"/>
    <w:rsid w:val="00FC2D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6BEA"/>
  <w15:docId w15:val="{295B942E-2F92-4235-82D9-D653D4877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15C98"/>
    <w:pPr>
      <w:tabs>
        <w:tab w:val="center" w:pos="4513"/>
        <w:tab w:val="right" w:pos="9026"/>
      </w:tabs>
    </w:pPr>
  </w:style>
  <w:style w:type="character" w:customStyle="1" w:styleId="HeaderChar">
    <w:name w:val="Header Char"/>
    <w:basedOn w:val="DefaultParagraphFont"/>
    <w:link w:val="Header"/>
    <w:uiPriority w:val="99"/>
    <w:rsid w:val="00415C98"/>
  </w:style>
  <w:style w:type="paragraph" w:styleId="Footer">
    <w:name w:val="footer"/>
    <w:basedOn w:val="Normal"/>
    <w:link w:val="FooterChar"/>
    <w:uiPriority w:val="99"/>
    <w:unhideWhenUsed/>
    <w:rsid w:val="00415C98"/>
    <w:pPr>
      <w:tabs>
        <w:tab w:val="center" w:pos="4513"/>
        <w:tab w:val="right" w:pos="9026"/>
      </w:tabs>
    </w:pPr>
  </w:style>
  <w:style w:type="character" w:customStyle="1" w:styleId="FooterChar">
    <w:name w:val="Footer Char"/>
    <w:basedOn w:val="DefaultParagraphFont"/>
    <w:link w:val="Footer"/>
    <w:uiPriority w:val="99"/>
    <w:rsid w:val="00415C98"/>
  </w:style>
  <w:style w:type="character" w:styleId="IntenseEmphasis">
    <w:name w:val="Intense Emphasis"/>
    <w:basedOn w:val="DefaultParagraphFont"/>
    <w:uiPriority w:val="21"/>
    <w:qFormat/>
    <w:rsid w:val="00F77CBE"/>
    <w:rPr>
      <w:i/>
      <w:iCs/>
      <w:color w:val="156082" w:themeColor="accent1"/>
    </w:rPr>
  </w:style>
  <w:style w:type="paragraph" w:styleId="TOCHeading">
    <w:name w:val="TOC Heading"/>
    <w:basedOn w:val="Heading1"/>
    <w:next w:val="Normal"/>
    <w:uiPriority w:val="39"/>
    <w:unhideWhenUsed/>
    <w:qFormat/>
    <w:rsid w:val="00F77CBE"/>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F77CBE"/>
    <w:pPr>
      <w:spacing w:after="100"/>
    </w:pPr>
  </w:style>
  <w:style w:type="paragraph" w:styleId="TOC2">
    <w:name w:val="toc 2"/>
    <w:basedOn w:val="Normal"/>
    <w:next w:val="Normal"/>
    <w:autoRedefine/>
    <w:uiPriority w:val="39"/>
    <w:unhideWhenUsed/>
    <w:rsid w:val="00F77CB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C5EF0-E13B-4C61-9F01-65514F3C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4850</Words>
  <Characters>27648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Gautam Malviya</cp:lastModifiedBy>
  <cp:revision>3</cp:revision>
  <dcterms:created xsi:type="dcterms:W3CDTF">2026-08-02T14:15:00Z</dcterms:created>
  <dcterms:modified xsi:type="dcterms:W3CDTF">2026-08-07T14:15:00Z</dcterms:modified>
</cp:coreProperties>
</file>