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92C5" w14:textId="77777777" w:rsidR="00F700AD" w:rsidRPr="00DB3DBB" w:rsidRDefault="00F700AD" w:rsidP="00423E55">
      <w:pPr>
        <w:jc w:val="center"/>
        <w:rPr>
          <w:rFonts w:cs="Arial"/>
          <w:noProof/>
          <w:lang w:val="en-GB"/>
        </w:rPr>
      </w:pPr>
      <w:r w:rsidRPr="00DB3DBB">
        <w:rPr>
          <w:rFonts w:cs="Arial"/>
          <w:b/>
          <w:bCs/>
          <w:noProof/>
          <w:sz w:val="44"/>
          <w:szCs w:val="40"/>
          <w:lang w:val="en-GB"/>
        </w:rPr>
        <w:drawing>
          <wp:inline distT="0" distB="0" distL="0" distR="0" wp14:anchorId="1DB1F84A" wp14:editId="78C6331B">
            <wp:extent cx="5715798" cy="189574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15798" cy="1895740"/>
                    </a:xfrm>
                    <a:prstGeom prst="rect">
                      <a:avLst/>
                    </a:prstGeom>
                  </pic:spPr>
                </pic:pic>
              </a:graphicData>
            </a:graphic>
          </wp:inline>
        </w:drawing>
      </w:r>
      <w:r w:rsidRPr="00DB3DBB">
        <w:rPr>
          <w:rFonts w:cs="Arial"/>
          <w:noProof/>
          <w:lang w:val="en-GB"/>
        </w:rPr>
        <w:t xml:space="preserve"> </w:t>
      </w:r>
    </w:p>
    <w:p w14:paraId="23A6ADBB" w14:textId="77777777" w:rsidR="00F700AD" w:rsidRPr="00DB3DBB" w:rsidRDefault="00F700AD" w:rsidP="00423E55">
      <w:pPr>
        <w:jc w:val="center"/>
        <w:rPr>
          <w:rFonts w:cs="Arial"/>
          <w:noProof/>
          <w:lang w:val="en-GB"/>
        </w:rPr>
      </w:pPr>
    </w:p>
    <w:p w14:paraId="28107CFA" w14:textId="77777777" w:rsidR="00F700AD" w:rsidRPr="00DB3DBB" w:rsidRDefault="00F700AD" w:rsidP="00423E55">
      <w:pPr>
        <w:jc w:val="center"/>
        <w:rPr>
          <w:rFonts w:cs="Arial"/>
          <w:noProof/>
          <w:lang w:val="en-GB"/>
        </w:rPr>
      </w:pPr>
    </w:p>
    <w:p w14:paraId="12A54DA1" w14:textId="77777777" w:rsidR="00F700AD" w:rsidRPr="00DB3DBB" w:rsidRDefault="00F700AD" w:rsidP="00423E55">
      <w:pPr>
        <w:jc w:val="center"/>
        <w:rPr>
          <w:rFonts w:cs="Arial"/>
          <w:b/>
          <w:bCs/>
          <w:noProof/>
          <w:sz w:val="36"/>
          <w:szCs w:val="36"/>
          <w:lang w:val="en-GB"/>
        </w:rPr>
      </w:pPr>
    </w:p>
    <w:p w14:paraId="0F4D73FE" w14:textId="77777777" w:rsidR="00F700AD" w:rsidRPr="00DB3DBB" w:rsidRDefault="00F700AD" w:rsidP="00423E55">
      <w:pPr>
        <w:jc w:val="center"/>
        <w:rPr>
          <w:rFonts w:cs="Arial"/>
          <w:b/>
          <w:bCs/>
          <w:noProof/>
          <w:sz w:val="36"/>
          <w:szCs w:val="36"/>
          <w:lang w:val="en-GB"/>
        </w:rPr>
      </w:pPr>
    </w:p>
    <w:p w14:paraId="6CF78C1D" w14:textId="6A9FCB77" w:rsidR="00F700AD" w:rsidRPr="00DB3DBB" w:rsidRDefault="00F700AD" w:rsidP="00423E55">
      <w:pPr>
        <w:jc w:val="center"/>
        <w:rPr>
          <w:rFonts w:cs="Arial"/>
          <w:b/>
          <w:bCs/>
          <w:noProof/>
          <w:sz w:val="36"/>
          <w:szCs w:val="36"/>
          <w:lang w:val="en-GB"/>
        </w:rPr>
      </w:pPr>
      <w:r w:rsidRPr="00DB3DBB">
        <w:rPr>
          <w:rFonts w:cs="Arial"/>
          <w:b/>
          <w:bCs/>
          <w:noProof/>
          <w:sz w:val="36"/>
          <w:szCs w:val="36"/>
          <w:lang w:val="en-GB"/>
        </w:rPr>
        <w:t>Programme: BA Business Management</w:t>
      </w:r>
    </w:p>
    <w:p w14:paraId="6FC71FC1" w14:textId="77777777" w:rsidR="00F700AD" w:rsidRPr="00DB3DBB" w:rsidRDefault="00F700AD" w:rsidP="00423E55">
      <w:pPr>
        <w:jc w:val="center"/>
        <w:rPr>
          <w:rFonts w:cs="Arial"/>
          <w:b/>
          <w:bCs/>
          <w:noProof/>
          <w:sz w:val="36"/>
          <w:szCs w:val="36"/>
          <w:lang w:val="en-GB"/>
        </w:rPr>
      </w:pPr>
      <w:r w:rsidRPr="00DB3DBB">
        <w:rPr>
          <w:rFonts w:cs="Arial"/>
          <w:b/>
          <w:bCs/>
          <w:noProof/>
          <w:sz w:val="36"/>
          <w:szCs w:val="36"/>
          <w:lang w:val="en-GB"/>
        </w:rPr>
        <w:t>Module: Community Engagement</w:t>
      </w:r>
    </w:p>
    <w:p w14:paraId="13AEABEA" w14:textId="77777777" w:rsidR="00F700AD" w:rsidRPr="00DB3DBB" w:rsidRDefault="00F700AD" w:rsidP="00423E55">
      <w:pPr>
        <w:jc w:val="center"/>
        <w:rPr>
          <w:rFonts w:cs="Arial"/>
          <w:b/>
          <w:bCs/>
          <w:noProof/>
          <w:sz w:val="36"/>
          <w:szCs w:val="36"/>
          <w:lang w:val="en-GB"/>
        </w:rPr>
      </w:pPr>
      <w:r w:rsidRPr="00DB3DBB">
        <w:rPr>
          <w:rFonts w:cs="Arial"/>
          <w:b/>
          <w:bCs/>
          <w:noProof/>
          <w:sz w:val="36"/>
          <w:szCs w:val="36"/>
          <w:lang w:val="en-GB"/>
        </w:rPr>
        <w:t>Module code: LCBB4002</w:t>
      </w:r>
    </w:p>
    <w:p w14:paraId="27D4F742" w14:textId="77777777" w:rsidR="007345A2" w:rsidRDefault="00F700AD" w:rsidP="00423E55">
      <w:pPr>
        <w:jc w:val="center"/>
        <w:rPr>
          <w:rFonts w:cs="Arial"/>
          <w:b/>
          <w:bCs/>
          <w:noProof/>
          <w:sz w:val="36"/>
          <w:szCs w:val="36"/>
          <w:lang w:val="en-GB"/>
        </w:rPr>
      </w:pPr>
      <w:r w:rsidRPr="00DB3DBB">
        <w:rPr>
          <w:rFonts w:cs="Arial"/>
          <w:b/>
          <w:bCs/>
          <w:noProof/>
          <w:sz w:val="36"/>
          <w:szCs w:val="36"/>
          <w:lang w:val="en-GB"/>
        </w:rPr>
        <w:t>Assignment Title: Assessment 2 Community Engagement</w:t>
      </w:r>
    </w:p>
    <w:p w14:paraId="7C952947" w14:textId="77777777" w:rsidR="007345A2" w:rsidRDefault="007345A2" w:rsidP="00423E55">
      <w:pPr>
        <w:jc w:val="center"/>
        <w:rPr>
          <w:rFonts w:cs="Arial"/>
          <w:b/>
          <w:bCs/>
          <w:noProof/>
          <w:sz w:val="36"/>
          <w:szCs w:val="36"/>
          <w:lang w:val="en-GB"/>
        </w:rPr>
      </w:pPr>
      <w:r>
        <w:rPr>
          <w:rFonts w:cs="Arial"/>
          <w:b/>
          <w:bCs/>
          <w:noProof/>
          <w:sz w:val="36"/>
          <w:szCs w:val="36"/>
          <w:lang w:val="en-GB"/>
        </w:rPr>
        <w:t>Sebastian Patrascu</w:t>
      </w:r>
    </w:p>
    <w:p w14:paraId="4D1D68A6" w14:textId="1C675999" w:rsidR="00386401" w:rsidRPr="00DB3DBB" w:rsidRDefault="007345A2" w:rsidP="00423E55">
      <w:pPr>
        <w:jc w:val="center"/>
        <w:rPr>
          <w:rFonts w:cs="Arial"/>
          <w:b/>
          <w:bCs/>
          <w:noProof/>
          <w:sz w:val="44"/>
          <w:szCs w:val="40"/>
          <w:lang w:val="en-GB"/>
        </w:rPr>
      </w:pPr>
      <w:r>
        <w:rPr>
          <w:rFonts w:cs="Arial"/>
          <w:b/>
          <w:bCs/>
          <w:noProof/>
          <w:sz w:val="36"/>
          <w:szCs w:val="36"/>
          <w:lang w:val="en-GB"/>
        </w:rPr>
        <w:t>Student id: 2122706</w:t>
      </w:r>
      <w:r w:rsidR="00386401" w:rsidRPr="00DB3DBB">
        <w:rPr>
          <w:rFonts w:cs="Arial"/>
          <w:b/>
          <w:bCs/>
          <w:noProof/>
          <w:sz w:val="44"/>
          <w:szCs w:val="40"/>
          <w:lang w:val="en-GB"/>
        </w:rPr>
        <w:br w:type="page"/>
      </w:r>
    </w:p>
    <w:sdt>
      <w:sdtPr>
        <w:rPr>
          <w:rFonts w:ascii="Arial" w:eastAsiaTheme="minorHAnsi" w:hAnsi="Arial" w:cs="Arial"/>
          <w:noProof/>
          <w:color w:val="auto"/>
          <w:sz w:val="24"/>
          <w:szCs w:val="22"/>
          <w:lang w:val="en-GB"/>
        </w:rPr>
        <w:id w:val="1451051986"/>
        <w:docPartObj>
          <w:docPartGallery w:val="Table of Contents"/>
          <w:docPartUnique/>
        </w:docPartObj>
      </w:sdtPr>
      <w:sdtEndPr>
        <w:rPr>
          <w:b/>
          <w:bCs/>
        </w:rPr>
      </w:sdtEndPr>
      <w:sdtContent>
        <w:p w14:paraId="0D828FF5" w14:textId="5F1E5F67" w:rsidR="00E4607C" w:rsidRPr="00DB3DBB" w:rsidRDefault="00E4607C" w:rsidP="00423E55">
          <w:pPr>
            <w:pStyle w:val="TOCHeading"/>
            <w:spacing w:line="360" w:lineRule="auto"/>
            <w:jc w:val="center"/>
            <w:rPr>
              <w:rFonts w:ascii="Arial" w:hAnsi="Arial" w:cs="Arial"/>
              <w:b/>
              <w:bCs/>
              <w:noProof/>
              <w:sz w:val="28"/>
              <w:szCs w:val="28"/>
              <w:lang w:val="en-GB"/>
            </w:rPr>
          </w:pPr>
          <w:r w:rsidRPr="00DB3DBB">
            <w:rPr>
              <w:rFonts w:ascii="Arial" w:hAnsi="Arial" w:cs="Arial"/>
              <w:b/>
              <w:bCs/>
              <w:noProof/>
              <w:sz w:val="28"/>
              <w:szCs w:val="28"/>
              <w:lang w:val="en-GB"/>
            </w:rPr>
            <w:t>Table of Contents</w:t>
          </w:r>
        </w:p>
        <w:p w14:paraId="03200D97" w14:textId="28BB334B" w:rsidR="002B3D70" w:rsidRDefault="00E4607C">
          <w:pPr>
            <w:pStyle w:val="TOC1"/>
            <w:tabs>
              <w:tab w:val="right" w:leader="dot" w:pos="9350"/>
            </w:tabs>
            <w:rPr>
              <w:rFonts w:asciiTheme="minorHAnsi" w:eastAsiaTheme="minorEastAsia" w:hAnsiTheme="minorHAnsi"/>
              <w:noProof/>
              <w:sz w:val="22"/>
            </w:rPr>
          </w:pPr>
          <w:r w:rsidRPr="00DB3DBB">
            <w:rPr>
              <w:rFonts w:cs="Arial"/>
              <w:noProof/>
              <w:sz w:val="28"/>
              <w:szCs w:val="24"/>
              <w:lang w:val="en-GB"/>
            </w:rPr>
            <w:fldChar w:fldCharType="begin"/>
          </w:r>
          <w:r w:rsidRPr="00DB3DBB">
            <w:rPr>
              <w:rFonts w:cs="Arial"/>
              <w:noProof/>
              <w:sz w:val="28"/>
              <w:szCs w:val="24"/>
              <w:lang w:val="en-GB"/>
            </w:rPr>
            <w:instrText xml:space="preserve"> TOC \o "1-3" \h \z \u </w:instrText>
          </w:r>
          <w:r w:rsidRPr="00DB3DBB">
            <w:rPr>
              <w:rFonts w:cs="Arial"/>
              <w:noProof/>
              <w:sz w:val="28"/>
              <w:szCs w:val="24"/>
              <w:lang w:val="en-GB"/>
            </w:rPr>
            <w:fldChar w:fldCharType="separate"/>
          </w:r>
          <w:hyperlink w:anchor="_Toc111254901" w:history="1">
            <w:r w:rsidR="002B3D70" w:rsidRPr="0072459E">
              <w:rPr>
                <w:rStyle w:val="Hyperlink"/>
                <w:rFonts w:cs="Arial"/>
                <w:noProof/>
                <w:lang w:val="en-GB"/>
              </w:rPr>
              <w:t>Introduction</w:t>
            </w:r>
            <w:r w:rsidR="002B3D70">
              <w:rPr>
                <w:noProof/>
                <w:webHidden/>
              </w:rPr>
              <w:tab/>
            </w:r>
            <w:r w:rsidR="002B3D70">
              <w:rPr>
                <w:noProof/>
                <w:webHidden/>
              </w:rPr>
              <w:fldChar w:fldCharType="begin"/>
            </w:r>
            <w:r w:rsidR="002B3D70">
              <w:rPr>
                <w:noProof/>
                <w:webHidden/>
              </w:rPr>
              <w:instrText xml:space="preserve"> PAGEREF _Toc111254901 \h </w:instrText>
            </w:r>
            <w:r w:rsidR="002B3D70">
              <w:rPr>
                <w:noProof/>
                <w:webHidden/>
              </w:rPr>
            </w:r>
            <w:r w:rsidR="002B3D70">
              <w:rPr>
                <w:noProof/>
                <w:webHidden/>
              </w:rPr>
              <w:fldChar w:fldCharType="separate"/>
            </w:r>
            <w:r w:rsidR="002B3D70">
              <w:rPr>
                <w:noProof/>
                <w:webHidden/>
              </w:rPr>
              <w:t>3</w:t>
            </w:r>
            <w:r w:rsidR="002B3D70">
              <w:rPr>
                <w:noProof/>
                <w:webHidden/>
              </w:rPr>
              <w:fldChar w:fldCharType="end"/>
            </w:r>
          </w:hyperlink>
        </w:p>
        <w:p w14:paraId="7FB60383" w14:textId="1BF09CA3" w:rsidR="002B3D70" w:rsidRDefault="007345A2">
          <w:pPr>
            <w:pStyle w:val="TOC1"/>
            <w:tabs>
              <w:tab w:val="right" w:leader="dot" w:pos="9350"/>
            </w:tabs>
            <w:rPr>
              <w:rFonts w:asciiTheme="minorHAnsi" w:eastAsiaTheme="minorEastAsia" w:hAnsiTheme="minorHAnsi"/>
              <w:noProof/>
              <w:sz w:val="22"/>
            </w:rPr>
          </w:pPr>
          <w:hyperlink w:anchor="_Toc111254902" w:history="1">
            <w:r w:rsidR="002B3D70" w:rsidRPr="0072459E">
              <w:rPr>
                <w:rStyle w:val="Hyperlink"/>
                <w:rFonts w:cs="Arial"/>
                <w:noProof/>
                <w:lang w:val="en-GB"/>
              </w:rPr>
              <w:t>Reflection on Barclays’ Community Engagement Project</w:t>
            </w:r>
            <w:r w:rsidR="002B3D70">
              <w:rPr>
                <w:noProof/>
                <w:webHidden/>
              </w:rPr>
              <w:tab/>
            </w:r>
            <w:r w:rsidR="002B3D70">
              <w:rPr>
                <w:noProof/>
                <w:webHidden/>
              </w:rPr>
              <w:fldChar w:fldCharType="begin"/>
            </w:r>
            <w:r w:rsidR="002B3D70">
              <w:rPr>
                <w:noProof/>
                <w:webHidden/>
              </w:rPr>
              <w:instrText xml:space="preserve"> PAGEREF _Toc111254902 \h </w:instrText>
            </w:r>
            <w:r w:rsidR="002B3D70">
              <w:rPr>
                <w:noProof/>
                <w:webHidden/>
              </w:rPr>
            </w:r>
            <w:r w:rsidR="002B3D70">
              <w:rPr>
                <w:noProof/>
                <w:webHidden/>
              </w:rPr>
              <w:fldChar w:fldCharType="separate"/>
            </w:r>
            <w:r w:rsidR="002B3D70">
              <w:rPr>
                <w:noProof/>
                <w:webHidden/>
              </w:rPr>
              <w:t>3</w:t>
            </w:r>
            <w:r w:rsidR="002B3D70">
              <w:rPr>
                <w:noProof/>
                <w:webHidden/>
              </w:rPr>
              <w:fldChar w:fldCharType="end"/>
            </w:r>
          </w:hyperlink>
        </w:p>
        <w:p w14:paraId="04B1B880" w14:textId="51C5CB4F" w:rsidR="002B3D70" w:rsidRDefault="007345A2">
          <w:pPr>
            <w:pStyle w:val="TOC2"/>
            <w:tabs>
              <w:tab w:val="right" w:leader="dot" w:pos="9350"/>
            </w:tabs>
            <w:rPr>
              <w:rFonts w:asciiTheme="minorHAnsi" w:eastAsiaTheme="minorEastAsia" w:hAnsiTheme="minorHAnsi"/>
              <w:noProof/>
              <w:sz w:val="22"/>
            </w:rPr>
          </w:pPr>
          <w:hyperlink w:anchor="_Toc111254903" w:history="1">
            <w:r w:rsidR="002B3D70" w:rsidRPr="0072459E">
              <w:rPr>
                <w:rStyle w:val="Hyperlink"/>
                <w:rFonts w:cs="Arial"/>
                <w:noProof/>
                <w:lang w:val="en-GB"/>
              </w:rPr>
              <w:t>Description</w:t>
            </w:r>
            <w:r w:rsidR="002B3D70">
              <w:rPr>
                <w:noProof/>
                <w:webHidden/>
              </w:rPr>
              <w:tab/>
            </w:r>
            <w:r w:rsidR="002B3D70">
              <w:rPr>
                <w:noProof/>
                <w:webHidden/>
              </w:rPr>
              <w:fldChar w:fldCharType="begin"/>
            </w:r>
            <w:r w:rsidR="002B3D70">
              <w:rPr>
                <w:noProof/>
                <w:webHidden/>
              </w:rPr>
              <w:instrText xml:space="preserve"> PAGEREF _Toc111254903 \h </w:instrText>
            </w:r>
            <w:r w:rsidR="002B3D70">
              <w:rPr>
                <w:noProof/>
                <w:webHidden/>
              </w:rPr>
            </w:r>
            <w:r w:rsidR="002B3D70">
              <w:rPr>
                <w:noProof/>
                <w:webHidden/>
              </w:rPr>
              <w:fldChar w:fldCharType="separate"/>
            </w:r>
            <w:r w:rsidR="002B3D70">
              <w:rPr>
                <w:noProof/>
                <w:webHidden/>
              </w:rPr>
              <w:t>5</w:t>
            </w:r>
            <w:r w:rsidR="002B3D70">
              <w:rPr>
                <w:noProof/>
                <w:webHidden/>
              </w:rPr>
              <w:fldChar w:fldCharType="end"/>
            </w:r>
          </w:hyperlink>
        </w:p>
        <w:p w14:paraId="30FFACF1" w14:textId="61273E97" w:rsidR="002B3D70" w:rsidRDefault="007345A2">
          <w:pPr>
            <w:pStyle w:val="TOC2"/>
            <w:tabs>
              <w:tab w:val="right" w:leader="dot" w:pos="9350"/>
            </w:tabs>
            <w:rPr>
              <w:rFonts w:asciiTheme="minorHAnsi" w:eastAsiaTheme="minorEastAsia" w:hAnsiTheme="minorHAnsi"/>
              <w:noProof/>
              <w:sz w:val="22"/>
            </w:rPr>
          </w:pPr>
          <w:hyperlink w:anchor="_Toc111254904" w:history="1">
            <w:r w:rsidR="002B3D70" w:rsidRPr="0072459E">
              <w:rPr>
                <w:rStyle w:val="Hyperlink"/>
                <w:rFonts w:cs="Arial"/>
                <w:noProof/>
                <w:lang w:val="en-GB"/>
              </w:rPr>
              <w:t>Feelings</w:t>
            </w:r>
            <w:r w:rsidR="002B3D70">
              <w:rPr>
                <w:noProof/>
                <w:webHidden/>
              </w:rPr>
              <w:tab/>
            </w:r>
            <w:r w:rsidR="002B3D70">
              <w:rPr>
                <w:noProof/>
                <w:webHidden/>
              </w:rPr>
              <w:fldChar w:fldCharType="begin"/>
            </w:r>
            <w:r w:rsidR="002B3D70">
              <w:rPr>
                <w:noProof/>
                <w:webHidden/>
              </w:rPr>
              <w:instrText xml:space="preserve"> PAGEREF _Toc111254904 \h </w:instrText>
            </w:r>
            <w:r w:rsidR="002B3D70">
              <w:rPr>
                <w:noProof/>
                <w:webHidden/>
              </w:rPr>
            </w:r>
            <w:r w:rsidR="002B3D70">
              <w:rPr>
                <w:noProof/>
                <w:webHidden/>
              </w:rPr>
              <w:fldChar w:fldCharType="separate"/>
            </w:r>
            <w:r w:rsidR="002B3D70">
              <w:rPr>
                <w:noProof/>
                <w:webHidden/>
              </w:rPr>
              <w:t>5</w:t>
            </w:r>
            <w:r w:rsidR="002B3D70">
              <w:rPr>
                <w:noProof/>
                <w:webHidden/>
              </w:rPr>
              <w:fldChar w:fldCharType="end"/>
            </w:r>
          </w:hyperlink>
        </w:p>
        <w:p w14:paraId="5B9A53FE" w14:textId="40255621" w:rsidR="002B3D70" w:rsidRDefault="007345A2">
          <w:pPr>
            <w:pStyle w:val="TOC2"/>
            <w:tabs>
              <w:tab w:val="right" w:leader="dot" w:pos="9350"/>
            </w:tabs>
            <w:rPr>
              <w:rFonts w:asciiTheme="minorHAnsi" w:eastAsiaTheme="minorEastAsia" w:hAnsiTheme="minorHAnsi"/>
              <w:noProof/>
              <w:sz w:val="22"/>
            </w:rPr>
          </w:pPr>
          <w:hyperlink w:anchor="_Toc111254905" w:history="1">
            <w:r w:rsidR="002B3D70" w:rsidRPr="0072459E">
              <w:rPr>
                <w:rStyle w:val="Hyperlink"/>
                <w:rFonts w:cs="Arial"/>
                <w:noProof/>
                <w:lang w:val="en-GB"/>
              </w:rPr>
              <w:t>Evaluation</w:t>
            </w:r>
            <w:r w:rsidR="002B3D70">
              <w:rPr>
                <w:noProof/>
                <w:webHidden/>
              </w:rPr>
              <w:tab/>
            </w:r>
            <w:r w:rsidR="002B3D70">
              <w:rPr>
                <w:noProof/>
                <w:webHidden/>
              </w:rPr>
              <w:fldChar w:fldCharType="begin"/>
            </w:r>
            <w:r w:rsidR="002B3D70">
              <w:rPr>
                <w:noProof/>
                <w:webHidden/>
              </w:rPr>
              <w:instrText xml:space="preserve"> PAGEREF _Toc111254905 \h </w:instrText>
            </w:r>
            <w:r w:rsidR="002B3D70">
              <w:rPr>
                <w:noProof/>
                <w:webHidden/>
              </w:rPr>
            </w:r>
            <w:r w:rsidR="002B3D70">
              <w:rPr>
                <w:noProof/>
                <w:webHidden/>
              </w:rPr>
              <w:fldChar w:fldCharType="separate"/>
            </w:r>
            <w:r w:rsidR="002B3D70">
              <w:rPr>
                <w:noProof/>
                <w:webHidden/>
              </w:rPr>
              <w:t>6</w:t>
            </w:r>
            <w:r w:rsidR="002B3D70">
              <w:rPr>
                <w:noProof/>
                <w:webHidden/>
              </w:rPr>
              <w:fldChar w:fldCharType="end"/>
            </w:r>
          </w:hyperlink>
        </w:p>
        <w:p w14:paraId="4A952B30" w14:textId="60CB87CF" w:rsidR="002B3D70" w:rsidRDefault="007345A2">
          <w:pPr>
            <w:pStyle w:val="TOC2"/>
            <w:tabs>
              <w:tab w:val="right" w:leader="dot" w:pos="9350"/>
            </w:tabs>
            <w:rPr>
              <w:rFonts w:asciiTheme="minorHAnsi" w:eastAsiaTheme="minorEastAsia" w:hAnsiTheme="minorHAnsi"/>
              <w:noProof/>
              <w:sz w:val="22"/>
            </w:rPr>
          </w:pPr>
          <w:hyperlink w:anchor="_Toc111254906" w:history="1">
            <w:r w:rsidR="002B3D70" w:rsidRPr="0072459E">
              <w:rPr>
                <w:rStyle w:val="Hyperlink"/>
                <w:rFonts w:cs="Arial"/>
                <w:noProof/>
                <w:lang w:val="en-GB"/>
              </w:rPr>
              <w:t>Analysis</w:t>
            </w:r>
            <w:r w:rsidR="002B3D70">
              <w:rPr>
                <w:noProof/>
                <w:webHidden/>
              </w:rPr>
              <w:tab/>
            </w:r>
            <w:r w:rsidR="002B3D70">
              <w:rPr>
                <w:noProof/>
                <w:webHidden/>
              </w:rPr>
              <w:fldChar w:fldCharType="begin"/>
            </w:r>
            <w:r w:rsidR="002B3D70">
              <w:rPr>
                <w:noProof/>
                <w:webHidden/>
              </w:rPr>
              <w:instrText xml:space="preserve"> PAGEREF _Toc111254906 \h </w:instrText>
            </w:r>
            <w:r w:rsidR="002B3D70">
              <w:rPr>
                <w:noProof/>
                <w:webHidden/>
              </w:rPr>
            </w:r>
            <w:r w:rsidR="002B3D70">
              <w:rPr>
                <w:noProof/>
                <w:webHidden/>
              </w:rPr>
              <w:fldChar w:fldCharType="separate"/>
            </w:r>
            <w:r w:rsidR="002B3D70">
              <w:rPr>
                <w:noProof/>
                <w:webHidden/>
              </w:rPr>
              <w:t>6</w:t>
            </w:r>
            <w:r w:rsidR="002B3D70">
              <w:rPr>
                <w:noProof/>
                <w:webHidden/>
              </w:rPr>
              <w:fldChar w:fldCharType="end"/>
            </w:r>
          </w:hyperlink>
        </w:p>
        <w:p w14:paraId="57A6AA33" w14:textId="47126F90" w:rsidR="002B3D70" w:rsidRDefault="007345A2">
          <w:pPr>
            <w:pStyle w:val="TOC2"/>
            <w:tabs>
              <w:tab w:val="right" w:leader="dot" w:pos="9350"/>
            </w:tabs>
            <w:rPr>
              <w:rFonts w:asciiTheme="minorHAnsi" w:eastAsiaTheme="minorEastAsia" w:hAnsiTheme="minorHAnsi"/>
              <w:noProof/>
              <w:sz w:val="22"/>
            </w:rPr>
          </w:pPr>
          <w:hyperlink w:anchor="_Toc111254907" w:history="1">
            <w:r w:rsidR="002B3D70" w:rsidRPr="0072459E">
              <w:rPr>
                <w:rStyle w:val="Hyperlink"/>
                <w:rFonts w:cs="Arial"/>
                <w:noProof/>
                <w:lang w:val="en-GB"/>
              </w:rPr>
              <w:t>Conclusion</w:t>
            </w:r>
            <w:r w:rsidR="002B3D70">
              <w:rPr>
                <w:noProof/>
                <w:webHidden/>
              </w:rPr>
              <w:tab/>
            </w:r>
            <w:r w:rsidR="002B3D70">
              <w:rPr>
                <w:noProof/>
                <w:webHidden/>
              </w:rPr>
              <w:fldChar w:fldCharType="begin"/>
            </w:r>
            <w:r w:rsidR="002B3D70">
              <w:rPr>
                <w:noProof/>
                <w:webHidden/>
              </w:rPr>
              <w:instrText xml:space="preserve"> PAGEREF _Toc111254907 \h </w:instrText>
            </w:r>
            <w:r w:rsidR="002B3D70">
              <w:rPr>
                <w:noProof/>
                <w:webHidden/>
              </w:rPr>
            </w:r>
            <w:r w:rsidR="002B3D70">
              <w:rPr>
                <w:noProof/>
                <w:webHidden/>
              </w:rPr>
              <w:fldChar w:fldCharType="separate"/>
            </w:r>
            <w:r w:rsidR="002B3D70">
              <w:rPr>
                <w:noProof/>
                <w:webHidden/>
              </w:rPr>
              <w:t>6</w:t>
            </w:r>
            <w:r w:rsidR="002B3D70">
              <w:rPr>
                <w:noProof/>
                <w:webHidden/>
              </w:rPr>
              <w:fldChar w:fldCharType="end"/>
            </w:r>
          </w:hyperlink>
        </w:p>
        <w:p w14:paraId="2FDC5798" w14:textId="5E382F68" w:rsidR="002B3D70" w:rsidRDefault="007345A2">
          <w:pPr>
            <w:pStyle w:val="TOC2"/>
            <w:tabs>
              <w:tab w:val="right" w:leader="dot" w:pos="9350"/>
            </w:tabs>
            <w:rPr>
              <w:rFonts w:asciiTheme="minorHAnsi" w:eastAsiaTheme="minorEastAsia" w:hAnsiTheme="minorHAnsi"/>
              <w:noProof/>
              <w:sz w:val="22"/>
            </w:rPr>
          </w:pPr>
          <w:hyperlink w:anchor="_Toc111254908" w:history="1">
            <w:r w:rsidR="002B3D70" w:rsidRPr="0072459E">
              <w:rPr>
                <w:rStyle w:val="Hyperlink"/>
                <w:rFonts w:cs="Arial"/>
                <w:noProof/>
                <w:lang w:val="en-GB"/>
              </w:rPr>
              <w:t>Action Plan</w:t>
            </w:r>
            <w:r w:rsidR="002B3D70">
              <w:rPr>
                <w:noProof/>
                <w:webHidden/>
              </w:rPr>
              <w:tab/>
            </w:r>
            <w:r w:rsidR="002B3D70">
              <w:rPr>
                <w:noProof/>
                <w:webHidden/>
              </w:rPr>
              <w:fldChar w:fldCharType="begin"/>
            </w:r>
            <w:r w:rsidR="002B3D70">
              <w:rPr>
                <w:noProof/>
                <w:webHidden/>
              </w:rPr>
              <w:instrText xml:space="preserve"> PAGEREF _Toc111254908 \h </w:instrText>
            </w:r>
            <w:r w:rsidR="002B3D70">
              <w:rPr>
                <w:noProof/>
                <w:webHidden/>
              </w:rPr>
            </w:r>
            <w:r w:rsidR="002B3D70">
              <w:rPr>
                <w:noProof/>
                <w:webHidden/>
              </w:rPr>
              <w:fldChar w:fldCharType="separate"/>
            </w:r>
            <w:r w:rsidR="002B3D70">
              <w:rPr>
                <w:noProof/>
                <w:webHidden/>
              </w:rPr>
              <w:t>7</w:t>
            </w:r>
            <w:r w:rsidR="002B3D70">
              <w:rPr>
                <w:noProof/>
                <w:webHidden/>
              </w:rPr>
              <w:fldChar w:fldCharType="end"/>
            </w:r>
          </w:hyperlink>
        </w:p>
        <w:p w14:paraId="33193FBB" w14:textId="2CA88211" w:rsidR="002B3D70" w:rsidRDefault="007345A2">
          <w:pPr>
            <w:pStyle w:val="TOC1"/>
            <w:tabs>
              <w:tab w:val="right" w:leader="dot" w:pos="9350"/>
            </w:tabs>
            <w:rPr>
              <w:rFonts w:asciiTheme="minorHAnsi" w:eastAsiaTheme="minorEastAsia" w:hAnsiTheme="minorHAnsi"/>
              <w:noProof/>
              <w:sz w:val="22"/>
            </w:rPr>
          </w:pPr>
          <w:hyperlink w:anchor="_Toc111254909" w:history="1">
            <w:r w:rsidR="002B3D70" w:rsidRPr="0072459E">
              <w:rPr>
                <w:rStyle w:val="Hyperlink"/>
                <w:rFonts w:cs="Arial"/>
                <w:noProof/>
                <w:lang w:val="en-GB"/>
              </w:rPr>
              <w:t>Compliance with Community Engagement Strategy</w:t>
            </w:r>
            <w:r w:rsidR="002B3D70">
              <w:rPr>
                <w:noProof/>
                <w:webHidden/>
              </w:rPr>
              <w:tab/>
            </w:r>
            <w:r w:rsidR="002B3D70">
              <w:rPr>
                <w:noProof/>
                <w:webHidden/>
              </w:rPr>
              <w:fldChar w:fldCharType="begin"/>
            </w:r>
            <w:r w:rsidR="002B3D70">
              <w:rPr>
                <w:noProof/>
                <w:webHidden/>
              </w:rPr>
              <w:instrText xml:space="preserve"> PAGEREF _Toc111254909 \h </w:instrText>
            </w:r>
            <w:r w:rsidR="002B3D70">
              <w:rPr>
                <w:noProof/>
                <w:webHidden/>
              </w:rPr>
            </w:r>
            <w:r w:rsidR="002B3D70">
              <w:rPr>
                <w:noProof/>
                <w:webHidden/>
              </w:rPr>
              <w:fldChar w:fldCharType="separate"/>
            </w:r>
            <w:r w:rsidR="002B3D70">
              <w:rPr>
                <w:noProof/>
                <w:webHidden/>
              </w:rPr>
              <w:t>7</w:t>
            </w:r>
            <w:r w:rsidR="002B3D70">
              <w:rPr>
                <w:noProof/>
                <w:webHidden/>
              </w:rPr>
              <w:fldChar w:fldCharType="end"/>
            </w:r>
          </w:hyperlink>
        </w:p>
        <w:p w14:paraId="6AAEB6C8" w14:textId="0585D983" w:rsidR="002B3D70" w:rsidRDefault="007345A2">
          <w:pPr>
            <w:pStyle w:val="TOC2"/>
            <w:tabs>
              <w:tab w:val="right" w:leader="dot" w:pos="9350"/>
            </w:tabs>
            <w:rPr>
              <w:rFonts w:asciiTheme="minorHAnsi" w:eastAsiaTheme="minorEastAsia" w:hAnsiTheme="minorHAnsi"/>
              <w:noProof/>
              <w:sz w:val="22"/>
            </w:rPr>
          </w:pPr>
          <w:hyperlink w:anchor="_Toc111254910" w:history="1">
            <w:r w:rsidR="002B3D70" w:rsidRPr="0072459E">
              <w:rPr>
                <w:rStyle w:val="Hyperlink"/>
                <w:rFonts w:cs="Arial"/>
                <w:noProof/>
                <w:lang w:val="en-GB"/>
              </w:rPr>
              <w:t>Conclusion</w:t>
            </w:r>
            <w:r w:rsidR="002B3D70">
              <w:rPr>
                <w:noProof/>
                <w:webHidden/>
              </w:rPr>
              <w:tab/>
            </w:r>
            <w:r w:rsidR="002B3D70">
              <w:rPr>
                <w:noProof/>
                <w:webHidden/>
              </w:rPr>
              <w:fldChar w:fldCharType="begin"/>
            </w:r>
            <w:r w:rsidR="002B3D70">
              <w:rPr>
                <w:noProof/>
                <w:webHidden/>
              </w:rPr>
              <w:instrText xml:space="preserve"> PAGEREF _Toc111254910 \h </w:instrText>
            </w:r>
            <w:r w:rsidR="002B3D70">
              <w:rPr>
                <w:noProof/>
                <w:webHidden/>
              </w:rPr>
            </w:r>
            <w:r w:rsidR="002B3D70">
              <w:rPr>
                <w:noProof/>
                <w:webHidden/>
              </w:rPr>
              <w:fldChar w:fldCharType="separate"/>
            </w:r>
            <w:r w:rsidR="002B3D70">
              <w:rPr>
                <w:noProof/>
                <w:webHidden/>
              </w:rPr>
              <w:t>9</w:t>
            </w:r>
            <w:r w:rsidR="002B3D70">
              <w:rPr>
                <w:noProof/>
                <w:webHidden/>
              </w:rPr>
              <w:fldChar w:fldCharType="end"/>
            </w:r>
          </w:hyperlink>
        </w:p>
        <w:p w14:paraId="4BA70C4B" w14:textId="512096F2" w:rsidR="002B3D70" w:rsidRDefault="007345A2">
          <w:pPr>
            <w:pStyle w:val="TOC1"/>
            <w:tabs>
              <w:tab w:val="right" w:leader="dot" w:pos="9350"/>
            </w:tabs>
            <w:rPr>
              <w:rFonts w:asciiTheme="minorHAnsi" w:eastAsiaTheme="minorEastAsia" w:hAnsiTheme="minorHAnsi"/>
              <w:noProof/>
              <w:sz w:val="22"/>
            </w:rPr>
          </w:pPr>
          <w:hyperlink w:anchor="_Toc111254911" w:history="1">
            <w:r w:rsidR="002B3D70" w:rsidRPr="0072459E">
              <w:rPr>
                <w:rStyle w:val="Hyperlink"/>
                <w:rFonts w:cs="Arial"/>
                <w:noProof/>
                <w:lang w:val="en-GB"/>
              </w:rPr>
              <w:t>References</w:t>
            </w:r>
            <w:r w:rsidR="002B3D70">
              <w:rPr>
                <w:noProof/>
                <w:webHidden/>
              </w:rPr>
              <w:tab/>
            </w:r>
            <w:r w:rsidR="002B3D70">
              <w:rPr>
                <w:noProof/>
                <w:webHidden/>
              </w:rPr>
              <w:fldChar w:fldCharType="begin"/>
            </w:r>
            <w:r w:rsidR="002B3D70">
              <w:rPr>
                <w:noProof/>
                <w:webHidden/>
              </w:rPr>
              <w:instrText xml:space="preserve"> PAGEREF _Toc111254911 \h </w:instrText>
            </w:r>
            <w:r w:rsidR="002B3D70">
              <w:rPr>
                <w:noProof/>
                <w:webHidden/>
              </w:rPr>
            </w:r>
            <w:r w:rsidR="002B3D70">
              <w:rPr>
                <w:noProof/>
                <w:webHidden/>
              </w:rPr>
              <w:fldChar w:fldCharType="separate"/>
            </w:r>
            <w:r w:rsidR="002B3D70">
              <w:rPr>
                <w:noProof/>
                <w:webHidden/>
              </w:rPr>
              <w:t>10</w:t>
            </w:r>
            <w:r w:rsidR="002B3D70">
              <w:rPr>
                <w:noProof/>
                <w:webHidden/>
              </w:rPr>
              <w:fldChar w:fldCharType="end"/>
            </w:r>
          </w:hyperlink>
        </w:p>
        <w:p w14:paraId="64D956BC" w14:textId="628F79D4" w:rsidR="00E4607C" w:rsidRPr="00DB3DBB" w:rsidRDefault="00E4607C" w:rsidP="00423E55">
          <w:pPr>
            <w:rPr>
              <w:rFonts w:cs="Arial"/>
              <w:noProof/>
              <w:lang w:val="en-GB"/>
            </w:rPr>
          </w:pPr>
          <w:r w:rsidRPr="00DB3DBB">
            <w:rPr>
              <w:rFonts w:cs="Arial"/>
              <w:b/>
              <w:bCs/>
              <w:noProof/>
              <w:sz w:val="28"/>
              <w:szCs w:val="24"/>
              <w:lang w:val="en-GB"/>
            </w:rPr>
            <w:fldChar w:fldCharType="end"/>
          </w:r>
        </w:p>
      </w:sdtContent>
    </w:sdt>
    <w:p w14:paraId="22E33C1C" w14:textId="77777777" w:rsidR="000534FF" w:rsidRPr="00DB3DBB" w:rsidRDefault="000534FF" w:rsidP="00423E55">
      <w:pPr>
        <w:jc w:val="center"/>
        <w:rPr>
          <w:rFonts w:cs="Arial"/>
          <w:b/>
          <w:bCs/>
          <w:noProof/>
          <w:color w:val="2F5496" w:themeColor="accent1" w:themeShade="BF"/>
          <w:sz w:val="28"/>
          <w:szCs w:val="24"/>
          <w:lang w:val="en-GB"/>
        </w:rPr>
      </w:pPr>
      <w:r w:rsidRPr="00DB3DBB">
        <w:rPr>
          <w:rFonts w:cs="Arial"/>
          <w:b/>
          <w:bCs/>
          <w:noProof/>
          <w:color w:val="2F5496" w:themeColor="accent1" w:themeShade="BF"/>
          <w:sz w:val="28"/>
          <w:szCs w:val="24"/>
          <w:lang w:val="en-GB"/>
        </w:rPr>
        <w:t>List of Figures</w:t>
      </w:r>
    </w:p>
    <w:p w14:paraId="78A52A85" w14:textId="4A164F74" w:rsidR="00B53A53" w:rsidRDefault="000534FF">
      <w:pPr>
        <w:pStyle w:val="TableofFigures"/>
        <w:tabs>
          <w:tab w:val="right" w:leader="dot" w:pos="9350"/>
        </w:tabs>
        <w:rPr>
          <w:rFonts w:asciiTheme="minorHAnsi" w:eastAsiaTheme="minorEastAsia" w:hAnsiTheme="minorHAnsi"/>
          <w:noProof/>
          <w:sz w:val="22"/>
        </w:rPr>
      </w:pPr>
      <w:r w:rsidRPr="00DB3DBB">
        <w:rPr>
          <w:rFonts w:cs="Arial"/>
          <w:b/>
          <w:bCs/>
          <w:noProof/>
          <w:lang w:val="en-GB"/>
        </w:rPr>
        <w:fldChar w:fldCharType="begin"/>
      </w:r>
      <w:r w:rsidRPr="00DB3DBB">
        <w:rPr>
          <w:rFonts w:cs="Arial"/>
          <w:b/>
          <w:bCs/>
          <w:noProof/>
          <w:lang w:val="en-GB"/>
        </w:rPr>
        <w:instrText xml:space="preserve"> TOC \h \z \c "Figure" </w:instrText>
      </w:r>
      <w:r w:rsidRPr="00DB3DBB">
        <w:rPr>
          <w:rFonts w:cs="Arial"/>
          <w:b/>
          <w:bCs/>
          <w:noProof/>
          <w:lang w:val="en-GB"/>
        </w:rPr>
        <w:fldChar w:fldCharType="separate"/>
      </w:r>
      <w:hyperlink w:anchor="_Toc111255777" w:history="1">
        <w:r w:rsidR="00B53A53" w:rsidRPr="00191D8C">
          <w:rPr>
            <w:rStyle w:val="Hyperlink"/>
            <w:noProof/>
          </w:rPr>
          <w:t>Figure 1: Gibbs Reflective Cycle</w:t>
        </w:r>
        <w:r w:rsidR="00B53A53">
          <w:rPr>
            <w:noProof/>
            <w:webHidden/>
          </w:rPr>
          <w:tab/>
        </w:r>
        <w:r w:rsidR="00B53A53">
          <w:rPr>
            <w:noProof/>
            <w:webHidden/>
          </w:rPr>
          <w:fldChar w:fldCharType="begin"/>
        </w:r>
        <w:r w:rsidR="00B53A53">
          <w:rPr>
            <w:noProof/>
            <w:webHidden/>
          </w:rPr>
          <w:instrText xml:space="preserve"> PAGEREF _Toc111255777 \h </w:instrText>
        </w:r>
        <w:r w:rsidR="00B53A53">
          <w:rPr>
            <w:noProof/>
            <w:webHidden/>
          </w:rPr>
        </w:r>
        <w:r w:rsidR="00B53A53">
          <w:rPr>
            <w:noProof/>
            <w:webHidden/>
          </w:rPr>
          <w:fldChar w:fldCharType="separate"/>
        </w:r>
        <w:r w:rsidR="00B53A53">
          <w:rPr>
            <w:noProof/>
            <w:webHidden/>
          </w:rPr>
          <w:t>4</w:t>
        </w:r>
        <w:r w:rsidR="00B53A53">
          <w:rPr>
            <w:noProof/>
            <w:webHidden/>
          </w:rPr>
          <w:fldChar w:fldCharType="end"/>
        </w:r>
      </w:hyperlink>
    </w:p>
    <w:p w14:paraId="39FD3DB1" w14:textId="735D2C65" w:rsidR="00E4607C" w:rsidRPr="00DB3DBB" w:rsidRDefault="000534FF" w:rsidP="00423E55">
      <w:pPr>
        <w:rPr>
          <w:rFonts w:eastAsiaTheme="majorEastAsia" w:cs="Arial"/>
          <w:b/>
          <w:bCs/>
          <w:noProof/>
          <w:sz w:val="32"/>
          <w:szCs w:val="32"/>
          <w:lang w:val="en-GB" w:eastAsia="en-GB"/>
        </w:rPr>
      </w:pPr>
      <w:r w:rsidRPr="00DB3DBB">
        <w:rPr>
          <w:rFonts w:cs="Arial"/>
          <w:b/>
          <w:bCs/>
          <w:noProof/>
          <w:lang w:val="en-GB"/>
        </w:rPr>
        <w:fldChar w:fldCharType="end"/>
      </w:r>
      <w:r w:rsidR="00E4607C" w:rsidRPr="00DB3DBB">
        <w:rPr>
          <w:rFonts w:cs="Arial"/>
          <w:b/>
          <w:bCs/>
          <w:noProof/>
          <w:lang w:val="en-GB"/>
        </w:rPr>
        <w:br w:type="page"/>
      </w:r>
    </w:p>
    <w:p w14:paraId="7825EB6B" w14:textId="30C1140D" w:rsidR="00F700AD" w:rsidRPr="00DB3DBB" w:rsidRDefault="00F700AD" w:rsidP="00423E55">
      <w:pPr>
        <w:pStyle w:val="IntenseQuote"/>
        <w:rPr>
          <w:rFonts w:cs="Arial"/>
          <w:noProof/>
          <w:lang w:val="en-GB"/>
        </w:rPr>
      </w:pPr>
      <w:r w:rsidRPr="00DB3DBB">
        <w:rPr>
          <w:rFonts w:cs="Arial"/>
          <w:noProof/>
          <w:lang w:val="en-GB"/>
        </w:rPr>
        <w:lastRenderedPageBreak/>
        <w:t>Task 2: Reflective Evaluation of Barclays Community Engagement project</w:t>
      </w:r>
    </w:p>
    <w:p w14:paraId="383C3648" w14:textId="01C1855D" w:rsidR="00BC1DF8" w:rsidRPr="00DB3DBB" w:rsidRDefault="00BC1DF8" w:rsidP="00423E55">
      <w:pPr>
        <w:pStyle w:val="Heading1"/>
        <w:spacing w:line="360" w:lineRule="auto"/>
        <w:rPr>
          <w:rFonts w:cs="Arial"/>
          <w:noProof/>
          <w:lang w:val="en-GB"/>
        </w:rPr>
      </w:pPr>
      <w:bookmarkStart w:id="0" w:name="_Toc111254901"/>
      <w:r w:rsidRPr="00DB3DBB">
        <w:rPr>
          <w:rFonts w:cs="Arial"/>
          <w:noProof/>
          <w:lang w:val="en-GB"/>
        </w:rPr>
        <w:t>Introduction</w:t>
      </w:r>
      <w:bookmarkEnd w:id="0"/>
    </w:p>
    <w:p w14:paraId="16AA72BD" w14:textId="49A5B68C" w:rsidR="00215B6F" w:rsidRPr="00DB3DBB" w:rsidRDefault="00BC1DF8" w:rsidP="00423E55">
      <w:pPr>
        <w:rPr>
          <w:rFonts w:cs="Arial"/>
          <w:noProof/>
          <w:lang w:val="en-GB"/>
        </w:rPr>
      </w:pPr>
      <w:r w:rsidRPr="00DB3DBB">
        <w:rPr>
          <w:rFonts w:cs="Arial"/>
          <w:noProof/>
          <w:lang w:val="en-GB"/>
        </w:rPr>
        <w:t>Reflective thinking enables people to make connections between their newly acquired knowledge and prior understanding. It analyzes both abstract and conceptual terms and applies specific solutions to new problems. There are many different types of reflection models. A person must choose the framework that best supports his work and supports his learning experiences. Reflection entails reviewing problems from distinct viewpoints</w:t>
      </w:r>
      <w:r w:rsidR="00483400" w:rsidRPr="00DB3DBB">
        <w:rPr>
          <w:rFonts w:cs="Arial"/>
          <w:noProof/>
          <w:lang w:val="en-GB"/>
        </w:rPr>
        <w:t xml:space="preserve"> (Gevaux, 2007)</w:t>
      </w:r>
      <w:r w:rsidRPr="00DB3DBB">
        <w:rPr>
          <w:rFonts w:cs="Arial"/>
          <w:noProof/>
          <w:lang w:val="en-GB"/>
        </w:rPr>
        <w:t>. Through a process of analyzing strengths and identifying opportunities for progress, reflective thinking aims to foster the growth of critical-thinking abilities. It is necessary to have a better knowledge of the situation by considering the issue from many perspectives</w:t>
      </w:r>
      <w:r w:rsidR="000534FF" w:rsidRPr="00DB3DBB">
        <w:rPr>
          <w:rFonts w:cs="Arial"/>
          <w:noProof/>
          <w:lang w:val="en-GB"/>
        </w:rPr>
        <w:t xml:space="preserve"> </w:t>
      </w:r>
      <w:r w:rsidR="00F700AD" w:rsidRPr="00DB3DBB">
        <w:rPr>
          <w:rFonts w:cs="Arial"/>
          <w:noProof/>
          <w:lang w:val="en-GB"/>
        </w:rPr>
        <w:t>(Erikson, Erikson and Punzi, 2016)</w:t>
      </w:r>
      <w:r w:rsidRPr="00DB3DBB">
        <w:rPr>
          <w:rFonts w:cs="Arial"/>
          <w:noProof/>
          <w:lang w:val="en-GB"/>
        </w:rPr>
        <w:t xml:space="preserve">. In this study, working with Barclays's project for community engagement was evaluated. The readers would benefit from being reminded that the author worked on the </w:t>
      </w:r>
      <w:bookmarkStart w:id="1" w:name="_Hlk110990576"/>
      <w:r w:rsidRPr="00DB3DBB">
        <w:rPr>
          <w:rFonts w:cs="Arial"/>
          <w:noProof/>
          <w:lang w:val="en-GB"/>
        </w:rPr>
        <w:t xml:space="preserve">Barclays project </w:t>
      </w:r>
      <w:bookmarkEnd w:id="1"/>
      <w:r w:rsidRPr="00DB3DBB">
        <w:rPr>
          <w:rFonts w:cs="Arial"/>
          <w:noProof/>
          <w:lang w:val="en-GB"/>
        </w:rPr>
        <w:t>and discussed creating the best connection with the stakeholders and which approaches are suitable for them</w:t>
      </w:r>
      <w:r w:rsidR="00F700AD" w:rsidRPr="00DB3DBB">
        <w:rPr>
          <w:rFonts w:cs="Arial"/>
          <w:noProof/>
          <w:lang w:val="en-GB"/>
        </w:rPr>
        <w:t xml:space="preserve">. </w:t>
      </w:r>
      <w:r w:rsidR="007D76D2" w:rsidRPr="00DB3DBB">
        <w:rPr>
          <w:rFonts w:cs="Arial"/>
          <w:noProof/>
          <w:lang w:val="en-GB"/>
        </w:rPr>
        <w:t xml:space="preserve">Especially through sports Barclays has been familiar with the people in general. </w:t>
      </w:r>
      <w:r w:rsidRPr="00DB3DBB">
        <w:rPr>
          <w:rFonts w:cs="Arial"/>
          <w:noProof/>
          <w:lang w:val="en-GB"/>
        </w:rPr>
        <w:t>In this report on reflective evaluation, the author uses Gibbs’ six-stage reflective cycle model. Within the framework of this model, the learning objectives for the first assessment program have been articulated.</w:t>
      </w:r>
    </w:p>
    <w:p w14:paraId="42CF202E" w14:textId="27AF23AB" w:rsidR="00BC1DF8" w:rsidRPr="00DB3DBB" w:rsidRDefault="00B47717" w:rsidP="00423E55">
      <w:pPr>
        <w:pStyle w:val="Heading1"/>
        <w:spacing w:line="360" w:lineRule="auto"/>
        <w:rPr>
          <w:rFonts w:cs="Arial"/>
          <w:noProof/>
          <w:lang w:val="en-GB"/>
        </w:rPr>
      </w:pPr>
      <w:bookmarkStart w:id="2" w:name="_Toc111254902"/>
      <w:r w:rsidRPr="00DB3DBB">
        <w:rPr>
          <w:rFonts w:cs="Arial"/>
          <w:noProof/>
          <w:lang w:val="en-GB"/>
        </w:rPr>
        <w:t>Reflection on Barclays’ Community Engagement Project</w:t>
      </w:r>
      <w:bookmarkEnd w:id="2"/>
    </w:p>
    <w:p w14:paraId="04F82CC5" w14:textId="4CD0FAD7" w:rsidR="00B47717" w:rsidRPr="00DB3DBB" w:rsidRDefault="001E6ED9" w:rsidP="00423E55">
      <w:pPr>
        <w:rPr>
          <w:rFonts w:cs="Arial"/>
          <w:noProof/>
          <w:lang w:val="en-GB" w:eastAsia="en-GB"/>
        </w:rPr>
      </w:pPr>
      <w:r w:rsidRPr="00DB3DBB">
        <w:rPr>
          <w:rFonts w:cs="Arial"/>
          <w:noProof/>
          <w:lang w:val="en-GB" w:eastAsia="en-GB"/>
        </w:rPr>
        <w:t>The reflective learning strategy is preferable among the various available learning methods</w:t>
      </w:r>
      <w:r w:rsidR="009D32EF" w:rsidRPr="00DB3DBB">
        <w:rPr>
          <w:rFonts w:cs="Arial"/>
          <w:noProof/>
          <w:lang w:val="en-GB" w:eastAsia="en-GB"/>
        </w:rPr>
        <w:t xml:space="preserve"> (</w:t>
      </w:r>
      <w:r w:rsidR="009D32EF" w:rsidRPr="00DB3DBB">
        <w:rPr>
          <w:noProof/>
          <w:lang w:val="en-GB" w:eastAsia="en-GB"/>
        </w:rPr>
        <w:t>Davies, 2012)</w:t>
      </w:r>
      <w:r w:rsidRPr="00DB3DBB">
        <w:rPr>
          <w:rFonts w:cs="Arial"/>
          <w:noProof/>
          <w:lang w:val="en-GB" w:eastAsia="en-GB"/>
        </w:rPr>
        <w:t xml:space="preserve">. </w:t>
      </w:r>
      <w:r w:rsidR="00B47717" w:rsidRPr="00DB3DBB">
        <w:rPr>
          <w:rFonts w:cs="Arial"/>
          <w:noProof/>
          <w:lang w:val="en-GB" w:eastAsia="en-GB"/>
        </w:rPr>
        <w:t xml:space="preserve">A reflection </w:t>
      </w:r>
      <w:r w:rsidRPr="00DB3DBB">
        <w:rPr>
          <w:rFonts w:cs="Arial"/>
          <w:noProof/>
          <w:lang w:val="en-GB" w:eastAsia="en-GB"/>
        </w:rPr>
        <w:t>strategy</w:t>
      </w:r>
      <w:r w:rsidR="00B47717" w:rsidRPr="00DB3DBB">
        <w:rPr>
          <w:rFonts w:cs="Arial"/>
          <w:noProof/>
          <w:lang w:val="en-GB" w:eastAsia="en-GB"/>
        </w:rPr>
        <w:t xml:space="preserve"> is a systematic approach for facilitating contextual analysis and improvement. This concept supports people or organizations by assisting them in interpreting their thought and learning processes</w:t>
      </w:r>
      <w:r w:rsidR="00483400" w:rsidRPr="00DB3DBB">
        <w:rPr>
          <w:rFonts w:cs="Arial"/>
          <w:noProof/>
          <w:lang w:val="en-GB" w:eastAsia="en-GB"/>
        </w:rPr>
        <w:t xml:space="preserve"> </w:t>
      </w:r>
      <w:r w:rsidR="00F700AD" w:rsidRPr="00DB3DBB">
        <w:rPr>
          <w:rStyle w:val="selectable"/>
          <w:rFonts w:cs="Arial"/>
          <w:noProof/>
          <w:color w:val="000000"/>
          <w:lang w:val="en-GB"/>
        </w:rPr>
        <w:t xml:space="preserve">(Greenberger and McNaughton, 2019). </w:t>
      </w:r>
      <w:r w:rsidR="00615DCF" w:rsidRPr="00DB3DBB">
        <w:rPr>
          <w:rFonts w:cs="Arial"/>
          <w:noProof/>
          <w:lang w:val="en-GB" w:eastAsia="en-GB"/>
        </w:rPr>
        <w:t xml:space="preserve">Reflection includes deliberately considering and evaluating what is being done right now, what has been done in the past, what has been observed, and what has been learnt. A model of reflection helps people through this process and offers </w:t>
      </w:r>
      <w:r w:rsidR="00615DCF" w:rsidRPr="00DB3DBB">
        <w:rPr>
          <w:rFonts w:cs="Arial"/>
          <w:noProof/>
          <w:lang w:val="en-GB" w:eastAsia="en-GB"/>
        </w:rPr>
        <w:lastRenderedPageBreak/>
        <w:t>various angles from which to address the problems</w:t>
      </w:r>
      <w:r w:rsidR="00483400" w:rsidRPr="00DB3DBB">
        <w:rPr>
          <w:rFonts w:cs="Arial"/>
          <w:noProof/>
          <w:lang w:val="en-GB"/>
        </w:rPr>
        <w:t xml:space="preserve"> </w:t>
      </w:r>
      <w:bookmarkStart w:id="3" w:name="_Hlk110962320"/>
      <w:r w:rsidR="00483400" w:rsidRPr="00DB3DBB">
        <w:rPr>
          <w:rFonts w:cs="Arial"/>
          <w:noProof/>
          <w:lang w:val="en-GB" w:eastAsia="en-GB"/>
        </w:rPr>
        <w:t>(Gevaux, 2007)</w:t>
      </w:r>
      <w:bookmarkEnd w:id="3"/>
      <w:r w:rsidR="00615DCF" w:rsidRPr="00DB3DBB">
        <w:rPr>
          <w:rFonts w:cs="Arial"/>
          <w:noProof/>
          <w:lang w:val="en-GB" w:eastAsia="en-GB"/>
        </w:rPr>
        <w:t>. One model can occasionally be mixed with others to produce a unique structure. Professor Graham Gibbs demonstrated one of the contrasting views of this reflection model and called his method the "Gibbs Reflective Cycle Procedure"</w:t>
      </w:r>
      <w:r w:rsidR="00483400" w:rsidRPr="00DB3DBB">
        <w:rPr>
          <w:rFonts w:cs="Arial"/>
          <w:noProof/>
          <w:lang w:val="en-GB"/>
        </w:rPr>
        <w:t xml:space="preserve"> </w:t>
      </w:r>
      <w:r w:rsidR="00483400" w:rsidRPr="00DB3DBB">
        <w:rPr>
          <w:rFonts w:cs="Arial"/>
          <w:noProof/>
          <w:lang w:val="en-GB" w:eastAsia="en-GB"/>
        </w:rPr>
        <w:t xml:space="preserve">(Hall and Simeral, </w:t>
      </w:r>
      <w:r w:rsidR="009D32EF" w:rsidRPr="00DB3DBB">
        <w:rPr>
          <w:rFonts w:cs="Arial"/>
          <w:noProof/>
          <w:lang w:val="en-GB" w:eastAsia="en-GB"/>
        </w:rPr>
        <w:t>2018</w:t>
      </w:r>
      <w:r w:rsidR="00483400" w:rsidRPr="00DB3DBB">
        <w:rPr>
          <w:rFonts w:cs="Arial"/>
          <w:noProof/>
          <w:lang w:val="en-GB" w:eastAsia="en-GB"/>
        </w:rPr>
        <w:t>).</w:t>
      </w:r>
      <w:r w:rsidR="00615DCF" w:rsidRPr="00DB3DBB">
        <w:rPr>
          <w:rFonts w:cs="Arial"/>
          <w:noProof/>
          <w:lang w:val="en-GB" w:eastAsia="en-GB"/>
        </w:rPr>
        <w:t xml:space="preserve"> In this section of the report, I will first provide an overview of the reflection program of Barclays that utilizes this model before contrasting it with another type of program that accomplishes a similar procedure</w:t>
      </w:r>
      <w:r w:rsidR="009D32EF" w:rsidRPr="00DB3DBB">
        <w:rPr>
          <w:rFonts w:cs="Arial"/>
          <w:noProof/>
          <w:lang w:val="en-GB"/>
        </w:rPr>
        <w:t>.</w:t>
      </w:r>
    </w:p>
    <w:p w14:paraId="5E85E81B" w14:textId="77777777" w:rsidR="00B53A53" w:rsidRDefault="00441B33" w:rsidP="00B53A53">
      <w:pPr>
        <w:keepNext/>
        <w:jc w:val="center"/>
      </w:pPr>
      <w:r w:rsidRPr="00DB3DBB">
        <w:rPr>
          <w:rFonts w:cs="Arial"/>
          <w:noProof/>
          <w:lang w:val="en-GB" w:eastAsia="en-GB"/>
        </w:rPr>
        <w:drawing>
          <wp:inline distT="0" distB="0" distL="0" distR="0" wp14:anchorId="3A6D72A8" wp14:editId="5CF181C6">
            <wp:extent cx="4095750" cy="3758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124710" cy="3784934"/>
                    </a:xfrm>
                    <a:prstGeom prst="rect">
                      <a:avLst/>
                    </a:prstGeom>
                  </pic:spPr>
                </pic:pic>
              </a:graphicData>
            </a:graphic>
          </wp:inline>
        </w:drawing>
      </w:r>
    </w:p>
    <w:p w14:paraId="07E4A5BC" w14:textId="6FBBB176" w:rsidR="00483400" w:rsidRPr="00DB3DBB" w:rsidRDefault="00B53A53" w:rsidP="00B53A53">
      <w:pPr>
        <w:pStyle w:val="Caption"/>
        <w:jc w:val="center"/>
        <w:rPr>
          <w:rFonts w:cs="Arial"/>
          <w:noProof/>
          <w:lang w:val="en-GB"/>
        </w:rPr>
      </w:pPr>
      <w:bookmarkStart w:id="4" w:name="_Toc111255777"/>
      <w:r>
        <w:t xml:space="preserve">Figure </w:t>
      </w:r>
      <w:r w:rsidR="007345A2">
        <w:fldChar w:fldCharType="begin"/>
      </w:r>
      <w:r w:rsidR="007345A2">
        <w:instrText xml:space="preserve"> SEQ Figure \* ARABIC </w:instrText>
      </w:r>
      <w:r w:rsidR="007345A2">
        <w:fldChar w:fldCharType="separate"/>
      </w:r>
      <w:r>
        <w:rPr>
          <w:noProof/>
        </w:rPr>
        <w:t>1</w:t>
      </w:r>
      <w:r w:rsidR="007345A2">
        <w:rPr>
          <w:noProof/>
        </w:rPr>
        <w:fldChar w:fldCharType="end"/>
      </w:r>
      <w:r>
        <w:t xml:space="preserve">: </w:t>
      </w:r>
      <w:r w:rsidRPr="00413961">
        <w:t>Gibbs Reflective Cycle</w:t>
      </w:r>
      <w:bookmarkEnd w:id="4"/>
    </w:p>
    <w:p w14:paraId="6BE511CF" w14:textId="57EF30EA" w:rsidR="00441B33" w:rsidRPr="00DB3DBB" w:rsidRDefault="007955FC" w:rsidP="00423E55">
      <w:pPr>
        <w:pStyle w:val="Caption"/>
        <w:spacing w:line="360" w:lineRule="auto"/>
        <w:jc w:val="center"/>
        <w:rPr>
          <w:rFonts w:cs="Arial"/>
          <w:noProof/>
          <w:color w:val="auto"/>
          <w:lang w:val="en-GB" w:eastAsia="en-GB"/>
        </w:rPr>
      </w:pPr>
      <w:r w:rsidRPr="00DB3DBB">
        <w:rPr>
          <w:rFonts w:cs="Arial"/>
          <w:noProof/>
          <w:color w:val="auto"/>
          <w:lang w:val="en-GB"/>
        </w:rPr>
        <w:t xml:space="preserve">Source: </w:t>
      </w:r>
      <w:r w:rsidR="00E4607C" w:rsidRPr="00DB3DBB">
        <w:rPr>
          <w:rFonts w:cs="Arial"/>
          <w:noProof/>
          <w:color w:val="auto"/>
          <w:lang w:val="en-GB"/>
        </w:rPr>
        <w:t>(Gevaux, 2007)</w:t>
      </w:r>
    </w:p>
    <w:p w14:paraId="77DFE0A2" w14:textId="4CEF2DC6" w:rsidR="009B73D9" w:rsidRPr="00DB3DBB" w:rsidRDefault="00712F87" w:rsidP="00423E55">
      <w:pPr>
        <w:rPr>
          <w:rFonts w:cs="Arial"/>
          <w:noProof/>
          <w:lang w:val="en-GB" w:eastAsia="en-GB"/>
        </w:rPr>
      </w:pPr>
      <w:r w:rsidRPr="00712F87">
        <w:rPr>
          <w:rFonts w:cs="Arial"/>
          <w:noProof/>
          <w:lang w:val="en-GB" w:eastAsia="en-GB"/>
        </w:rPr>
        <w:t xml:space="preserve">In order to reflect as profoundly as possible, each of the six </w:t>
      </w:r>
      <w:r>
        <w:rPr>
          <w:rFonts w:cs="Arial"/>
          <w:noProof/>
          <w:lang w:val="en-GB" w:eastAsia="en-GB"/>
        </w:rPr>
        <w:t>stages</w:t>
      </w:r>
      <w:r w:rsidRPr="00712F87">
        <w:rPr>
          <w:rFonts w:cs="Arial"/>
          <w:noProof/>
          <w:lang w:val="en-GB" w:eastAsia="en-GB"/>
        </w:rPr>
        <w:t xml:space="preserve"> of Gibbs' reflective model has a set of questions that must be addressed</w:t>
      </w:r>
      <w:r>
        <w:rPr>
          <w:rFonts w:cs="Arial"/>
          <w:noProof/>
          <w:lang w:val="en-GB" w:eastAsia="en-GB"/>
        </w:rPr>
        <w:t xml:space="preserve"> </w:t>
      </w:r>
      <w:r w:rsidR="00606288" w:rsidRPr="00DB3DBB">
        <w:rPr>
          <w:rFonts w:cs="Arial"/>
          <w:noProof/>
          <w:lang w:val="en-GB" w:eastAsia="en-GB"/>
        </w:rPr>
        <w:t xml:space="preserve">(Brockbank, McGill and Beech, 2017). Gibbs </w:t>
      </w:r>
      <w:r w:rsidRPr="00DB3DBB">
        <w:rPr>
          <w:rFonts w:cs="Arial"/>
          <w:noProof/>
          <w:lang w:val="en-GB" w:eastAsia="en-GB"/>
        </w:rPr>
        <w:t>indicates</w:t>
      </w:r>
      <w:r w:rsidR="00606288" w:rsidRPr="00DB3DBB">
        <w:rPr>
          <w:rFonts w:cs="Arial"/>
          <w:noProof/>
          <w:lang w:val="en-GB" w:eastAsia="en-GB"/>
        </w:rPr>
        <w:t xml:space="preserve"> the </w:t>
      </w:r>
      <w:r>
        <w:rPr>
          <w:rFonts w:cs="Arial"/>
          <w:noProof/>
          <w:lang w:val="en-GB" w:eastAsia="en-GB"/>
        </w:rPr>
        <w:t xml:space="preserve">stages </w:t>
      </w:r>
      <w:r w:rsidR="00606288" w:rsidRPr="00DB3DBB">
        <w:rPr>
          <w:rFonts w:cs="Arial"/>
          <w:noProof/>
          <w:lang w:val="en-GB" w:eastAsia="en-GB"/>
        </w:rPr>
        <w:t xml:space="preserve">of description, feelings, evaluation, analysis, conclusions, and action plan. The objective of this model is to categorize and organize reflections. Usually, taking several steps helps us to slow down our thought processes and avoid making quick judgments. </w:t>
      </w:r>
      <w:r w:rsidR="009B73D9" w:rsidRPr="00DB3DBB">
        <w:rPr>
          <w:rFonts w:cs="Arial"/>
          <w:noProof/>
          <w:lang w:val="en-GB" w:eastAsia="en-GB"/>
        </w:rPr>
        <w:t xml:space="preserve">People gained knowledge through their experiences, and if they did not consider how to improve themselves in the future, they were not gaining </w:t>
      </w:r>
      <w:r w:rsidR="009B73D9" w:rsidRPr="00DB3DBB">
        <w:rPr>
          <w:rFonts w:cs="Arial"/>
          <w:noProof/>
          <w:lang w:val="en-GB" w:eastAsia="en-GB"/>
        </w:rPr>
        <w:lastRenderedPageBreak/>
        <w:t>anything</w:t>
      </w:r>
      <w:r w:rsidR="00483400" w:rsidRPr="00DB3DBB">
        <w:rPr>
          <w:rFonts w:cs="Arial"/>
          <w:noProof/>
          <w:lang w:val="en-GB"/>
        </w:rPr>
        <w:t xml:space="preserve"> </w:t>
      </w:r>
      <w:r w:rsidR="00483400" w:rsidRPr="00DB3DBB">
        <w:rPr>
          <w:rFonts w:cs="Arial"/>
          <w:noProof/>
          <w:lang w:val="en-GB" w:eastAsia="en-GB"/>
        </w:rPr>
        <w:t>(Johnston and Taylor, 2018)</w:t>
      </w:r>
      <w:r w:rsidR="009B73D9" w:rsidRPr="00DB3DBB">
        <w:rPr>
          <w:rFonts w:cs="Arial"/>
          <w:noProof/>
          <w:lang w:val="en-GB" w:eastAsia="en-GB"/>
        </w:rPr>
        <w:t xml:space="preserve">. </w:t>
      </w:r>
      <w:r w:rsidRPr="00712F87">
        <w:rPr>
          <w:rFonts w:cs="Arial"/>
          <w:noProof/>
          <w:lang w:val="en-GB" w:eastAsia="en-GB"/>
        </w:rPr>
        <w:t>One of the most important teaching and learning strategies is the Gibbs Reflective Cycle, which makes the situation clear and encourages knowledge and reflection on how to manage it better the next time.</w:t>
      </w:r>
      <w:r>
        <w:rPr>
          <w:rFonts w:cs="Arial"/>
          <w:noProof/>
          <w:lang w:val="en-GB" w:eastAsia="en-GB"/>
        </w:rPr>
        <w:t xml:space="preserve"> </w:t>
      </w:r>
      <w:r w:rsidR="009B73D9" w:rsidRPr="00DB3DBB">
        <w:rPr>
          <w:rFonts w:cs="Arial"/>
          <w:noProof/>
          <w:lang w:val="en-GB" w:eastAsia="en-GB"/>
        </w:rPr>
        <w:t>The author has used the knowledge and experience gained from the previous evaluation and applied it to this section in order to provide a thorough analysis of Barclays’ instructional strategy.</w:t>
      </w:r>
    </w:p>
    <w:p w14:paraId="6053D46A" w14:textId="31CFCB81" w:rsidR="009B73D9" w:rsidRPr="00DB3DBB" w:rsidRDefault="009B73D9" w:rsidP="00423E55">
      <w:pPr>
        <w:pStyle w:val="Heading2"/>
        <w:spacing w:line="360" w:lineRule="auto"/>
        <w:rPr>
          <w:rFonts w:cs="Arial"/>
          <w:noProof/>
          <w:lang w:val="en-GB"/>
        </w:rPr>
      </w:pPr>
      <w:bookmarkStart w:id="5" w:name="_Toc111254903"/>
      <w:r w:rsidRPr="00DB3DBB">
        <w:rPr>
          <w:rFonts w:cs="Arial"/>
          <w:noProof/>
          <w:lang w:val="en-GB"/>
        </w:rPr>
        <w:t>Description</w:t>
      </w:r>
      <w:bookmarkEnd w:id="5"/>
    </w:p>
    <w:p w14:paraId="0BBEE457" w14:textId="21436DE4" w:rsidR="009B73D9" w:rsidRPr="00DB3DBB" w:rsidRDefault="009B73D9" w:rsidP="00423E55">
      <w:pPr>
        <w:rPr>
          <w:rFonts w:cs="Arial"/>
          <w:noProof/>
          <w:lang w:val="en-GB" w:eastAsia="en-GB"/>
        </w:rPr>
      </w:pPr>
      <w:r w:rsidRPr="00DB3DBB">
        <w:rPr>
          <w:rFonts w:cs="Arial"/>
          <w:noProof/>
          <w:lang w:val="en-GB" w:eastAsia="en-GB"/>
        </w:rPr>
        <w:t>The Reflective Cycle starts with a description, which basically summarizes the circumstance without making a judgement or drawing any implications</w:t>
      </w:r>
      <w:r w:rsidR="009D32EF" w:rsidRPr="00DB3DBB">
        <w:rPr>
          <w:rFonts w:cs="Arial"/>
          <w:noProof/>
          <w:lang w:val="en-GB" w:eastAsia="en-GB"/>
        </w:rPr>
        <w:t xml:space="preserve"> (</w:t>
      </w:r>
      <w:r w:rsidR="009D32EF" w:rsidRPr="00DB3DBB">
        <w:rPr>
          <w:noProof/>
          <w:lang w:val="en-GB" w:eastAsia="en-GB"/>
        </w:rPr>
        <w:t>Brockbank, McGill and Beech, 2017)</w:t>
      </w:r>
      <w:r w:rsidRPr="00DB3DBB">
        <w:rPr>
          <w:rFonts w:cs="Arial"/>
          <w:noProof/>
          <w:lang w:val="en-GB" w:eastAsia="en-GB"/>
        </w:rPr>
        <w:t>.</w:t>
      </w:r>
      <w:r w:rsidRPr="00DB3DBB">
        <w:rPr>
          <w:rFonts w:cs="Arial"/>
          <w:noProof/>
          <w:lang w:val="en-GB"/>
        </w:rPr>
        <w:t xml:space="preserve"> </w:t>
      </w:r>
      <w:r w:rsidRPr="00DB3DBB">
        <w:rPr>
          <w:rFonts w:cs="Arial"/>
          <w:noProof/>
          <w:lang w:val="en-GB" w:eastAsia="en-GB"/>
        </w:rPr>
        <w:t>This is not the phase to make assumptions. Rather it focuses on understanding what has happened. The relevant information that will offer a detailed summary of the circumstance is the main focus</w:t>
      </w:r>
      <w:r w:rsidR="00483400" w:rsidRPr="00DB3DBB">
        <w:rPr>
          <w:rFonts w:cs="Arial"/>
          <w:noProof/>
          <w:lang w:val="en-GB"/>
        </w:rPr>
        <w:t xml:space="preserve"> </w:t>
      </w:r>
      <w:r w:rsidR="00483400" w:rsidRPr="00DB3DBB">
        <w:rPr>
          <w:rFonts w:cs="Arial"/>
          <w:noProof/>
          <w:lang w:val="en-GB" w:eastAsia="en-GB"/>
        </w:rPr>
        <w:t>(Bassot, 2013)</w:t>
      </w:r>
      <w:r w:rsidRPr="00DB3DBB">
        <w:rPr>
          <w:rFonts w:cs="Arial"/>
          <w:noProof/>
          <w:lang w:val="en-GB" w:eastAsia="en-GB"/>
        </w:rPr>
        <w:t xml:space="preserve">. </w:t>
      </w:r>
      <w:r w:rsidR="00FB4D6A" w:rsidRPr="00DB3DBB">
        <w:rPr>
          <w:rFonts w:cs="Arial"/>
          <w:noProof/>
          <w:lang w:val="en-GB" w:eastAsia="en-GB"/>
        </w:rPr>
        <w:t>During this phase, Barclays conducted research into the strategies that they use to encourage community participation. During this phase, an appropriate context for interpreting the situation is established, which is helpful. By providing financial support to a wide variety of events, Barclays is able to spread awareness of its brand and foster a constructive relationship with the local community.</w:t>
      </w:r>
    </w:p>
    <w:p w14:paraId="00E8E0EF" w14:textId="247D1FAA" w:rsidR="008D2FAF" w:rsidRPr="00DB3DBB" w:rsidRDefault="008D2FAF" w:rsidP="00423E55">
      <w:pPr>
        <w:pStyle w:val="Heading2"/>
        <w:spacing w:line="360" w:lineRule="auto"/>
        <w:rPr>
          <w:rFonts w:cs="Arial"/>
          <w:noProof/>
          <w:lang w:val="en-GB"/>
        </w:rPr>
      </w:pPr>
      <w:bookmarkStart w:id="6" w:name="_Toc111254904"/>
      <w:r w:rsidRPr="00DB3DBB">
        <w:rPr>
          <w:rFonts w:cs="Arial"/>
          <w:noProof/>
          <w:lang w:val="en-GB"/>
        </w:rPr>
        <w:t>Feelings</w:t>
      </w:r>
      <w:bookmarkEnd w:id="6"/>
    </w:p>
    <w:p w14:paraId="6F348463" w14:textId="463FFEFA" w:rsidR="008D2FAF" w:rsidRPr="00DB3DBB" w:rsidRDefault="00712F87" w:rsidP="00423E55">
      <w:pPr>
        <w:rPr>
          <w:rFonts w:cs="Arial"/>
          <w:noProof/>
          <w:lang w:val="en-GB" w:eastAsia="en-GB"/>
        </w:rPr>
      </w:pPr>
      <w:r w:rsidRPr="00712F87">
        <w:rPr>
          <w:rFonts w:cs="Arial"/>
          <w:noProof/>
          <w:lang w:val="en-GB" w:eastAsia="en-GB"/>
        </w:rPr>
        <w:t>The reflective cycle's second stage, feelings, requires participants to describe their feelings and how those feelings have influenced their experiences (Davies, 2012).</w:t>
      </w:r>
      <w:r>
        <w:rPr>
          <w:rFonts w:cs="Arial"/>
          <w:noProof/>
          <w:lang w:val="en-GB" w:eastAsia="en-GB"/>
        </w:rPr>
        <w:t xml:space="preserve"> </w:t>
      </w:r>
      <w:r w:rsidR="008D2FAF" w:rsidRPr="00DB3DBB">
        <w:rPr>
          <w:rFonts w:cs="Arial"/>
          <w:noProof/>
          <w:lang w:val="en-GB" w:eastAsia="en-GB"/>
        </w:rPr>
        <w:t>This step is intended to investigate the opinions regarding the situation.</w:t>
      </w:r>
      <w:r w:rsidR="008D2FAF" w:rsidRPr="00DB3DBB">
        <w:rPr>
          <w:rFonts w:cs="Arial"/>
          <w:noProof/>
          <w:lang w:val="en-GB"/>
        </w:rPr>
        <w:t xml:space="preserve"> </w:t>
      </w:r>
      <w:r w:rsidR="008D2FAF" w:rsidRPr="00DB3DBB">
        <w:rPr>
          <w:rFonts w:cs="Arial"/>
          <w:noProof/>
          <w:lang w:val="en-GB" w:eastAsia="en-GB"/>
        </w:rPr>
        <w:t>A person who has taken part in a project of this kind to the engagement of the community feels familiar with the benefits of using sponsorship to involve the community in the organization. This is a useful stage for gathering information in the engagement process. This phase compares the before and after situation of the community engagement. People can understand how much a brand cares about them and how hard it works to achieve the specific objective of societal well</w:t>
      </w:r>
      <w:r w:rsidR="00F700AD" w:rsidRPr="00DB3DBB">
        <w:rPr>
          <w:rFonts w:cs="Arial"/>
          <w:noProof/>
          <w:lang w:val="en-GB" w:eastAsia="en-GB"/>
        </w:rPr>
        <w:t>-</w:t>
      </w:r>
      <w:r w:rsidR="008D2FAF" w:rsidRPr="00DB3DBB">
        <w:rPr>
          <w:rFonts w:cs="Arial"/>
          <w:noProof/>
          <w:lang w:val="en-GB" w:eastAsia="en-GB"/>
        </w:rPr>
        <w:t xml:space="preserve">being. </w:t>
      </w:r>
      <w:r w:rsidR="00940EAC" w:rsidRPr="00DB3DBB">
        <w:rPr>
          <w:rFonts w:cs="Arial"/>
          <w:noProof/>
          <w:lang w:val="en-GB" w:eastAsia="en-GB"/>
        </w:rPr>
        <w:t>T</w:t>
      </w:r>
      <w:r w:rsidR="008D2FAF" w:rsidRPr="00DB3DBB">
        <w:rPr>
          <w:rFonts w:cs="Arial"/>
          <w:noProof/>
          <w:lang w:val="en-GB" w:eastAsia="en-GB"/>
        </w:rPr>
        <w:t>o accomplish this goal</w:t>
      </w:r>
      <w:r w:rsidR="00F700AD" w:rsidRPr="00DB3DBB">
        <w:rPr>
          <w:rFonts w:cs="Arial"/>
          <w:noProof/>
          <w:lang w:val="en-GB" w:eastAsia="en-GB"/>
        </w:rPr>
        <w:t>,</w:t>
      </w:r>
      <w:r w:rsidR="008D2FAF" w:rsidRPr="00DB3DBB">
        <w:rPr>
          <w:rFonts w:cs="Arial"/>
          <w:noProof/>
          <w:lang w:val="en-GB" w:eastAsia="en-GB"/>
        </w:rPr>
        <w:t xml:space="preserve"> the communities have to be able to work together.</w:t>
      </w:r>
    </w:p>
    <w:p w14:paraId="3222A93A" w14:textId="4F581EA8" w:rsidR="00302CCD" w:rsidRPr="00DB3DBB" w:rsidRDefault="00302CCD" w:rsidP="00423E55">
      <w:pPr>
        <w:pStyle w:val="Heading2"/>
        <w:spacing w:line="360" w:lineRule="auto"/>
        <w:rPr>
          <w:rFonts w:cs="Arial"/>
          <w:noProof/>
          <w:lang w:val="en-GB"/>
        </w:rPr>
      </w:pPr>
      <w:bookmarkStart w:id="7" w:name="_Toc111254905"/>
      <w:r w:rsidRPr="00DB3DBB">
        <w:rPr>
          <w:rFonts w:cs="Arial"/>
          <w:noProof/>
          <w:lang w:val="en-GB"/>
        </w:rPr>
        <w:lastRenderedPageBreak/>
        <w:t>Evaluation</w:t>
      </w:r>
      <w:bookmarkEnd w:id="7"/>
    </w:p>
    <w:p w14:paraId="029CFCFC" w14:textId="34C13998" w:rsidR="00302CCD" w:rsidRPr="00DB3DBB" w:rsidRDefault="00302CCD" w:rsidP="00423E55">
      <w:pPr>
        <w:rPr>
          <w:rFonts w:cs="Arial"/>
          <w:noProof/>
          <w:lang w:val="en-GB" w:eastAsia="en-GB"/>
        </w:rPr>
      </w:pPr>
      <w:r w:rsidRPr="00DB3DBB">
        <w:rPr>
          <w:rFonts w:cs="Arial"/>
          <w:noProof/>
          <w:lang w:val="en-GB" w:eastAsia="en-GB"/>
        </w:rPr>
        <w:t>Evaluation is the third part of the reflective cycle. It involves people rating their experiences positively or negatively, as well as the good and poor aspects of the circumstance</w:t>
      </w:r>
      <w:r w:rsidR="009D32EF" w:rsidRPr="00DB3DBB">
        <w:rPr>
          <w:rFonts w:cs="Arial"/>
          <w:noProof/>
          <w:lang w:val="en-GB" w:eastAsia="en-GB"/>
        </w:rPr>
        <w:t xml:space="preserve"> (</w:t>
      </w:r>
      <w:r w:rsidR="009D32EF" w:rsidRPr="00DB3DBB">
        <w:rPr>
          <w:noProof/>
          <w:lang w:val="en-GB" w:eastAsia="en-GB"/>
        </w:rPr>
        <w:t>Brockbank, McGill and Beech, 2017)</w:t>
      </w:r>
      <w:r w:rsidRPr="00DB3DBB">
        <w:rPr>
          <w:rFonts w:cs="Arial"/>
          <w:noProof/>
          <w:lang w:val="en-GB" w:eastAsia="en-GB"/>
        </w:rPr>
        <w:t xml:space="preserve">. </w:t>
      </w:r>
      <w:r w:rsidR="00514C98" w:rsidRPr="00514C98">
        <w:rPr>
          <w:rFonts w:cs="Arial"/>
          <w:noProof/>
          <w:lang w:val="en-GB" w:eastAsia="en-GB"/>
        </w:rPr>
        <w:t>At this stage, people must be objective and identify what worked in their favo</w:t>
      </w:r>
      <w:r w:rsidR="001B54F3">
        <w:rPr>
          <w:rFonts w:cs="Arial"/>
          <w:noProof/>
          <w:lang w:val="en-GB" w:eastAsia="en-GB"/>
        </w:rPr>
        <w:t>u</w:t>
      </w:r>
      <w:r w:rsidR="00514C98" w:rsidRPr="00514C98">
        <w:rPr>
          <w:rFonts w:cs="Arial"/>
          <w:noProof/>
          <w:lang w:val="en-GB" w:eastAsia="en-GB"/>
        </w:rPr>
        <w:t>r from what did not.</w:t>
      </w:r>
      <w:r w:rsidR="00514C98">
        <w:rPr>
          <w:rFonts w:cs="Arial"/>
          <w:noProof/>
          <w:lang w:val="en-GB" w:eastAsia="en-GB"/>
        </w:rPr>
        <w:t xml:space="preserve"> </w:t>
      </w:r>
      <w:r w:rsidRPr="00DB3DBB">
        <w:rPr>
          <w:rFonts w:cs="Arial"/>
          <w:noProof/>
          <w:lang w:val="en-GB" w:eastAsia="en-GB"/>
        </w:rPr>
        <w:t>At this phase, a person is thinking more objectively about the circumstance and his actions in order to form his initial value judgments. Along with his own, he might need to think about the experience from the viewpoint of others</w:t>
      </w:r>
      <w:r w:rsidR="00F700AD" w:rsidRPr="00DB3DBB">
        <w:rPr>
          <w:rFonts w:cs="Arial"/>
          <w:noProof/>
          <w:lang w:val="en-GB"/>
        </w:rPr>
        <w:t xml:space="preserve">. </w:t>
      </w:r>
      <w:r w:rsidRPr="00DB3DBB">
        <w:rPr>
          <w:rFonts w:cs="Arial"/>
          <w:noProof/>
          <w:lang w:val="en-GB" w:eastAsia="en-GB"/>
        </w:rPr>
        <w:t>This will enable him to determine whether the circumstance was unpleasant for everyone involved or just for him.</w:t>
      </w:r>
      <w:r w:rsidR="00144259" w:rsidRPr="00DB3DBB">
        <w:rPr>
          <w:rFonts w:cs="Arial"/>
          <w:noProof/>
          <w:lang w:val="en-GB"/>
        </w:rPr>
        <w:t xml:space="preserve"> </w:t>
      </w:r>
      <w:r w:rsidR="00144259" w:rsidRPr="00DB3DBB">
        <w:rPr>
          <w:rFonts w:cs="Arial"/>
          <w:noProof/>
          <w:lang w:val="en-GB" w:eastAsia="en-GB"/>
        </w:rPr>
        <w:t>I am aware of Barclays’ many stakeholders and how they work together to reach a common objective. I also appreciate their plans for community involvement. But sometimes the effort misses its targeted audience in the area where it operates. The situation should be handled in a positive way so that the audience can respond.</w:t>
      </w:r>
    </w:p>
    <w:p w14:paraId="7EC077DE" w14:textId="1D37985E" w:rsidR="00144259" w:rsidRPr="00DB3DBB" w:rsidRDefault="00144259" w:rsidP="00423E55">
      <w:pPr>
        <w:pStyle w:val="Heading2"/>
        <w:spacing w:line="360" w:lineRule="auto"/>
        <w:rPr>
          <w:rFonts w:cs="Arial"/>
          <w:noProof/>
          <w:lang w:val="en-GB"/>
        </w:rPr>
      </w:pPr>
      <w:bookmarkStart w:id="8" w:name="_Toc111254906"/>
      <w:r w:rsidRPr="00DB3DBB">
        <w:rPr>
          <w:rFonts w:cs="Arial"/>
          <w:noProof/>
          <w:lang w:val="en-GB"/>
        </w:rPr>
        <w:t>Analysis</w:t>
      </w:r>
      <w:bookmarkEnd w:id="8"/>
    </w:p>
    <w:p w14:paraId="78DD0B83" w14:textId="263001ED" w:rsidR="00144259" w:rsidRPr="00DB3DBB" w:rsidRDefault="00144259" w:rsidP="00423E55">
      <w:pPr>
        <w:rPr>
          <w:rFonts w:cs="Arial"/>
          <w:noProof/>
          <w:lang w:val="en-GB" w:eastAsia="en-GB"/>
        </w:rPr>
      </w:pPr>
      <w:r w:rsidRPr="00DB3DBB">
        <w:rPr>
          <w:rFonts w:cs="Arial"/>
          <w:noProof/>
          <w:lang w:val="en-GB" w:eastAsia="en-GB"/>
        </w:rPr>
        <w:t>Analysis should take up a large portion of a person's reflection since it tries to explain why an experience was good or bad</w:t>
      </w:r>
      <w:r w:rsidR="009D32EF" w:rsidRPr="00DB3DBB">
        <w:rPr>
          <w:rFonts w:cs="Arial"/>
          <w:noProof/>
          <w:lang w:val="en-GB" w:eastAsia="en-GB"/>
        </w:rPr>
        <w:t xml:space="preserve"> (</w:t>
      </w:r>
      <w:r w:rsidR="009D32EF" w:rsidRPr="00DB3DBB">
        <w:rPr>
          <w:noProof/>
          <w:lang w:val="en-GB" w:eastAsia="en-GB"/>
        </w:rPr>
        <w:t>Davies, 2012)</w:t>
      </w:r>
      <w:r w:rsidRPr="00DB3DBB">
        <w:rPr>
          <w:rFonts w:cs="Arial"/>
          <w:noProof/>
          <w:lang w:val="en-GB" w:eastAsia="en-GB"/>
        </w:rPr>
        <w:t>. It considers the suggestions provided in the preceding steps and notes any elements that contributed to the success of the individual, such as prior knowledge, or consultation with others.</w:t>
      </w:r>
      <w:r w:rsidRPr="00DB3DBB">
        <w:rPr>
          <w:rFonts w:cs="Arial"/>
          <w:noProof/>
          <w:lang w:val="en-GB"/>
        </w:rPr>
        <w:t xml:space="preserve"> </w:t>
      </w:r>
      <w:r w:rsidRPr="00DB3DBB">
        <w:rPr>
          <w:rFonts w:cs="Arial"/>
          <w:noProof/>
          <w:lang w:val="en-GB" w:eastAsia="en-GB"/>
        </w:rPr>
        <w:t>The study is comprehensive in a variety of ways. For example, I have researched the several techniques of community participation utilized by financial institutions such as Barclays. Only a financial institution that properly manages a variety of audience groups can encourage strong community involvement. On the other hand, they have a duty to protect worker safety and employment rights.</w:t>
      </w:r>
    </w:p>
    <w:p w14:paraId="3E47D2C6" w14:textId="51BE7E59" w:rsidR="00144259" w:rsidRPr="00DB3DBB" w:rsidRDefault="00144259" w:rsidP="00423E55">
      <w:pPr>
        <w:pStyle w:val="Heading2"/>
        <w:spacing w:line="360" w:lineRule="auto"/>
        <w:rPr>
          <w:rFonts w:cs="Arial"/>
          <w:noProof/>
          <w:lang w:val="en-GB"/>
        </w:rPr>
      </w:pPr>
      <w:bookmarkStart w:id="9" w:name="_Toc111254907"/>
      <w:r w:rsidRPr="00DB3DBB">
        <w:rPr>
          <w:rFonts w:cs="Arial"/>
          <w:noProof/>
          <w:lang w:val="en-GB"/>
        </w:rPr>
        <w:t>Conclusion</w:t>
      </w:r>
      <w:bookmarkEnd w:id="9"/>
    </w:p>
    <w:p w14:paraId="1401F533" w14:textId="710A2230" w:rsidR="00144259" w:rsidRPr="00DB3DBB" w:rsidRDefault="00144259" w:rsidP="00423E55">
      <w:pPr>
        <w:rPr>
          <w:rFonts w:cs="Arial"/>
          <w:noProof/>
          <w:lang w:val="en-GB" w:eastAsia="en-GB"/>
        </w:rPr>
      </w:pPr>
      <w:r w:rsidRPr="00DB3DBB">
        <w:rPr>
          <w:rFonts w:cs="Arial"/>
          <w:noProof/>
          <w:lang w:val="en-GB" w:eastAsia="en-GB"/>
        </w:rPr>
        <w:t>When drawing conclusions, one should keep in mind both the assumption ability and the particular case</w:t>
      </w:r>
      <w:r w:rsidR="009D32EF" w:rsidRPr="00DB3DBB">
        <w:rPr>
          <w:rFonts w:cs="Arial"/>
          <w:noProof/>
          <w:lang w:val="en-GB" w:eastAsia="en-GB"/>
        </w:rPr>
        <w:t xml:space="preserve"> (</w:t>
      </w:r>
      <w:r w:rsidR="009D32EF" w:rsidRPr="00DB3DBB">
        <w:rPr>
          <w:noProof/>
          <w:lang w:val="en-GB" w:eastAsia="en-GB"/>
        </w:rPr>
        <w:t>Brockbank, McGill and Beech, 2017)</w:t>
      </w:r>
      <w:r w:rsidRPr="00DB3DBB">
        <w:rPr>
          <w:rFonts w:cs="Arial"/>
          <w:noProof/>
          <w:lang w:val="en-GB" w:eastAsia="en-GB"/>
        </w:rPr>
        <w:t>. He might need to consider what the conclusions imply for that instance before analyzing them more widely for other instances. In this section, I draw conclusions by analyzing and determining what activities might have improved the outcome in the future.</w:t>
      </w:r>
      <w:r w:rsidRPr="00DB3DBB">
        <w:rPr>
          <w:rFonts w:cs="Arial"/>
          <w:noProof/>
          <w:lang w:val="en-GB"/>
        </w:rPr>
        <w:t xml:space="preserve"> </w:t>
      </w:r>
      <w:r w:rsidRPr="00DB3DBB">
        <w:rPr>
          <w:rFonts w:cs="Arial"/>
          <w:noProof/>
          <w:lang w:val="en-GB" w:eastAsia="en-GB"/>
        </w:rPr>
        <w:t xml:space="preserve">Following these experiences step by step, I now recognize how essential it is to enhance and improve interpersonal, managerial, </w:t>
      </w:r>
      <w:r w:rsidRPr="00DB3DBB">
        <w:rPr>
          <w:rFonts w:cs="Arial"/>
          <w:noProof/>
          <w:lang w:val="en-GB" w:eastAsia="en-GB"/>
        </w:rPr>
        <w:lastRenderedPageBreak/>
        <w:t>communication, and leadership abilities in order to successfully run a community and interact with the members of that community</w:t>
      </w:r>
      <w:r w:rsidR="00F700AD" w:rsidRPr="00DB3DBB">
        <w:rPr>
          <w:rFonts w:cs="Arial"/>
          <w:noProof/>
          <w:lang w:val="en-GB"/>
        </w:rPr>
        <w:t xml:space="preserve">. </w:t>
      </w:r>
      <w:r w:rsidRPr="00DB3DBB">
        <w:rPr>
          <w:rFonts w:cs="Arial"/>
          <w:noProof/>
          <w:lang w:val="en-GB" w:eastAsia="en-GB"/>
        </w:rPr>
        <w:t>If my target audience can relate and connect to the event I choose to sponsor, it could enhance the reputation, standing, and dependability of my business.</w:t>
      </w:r>
    </w:p>
    <w:p w14:paraId="60907CA5" w14:textId="7A965F79" w:rsidR="00144259" w:rsidRPr="00DB3DBB" w:rsidRDefault="00144259" w:rsidP="00423E55">
      <w:pPr>
        <w:pStyle w:val="Heading2"/>
        <w:spacing w:line="360" w:lineRule="auto"/>
        <w:rPr>
          <w:rFonts w:cs="Arial"/>
          <w:noProof/>
          <w:lang w:val="en-GB"/>
        </w:rPr>
      </w:pPr>
      <w:bookmarkStart w:id="10" w:name="_Toc111254908"/>
      <w:r w:rsidRPr="00DB3DBB">
        <w:rPr>
          <w:rFonts w:cs="Arial"/>
          <w:noProof/>
          <w:lang w:val="en-GB"/>
        </w:rPr>
        <w:t>Action Plan</w:t>
      </w:r>
      <w:bookmarkEnd w:id="10"/>
    </w:p>
    <w:p w14:paraId="537CC0F0" w14:textId="1FFE5182" w:rsidR="00144259" w:rsidRPr="00DB3DBB" w:rsidRDefault="00606288" w:rsidP="00423E55">
      <w:pPr>
        <w:rPr>
          <w:rFonts w:cs="Arial"/>
          <w:noProof/>
          <w:lang w:val="en-GB" w:eastAsia="en-GB"/>
        </w:rPr>
      </w:pPr>
      <w:r w:rsidRPr="00DB3DBB">
        <w:rPr>
          <w:rFonts w:cs="Arial"/>
          <w:noProof/>
          <w:lang w:val="en-GB" w:eastAsia="en-GB"/>
        </w:rPr>
        <w:t xml:space="preserve">The action plan is the reflective cycle's final and sixth step in the process. Participants in this phase describe how they will respond to similar situations in the future and how to enhance their performance going forward. This is the right time to make changes and formulate a strategy for doing things differently in the future. </w:t>
      </w:r>
      <w:r w:rsidR="008A0930" w:rsidRPr="00DB3DBB">
        <w:rPr>
          <w:rFonts w:cs="Arial"/>
          <w:noProof/>
          <w:lang w:val="en-GB"/>
        </w:rPr>
        <w:t>After analyzing and making a conclusion on the situation of Barclays</w:t>
      </w:r>
      <w:r w:rsidR="00B60206" w:rsidRPr="00DB3DBB">
        <w:rPr>
          <w:rFonts w:cs="Arial"/>
          <w:noProof/>
          <w:lang w:val="en-GB"/>
        </w:rPr>
        <w:t>, t</w:t>
      </w:r>
      <w:r w:rsidR="00144259" w:rsidRPr="00DB3DBB">
        <w:rPr>
          <w:rFonts w:cs="Arial"/>
          <w:noProof/>
          <w:lang w:val="en-GB" w:eastAsia="en-GB"/>
        </w:rPr>
        <w:t xml:space="preserve">he </w:t>
      </w:r>
      <w:r w:rsidR="00B60206" w:rsidRPr="00DB3DBB">
        <w:rPr>
          <w:rFonts w:cs="Arial"/>
          <w:noProof/>
          <w:lang w:val="en-GB" w:eastAsia="en-GB"/>
        </w:rPr>
        <w:t>stakeholder</w:t>
      </w:r>
      <w:r w:rsidR="00144259" w:rsidRPr="00DB3DBB">
        <w:rPr>
          <w:rFonts w:cs="Arial"/>
          <w:noProof/>
          <w:lang w:val="en-GB" w:eastAsia="en-GB"/>
        </w:rPr>
        <w:t xml:space="preserve">s are also required to consider any routine changes </w:t>
      </w:r>
      <w:r w:rsidR="00B60206" w:rsidRPr="00DB3DBB">
        <w:rPr>
          <w:rFonts w:cs="Arial"/>
          <w:noProof/>
          <w:lang w:val="en-GB" w:eastAsia="en-GB"/>
        </w:rPr>
        <w:t>in their sponsorship which</w:t>
      </w:r>
      <w:r w:rsidR="00144259" w:rsidRPr="00DB3DBB">
        <w:rPr>
          <w:rFonts w:cs="Arial"/>
          <w:noProof/>
          <w:lang w:val="en-GB" w:eastAsia="en-GB"/>
        </w:rPr>
        <w:t xml:space="preserve"> would improve their reaction during this phase. It is now up to the </w:t>
      </w:r>
      <w:r w:rsidR="00B60206" w:rsidRPr="00DB3DBB">
        <w:rPr>
          <w:rFonts w:cs="Arial"/>
          <w:noProof/>
          <w:lang w:val="en-GB" w:eastAsia="en-GB"/>
        </w:rPr>
        <w:t>stakeholder</w:t>
      </w:r>
      <w:r w:rsidR="00144259" w:rsidRPr="00DB3DBB">
        <w:rPr>
          <w:rFonts w:cs="Arial"/>
          <w:noProof/>
          <w:lang w:val="en-GB" w:eastAsia="en-GB"/>
        </w:rPr>
        <w:t>s to plan a positive resolution based on their findings and consider how effectively they could position themselves to be better prepared to handle a situation like the one they just encountered in the future.</w:t>
      </w:r>
      <w:r w:rsidR="00B341E7" w:rsidRPr="00DB3DBB">
        <w:rPr>
          <w:rFonts w:cs="Arial"/>
          <w:noProof/>
          <w:lang w:val="en-GB" w:eastAsia="en-GB"/>
        </w:rPr>
        <w:t xml:space="preserve"> </w:t>
      </w:r>
    </w:p>
    <w:p w14:paraId="21BDA72F" w14:textId="03F15179" w:rsidR="00057866" w:rsidRPr="00DB3DBB" w:rsidRDefault="00057866" w:rsidP="00423E55">
      <w:pPr>
        <w:pStyle w:val="Heading1"/>
        <w:spacing w:line="360" w:lineRule="auto"/>
        <w:rPr>
          <w:rFonts w:cs="Arial"/>
          <w:noProof/>
          <w:lang w:val="en-GB"/>
        </w:rPr>
      </w:pPr>
      <w:bookmarkStart w:id="11" w:name="_Toc111254909"/>
      <w:r w:rsidRPr="00DB3DBB">
        <w:rPr>
          <w:rFonts w:cs="Arial"/>
          <w:noProof/>
          <w:lang w:val="en-GB"/>
        </w:rPr>
        <w:t>Compliance with Community Engagement Strategy</w:t>
      </w:r>
      <w:bookmarkEnd w:id="11"/>
    </w:p>
    <w:p w14:paraId="5BCF3A57" w14:textId="7476048E" w:rsidR="00057866" w:rsidRPr="00DB3DBB" w:rsidRDefault="00057866" w:rsidP="00423E55">
      <w:pPr>
        <w:rPr>
          <w:rFonts w:cs="Arial"/>
          <w:noProof/>
          <w:lang w:val="en-GB" w:eastAsia="en-GB"/>
        </w:rPr>
      </w:pPr>
      <w:r w:rsidRPr="00DB3DBB">
        <w:rPr>
          <w:rFonts w:cs="Arial"/>
          <w:noProof/>
          <w:lang w:val="en-GB" w:eastAsia="en-GB"/>
        </w:rPr>
        <w:t>A community is a place where people belong to organizations that have similar interests, like environmental organizations, or common identity, like their religious or racial identity</w:t>
      </w:r>
      <w:r w:rsidR="009D32EF" w:rsidRPr="00DB3DBB">
        <w:rPr>
          <w:rFonts w:cs="Arial"/>
          <w:noProof/>
          <w:lang w:val="en-GB" w:eastAsia="en-GB"/>
        </w:rPr>
        <w:t xml:space="preserve"> (</w:t>
      </w:r>
      <w:r w:rsidR="009D32EF" w:rsidRPr="00DB3DBB">
        <w:rPr>
          <w:noProof/>
          <w:lang w:val="en-GB" w:eastAsia="en-GB"/>
        </w:rPr>
        <w:t>Shalowitz et al., 2009)</w:t>
      </w:r>
      <w:r w:rsidRPr="00DB3DBB">
        <w:rPr>
          <w:rFonts w:cs="Arial"/>
          <w:noProof/>
          <w:lang w:val="en-GB" w:eastAsia="en-GB"/>
        </w:rPr>
        <w:t>. A desire to make a positive change in one's community that presents itself through action and combines knowledge, skills, values, and motivation is referred to as community engagement. It is one kind of public participation</w:t>
      </w:r>
      <w:r w:rsidR="00483400" w:rsidRPr="00DB3DBB">
        <w:rPr>
          <w:rFonts w:cs="Arial"/>
          <w:noProof/>
          <w:lang w:val="en-GB"/>
        </w:rPr>
        <w:t xml:space="preserve"> </w:t>
      </w:r>
      <w:r w:rsidR="00483400" w:rsidRPr="00DB3DBB">
        <w:rPr>
          <w:rFonts w:cs="Arial"/>
          <w:noProof/>
          <w:lang w:val="en-GB" w:eastAsia="en-GB"/>
        </w:rPr>
        <w:t>(Brown, 2007)</w:t>
      </w:r>
      <w:r w:rsidRPr="00DB3DBB">
        <w:rPr>
          <w:rFonts w:cs="Arial"/>
          <w:noProof/>
          <w:lang w:val="en-GB" w:eastAsia="en-GB"/>
        </w:rPr>
        <w:t>.</w:t>
      </w:r>
      <w:r w:rsidRPr="00DB3DBB">
        <w:rPr>
          <w:rFonts w:cs="Arial"/>
          <w:noProof/>
          <w:lang w:val="en-GB"/>
        </w:rPr>
        <w:t xml:space="preserve"> </w:t>
      </w:r>
      <w:r w:rsidRPr="00DB3DBB">
        <w:rPr>
          <w:rFonts w:cs="Arial"/>
          <w:noProof/>
          <w:lang w:val="en-GB" w:eastAsia="en-GB"/>
        </w:rPr>
        <w:t>Organizations that stand up for people are supported by people. Barclays shares </w:t>
      </w:r>
      <w:r w:rsidR="00CD7B0A" w:rsidRPr="00DB3DBB">
        <w:rPr>
          <w:rFonts w:cs="Arial"/>
          <w:noProof/>
          <w:lang w:val="en-GB" w:eastAsia="en-GB"/>
        </w:rPr>
        <w:t>its</w:t>
      </w:r>
      <w:r w:rsidRPr="00DB3DBB">
        <w:rPr>
          <w:rFonts w:cs="Arial"/>
          <w:noProof/>
          <w:lang w:val="en-GB" w:eastAsia="en-GB"/>
        </w:rPr>
        <w:t xml:space="preserve"> ideals and provide</w:t>
      </w:r>
      <w:r w:rsidR="00CD7B0A" w:rsidRPr="00DB3DBB">
        <w:rPr>
          <w:rFonts w:cs="Arial"/>
          <w:noProof/>
          <w:lang w:val="en-GB" w:eastAsia="en-GB"/>
        </w:rPr>
        <w:t>s</w:t>
      </w:r>
      <w:r w:rsidRPr="00DB3DBB">
        <w:rPr>
          <w:rFonts w:cs="Arial"/>
          <w:noProof/>
          <w:lang w:val="en-GB" w:eastAsia="en-GB"/>
        </w:rPr>
        <w:t xml:space="preserve"> a community and honest relationships with its audience. Additionally, active communities enjoy several advantages including raised exposure, improved loyalty, recommendations, etc. Because of this, a lot of organizations are creating communities.</w:t>
      </w:r>
    </w:p>
    <w:p w14:paraId="300A4138" w14:textId="79D137CC" w:rsidR="00057866" w:rsidRPr="00DB3DBB" w:rsidRDefault="00057866" w:rsidP="00423E55">
      <w:pPr>
        <w:rPr>
          <w:rFonts w:cs="Arial"/>
          <w:noProof/>
          <w:lang w:val="en-GB" w:eastAsia="en-GB"/>
        </w:rPr>
      </w:pPr>
      <w:r w:rsidRPr="00DB3DBB">
        <w:rPr>
          <w:rFonts w:cs="Arial"/>
          <w:noProof/>
          <w:lang w:val="en-GB" w:eastAsia="en-GB"/>
        </w:rPr>
        <w:t>Regarding a wide variety of factors, the nation's characteristics have an impact on the conditions for community engagement and the local people’s willingness to the engagement. The following strategies can be taken:</w:t>
      </w:r>
    </w:p>
    <w:p w14:paraId="281F7FF7" w14:textId="2B24EBA8" w:rsidR="00057866"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lastRenderedPageBreak/>
        <w:t>Its integrity can include the extent to which it consists of various neighbo</w:t>
      </w:r>
      <w:r w:rsidR="00CD7B0A" w:rsidRPr="00DB3DBB">
        <w:rPr>
          <w:rFonts w:cs="Arial"/>
          <w:noProof/>
          <w:lang w:val="en-GB" w:eastAsia="en-GB"/>
        </w:rPr>
        <w:t>u</w:t>
      </w:r>
      <w:r w:rsidRPr="00DB3DBB">
        <w:rPr>
          <w:rFonts w:cs="Arial"/>
          <w:noProof/>
          <w:lang w:val="en-GB" w:eastAsia="en-GB"/>
        </w:rPr>
        <w:t>rhoods with diverse issues, its ethnic makeup, and any history of armed conflict among community organizations</w:t>
      </w:r>
      <w:r w:rsidR="009D32EF" w:rsidRPr="00DB3DBB">
        <w:rPr>
          <w:rFonts w:cs="Arial"/>
          <w:noProof/>
          <w:lang w:val="en-GB" w:eastAsia="en-GB"/>
        </w:rPr>
        <w:t xml:space="preserve"> (</w:t>
      </w:r>
      <w:r w:rsidR="009D32EF" w:rsidRPr="00DB3DBB">
        <w:rPr>
          <w:noProof/>
          <w:lang w:val="en-GB" w:eastAsia="en-GB"/>
        </w:rPr>
        <w:t>Delannon, Raufflet and Baba, 2016)</w:t>
      </w:r>
      <w:r w:rsidRPr="00DB3DBB">
        <w:rPr>
          <w:rFonts w:cs="Arial"/>
          <w:noProof/>
          <w:lang w:val="en-GB" w:eastAsia="en-GB"/>
        </w:rPr>
        <w:t>.</w:t>
      </w:r>
    </w:p>
    <w:p w14:paraId="21952D2D" w14:textId="56A16FFD" w:rsidR="00441B33" w:rsidRPr="00DB3DBB" w:rsidRDefault="00441B33" w:rsidP="00423E55">
      <w:pPr>
        <w:pStyle w:val="ListParagraph"/>
        <w:numPr>
          <w:ilvl w:val="0"/>
          <w:numId w:val="1"/>
        </w:numPr>
        <w:rPr>
          <w:rFonts w:cs="Arial"/>
          <w:noProof/>
          <w:lang w:val="en-GB" w:eastAsia="en-GB"/>
        </w:rPr>
      </w:pPr>
      <w:r w:rsidRPr="00DB3DBB">
        <w:rPr>
          <w:rFonts w:cs="Arial"/>
          <w:noProof/>
          <w:lang w:val="en-GB" w:eastAsia="en-GB"/>
        </w:rPr>
        <w:t>It is beneficial to engage with the community as much as the organization can</w:t>
      </w:r>
      <w:r w:rsidR="009D32EF" w:rsidRPr="00DB3DBB">
        <w:rPr>
          <w:rFonts w:cs="Arial"/>
          <w:noProof/>
          <w:lang w:val="en-GB" w:eastAsia="en-GB"/>
        </w:rPr>
        <w:t xml:space="preserve"> (</w:t>
      </w:r>
      <w:r w:rsidR="009D32EF" w:rsidRPr="00DB3DBB">
        <w:rPr>
          <w:noProof/>
          <w:lang w:val="en-GB" w:eastAsia="en-GB"/>
        </w:rPr>
        <w:t>Shalowitz et al., 2009)</w:t>
      </w:r>
      <w:r w:rsidRPr="00DB3DBB">
        <w:rPr>
          <w:rFonts w:cs="Arial"/>
          <w:noProof/>
          <w:lang w:val="en-GB" w:eastAsia="en-GB"/>
        </w:rPr>
        <w:t>. Making polls or asking for input and thoughts about a theme are some ways to interact.</w:t>
      </w:r>
    </w:p>
    <w:p w14:paraId="7B146108" w14:textId="34B2C54D" w:rsidR="00057866"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t>It is vital to address people's highly personal concerns, such as their financial situation, as contrasted to those that can be mediated through groups and representatives.</w:t>
      </w:r>
    </w:p>
    <w:p w14:paraId="4947E59A" w14:textId="79EAF794" w:rsidR="00057866"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t>Decision-making and schedule</w:t>
      </w:r>
      <w:r w:rsidR="00F700AD" w:rsidRPr="00DB3DBB">
        <w:rPr>
          <w:rFonts w:cs="Arial"/>
          <w:noProof/>
          <w:lang w:val="en-GB" w:eastAsia="en-GB"/>
        </w:rPr>
        <w:t>-</w:t>
      </w:r>
      <w:r w:rsidRPr="00DB3DBB">
        <w:rPr>
          <w:rFonts w:cs="Arial"/>
          <w:noProof/>
          <w:lang w:val="en-GB" w:eastAsia="en-GB"/>
        </w:rPr>
        <w:t>making are influenced by other market competitors</w:t>
      </w:r>
      <w:r w:rsidR="009D32EF" w:rsidRPr="00DB3DBB">
        <w:rPr>
          <w:rFonts w:cs="Arial"/>
          <w:noProof/>
          <w:lang w:val="en-GB" w:eastAsia="en-GB"/>
        </w:rPr>
        <w:t xml:space="preserve"> (</w:t>
      </w:r>
      <w:r w:rsidR="009D32EF" w:rsidRPr="00DB3DBB">
        <w:rPr>
          <w:noProof/>
          <w:lang w:val="en-GB" w:eastAsia="en-GB"/>
        </w:rPr>
        <w:t>Delannon, Raufflet and Baba, 2016)</w:t>
      </w:r>
      <w:r w:rsidRPr="00DB3DBB">
        <w:rPr>
          <w:rFonts w:cs="Arial"/>
          <w:noProof/>
          <w:lang w:val="en-GB" w:eastAsia="en-GB"/>
        </w:rPr>
        <w:t>. So it is important to make any decision which will increase the engagement of the community.</w:t>
      </w:r>
    </w:p>
    <w:p w14:paraId="590B4B8F" w14:textId="02B4EBF3" w:rsidR="00057866"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t>Establish the ability to create and apply a plan for new sponsorship and an implementation method that will improve the chances of success.</w:t>
      </w:r>
    </w:p>
    <w:p w14:paraId="4630F344" w14:textId="3B63D365" w:rsidR="00057866"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t>It is essential to draw the attention of the community and have in-depth familiarity with the neighbourhood. Sponsorship is a way of making familiarity with the community.</w:t>
      </w:r>
    </w:p>
    <w:p w14:paraId="51191E9D" w14:textId="77777777" w:rsidR="00606288" w:rsidRPr="00DB3DBB" w:rsidRDefault="00057866" w:rsidP="00423E55">
      <w:pPr>
        <w:pStyle w:val="ListParagraph"/>
        <w:numPr>
          <w:ilvl w:val="0"/>
          <w:numId w:val="1"/>
        </w:numPr>
        <w:rPr>
          <w:rFonts w:cs="Arial"/>
          <w:noProof/>
          <w:lang w:val="en-GB" w:eastAsia="en-GB"/>
        </w:rPr>
      </w:pPr>
      <w:r w:rsidRPr="00DB3DBB">
        <w:rPr>
          <w:rFonts w:cs="Arial"/>
          <w:noProof/>
          <w:lang w:val="en-GB" w:eastAsia="en-GB"/>
        </w:rPr>
        <w:t>A community has the ability to see the problem at hand, understand the urgency of finding solutions, and be inspired to act</w:t>
      </w:r>
      <w:r w:rsidR="009D32EF" w:rsidRPr="00DB3DBB">
        <w:rPr>
          <w:rFonts w:cs="Arial"/>
          <w:noProof/>
          <w:lang w:val="en-GB" w:eastAsia="en-GB"/>
        </w:rPr>
        <w:t xml:space="preserve"> (</w:t>
      </w:r>
      <w:r w:rsidR="009D32EF" w:rsidRPr="00DB3DBB">
        <w:rPr>
          <w:noProof/>
          <w:lang w:val="en-GB" w:eastAsia="en-GB"/>
        </w:rPr>
        <w:t>Shalowitz et al., 2009)</w:t>
      </w:r>
      <w:r w:rsidRPr="00DB3DBB">
        <w:rPr>
          <w:rFonts w:cs="Arial"/>
          <w:noProof/>
          <w:lang w:val="en-GB" w:eastAsia="en-GB"/>
        </w:rPr>
        <w:t xml:space="preserve">. Because of this, </w:t>
      </w:r>
      <w:r w:rsidR="009F6612" w:rsidRPr="00DB3DBB">
        <w:rPr>
          <w:rFonts w:cs="Arial"/>
          <w:noProof/>
          <w:lang w:val="en-GB" w:eastAsia="en-GB"/>
        </w:rPr>
        <w:t>it is</w:t>
      </w:r>
      <w:r w:rsidRPr="00DB3DBB">
        <w:rPr>
          <w:rFonts w:cs="Arial"/>
          <w:noProof/>
          <w:lang w:val="en-GB" w:eastAsia="en-GB"/>
        </w:rPr>
        <w:t xml:space="preserve"> important to keep effective communication with the chosen community.</w:t>
      </w:r>
    </w:p>
    <w:p w14:paraId="795C21CF" w14:textId="736A53AE" w:rsidR="00606288" w:rsidRPr="00DB3DBB" w:rsidRDefault="00606288" w:rsidP="00423E55">
      <w:pPr>
        <w:pStyle w:val="ListParagraph"/>
        <w:numPr>
          <w:ilvl w:val="0"/>
          <w:numId w:val="1"/>
        </w:numPr>
        <w:rPr>
          <w:rFonts w:cs="Arial"/>
          <w:noProof/>
          <w:lang w:val="en-GB" w:eastAsia="en-GB"/>
        </w:rPr>
      </w:pPr>
      <w:r w:rsidRPr="00DB3DBB">
        <w:rPr>
          <w:rFonts w:cs="Arial"/>
          <w:noProof/>
          <w:lang w:val="en-GB" w:eastAsia="en-GB"/>
        </w:rPr>
        <w:t>It is crucial to consider the diversity and culture of the community when creating a strategy.</w:t>
      </w:r>
    </w:p>
    <w:p w14:paraId="3ED7B24A" w14:textId="03053202" w:rsidR="00F700AD" w:rsidRPr="00DB3DBB" w:rsidRDefault="00AC1720" w:rsidP="00423E55">
      <w:pPr>
        <w:rPr>
          <w:rFonts w:eastAsiaTheme="majorEastAsia"/>
          <w:b/>
          <w:noProof/>
          <w:sz w:val="28"/>
          <w:szCs w:val="26"/>
          <w:lang w:val="en-GB" w:eastAsia="en-GB"/>
        </w:rPr>
      </w:pPr>
      <w:r w:rsidRPr="00DB3DBB">
        <w:rPr>
          <w:noProof/>
          <w:lang w:val="en-GB" w:eastAsia="en-GB"/>
        </w:rPr>
        <w:t>In addition to providing guidance and assistance on a technical level, the idea incorporates sponsorship as a means of cultivating a relationship with the community. It is fair to say that the idea has considered the vast majority of the professed values and has taken steps to lend support to the organization so that it can work toward assisting in the process of determining the priorities of the community (Johnston and Taylor, 2018).</w:t>
      </w:r>
      <w:r w:rsidR="00F700AD" w:rsidRPr="00DB3DBB">
        <w:rPr>
          <w:noProof/>
          <w:lang w:val="en-GB"/>
        </w:rPr>
        <w:br w:type="page"/>
      </w:r>
    </w:p>
    <w:p w14:paraId="64E3B6EA" w14:textId="0CEB6D95" w:rsidR="00CD7B0A" w:rsidRPr="00DB3DBB" w:rsidRDefault="00CD7B0A" w:rsidP="00423E55">
      <w:pPr>
        <w:pStyle w:val="Heading2"/>
        <w:spacing w:line="360" w:lineRule="auto"/>
        <w:rPr>
          <w:rFonts w:cs="Arial"/>
          <w:noProof/>
          <w:lang w:val="en-GB"/>
        </w:rPr>
      </w:pPr>
      <w:bookmarkStart w:id="12" w:name="_Toc111254910"/>
      <w:r w:rsidRPr="00DB3DBB">
        <w:rPr>
          <w:rFonts w:cs="Arial"/>
          <w:noProof/>
          <w:lang w:val="en-GB"/>
        </w:rPr>
        <w:lastRenderedPageBreak/>
        <w:t>Conclusion</w:t>
      </w:r>
      <w:bookmarkEnd w:id="12"/>
    </w:p>
    <w:p w14:paraId="129290C7" w14:textId="65CD7F13" w:rsidR="00CD7B0A" w:rsidRPr="00DB3DBB" w:rsidRDefault="00CD7B0A" w:rsidP="00423E55">
      <w:pPr>
        <w:rPr>
          <w:rFonts w:cs="Arial"/>
          <w:noProof/>
          <w:lang w:val="en-GB" w:eastAsia="en-GB"/>
        </w:rPr>
      </w:pPr>
      <w:r w:rsidRPr="00DB3DBB">
        <w:rPr>
          <w:rFonts w:cs="Arial"/>
          <w:noProof/>
          <w:lang w:val="en-GB" w:eastAsia="en-GB"/>
        </w:rPr>
        <w:t xml:space="preserve">Finally, </w:t>
      </w:r>
      <w:r w:rsidR="00F700AD" w:rsidRPr="00DB3DBB">
        <w:rPr>
          <w:rFonts w:cs="Arial"/>
          <w:noProof/>
          <w:lang w:val="en-GB" w:eastAsia="en-GB"/>
        </w:rPr>
        <w:t>the author</w:t>
      </w:r>
      <w:r w:rsidRPr="00DB3DBB">
        <w:rPr>
          <w:rFonts w:cs="Arial"/>
          <w:noProof/>
          <w:lang w:val="en-GB" w:eastAsia="en-GB"/>
        </w:rPr>
        <w:t xml:space="preserve"> can say that sponsorship helps the community by making investments to draw the attention of the people with an entrepreneurial attitude and facilitate the growth of their ideas. Sport is frequently the most prominent example of local sponsorship, but the same idea applies to any type of local event.</w:t>
      </w:r>
      <w:r w:rsidR="00483400" w:rsidRPr="00DB3DBB">
        <w:rPr>
          <w:rFonts w:cs="Arial"/>
          <w:noProof/>
          <w:lang w:val="en-GB"/>
        </w:rPr>
        <w:t xml:space="preserve"> </w:t>
      </w:r>
      <w:r w:rsidR="00483400" w:rsidRPr="00DB3DBB">
        <w:rPr>
          <w:rFonts w:cs="Arial"/>
          <w:noProof/>
          <w:lang w:val="en-GB" w:eastAsia="en-GB"/>
        </w:rPr>
        <w:t>Common phrases for community engagement include civic engagement and public participation. These concepts refer to a desire to positively impact one's community through behaviour, combining knowledge, skills, values, and ambition.</w:t>
      </w:r>
      <w:r w:rsidRPr="00DB3DBB">
        <w:rPr>
          <w:rFonts w:cs="Arial"/>
          <w:noProof/>
          <w:lang w:val="en-GB" w:eastAsia="en-GB"/>
        </w:rPr>
        <w:t xml:space="preserve"> Barclays has sponsored the English Premier League for more than ten years. It helped the organization to promote its value. Engagement with the community modifies project selection and focus, project initiation, and funding possibility. There are new opportunities for cooperation and financing that required community involvement.</w:t>
      </w:r>
      <w:r w:rsidR="007D76D2" w:rsidRPr="00DB3DBB">
        <w:rPr>
          <w:rFonts w:cs="Arial"/>
          <w:noProof/>
          <w:lang w:val="en-GB" w:eastAsia="en-GB"/>
        </w:rPr>
        <w:t xml:space="preserve"> Barclays gets a big community through sports and this community is now one of the major clients of the organization. Nowadays every organization have to use a medium to get a community. Through sponsorship, they draw the attention of the people at large. It has become engaged with the mass audience in general through sports. Although it also has certain sponsorships outside of football.</w:t>
      </w:r>
      <w:r w:rsidR="007D76D2" w:rsidRPr="00DB3DBB">
        <w:rPr>
          <w:rFonts w:cs="Arial"/>
          <w:noProof/>
          <w:lang w:val="en-GB"/>
        </w:rPr>
        <w:t xml:space="preserve"> </w:t>
      </w:r>
      <w:r w:rsidR="007D76D2" w:rsidRPr="00DB3DBB">
        <w:rPr>
          <w:rFonts w:cs="Arial"/>
          <w:noProof/>
          <w:lang w:val="en-GB" w:eastAsia="en-GB"/>
        </w:rPr>
        <w:t>The use of a sponsorship platform may be beneficial for developing a sense of community engagement, and this platform can be crucial for networking with internal and external</w:t>
      </w:r>
      <w:r w:rsidR="002900AF" w:rsidRPr="00DB3DBB">
        <w:rPr>
          <w:rFonts w:cs="Arial"/>
          <w:noProof/>
          <w:lang w:val="en-GB" w:eastAsia="en-GB"/>
        </w:rPr>
        <w:t xml:space="preserve"> people around the world</w:t>
      </w:r>
      <w:r w:rsidR="007D76D2" w:rsidRPr="00DB3DBB">
        <w:rPr>
          <w:rFonts w:cs="Arial"/>
          <w:noProof/>
          <w:lang w:val="en-GB" w:eastAsia="en-GB"/>
        </w:rPr>
        <w:t xml:space="preserve"> and spreading familiarity.</w:t>
      </w:r>
    </w:p>
    <w:p w14:paraId="0A4E9FD8" w14:textId="77777777" w:rsidR="007955FC" w:rsidRPr="00DB3DBB" w:rsidRDefault="007955FC" w:rsidP="00423E55">
      <w:pPr>
        <w:jc w:val="left"/>
        <w:rPr>
          <w:rFonts w:eastAsiaTheme="majorEastAsia" w:cs="Arial"/>
          <w:b/>
          <w:noProof/>
          <w:sz w:val="32"/>
          <w:szCs w:val="32"/>
          <w:lang w:val="en-GB" w:eastAsia="en-GB"/>
        </w:rPr>
      </w:pPr>
      <w:r w:rsidRPr="00DB3DBB">
        <w:rPr>
          <w:rFonts w:cs="Arial"/>
          <w:noProof/>
          <w:lang w:val="en-GB"/>
        </w:rPr>
        <w:br w:type="page"/>
      </w:r>
    </w:p>
    <w:p w14:paraId="2D729802" w14:textId="0E345FDF" w:rsidR="00483400" w:rsidRPr="00DB3DBB" w:rsidRDefault="00483400" w:rsidP="00423E55">
      <w:pPr>
        <w:pStyle w:val="Heading1"/>
        <w:spacing w:line="360" w:lineRule="auto"/>
        <w:rPr>
          <w:rFonts w:cs="Arial"/>
          <w:noProof/>
          <w:lang w:val="en-GB"/>
        </w:rPr>
      </w:pPr>
      <w:bookmarkStart w:id="13" w:name="_Toc111254911"/>
      <w:r w:rsidRPr="00DB3DBB">
        <w:rPr>
          <w:rFonts w:cs="Arial"/>
          <w:noProof/>
          <w:lang w:val="en-GB"/>
        </w:rPr>
        <w:lastRenderedPageBreak/>
        <w:t>References</w:t>
      </w:r>
      <w:bookmarkEnd w:id="13"/>
    </w:p>
    <w:p w14:paraId="6BD64674" w14:textId="77777777" w:rsidR="009D32EF" w:rsidRPr="00DB3DBB" w:rsidRDefault="009D32EF" w:rsidP="00423E55">
      <w:pPr>
        <w:rPr>
          <w:rFonts w:cs="Arial"/>
          <w:noProof/>
          <w:lang w:val="en-GB" w:eastAsia="en-GB"/>
        </w:rPr>
      </w:pPr>
      <w:r w:rsidRPr="00DB3DBB">
        <w:rPr>
          <w:rFonts w:cs="Arial"/>
          <w:noProof/>
          <w:lang w:val="en-GB" w:eastAsia="en-GB"/>
        </w:rPr>
        <w:t xml:space="preserve">Bassot, B., 2013. </w:t>
      </w:r>
      <w:r w:rsidRPr="00DB3DBB">
        <w:rPr>
          <w:rFonts w:cs="Arial"/>
          <w:i/>
          <w:iCs/>
          <w:noProof/>
          <w:lang w:val="en-GB" w:eastAsia="en-GB"/>
        </w:rPr>
        <w:t xml:space="preserve">The reflective journal. </w:t>
      </w:r>
      <w:r w:rsidRPr="00DB3DBB">
        <w:rPr>
          <w:rFonts w:cs="Arial"/>
          <w:noProof/>
          <w:lang w:val="en-GB" w:eastAsia="en-GB"/>
        </w:rPr>
        <w:t>Palgrave Macmillan.</w:t>
      </w:r>
    </w:p>
    <w:p w14:paraId="1659CB8D" w14:textId="77777777" w:rsidR="009D32EF" w:rsidRPr="00DB3DBB" w:rsidRDefault="009D32EF" w:rsidP="00423E55">
      <w:pPr>
        <w:rPr>
          <w:noProof/>
          <w:lang w:val="en-GB" w:eastAsia="en-GB"/>
        </w:rPr>
      </w:pPr>
      <w:r w:rsidRPr="00DB3DBB">
        <w:rPr>
          <w:noProof/>
          <w:lang w:val="en-GB" w:eastAsia="en-GB"/>
        </w:rPr>
        <w:t xml:space="preserve">Brockbank, A., McGill, I. and Beech, N., 2017. Reflective learning in practice. In </w:t>
      </w:r>
      <w:r w:rsidRPr="00DB3DBB">
        <w:rPr>
          <w:i/>
          <w:iCs/>
          <w:noProof/>
          <w:lang w:val="en-GB" w:eastAsia="en-GB"/>
        </w:rPr>
        <w:t>Reflective learning in practice</w:t>
      </w:r>
      <w:r w:rsidRPr="00DB3DBB">
        <w:rPr>
          <w:noProof/>
          <w:lang w:val="en-GB" w:eastAsia="en-GB"/>
        </w:rPr>
        <w:t xml:space="preserve"> (pp. 18-28). Routledge.</w:t>
      </w:r>
    </w:p>
    <w:p w14:paraId="0DE299FF" w14:textId="77777777" w:rsidR="009D32EF" w:rsidRPr="00DB3DBB" w:rsidRDefault="009D32EF" w:rsidP="00423E55">
      <w:pPr>
        <w:rPr>
          <w:rFonts w:cs="Arial"/>
          <w:noProof/>
          <w:lang w:val="en-GB" w:eastAsia="en-GB"/>
        </w:rPr>
      </w:pPr>
      <w:r w:rsidRPr="00DB3DBB">
        <w:rPr>
          <w:rFonts w:cs="Arial"/>
          <w:noProof/>
          <w:lang w:val="en-GB" w:eastAsia="en-GB"/>
        </w:rPr>
        <w:t xml:space="preserve">Brown, D., 2007. </w:t>
      </w:r>
      <w:r w:rsidRPr="00DB3DBB">
        <w:rPr>
          <w:rFonts w:cs="Arial"/>
          <w:i/>
          <w:iCs/>
          <w:noProof/>
          <w:lang w:val="en-GB" w:eastAsia="en-GB"/>
        </w:rPr>
        <w:t>Vendor engagement strategy consultation</w:t>
      </w:r>
      <w:r w:rsidRPr="00DB3DBB">
        <w:rPr>
          <w:rFonts w:cs="Arial"/>
          <w:noProof/>
          <w:lang w:val="en-GB" w:eastAsia="en-GB"/>
        </w:rPr>
        <w:t>. 2nd ed. [Ottawa, Ont.]: Public Policy Forum.</w:t>
      </w:r>
    </w:p>
    <w:p w14:paraId="493A80D6" w14:textId="77777777" w:rsidR="009D32EF" w:rsidRPr="00DB3DBB" w:rsidRDefault="009D32EF" w:rsidP="00423E55">
      <w:pPr>
        <w:rPr>
          <w:noProof/>
          <w:lang w:val="en-GB" w:eastAsia="en-GB"/>
        </w:rPr>
      </w:pPr>
      <w:r w:rsidRPr="00DB3DBB">
        <w:rPr>
          <w:noProof/>
          <w:lang w:val="en-GB" w:eastAsia="en-GB"/>
        </w:rPr>
        <w:t xml:space="preserve">Davies, S., 2012. Embracing reflective practice. </w:t>
      </w:r>
      <w:r w:rsidRPr="00DB3DBB">
        <w:rPr>
          <w:i/>
          <w:iCs/>
          <w:noProof/>
          <w:lang w:val="en-GB" w:eastAsia="en-GB"/>
        </w:rPr>
        <w:t>Education for Primary Care</w:t>
      </w:r>
      <w:r w:rsidRPr="00DB3DBB">
        <w:rPr>
          <w:noProof/>
          <w:lang w:val="en-GB" w:eastAsia="en-GB"/>
        </w:rPr>
        <w:t xml:space="preserve">, </w:t>
      </w:r>
      <w:r w:rsidRPr="00DB3DBB">
        <w:rPr>
          <w:i/>
          <w:iCs/>
          <w:noProof/>
          <w:lang w:val="en-GB" w:eastAsia="en-GB"/>
        </w:rPr>
        <w:t>23</w:t>
      </w:r>
      <w:r w:rsidRPr="00DB3DBB">
        <w:rPr>
          <w:noProof/>
          <w:lang w:val="en-GB" w:eastAsia="en-GB"/>
        </w:rPr>
        <w:t>(1), pp.9-12.</w:t>
      </w:r>
    </w:p>
    <w:p w14:paraId="646D6A3B" w14:textId="261EF3E0" w:rsidR="009D32EF" w:rsidRPr="00DB3DBB" w:rsidRDefault="009D32EF" w:rsidP="00423E55">
      <w:pPr>
        <w:rPr>
          <w:noProof/>
          <w:lang w:val="en-GB" w:eastAsia="en-GB"/>
        </w:rPr>
      </w:pPr>
      <w:r w:rsidRPr="00DB3DBB">
        <w:rPr>
          <w:noProof/>
          <w:lang w:val="en-GB" w:eastAsia="en-GB"/>
        </w:rPr>
        <w:t xml:space="preserve">Delannon, N., Raufflet, E. and Baba, S., 2016. Corporate community engagement strategies and organizational arrangements: A multiple case study in Canada. </w:t>
      </w:r>
      <w:r w:rsidRPr="00DB3DBB">
        <w:rPr>
          <w:i/>
          <w:iCs/>
          <w:noProof/>
          <w:lang w:val="en-GB" w:eastAsia="en-GB"/>
        </w:rPr>
        <w:t>Journal of cleaner production</w:t>
      </w:r>
      <w:r w:rsidRPr="00DB3DBB">
        <w:rPr>
          <w:noProof/>
          <w:lang w:val="en-GB" w:eastAsia="en-GB"/>
        </w:rPr>
        <w:t xml:space="preserve">, </w:t>
      </w:r>
      <w:r w:rsidRPr="00DB3DBB">
        <w:rPr>
          <w:i/>
          <w:iCs/>
          <w:noProof/>
          <w:lang w:val="en-GB" w:eastAsia="en-GB"/>
        </w:rPr>
        <w:t>129</w:t>
      </w:r>
      <w:r w:rsidRPr="00DB3DBB">
        <w:rPr>
          <w:noProof/>
          <w:lang w:val="en-GB" w:eastAsia="en-GB"/>
        </w:rPr>
        <w:t xml:space="preserve">, </w:t>
      </w:r>
    </w:p>
    <w:p w14:paraId="54914721" w14:textId="77777777" w:rsidR="009D32EF" w:rsidRPr="00DB3DBB" w:rsidRDefault="009D32EF" w:rsidP="00423E55">
      <w:pPr>
        <w:rPr>
          <w:rFonts w:cs="Arial"/>
          <w:noProof/>
          <w:lang w:val="en-GB" w:eastAsia="en-GB"/>
        </w:rPr>
      </w:pPr>
      <w:r w:rsidRPr="00DB3DBB">
        <w:rPr>
          <w:rFonts w:cs="Arial"/>
          <w:noProof/>
          <w:lang w:val="en-GB" w:eastAsia="en-GB"/>
        </w:rPr>
        <w:t xml:space="preserve">Erikson, M., Erikson, M. and Punzi, E., 2016. Student responses to a reflexive course evaluation. </w:t>
      </w:r>
      <w:r w:rsidRPr="00DB3DBB">
        <w:rPr>
          <w:rFonts w:cs="Arial"/>
          <w:i/>
          <w:iCs/>
          <w:noProof/>
          <w:lang w:val="en-GB" w:eastAsia="en-GB"/>
        </w:rPr>
        <w:t>Reflective Practice</w:t>
      </w:r>
      <w:r w:rsidRPr="00DB3DBB">
        <w:rPr>
          <w:rFonts w:cs="Arial"/>
          <w:noProof/>
          <w:lang w:val="en-GB" w:eastAsia="en-GB"/>
        </w:rPr>
        <w:t>, 17(6).</w:t>
      </w:r>
    </w:p>
    <w:p w14:paraId="646293D4" w14:textId="77777777" w:rsidR="009D32EF" w:rsidRPr="00DB3DBB" w:rsidRDefault="009D32EF" w:rsidP="00423E55">
      <w:pPr>
        <w:rPr>
          <w:rFonts w:cs="Arial"/>
          <w:noProof/>
          <w:lang w:val="en-GB" w:eastAsia="en-GB"/>
        </w:rPr>
      </w:pPr>
      <w:r w:rsidRPr="00DB3DBB">
        <w:rPr>
          <w:rFonts w:cs="Arial"/>
          <w:noProof/>
          <w:lang w:val="en-GB" w:eastAsia="en-GB"/>
        </w:rPr>
        <w:t xml:space="preserve">Gevaux, D., 2007. Reflection! What reflection?. </w:t>
      </w:r>
      <w:r w:rsidRPr="00DB3DBB">
        <w:rPr>
          <w:rFonts w:cs="Arial"/>
          <w:i/>
          <w:iCs/>
          <w:noProof/>
          <w:lang w:val="en-GB" w:eastAsia="en-GB"/>
        </w:rPr>
        <w:t>Nature Photonics</w:t>
      </w:r>
      <w:r w:rsidRPr="00DB3DBB">
        <w:rPr>
          <w:rFonts w:cs="Arial"/>
          <w:noProof/>
          <w:lang w:val="en-GB" w:eastAsia="en-GB"/>
        </w:rPr>
        <w:t>, 1(3).</w:t>
      </w:r>
    </w:p>
    <w:p w14:paraId="34CE19DD" w14:textId="77777777" w:rsidR="009D32EF" w:rsidRPr="00DB3DBB" w:rsidRDefault="009D32EF" w:rsidP="00423E55">
      <w:pPr>
        <w:rPr>
          <w:rFonts w:cs="Arial"/>
          <w:noProof/>
          <w:lang w:val="en-GB" w:eastAsia="en-GB"/>
        </w:rPr>
      </w:pPr>
      <w:r w:rsidRPr="00DB3DBB">
        <w:rPr>
          <w:rFonts w:cs="Arial"/>
          <w:noProof/>
          <w:lang w:val="en-GB" w:eastAsia="en-GB"/>
        </w:rPr>
        <w:t xml:space="preserve">Gibbs, T., Brigden, D. and Hellenberg, D., 2005. Encouraging reflective practice. </w:t>
      </w:r>
      <w:r w:rsidRPr="00DB3DBB">
        <w:rPr>
          <w:rFonts w:cs="Arial"/>
          <w:i/>
          <w:iCs/>
          <w:noProof/>
          <w:lang w:val="en-GB" w:eastAsia="en-GB"/>
        </w:rPr>
        <w:t>South African Family Practice</w:t>
      </w:r>
      <w:r w:rsidRPr="00DB3DBB">
        <w:rPr>
          <w:rFonts w:cs="Arial"/>
          <w:noProof/>
          <w:lang w:val="en-GB" w:eastAsia="en-GB"/>
        </w:rPr>
        <w:t>, 47(7).</w:t>
      </w:r>
    </w:p>
    <w:p w14:paraId="61C2F1B3" w14:textId="77777777" w:rsidR="009D32EF" w:rsidRPr="00DB3DBB" w:rsidRDefault="009D32EF" w:rsidP="00423E55">
      <w:pPr>
        <w:rPr>
          <w:rFonts w:cs="Arial"/>
          <w:noProof/>
          <w:lang w:val="en-GB" w:eastAsia="en-GB"/>
        </w:rPr>
      </w:pPr>
      <w:r w:rsidRPr="00DB3DBB">
        <w:rPr>
          <w:rFonts w:cs="Arial"/>
          <w:noProof/>
          <w:lang w:val="en-GB" w:eastAsia="en-GB"/>
        </w:rPr>
        <w:t xml:space="preserve">Greenberger, S. and McNaughton, M., 2019. The Community Engagement Portfolio: Documenting Faculty Community Engagement. </w:t>
      </w:r>
      <w:r w:rsidRPr="00DB3DBB">
        <w:rPr>
          <w:rFonts w:cs="Arial"/>
          <w:i/>
          <w:iCs/>
          <w:noProof/>
          <w:lang w:val="en-GB" w:eastAsia="en-GB"/>
        </w:rPr>
        <w:t>Journal of Scholarly Engagement</w:t>
      </w:r>
      <w:r w:rsidRPr="00DB3DBB">
        <w:rPr>
          <w:rFonts w:cs="Arial"/>
          <w:noProof/>
          <w:lang w:val="en-GB" w:eastAsia="en-GB"/>
        </w:rPr>
        <w:t>, 2(1).</w:t>
      </w:r>
    </w:p>
    <w:p w14:paraId="0EBF45A2" w14:textId="77777777" w:rsidR="009D32EF" w:rsidRPr="00DB3DBB" w:rsidRDefault="009D32EF" w:rsidP="00423E55">
      <w:pPr>
        <w:rPr>
          <w:rFonts w:cs="Arial"/>
          <w:noProof/>
          <w:lang w:val="en-GB" w:eastAsia="en-GB"/>
        </w:rPr>
      </w:pPr>
      <w:r w:rsidRPr="00DB3DBB">
        <w:rPr>
          <w:rFonts w:cs="Arial"/>
          <w:noProof/>
          <w:lang w:val="en-GB" w:eastAsia="en-GB"/>
        </w:rPr>
        <w:t xml:space="preserve">Hall, P. and Simeral, A., 2018. </w:t>
      </w:r>
      <w:r w:rsidRPr="00DB3DBB">
        <w:rPr>
          <w:rFonts w:cs="Arial"/>
          <w:i/>
          <w:iCs/>
          <w:noProof/>
          <w:lang w:val="en-GB" w:eastAsia="en-GB"/>
        </w:rPr>
        <w:t>Creating a culture of reflective practice: Building capacity for schoolwide success</w:t>
      </w:r>
      <w:r w:rsidRPr="00DB3DBB">
        <w:rPr>
          <w:rFonts w:cs="Arial"/>
          <w:noProof/>
          <w:lang w:val="en-GB" w:eastAsia="en-GB"/>
        </w:rPr>
        <w:t>. ASCD.</w:t>
      </w:r>
    </w:p>
    <w:p w14:paraId="5ADF1704" w14:textId="77777777" w:rsidR="009D32EF" w:rsidRPr="00DB3DBB" w:rsidRDefault="009D32EF" w:rsidP="00423E55">
      <w:pPr>
        <w:rPr>
          <w:rFonts w:cs="Arial"/>
          <w:noProof/>
          <w:lang w:val="en-GB" w:eastAsia="en-GB"/>
        </w:rPr>
      </w:pPr>
      <w:r w:rsidRPr="00DB3DBB">
        <w:rPr>
          <w:rFonts w:cs="Arial"/>
          <w:noProof/>
          <w:lang w:val="en-GB" w:eastAsia="en-GB"/>
        </w:rPr>
        <w:t xml:space="preserve">Johnston, K.A. and Taylor, M. eds., 2018. </w:t>
      </w:r>
      <w:r w:rsidRPr="00DB3DBB">
        <w:rPr>
          <w:rFonts w:cs="Arial"/>
          <w:i/>
          <w:iCs/>
          <w:noProof/>
          <w:lang w:val="en-GB" w:eastAsia="en-GB"/>
        </w:rPr>
        <w:t>The handbook of communication engagement</w:t>
      </w:r>
      <w:r w:rsidRPr="00DB3DBB">
        <w:rPr>
          <w:rFonts w:cs="Arial"/>
          <w:noProof/>
          <w:lang w:val="en-GB" w:eastAsia="en-GB"/>
        </w:rPr>
        <w:t>. John Wiley &amp; Sons.</w:t>
      </w:r>
    </w:p>
    <w:p w14:paraId="3B82D303" w14:textId="24E5FCC6" w:rsidR="009D32EF" w:rsidRPr="00DB3DBB" w:rsidRDefault="009D32EF" w:rsidP="00423E55">
      <w:pPr>
        <w:rPr>
          <w:noProof/>
          <w:lang w:val="en-GB" w:eastAsia="en-GB"/>
        </w:rPr>
      </w:pPr>
      <w:r w:rsidRPr="00DB3DBB">
        <w:rPr>
          <w:noProof/>
          <w:lang w:val="en-GB" w:eastAsia="en-GB"/>
        </w:rPr>
        <w:t xml:space="preserve">Shalowitz, M.U., Isacco, A., Barquin, N., Clark-Kauffman, E., Delger, P., Nelson, D., Quinn, A. and Wagenaar, K.A., 2009. Community-based participatory research: a review of the literature with strategies for community engagement. </w:t>
      </w:r>
      <w:r w:rsidRPr="00DB3DBB">
        <w:rPr>
          <w:i/>
          <w:iCs/>
          <w:noProof/>
          <w:lang w:val="en-GB" w:eastAsia="en-GB"/>
        </w:rPr>
        <w:t>Journal of Developmental &amp; Behavioral Pediatrics</w:t>
      </w:r>
      <w:r w:rsidRPr="00DB3DBB">
        <w:rPr>
          <w:noProof/>
          <w:lang w:val="en-GB" w:eastAsia="en-GB"/>
        </w:rPr>
        <w:t xml:space="preserve">, </w:t>
      </w:r>
      <w:r w:rsidRPr="00DB3DBB">
        <w:rPr>
          <w:i/>
          <w:iCs/>
          <w:noProof/>
          <w:lang w:val="en-GB" w:eastAsia="en-GB"/>
        </w:rPr>
        <w:t>30</w:t>
      </w:r>
      <w:r w:rsidRPr="00DB3DBB">
        <w:rPr>
          <w:noProof/>
          <w:lang w:val="en-GB" w:eastAsia="en-GB"/>
        </w:rPr>
        <w:t xml:space="preserve">(4), </w:t>
      </w:r>
    </w:p>
    <w:sectPr w:rsidR="009D32EF" w:rsidRPr="00DB3DB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32DF4" w14:textId="77777777" w:rsidR="00DF5B80" w:rsidRDefault="00DF5B80" w:rsidP="00483400">
      <w:pPr>
        <w:spacing w:after="0" w:line="240" w:lineRule="auto"/>
      </w:pPr>
      <w:r>
        <w:separator/>
      </w:r>
    </w:p>
  </w:endnote>
  <w:endnote w:type="continuationSeparator" w:id="0">
    <w:p w14:paraId="015E9604" w14:textId="77777777" w:rsidR="00DF5B80" w:rsidRDefault="00DF5B80" w:rsidP="00483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170995"/>
      <w:docPartObj>
        <w:docPartGallery w:val="Page Numbers (Bottom of Page)"/>
        <w:docPartUnique/>
      </w:docPartObj>
    </w:sdtPr>
    <w:sdtEndPr>
      <w:rPr>
        <w:noProof/>
      </w:rPr>
    </w:sdtEndPr>
    <w:sdtContent>
      <w:p w14:paraId="06246AB3" w14:textId="200B3C1E" w:rsidR="00483400" w:rsidRDefault="00483400">
        <w:pPr>
          <w:pStyle w:val="Footer"/>
        </w:pPr>
        <w:r>
          <w:fldChar w:fldCharType="begin"/>
        </w:r>
        <w:r>
          <w:instrText xml:space="preserve"> PAGE   \* MERGEFORMAT </w:instrText>
        </w:r>
        <w:r>
          <w:fldChar w:fldCharType="separate"/>
        </w:r>
        <w:r>
          <w:rPr>
            <w:noProof/>
          </w:rPr>
          <w:t>2</w:t>
        </w:r>
        <w:r>
          <w:rPr>
            <w:noProof/>
          </w:rPr>
          <w:fldChar w:fldCharType="end"/>
        </w:r>
      </w:p>
    </w:sdtContent>
  </w:sdt>
  <w:p w14:paraId="374BB006" w14:textId="77777777" w:rsidR="00483400" w:rsidRDefault="00483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3EB15" w14:textId="77777777" w:rsidR="00DF5B80" w:rsidRDefault="00DF5B80" w:rsidP="00483400">
      <w:pPr>
        <w:spacing w:after="0" w:line="240" w:lineRule="auto"/>
      </w:pPr>
      <w:r>
        <w:separator/>
      </w:r>
    </w:p>
  </w:footnote>
  <w:footnote w:type="continuationSeparator" w:id="0">
    <w:p w14:paraId="7B2B75CB" w14:textId="77777777" w:rsidR="00DF5B80" w:rsidRDefault="00DF5B80" w:rsidP="00483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0B61"/>
    <w:multiLevelType w:val="hybridMultilevel"/>
    <w:tmpl w:val="E2DC8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4861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sDC2tDQxszAxNDdX0lEKTi0uzszPAymwqAUAdecnqCwAAAA="/>
  </w:docVars>
  <w:rsids>
    <w:rsidRoot w:val="0000429D"/>
    <w:rsid w:val="0000429D"/>
    <w:rsid w:val="000374EC"/>
    <w:rsid w:val="000534FF"/>
    <w:rsid w:val="00057866"/>
    <w:rsid w:val="00144259"/>
    <w:rsid w:val="0017380D"/>
    <w:rsid w:val="001B54F3"/>
    <w:rsid w:val="001E6ED9"/>
    <w:rsid w:val="00215B6F"/>
    <w:rsid w:val="002900AF"/>
    <w:rsid w:val="002B3D70"/>
    <w:rsid w:val="0030143A"/>
    <w:rsid w:val="00302CCD"/>
    <w:rsid w:val="00386401"/>
    <w:rsid w:val="0038708F"/>
    <w:rsid w:val="0040391B"/>
    <w:rsid w:val="00423E55"/>
    <w:rsid w:val="00441B33"/>
    <w:rsid w:val="00483400"/>
    <w:rsid w:val="004E0CFA"/>
    <w:rsid w:val="00514C98"/>
    <w:rsid w:val="00606288"/>
    <w:rsid w:val="00607B80"/>
    <w:rsid w:val="00615DCF"/>
    <w:rsid w:val="00706D12"/>
    <w:rsid w:val="00712F87"/>
    <w:rsid w:val="00716045"/>
    <w:rsid w:val="007345A2"/>
    <w:rsid w:val="00775591"/>
    <w:rsid w:val="007955FC"/>
    <w:rsid w:val="007A680C"/>
    <w:rsid w:val="007D76D2"/>
    <w:rsid w:val="00851DDF"/>
    <w:rsid w:val="008A0930"/>
    <w:rsid w:val="008C574A"/>
    <w:rsid w:val="008D2FAF"/>
    <w:rsid w:val="00940EAC"/>
    <w:rsid w:val="0096316E"/>
    <w:rsid w:val="009B0AC9"/>
    <w:rsid w:val="009B73D9"/>
    <w:rsid w:val="009D32EF"/>
    <w:rsid w:val="009F6612"/>
    <w:rsid w:val="00A77AAF"/>
    <w:rsid w:val="00AC1720"/>
    <w:rsid w:val="00B341E7"/>
    <w:rsid w:val="00B47717"/>
    <w:rsid w:val="00B53A53"/>
    <w:rsid w:val="00B60206"/>
    <w:rsid w:val="00BC1DF8"/>
    <w:rsid w:val="00CD7B0A"/>
    <w:rsid w:val="00D613F6"/>
    <w:rsid w:val="00DB3DBB"/>
    <w:rsid w:val="00DC659D"/>
    <w:rsid w:val="00DF5B80"/>
    <w:rsid w:val="00E077CF"/>
    <w:rsid w:val="00E14D90"/>
    <w:rsid w:val="00E4607C"/>
    <w:rsid w:val="00EE6C24"/>
    <w:rsid w:val="00F700AD"/>
    <w:rsid w:val="00FB4D6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B48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20"/>
    <w:pPr>
      <w:spacing w:line="360" w:lineRule="auto"/>
      <w:jc w:val="both"/>
    </w:pPr>
    <w:rPr>
      <w:rFonts w:ascii="Arial" w:hAnsi="Arial"/>
      <w:sz w:val="24"/>
    </w:rPr>
  </w:style>
  <w:style w:type="paragraph" w:styleId="Heading1">
    <w:name w:val="heading 1"/>
    <w:basedOn w:val="Normal"/>
    <w:next w:val="Normal"/>
    <w:link w:val="Heading1Char"/>
    <w:uiPriority w:val="9"/>
    <w:qFormat/>
    <w:rsid w:val="0017380D"/>
    <w:pPr>
      <w:keepNext/>
      <w:keepLines/>
      <w:spacing w:before="240" w:after="0" w:line="240" w:lineRule="auto"/>
      <w:outlineLvl w:val="0"/>
    </w:pPr>
    <w:rPr>
      <w:rFonts w:eastAsiaTheme="majorEastAsia" w:cstheme="majorBidi"/>
      <w:b/>
      <w:sz w:val="32"/>
      <w:szCs w:val="32"/>
      <w:lang w:eastAsia="en-GB"/>
    </w:rPr>
  </w:style>
  <w:style w:type="paragraph" w:styleId="Heading2">
    <w:name w:val="heading 2"/>
    <w:basedOn w:val="Normal"/>
    <w:next w:val="Normal"/>
    <w:link w:val="Heading2Char"/>
    <w:uiPriority w:val="9"/>
    <w:unhideWhenUsed/>
    <w:qFormat/>
    <w:rsid w:val="0017380D"/>
    <w:pPr>
      <w:keepNext/>
      <w:keepLines/>
      <w:spacing w:before="40" w:after="0" w:line="240" w:lineRule="auto"/>
      <w:outlineLvl w:val="1"/>
    </w:pPr>
    <w:rPr>
      <w:rFonts w:eastAsiaTheme="majorEastAsia" w:cstheme="majorBidi"/>
      <w:b/>
      <w:sz w:val="28"/>
      <w:szCs w:val="26"/>
      <w:lang w:eastAsia="en-GB"/>
    </w:rPr>
  </w:style>
  <w:style w:type="paragraph" w:styleId="Heading3">
    <w:name w:val="heading 3"/>
    <w:basedOn w:val="Normal"/>
    <w:next w:val="Normal"/>
    <w:link w:val="Heading3Char"/>
    <w:uiPriority w:val="9"/>
    <w:semiHidden/>
    <w:unhideWhenUsed/>
    <w:qFormat/>
    <w:rsid w:val="0014425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80D"/>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17380D"/>
    <w:rPr>
      <w:rFonts w:ascii="Times New Roman" w:eastAsiaTheme="majorEastAsia" w:hAnsi="Times New Roman" w:cstheme="majorBidi"/>
      <w:b/>
      <w:sz w:val="28"/>
      <w:szCs w:val="26"/>
      <w:lang w:eastAsia="en-GB"/>
    </w:rPr>
  </w:style>
  <w:style w:type="character" w:customStyle="1" w:styleId="Heading3Char">
    <w:name w:val="Heading 3 Char"/>
    <w:basedOn w:val="DefaultParagraphFont"/>
    <w:link w:val="Heading3"/>
    <w:uiPriority w:val="9"/>
    <w:semiHidden/>
    <w:rsid w:val="0014425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57866"/>
    <w:pPr>
      <w:ind w:left="720"/>
      <w:contextualSpacing/>
    </w:pPr>
  </w:style>
  <w:style w:type="paragraph" w:styleId="Caption">
    <w:name w:val="caption"/>
    <w:basedOn w:val="Normal"/>
    <w:next w:val="Normal"/>
    <w:uiPriority w:val="35"/>
    <w:unhideWhenUsed/>
    <w:qFormat/>
    <w:rsid w:val="0048340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83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400"/>
    <w:rPr>
      <w:rFonts w:ascii="Times New Roman" w:hAnsi="Times New Roman"/>
      <w:sz w:val="24"/>
    </w:rPr>
  </w:style>
  <w:style w:type="paragraph" w:styleId="Footer">
    <w:name w:val="footer"/>
    <w:basedOn w:val="Normal"/>
    <w:link w:val="FooterChar"/>
    <w:uiPriority w:val="99"/>
    <w:unhideWhenUsed/>
    <w:rsid w:val="00483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400"/>
    <w:rPr>
      <w:rFonts w:ascii="Times New Roman" w:hAnsi="Times New Roman"/>
      <w:sz w:val="24"/>
    </w:rPr>
  </w:style>
  <w:style w:type="paragraph" w:styleId="TOCHeading">
    <w:name w:val="TOC Heading"/>
    <w:basedOn w:val="Heading1"/>
    <w:next w:val="Normal"/>
    <w:uiPriority w:val="39"/>
    <w:unhideWhenUsed/>
    <w:qFormat/>
    <w:rsid w:val="00E4607C"/>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E4607C"/>
    <w:pPr>
      <w:spacing w:after="100"/>
    </w:pPr>
  </w:style>
  <w:style w:type="paragraph" w:styleId="TOC2">
    <w:name w:val="toc 2"/>
    <w:basedOn w:val="Normal"/>
    <w:next w:val="Normal"/>
    <w:autoRedefine/>
    <w:uiPriority w:val="39"/>
    <w:unhideWhenUsed/>
    <w:rsid w:val="00E4607C"/>
    <w:pPr>
      <w:spacing w:after="100"/>
      <w:ind w:left="240"/>
    </w:pPr>
  </w:style>
  <w:style w:type="character" w:styleId="Hyperlink">
    <w:name w:val="Hyperlink"/>
    <w:basedOn w:val="DefaultParagraphFont"/>
    <w:uiPriority w:val="99"/>
    <w:unhideWhenUsed/>
    <w:rsid w:val="00E4607C"/>
    <w:rPr>
      <w:color w:val="0563C1" w:themeColor="hyperlink"/>
      <w:u w:val="single"/>
    </w:rPr>
  </w:style>
  <w:style w:type="paragraph" w:styleId="IntenseQuote">
    <w:name w:val="Intense Quote"/>
    <w:basedOn w:val="Normal"/>
    <w:next w:val="Normal"/>
    <w:link w:val="IntenseQuoteChar"/>
    <w:autoRedefine/>
    <w:uiPriority w:val="30"/>
    <w:qFormat/>
    <w:rsid w:val="00F700AD"/>
    <w:pPr>
      <w:pBdr>
        <w:top w:val="single" w:sz="4" w:space="10" w:color="4472C4" w:themeColor="accent1"/>
        <w:bottom w:val="single" w:sz="4" w:space="10" w:color="4472C4" w:themeColor="accent1"/>
      </w:pBdr>
      <w:spacing w:before="360" w:after="360"/>
      <w:ind w:left="864" w:right="864"/>
      <w:jc w:val="center"/>
    </w:pPr>
    <w:rPr>
      <w:b/>
      <w:i/>
      <w:iCs/>
      <w:color w:val="4472C4" w:themeColor="accent1"/>
      <w:sz w:val="32"/>
    </w:rPr>
  </w:style>
  <w:style w:type="character" w:customStyle="1" w:styleId="IntenseQuoteChar">
    <w:name w:val="Intense Quote Char"/>
    <w:basedOn w:val="DefaultParagraphFont"/>
    <w:link w:val="IntenseQuote"/>
    <w:uiPriority w:val="30"/>
    <w:rsid w:val="00F700AD"/>
    <w:rPr>
      <w:rFonts w:ascii="Arial" w:hAnsi="Arial"/>
      <w:b/>
      <w:i/>
      <w:iCs/>
      <w:color w:val="4472C4" w:themeColor="accent1"/>
      <w:sz w:val="32"/>
    </w:rPr>
  </w:style>
  <w:style w:type="character" w:customStyle="1" w:styleId="selectable">
    <w:name w:val="selectable"/>
    <w:basedOn w:val="DefaultParagraphFont"/>
    <w:rsid w:val="00F700AD"/>
  </w:style>
  <w:style w:type="paragraph" w:styleId="TableofFigures">
    <w:name w:val="table of figures"/>
    <w:basedOn w:val="Normal"/>
    <w:next w:val="Normal"/>
    <w:uiPriority w:val="99"/>
    <w:unhideWhenUsed/>
    <w:rsid w:val="000534F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93122">
      <w:bodyDiv w:val="1"/>
      <w:marLeft w:val="0"/>
      <w:marRight w:val="0"/>
      <w:marTop w:val="0"/>
      <w:marBottom w:val="0"/>
      <w:divBdr>
        <w:top w:val="none" w:sz="0" w:space="0" w:color="auto"/>
        <w:left w:val="none" w:sz="0" w:space="0" w:color="auto"/>
        <w:bottom w:val="none" w:sz="0" w:space="0" w:color="auto"/>
        <w:right w:val="none" w:sz="0" w:space="0" w:color="auto"/>
      </w:divBdr>
      <w:divsChild>
        <w:div w:id="1668823645">
          <w:marLeft w:val="0"/>
          <w:marRight w:val="0"/>
          <w:marTop w:val="0"/>
          <w:marBottom w:val="0"/>
          <w:divBdr>
            <w:top w:val="none" w:sz="0" w:space="0" w:color="auto"/>
            <w:left w:val="none" w:sz="0" w:space="0" w:color="auto"/>
            <w:bottom w:val="none" w:sz="0" w:space="0" w:color="auto"/>
            <w:right w:val="none" w:sz="0" w:space="0" w:color="auto"/>
          </w:divBdr>
        </w:div>
      </w:divsChild>
    </w:div>
    <w:div w:id="367074063">
      <w:bodyDiv w:val="1"/>
      <w:marLeft w:val="0"/>
      <w:marRight w:val="0"/>
      <w:marTop w:val="0"/>
      <w:marBottom w:val="0"/>
      <w:divBdr>
        <w:top w:val="none" w:sz="0" w:space="0" w:color="auto"/>
        <w:left w:val="none" w:sz="0" w:space="0" w:color="auto"/>
        <w:bottom w:val="none" w:sz="0" w:space="0" w:color="auto"/>
        <w:right w:val="none" w:sz="0" w:space="0" w:color="auto"/>
      </w:divBdr>
      <w:divsChild>
        <w:div w:id="1473670893">
          <w:marLeft w:val="0"/>
          <w:marRight w:val="0"/>
          <w:marTop w:val="0"/>
          <w:marBottom w:val="0"/>
          <w:divBdr>
            <w:top w:val="none" w:sz="0" w:space="0" w:color="auto"/>
            <w:left w:val="none" w:sz="0" w:space="0" w:color="auto"/>
            <w:bottom w:val="none" w:sz="0" w:space="0" w:color="auto"/>
            <w:right w:val="none" w:sz="0" w:space="0" w:color="auto"/>
          </w:divBdr>
        </w:div>
      </w:divsChild>
    </w:div>
    <w:div w:id="502164275">
      <w:bodyDiv w:val="1"/>
      <w:marLeft w:val="0"/>
      <w:marRight w:val="0"/>
      <w:marTop w:val="0"/>
      <w:marBottom w:val="0"/>
      <w:divBdr>
        <w:top w:val="none" w:sz="0" w:space="0" w:color="auto"/>
        <w:left w:val="none" w:sz="0" w:space="0" w:color="auto"/>
        <w:bottom w:val="none" w:sz="0" w:space="0" w:color="auto"/>
        <w:right w:val="none" w:sz="0" w:space="0" w:color="auto"/>
      </w:divBdr>
    </w:div>
    <w:div w:id="547113754">
      <w:bodyDiv w:val="1"/>
      <w:marLeft w:val="0"/>
      <w:marRight w:val="0"/>
      <w:marTop w:val="0"/>
      <w:marBottom w:val="0"/>
      <w:divBdr>
        <w:top w:val="none" w:sz="0" w:space="0" w:color="auto"/>
        <w:left w:val="none" w:sz="0" w:space="0" w:color="auto"/>
        <w:bottom w:val="none" w:sz="0" w:space="0" w:color="auto"/>
        <w:right w:val="none" w:sz="0" w:space="0" w:color="auto"/>
      </w:divBdr>
      <w:divsChild>
        <w:div w:id="1331173495">
          <w:marLeft w:val="0"/>
          <w:marRight w:val="0"/>
          <w:marTop w:val="0"/>
          <w:marBottom w:val="0"/>
          <w:divBdr>
            <w:top w:val="none" w:sz="0" w:space="0" w:color="auto"/>
            <w:left w:val="none" w:sz="0" w:space="0" w:color="auto"/>
            <w:bottom w:val="none" w:sz="0" w:space="0" w:color="auto"/>
            <w:right w:val="none" w:sz="0" w:space="0" w:color="auto"/>
          </w:divBdr>
        </w:div>
      </w:divsChild>
    </w:div>
    <w:div w:id="676886106">
      <w:bodyDiv w:val="1"/>
      <w:marLeft w:val="0"/>
      <w:marRight w:val="0"/>
      <w:marTop w:val="0"/>
      <w:marBottom w:val="0"/>
      <w:divBdr>
        <w:top w:val="none" w:sz="0" w:space="0" w:color="auto"/>
        <w:left w:val="none" w:sz="0" w:space="0" w:color="auto"/>
        <w:bottom w:val="none" w:sz="0" w:space="0" w:color="auto"/>
        <w:right w:val="none" w:sz="0" w:space="0" w:color="auto"/>
      </w:divBdr>
      <w:divsChild>
        <w:div w:id="334770501">
          <w:marLeft w:val="0"/>
          <w:marRight w:val="0"/>
          <w:marTop w:val="0"/>
          <w:marBottom w:val="0"/>
          <w:divBdr>
            <w:top w:val="none" w:sz="0" w:space="0" w:color="auto"/>
            <w:left w:val="none" w:sz="0" w:space="0" w:color="auto"/>
            <w:bottom w:val="none" w:sz="0" w:space="0" w:color="auto"/>
            <w:right w:val="none" w:sz="0" w:space="0" w:color="auto"/>
          </w:divBdr>
        </w:div>
      </w:divsChild>
    </w:div>
    <w:div w:id="779837874">
      <w:bodyDiv w:val="1"/>
      <w:marLeft w:val="0"/>
      <w:marRight w:val="0"/>
      <w:marTop w:val="0"/>
      <w:marBottom w:val="0"/>
      <w:divBdr>
        <w:top w:val="none" w:sz="0" w:space="0" w:color="auto"/>
        <w:left w:val="none" w:sz="0" w:space="0" w:color="auto"/>
        <w:bottom w:val="none" w:sz="0" w:space="0" w:color="auto"/>
        <w:right w:val="none" w:sz="0" w:space="0" w:color="auto"/>
      </w:divBdr>
      <w:divsChild>
        <w:div w:id="818422104">
          <w:marLeft w:val="0"/>
          <w:marRight w:val="0"/>
          <w:marTop w:val="0"/>
          <w:marBottom w:val="0"/>
          <w:divBdr>
            <w:top w:val="none" w:sz="0" w:space="0" w:color="auto"/>
            <w:left w:val="none" w:sz="0" w:space="0" w:color="auto"/>
            <w:bottom w:val="none" w:sz="0" w:space="0" w:color="auto"/>
            <w:right w:val="none" w:sz="0" w:space="0" w:color="auto"/>
          </w:divBdr>
        </w:div>
      </w:divsChild>
    </w:div>
    <w:div w:id="1615865263">
      <w:bodyDiv w:val="1"/>
      <w:marLeft w:val="0"/>
      <w:marRight w:val="0"/>
      <w:marTop w:val="0"/>
      <w:marBottom w:val="0"/>
      <w:divBdr>
        <w:top w:val="none" w:sz="0" w:space="0" w:color="auto"/>
        <w:left w:val="none" w:sz="0" w:space="0" w:color="auto"/>
        <w:bottom w:val="none" w:sz="0" w:space="0" w:color="auto"/>
        <w:right w:val="none" w:sz="0" w:space="0" w:color="auto"/>
      </w:divBdr>
      <w:divsChild>
        <w:div w:id="1507206479">
          <w:marLeft w:val="0"/>
          <w:marRight w:val="0"/>
          <w:marTop w:val="0"/>
          <w:marBottom w:val="0"/>
          <w:divBdr>
            <w:top w:val="none" w:sz="0" w:space="0" w:color="auto"/>
            <w:left w:val="none" w:sz="0" w:space="0" w:color="auto"/>
            <w:bottom w:val="none" w:sz="0" w:space="0" w:color="auto"/>
            <w:right w:val="none" w:sz="0" w:space="0" w:color="auto"/>
          </w:divBdr>
        </w:div>
      </w:divsChild>
    </w:div>
    <w:div w:id="2135444295">
      <w:bodyDiv w:val="1"/>
      <w:marLeft w:val="0"/>
      <w:marRight w:val="0"/>
      <w:marTop w:val="0"/>
      <w:marBottom w:val="0"/>
      <w:divBdr>
        <w:top w:val="none" w:sz="0" w:space="0" w:color="auto"/>
        <w:left w:val="none" w:sz="0" w:space="0" w:color="auto"/>
        <w:bottom w:val="none" w:sz="0" w:space="0" w:color="auto"/>
        <w:right w:val="none" w:sz="0" w:space="0" w:color="auto"/>
      </w:divBdr>
      <w:divsChild>
        <w:div w:id="353581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363B4-5481-4571-925B-0FAEE6EB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2022-08-10T08:02:00Z</dcterms:created>
  <dcterms:modified xsi:type="dcterms:W3CDTF">2022-08-30T11:23:00Z</dcterms:modified>
  <cp:category/>
</cp:coreProperties>
</file>