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outlineLvl w:val="0"/>
        <w:rPr>
          <w:rFonts w:hint="default" w:ascii="Times New Roman" w:hAnsi="Times New Roman" w:cs="Times New Roman"/>
          <w:b/>
          <w:bCs/>
          <w:sz w:val="44"/>
          <w:szCs w:val="44"/>
          <w:lang w:val="en-US" w:eastAsia="zh-CN"/>
        </w:rPr>
      </w:pPr>
      <w:bookmarkStart w:id="0" w:name="_Toc27298"/>
    </w:p>
    <w:p>
      <w:pPr>
        <w:jc w:val="both"/>
        <w:outlineLvl w:val="0"/>
        <w:rPr>
          <w:rFonts w:hint="default" w:ascii="Times New Roman" w:hAnsi="Times New Roman" w:cs="Times New Roman"/>
          <w:b/>
          <w:bCs/>
          <w:sz w:val="44"/>
          <w:szCs w:val="44"/>
          <w:lang w:val="en-US" w:eastAsia="zh-CN"/>
        </w:rPr>
      </w:pPr>
    </w:p>
    <w:p>
      <w:pPr>
        <w:jc w:val="both"/>
        <w:outlineLvl w:val="0"/>
        <w:rPr>
          <w:rFonts w:hint="default" w:ascii="Times New Roman" w:hAnsi="Times New Roman" w:cs="Times New Roman"/>
          <w:b/>
          <w:bCs/>
          <w:sz w:val="44"/>
          <w:szCs w:val="44"/>
          <w:lang w:val="en-US" w:eastAsia="zh-CN"/>
        </w:rPr>
      </w:pPr>
    </w:p>
    <w:p>
      <w:pPr>
        <w:jc w:val="both"/>
        <w:outlineLvl w:val="0"/>
        <w:rPr>
          <w:rFonts w:hint="default" w:ascii="Times New Roman" w:hAnsi="Times New Roman" w:cs="Times New Roman"/>
          <w:b/>
          <w:bCs/>
          <w:sz w:val="44"/>
          <w:szCs w:val="44"/>
          <w:lang w:val="en-US" w:eastAsia="zh-CN"/>
        </w:rPr>
      </w:pPr>
    </w:p>
    <w:p>
      <w:pPr>
        <w:jc w:val="both"/>
        <w:outlineLvl w:val="0"/>
        <w:rPr>
          <w:rFonts w:hint="default" w:ascii="Times New Roman" w:hAnsi="Times New Roman" w:cs="Times New Roman"/>
          <w:b/>
          <w:bCs/>
          <w:sz w:val="44"/>
          <w:szCs w:val="44"/>
          <w:lang w:val="en-US" w:eastAsia="zh-CN"/>
        </w:rPr>
      </w:pPr>
    </w:p>
    <w:p>
      <w:pPr>
        <w:jc w:val="both"/>
        <w:outlineLvl w:val="0"/>
        <w:rPr>
          <w:rFonts w:hint="default" w:ascii="Times New Roman" w:hAnsi="Times New Roman" w:cs="Times New Roman"/>
          <w:b/>
          <w:bCs/>
          <w:sz w:val="44"/>
          <w:szCs w:val="44"/>
          <w:lang w:val="en-US" w:eastAsia="zh-CN"/>
        </w:rPr>
      </w:pPr>
    </w:p>
    <w:p>
      <w:pPr>
        <w:jc w:val="both"/>
        <w:outlineLvl w:val="0"/>
        <w:rPr>
          <w:rFonts w:hint="default" w:ascii="Times New Roman" w:hAnsi="Times New Roman" w:cs="Times New Roman"/>
          <w:b/>
          <w:bCs/>
          <w:sz w:val="44"/>
          <w:szCs w:val="44"/>
          <w:lang w:val="en-US" w:eastAsia="zh-CN"/>
        </w:rPr>
      </w:pPr>
    </w:p>
    <w:p>
      <w:pPr>
        <w:jc w:val="center"/>
        <w:outlineLvl w:val="0"/>
        <w:rPr>
          <w:rFonts w:hint="default" w:ascii="Times New Roman" w:hAnsi="Times New Roman" w:cs="Times New Roman"/>
          <w:b/>
          <w:bCs/>
          <w:sz w:val="48"/>
          <w:szCs w:val="48"/>
          <w:lang w:val="en-US" w:eastAsia="zh-CN"/>
        </w:rPr>
      </w:pPr>
      <w:r>
        <w:rPr>
          <w:rFonts w:hint="default" w:ascii="Times New Roman" w:hAnsi="Times New Roman" w:cs="Times New Roman"/>
          <w:b/>
          <w:bCs/>
          <w:sz w:val="48"/>
          <w:szCs w:val="48"/>
          <w:lang w:val="en-US" w:eastAsia="zh-CN"/>
        </w:rPr>
        <w:t>Analysis of automobile product recall</w:t>
      </w:r>
      <w:bookmarkEnd w:id="0"/>
    </w:p>
    <w:p>
      <w:pPr>
        <w:jc w:val="center"/>
        <w:outlineLvl w:val="9"/>
        <w:rPr>
          <w:rFonts w:hint="default" w:ascii="Times New Roman" w:hAnsi="Times New Roman" w:cs="Times New Roman"/>
          <w:b/>
          <w:bCs/>
          <w:sz w:val="44"/>
          <w:szCs w:val="44"/>
          <w:lang w:val="en-US" w:eastAsia="zh-CN"/>
        </w:rPr>
      </w:pPr>
    </w:p>
    <w:p>
      <w:pPr>
        <w:jc w:val="center"/>
        <w:outlineLvl w:val="9"/>
        <w:rPr>
          <w:rFonts w:hint="default" w:ascii="Times New Roman" w:hAnsi="Times New Roman" w:cs="Times New Roman" w:eastAsiaTheme="minorEastAsia"/>
          <w:b/>
          <w:sz w:val="48"/>
          <w:szCs w:val="48"/>
          <w:lang w:val="en-US" w:eastAsia="zh-CN"/>
        </w:rPr>
      </w:pPr>
      <w:r>
        <w:rPr>
          <w:rFonts w:hint="default" w:ascii="Times New Roman" w:hAnsi="Times New Roman" w:cs="Times New Roman"/>
          <w:b/>
          <w:sz w:val="48"/>
          <w:szCs w:val="48"/>
          <w:lang w:val="en-US"/>
        </w:rPr>
        <w:t xml:space="preserve">Name: </w:t>
      </w:r>
      <w:r>
        <w:rPr>
          <w:rFonts w:hint="eastAsia" w:ascii="Times New Roman" w:hAnsi="Times New Roman" w:cs="Times New Roman"/>
          <w:b/>
          <w:sz w:val="48"/>
          <w:szCs w:val="48"/>
          <w:lang w:val="en-US" w:eastAsia="zh-CN"/>
        </w:rPr>
        <w:t>Xun Cheng</w:t>
      </w:r>
    </w:p>
    <w:p>
      <w:pPr>
        <w:jc w:val="center"/>
        <w:rPr>
          <w:rFonts w:hint="default" w:ascii="Times New Roman" w:hAnsi="Times New Roman" w:cs="Times New Roman"/>
          <w:b/>
          <w:sz w:val="48"/>
          <w:szCs w:val="48"/>
          <w:lang w:val="en-US"/>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b/>
          <w:sz w:val="48"/>
          <w:szCs w:val="48"/>
          <w:lang w:val="en-US"/>
        </w:rPr>
        <w:t>Student Number: 2</w:t>
      </w:r>
      <w:r>
        <w:rPr>
          <w:rFonts w:hint="eastAsia" w:ascii="Times New Roman" w:hAnsi="Times New Roman" w:cs="Times New Roman"/>
          <w:b/>
          <w:sz w:val="48"/>
          <w:szCs w:val="48"/>
          <w:lang w:val="en-US" w:eastAsia="zh-CN"/>
        </w:rPr>
        <w:t>206582</w:t>
      </w:r>
    </w:p>
    <w:p>
      <w:pPr>
        <w:numPr>
          <w:ilvl w:val="0"/>
          <w:numId w:val="0"/>
        </w:numPr>
        <w:jc w:val="both"/>
        <w:rPr>
          <w:rFonts w:hint="default" w:ascii="Times New Roman" w:hAnsi="Times New Roman" w:cs="Times New Roman" w:eastAsiaTheme="minorEastAsia"/>
          <w:b/>
          <w:sz w:val="32"/>
          <w:szCs w:val="32"/>
          <w:lang w:val="en-US" w:eastAsia="zh-CN"/>
        </w:rPr>
        <w:sectPr>
          <w:pgSz w:w="11906" w:h="16838"/>
          <w:pgMar w:top="1440" w:right="1800" w:bottom="1440" w:left="1800" w:header="851" w:footer="992" w:gutter="0"/>
          <w:cols w:space="425" w:num="1"/>
          <w:docGrid w:type="lines" w:linePitch="312" w:charSpace="0"/>
        </w:sectPr>
      </w:pPr>
    </w:p>
    <w:p>
      <w:pPr>
        <w:numPr>
          <w:ilvl w:val="0"/>
          <w:numId w:val="0"/>
        </w:numPr>
        <w:jc w:val="both"/>
        <w:rPr>
          <w:rFonts w:hint="eastAsia"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1 Introduction</w:t>
      </w:r>
    </w:p>
    <w:p>
      <w:pPr>
        <w:keepNext w:val="0"/>
        <w:keepLines w:val="0"/>
        <w:pageBreakBefore w:val="0"/>
        <w:widowControl w:val="0"/>
        <w:numPr>
          <w:ilvl w:val="0"/>
          <w:numId w:val="0"/>
        </w:numPr>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Automotive items are increasingly entering millions of households because to the world's rapid economic and social development and the automotive industry's ongoing improvement. Due to flaws in the design and production processes, defects are unavoidable in today's complex mechatronic vehicles. Cars, on the other hand, are swift and active, and even little flaws can represent a serious threat to the safety of consumers and their possessions.</w:t>
      </w:r>
    </w:p>
    <w:p>
      <w:pPr>
        <w:keepNext w:val="0"/>
        <w:keepLines w:val="0"/>
        <w:pageBreakBefore w:val="0"/>
        <w:widowControl w:val="0"/>
        <w:numPr>
          <w:ilvl w:val="0"/>
          <w:numId w:val="0"/>
        </w:numPr>
        <w:kinsoku/>
        <w:wordWrap/>
        <w:overflowPunct/>
        <w:topLinePunct w:val="0"/>
        <w:autoSpaceDE/>
        <w:autoSpaceDN/>
        <w:bidi w:val="0"/>
        <w:adjustRightInd/>
        <w:snapToGrid/>
        <w:ind w:firstLine="480" w:firstLineChars="200"/>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val="0"/>
          <w:bCs/>
          <w:sz w:val="24"/>
          <w:szCs w:val="24"/>
          <w:lang w:val="en-US" w:eastAsia="zh-CN"/>
        </w:rPr>
        <w:t>The four main causes of flaws in automotive products are as follows: First, design flaws, which are flaws in a product that arise during the concept, design, and assembly stages of an automotive product and pose a risk. This is a congenital flaw in the fundamental production process; once the flaws in the design-to-manufacturing chain are buried, they cannot be fixed in the manufacturing, sales, or other chains that follow. Second, manufacturing flaws, which are product flaws brought on by a failure to adhere to design standards, equipment and machine rules, or by using defective raw materials or the wrong mixtures while producing an automotive product. Thirdly, an indicator defect, also called a warning defect, is a flaw in a product that happens when the maker neglects to give reasonable instructions or cautions, leaving the user with a lack of understanding of how the device performs and functions and posing a risk. Fourthly, developmental flaws, also referred to as follow-up observation flaws, are flaws that are not discovered at the time a product leaves the factory but are discovered by new technology once it has entered the market circulation and are in fact a safety hazard.</w:t>
      </w:r>
    </w:p>
    <w:p>
      <w:pPr>
        <w:keepNext w:val="0"/>
        <w:keepLines w:val="0"/>
        <w:pageBreakBefore w:val="0"/>
        <w:widowControl w:val="0"/>
        <w:kinsoku/>
        <w:wordWrap/>
        <w:overflowPunct/>
        <w:topLinePunct w:val="0"/>
        <w:autoSpaceDE/>
        <w:autoSpaceDN/>
        <w:bidi w:val="0"/>
        <w:adjustRightInd/>
        <w:snapToGrid/>
        <w:ind w:firstLine="480" w:firstLineChars="200"/>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Consumers have recently been more demanding of product quality and safety performance due to the rise in global production and product complexity. The market environment is getting more and more complex, the demand is rising, and science and technology are taking off. As a result of the business competitiveness and rapid development, product failures are happening more frequently and quickly all over the world. extending quickly to all spheres of existence [1]</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Typically, as enterprise product sales grow quickly, staff training will fall behind and product quality will spiral out of control, creating hidden issues with product quality.</w:t>
      </w:r>
      <w:r>
        <w:rPr>
          <w:rFonts w:hint="eastAsia" w:ascii="Times New Roman" w:hAnsi="Times New Roman" w:eastAsia="宋体" w:cs="Times New Roman"/>
          <w:sz w:val="24"/>
          <w:szCs w:val="24"/>
          <w:lang w:val="en-US" w:eastAsia="zh-CN"/>
        </w:rPr>
        <w:t xml:space="preserve"> In addition, businesses' R&amp;D innovation struggles to keep up with market and consumer demand in the face of intense market rivalry, and they are frequently compelled to chose to rely on low prices to obtain a competitive edge, which inexorably results in product quality uncertainty. This makes it more challenging to regulate the quality of suppliers and makes the supplier management system prone to flaws along with the increased complexity of products and the growing number of product providers. All of these could directly or indirectly result in the company experiencing different product failure situations.</w:t>
      </w:r>
    </w:p>
    <w:p>
      <w:pPr>
        <w:keepNext w:val="0"/>
        <w:keepLines w:val="0"/>
        <w:pageBreakBefore w:val="0"/>
        <w:widowControl w:val="0"/>
        <w:kinsoku/>
        <w:wordWrap/>
        <w:overflowPunct/>
        <w:topLinePunct w:val="0"/>
        <w:autoSpaceDE/>
        <w:autoSpaceDN/>
        <w:bidi w:val="0"/>
        <w:adjustRightInd/>
        <w:snapToGrid/>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  Toyota has been looking into the event since 2008 due to flaws in the brake system and foot mats. More than 8 million vehicles had been recalled globally by the end of the hearings in late 2010, surpassing Toyota's 2009 recall. total annual sales of automobiles worldwide.</w:t>
      </w:r>
      <w:r>
        <w:rPr>
          <w:rFonts w:hint="eastAsia" w:ascii="Times New Roman" w:hAnsi="Times New Roman" w:eastAsia="宋体" w:cs="Times New Roman"/>
          <w:sz w:val="24"/>
          <w:szCs w:val="24"/>
          <w:lang w:val="en-US" w:eastAsia="zh-CN"/>
        </w:rPr>
        <w:t xml:space="preserve"> The number one selling brand in the world has suffered unimaginably severe losses as a result of this tragedy. Toyota is also facing more than $100 billion in damages and fines in the US alone in addition to the product recall. Toyota recalled 75,000 RAV4 cars in China in early 2010 due to difficulties with the accelerator pedal, with no intention of compensating Chinese customers [2] , despite the fact that the Chinese market is outside the purview of the recall. Additionally, a recall would result in significant financial loss and a decline in consumer confidence in the product.</w:t>
      </w:r>
      <w:r>
        <w:rPr>
          <w:rFonts w:hint="default" w:ascii="Times New Roman" w:hAnsi="Times New Roman" w:eastAsia="宋体"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jc w:val="both"/>
        <w:textAlignment w:val="auto"/>
        <w:rPr>
          <w:rFonts w:hint="eastAsia" w:ascii="Times New Roman" w:hAnsi="Times New Roman" w:cs="Times New Roman"/>
          <w:b w:val="0"/>
          <w:bCs/>
          <w:sz w:val="24"/>
          <w:szCs w:val="24"/>
          <w:lang w:val="en-US" w:eastAsia="zh-CN"/>
        </w:rPr>
      </w:pPr>
      <w:r>
        <w:rPr>
          <w:rFonts w:hint="eastAsia" w:ascii="Times New Roman" w:hAnsi="Times New Roman" w:cs="Times New Roman"/>
          <w:b/>
          <w:sz w:val="32"/>
          <w:szCs w:val="32"/>
          <w:lang w:val="en-US" w:eastAsia="zh-CN"/>
        </w:rPr>
        <w:t xml:space="preserve">  </w:t>
      </w:r>
      <w:r>
        <w:rPr>
          <w:rFonts w:hint="eastAsia" w:ascii="Times New Roman" w:hAnsi="Times New Roman" w:cs="Times New Roman"/>
          <w:b w:val="0"/>
          <w:bCs/>
          <w:sz w:val="24"/>
          <w:szCs w:val="24"/>
          <w:lang w:val="en-US" w:eastAsia="zh-CN"/>
        </w:rPr>
        <w:t>The following topics are covered in this report: first, creating a solid and logical procedure for product recalls; second, analysing the expenses related to product recalls and controls; and third, taking practical efforts to restore consumer confidence in the product.</w:t>
      </w: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bCs w:val="0"/>
          <w:sz w:val="32"/>
          <w:szCs w:val="32"/>
          <w:lang w:val="en-US" w:eastAsia="zh-CN"/>
        </w:rPr>
      </w:pPr>
      <w:r>
        <w:rPr>
          <w:rFonts w:hint="eastAsia" w:ascii="Times New Roman" w:hAnsi="Times New Roman" w:cs="Times New Roman"/>
          <w:b/>
          <w:bCs w:val="0"/>
          <w:sz w:val="32"/>
          <w:szCs w:val="32"/>
          <w:lang w:val="en-US" w:eastAsia="zh-CN"/>
        </w:rPr>
        <w:t>2 Product recall process</w:t>
      </w:r>
    </w:p>
    <w:p>
      <w:pPr>
        <w:ind w:firstLine="480" w:firstLineChars="200"/>
        <w:rPr>
          <w:rFonts w:hint="eastAsia" w:ascii="Times New Roman" w:hAnsi="Times New Roman" w:eastAsia="宋体" w:cs="Times New Roman"/>
          <w:sz w:val="24"/>
          <w:szCs w:val="24"/>
          <w:lang w:val="en-US" w:eastAsia="zh-CN"/>
        </w:rPr>
      </w:pPr>
      <w:r>
        <w:rPr>
          <w:rFonts w:hint="default" w:ascii="Times New Roman" w:hAnsi="Times New Roman" w:cs="Times New Roman"/>
          <w:b w:val="0"/>
          <w:bCs/>
          <w:sz w:val="24"/>
          <w:szCs w:val="24"/>
          <w:lang w:val="en-US" w:eastAsia="zh-CN"/>
        </w:rPr>
        <w:t>The legal process of recalling faulty automotive items allows the manufacturer of the product to ensure product safety by removing the faulty product from circulation and fixing the flaw. On this basis, the producer is required by law to promptly report to the appropriate state authorities the flaws in its automotive products, their causes, and the solutions, and to submit a recall plan. After the recall application is approved, the producer is then required to issue a notice to recall and reform the flawed automotive products in order to reduce the risk of harm.</w:t>
      </w:r>
      <w:r>
        <w:rPr>
          <w:rFonts w:hint="eastAsia" w:ascii="Times New Roman" w:hAnsi="Times New Roman" w:cs="Times New Roman"/>
          <w:b w:val="0"/>
          <w:bCs/>
          <w:sz w:val="24"/>
          <w:szCs w:val="24"/>
          <w:lang w:val="en-US" w:eastAsia="zh-CN"/>
        </w:rPr>
        <w:t xml:space="preserve"> It fosters public welfare and has traits that are proactive, preventive, extensive, efficient, and public welfare. It establishes a reasonable and equitable system of trade, safeguards consumer rights and public safety, and aids in making car makers more aware of the value of product quality. Recalls of products generally fall into one of two categories: voluntary recalls or forced recall [3] . </w:t>
      </w:r>
      <w:r>
        <w:rPr>
          <w:rFonts w:hint="eastAsia" w:ascii="Times New Roman" w:hAnsi="Times New Roman" w:eastAsia="宋体" w:cs="Times New Roman"/>
          <w:sz w:val="24"/>
          <w:szCs w:val="24"/>
          <w:lang w:val="en-US" w:eastAsia="zh-CN"/>
        </w:rPr>
        <w:t>Rupp and Taylor (2002) [4] found that The government will take the lead in starting a recall where there are many defective automotive goods, there is little risk of harm, and the producer has limited capability; Despite the fact that the maker is more likely to start a recall when the cost is low and the danger of injury from defective car products is high.</w:t>
      </w:r>
    </w:p>
    <w:p>
      <w:pPr>
        <w:ind w:firstLine="480" w:firstLineChars="200"/>
        <w:rPr>
          <w:rFonts w:hint="eastAsia" w:ascii="Times New Roman" w:hAnsi="Times New Roman" w:eastAsia="宋体" w:cs="Times New Roman"/>
          <w:sz w:val="24"/>
          <w:szCs w:val="24"/>
          <w:lang w:val="en-US" w:eastAsia="zh-CN"/>
        </w:rPr>
      </w:pPr>
    </w:p>
    <w:p>
      <w:pPr>
        <w:rPr>
          <w:rFonts w:hint="eastAsia" w:ascii="Times New Roman" w:hAnsi="Times New Roman" w:eastAsia="宋体" w:cs="Times New Roman"/>
          <w:b/>
          <w:bCs/>
          <w:sz w:val="28"/>
          <w:szCs w:val="28"/>
          <w:lang w:val="en-US" w:eastAsia="zh-CN"/>
        </w:rPr>
      </w:pPr>
      <w:r>
        <w:rPr>
          <w:rFonts w:hint="eastAsia" w:ascii="Times New Roman" w:hAnsi="Times New Roman" w:eastAsia="宋体" w:cs="Times New Roman"/>
          <w:b/>
          <w:bCs/>
          <w:sz w:val="28"/>
          <w:szCs w:val="28"/>
          <w:lang w:val="en-US" w:eastAsia="zh-CN"/>
        </w:rPr>
        <w:t>2.1 Voluntary recall</w:t>
      </w:r>
    </w:p>
    <w:p>
      <w:pPr>
        <w:ind w:firstLine="480" w:firstLineChars="200"/>
        <w:rPr>
          <w:rFonts w:hint="eastAsia"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An active recall, usually referred to as a voluntary recall, is one that a manufacturer voluntarily undertakes after becoming aware of a flaw in one of its automobile products through a variety of channels. The manufacturer must submit a recall plan to the government, file it with the government, and publicly disclose the recall information to customers before an active recall may be implemented. Producers can demonstrate corporate responsibility and improve the perception of their company through active recalls.</w:t>
      </w:r>
      <w:r>
        <w:rPr>
          <w:rFonts w:hint="eastAsia" w:ascii="Times New Roman" w:hAnsi="Times New Roman" w:eastAsia="宋体" w:cs="Times New Roman"/>
          <w:b w:val="0"/>
          <w:bCs w:val="0"/>
          <w:sz w:val="24"/>
          <w:szCs w:val="24"/>
          <w:lang w:val="en-US" w:eastAsia="zh-CN"/>
        </w:rPr>
        <w:t xml:space="preserve"> This kind of recall is less damaging to customers and is more prompt and effective. There are certain disadvantages, though. Rapid recall procedures are typically started by businesses, frequently before consumers are even aware of the defective product. As a result, they are not totally fair to consumers because they occur while there is a very brief informational imbalance between producers and consumers. Automobile manufacturers may occasionally be able to circumvent their obligations by using the fast-track recall method to carry out a straightforward recall if the procedure is not set up in a way that tightly defines the manufacturer's use of it.</w:t>
      </w:r>
    </w:p>
    <w:p>
      <w:pPr>
        <w:ind w:firstLine="480" w:firstLineChars="200"/>
        <w:rPr>
          <w:rFonts w:hint="eastAsia"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Numerous factors frequently work together to influence the decision between various recall techniques. With regard to company factors,</w:t>
      </w:r>
      <w:r>
        <w:rPr>
          <w:rFonts w:hint="eastAsia" w:ascii="Times New Roman" w:hAnsi="Times New Roman" w:eastAsia="宋体" w:cs="Times New Roman"/>
          <w:b w:val="0"/>
          <w:bCs w:val="0"/>
          <w:sz w:val="24"/>
          <w:szCs w:val="24"/>
          <w:lang w:val="en-US" w:eastAsia="zh-CN"/>
        </w:rPr>
        <w:t xml:space="preserve"> According to Chen et al. (2009) [5], smaller companies, those with greater debt ratios, those with lower recall expenses, and those with a consistent branding strategy were more likely to start recalls. Siomkos and </w:t>
      </w:r>
      <w:r>
        <w:rPr>
          <w:rFonts w:hint="default" w:ascii="Times New Roman" w:hAnsi="Times New Roman" w:eastAsia="宋体" w:cs="Times New Roman"/>
          <w:i w:val="0"/>
          <w:iCs w:val="0"/>
          <w:caps w:val="0"/>
          <w:color w:val="222222"/>
          <w:spacing w:val="0"/>
          <w:sz w:val="24"/>
          <w:szCs w:val="24"/>
          <w:shd w:val="clear" w:fill="FFFFFF"/>
        </w:rPr>
        <w:t>Kurzbard</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eastAsia" w:ascii="Times New Roman" w:hAnsi="Times New Roman" w:eastAsia="宋体" w:cs="Times New Roman"/>
          <w:b w:val="0"/>
          <w:bCs w:val="0"/>
          <w:sz w:val="24"/>
          <w:szCs w:val="24"/>
          <w:lang w:val="en-US" w:eastAsia="zh-CN"/>
        </w:rPr>
        <w:t>(1994) [6] discovered that companies chose to start recalls when government authorities were more involved in order to lower product liability, and that companies would give in to public pressure to start voluntary recalls when there was more unfavourable media coverage. In their investigation of consumer characteristics, Laufer and Coombs (2006) [7] discovered that businesses with a large proportion of female consumers are more likely to start voluntary recalls, and that these businesses are more likely to do so in a risk-averse cultural environment. A lesser number of automotive items are often involved in producer-initiated recalls, there is a decreased risk of injury from automotive product flaws, and there are essentially no safety issues. Therefore, in actuality, active recalls ought to be the first option for recalls of subpar automotive products.</w:t>
      </w:r>
    </w:p>
    <w:p>
      <w:pPr>
        <w:ind w:firstLine="480" w:firstLineChars="200"/>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t xml:space="preserve">Rapid recall processes can be used to carry out </w:t>
      </w:r>
      <w:r>
        <w:rPr>
          <w:rFonts w:hint="eastAsia" w:ascii="Times New Roman" w:hAnsi="Times New Roman" w:eastAsia="宋体" w:cs="Times New Roman"/>
          <w:b w:val="0"/>
          <w:bCs w:val="0"/>
          <w:sz w:val="24"/>
          <w:szCs w:val="24"/>
          <w:lang w:val="en-US" w:eastAsia="zh-CN"/>
        </w:rPr>
        <w:t>voluntary</w:t>
      </w:r>
      <w:r>
        <w:rPr>
          <w:rFonts w:hint="default" w:ascii="Times New Roman" w:hAnsi="Times New Roman" w:eastAsia="宋体" w:cs="Times New Roman"/>
          <w:b w:val="0"/>
          <w:bCs w:val="0"/>
          <w:sz w:val="24"/>
          <w:szCs w:val="24"/>
          <w:lang w:val="en-US" w:eastAsia="zh-CN"/>
        </w:rPr>
        <w:t xml:space="preserve"> recalls, which lower costs for businesses, lessen social suffering from defective products, and raise awareness of the necessity for corporations to start recalls. The main steps of the procedure are as follows: Companies frequently become aware of flaws before customers do, first by submitting a recall plan to the regulator soon after the flaw is found, and then the manufacturer can carry out a speedy recall once the authority has confirmed it. Figure 1 displays a flowchart of the active recall procedure.</w:t>
      </w:r>
    </w:p>
    <w:p>
      <w:pPr>
        <w:ind w:firstLine="420" w:firstLineChars="200"/>
        <w:rPr>
          <w:rFonts w:hint="default" w:eastAsiaTheme="minorEastAsia"/>
          <w:lang w:val="en-US" w:eastAsia="zh-CN"/>
        </w:rPr>
      </w:pPr>
      <w:r>
        <w:rPr>
          <w:rFonts w:hint="default" w:eastAsiaTheme="minorEastAsia"/>
          <w:lang w:val="en-US" w:eastAsia="zh-CN"/>
        </w:rPr>
        <w:drawing>
          <wp:inline distT="0" distB="0" distL="114300" distR="114300">
            <wp:extent cx="5271770" cy="1138555"/>
            <wp:effectExtent l="0" t="0" r="1270" b="4445"/>
            <wp:docPr id="2" name="图片 2" descr="RS7%U`~8B$)`EM(MS8_P_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RS7%U`~8B$)`EM(MS8_P_LE"/>
                    <pic:cNvPicPr>
                      <a:picLocks noChangeAspect="1"/>
                    </pic:cNvPicPr>
                  </pic:nvPicPr>
                  <pic:blipFill>
                    <a:blip r:embed="rId4"/>
                    <a:stretch>
                      <a:fillRect/>
                    </a:stretch>
                  </pic:blipFill>
                  <pic:spPr>
                    <a:xfrm>
                      <a:off x="0" y="0"/>
                      <a:ext cx="5271770" cy="1138555"/>
                    </a:xfrm>
                    <a:prstGeom prst="rect">
                      <a:avLst/>
                    </a:prstGeom>
                  </pic:spPr>
                </pic:pic>
              </a:graphicData>
            </a:graphic>
          </wp:inline>
        </w:drawing>
      </w:r>
    </w:p>
    <w:p>
      <w:pPr>
        <w:ind w:firstLine="482" w:firstLineChars="200"/>
        <w:jc w:val="cente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Figure 1</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val="en-US" w:eastAsia="zh-CN"/>
        </w:rPr>
        <w:t>Process of voluntary recall</w:t>
      </w:r>
    </w:p>
    <w:p>
      <w:pPr>
        <w:jc w:val="both"/>
        <w:rPr>
          <w:rFonts w:hint="default" w:ascii="Times New Roman" w:hAnsi="Times New Roman" w:cs="Times New Roman"/>
          <w:b/>
          <w:bCs/>
          <w:sz w:val="24"/>
          <w:szCs w:val="24"/>
          <w:lang w:val="en-US" w:eastAsia="zh-CN"/>
        </w:rPr>
      </w:pPr>
    </w:p>
    <w:p>
      <w:pPr>
        <w:jc w:val="both"/>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2.2 Force recall</w:t>
      </w:r>
    </w:p>
    <w:p>
      <w:pPr>
        <w:ind w:firstLine="480" w:firstLineChars="200"/>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When the regulator determines that the producer is aware of the defect but has failed to initiate a recall, has purposefully concealed the defect, or has used alternative methods to eliminate the defect rather than recalling, it is known as a </w:t>
      </w:r>
      <w:r>
        <w:rPr>
          <w:rFonts w:hint="eastAsia" w:ascii="Times New Roman" w:hAnsi="Times New Roman" w:cs="Times New Roman"/>
          <w:b w:val="0"/>
          <w:bCs w:val="0"/>
          <w:sz w:val="24"/>
          <w:szCs w:val="24"/>
          <w:lang w:val="en-US" w:eastAsia="zh-CN"/>
        </w:rPr>
        <w:t>force</w:t>
      </w:r>
      <w:r>
        <w:rPr>
          <w:rFonts w:hint="default" w:ascii="Times New Roman" w:hAnsi="Times New Roman" w:cs="Times New Roman"/>
          <w:b w:val="0"/>
          <w:bCs w:val="0"/>
          <w:sz w:val="24"/>
          <w:szCs w:val="24"/>
          <w:lang w:val="en-US" w:eastAsia="zh-CN"/>
        </w:rPr>
        <w:t xml:space="preserve"> recall, also known as a directive recall. This type of administrative order has a certain condemnatory character.</w:t>
      </w:r>
      <w:r>
        <w:rPr>
          <w:rFonts w:hint="eastAsia" w:ascii="Times New Roman" w:hAnsi="Times New Roman" w:cs="Times New Roman"/>
          <w:b w:val="0"/>
          <w:bCs w:val="0"/>
          <w:sz w:val="24"/>
          <w:szCs w:val="24"/>
          <w:lang w:val="en-US" w:eastAsia="zh-CN"/>
        </w:rPr>
        <w:t xml:space="preserve"> The recall system's public-private and public-law nature is clearly evident here, however the use of public power necessitates certain conditions: First, evidence of the product defect's identification, demonstrating that it poses a direct or indirect risk to consumer safety; second, notification of the defect's existence by the government to the manufacturer; third, even though mandatory recalls should be carried out by the manufacturer in accordance with legal procedures and the government authorities have only one legal remedy. If a car manufacturer disregards the pertinent regulations, it will be exposed to harsher penalties. A force recall is an administrative action initiated by the responsible state authorities. Mandatory recalls undermine consumers' trust by demonstrating a lack of social responsibility on the part of automakers and importers.</w:t>
      </w:r>
    </w:p>
    <w:p>
      <w:pPr>
        <w:ind w:firstLine="480" w:firstLineChars="200"/>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The procedure of a </w:t>
      </w:r>
      <w:r>
        <w:rPr>
          <w:rFonts w:hint="eastAsia" w:ascii="Times New Roman" w:hAnsi="Times New Roman" w:cs="Times New Roman"/>
          <w:b w:val="0"/>
          <w:bCs w:val="0"/>
          <w:sz w:val="24"/>
          <w:szCs w:val="24"/>
          <w:lang w:val="en-US" w:eastAsia="zh-CN"/>
        </w:rPr>
        <w:t>force</w:t>
      </w:r>
      <w:r>
        <w:rPr>
          <w:rFonts w:hint="default" w:ascii="Times New Roman" w:hAnsi="Times New Roman" w:cs="Times New Roman"/>
          <w:b w:val="0"/>
          <w:bCs w:val="0"/>
          <w:sz w:val="24"/>
          <w:szCs w:val="24"/>
          <w:lang w:val="en-US" w:eastAsia="zh-CN"/>
        </w:rPr>
        <w:t xml:space="preserve"> recall typically comprises numerous steps and takes a long time to complete. It may take several months or longer from the time a product issue is found to the time it is finally implemented. First, the relevant department sends someone to assess the issue after learning of the defect through various channels, such as a report from the business or a complaint from the owner.</w:t>
      </w:r>
      <w:r>
        <w:rPr>
          <w:rFonts w:hint="eastAsia" w:ascii="Times New Roman" w:hAnsi="Times New Roman" w:cs="Times New Roman"/>
          <w:b w:val="0"/>
          <w:bCs w:val="0"/>
          <w:sz w:val="24"/>
          <w:szCs w:val="24"/>
          <w:lang w:val="en-US" w:eastAsia="zh-CN"/>
        </w:rPr>
        <w:t xml:space="preserve"> Second, the technical body of the recall carries out a risk analysis of the automobile flaws and submits the analysis to the state authorities. Finally, the state agency informs the automaker to recall the faulty vehicle. In this procedure, the state authority will compel the vehicle manufacturer to carry out a recall of the defective vehicle product if the risk assessment report indicates that the vehicle defect may have an impact on users' and customers' personal and property safety. The recall is carried out following the development of a recall strategy by the automaker and approval by the appropriate state authorities. Only if the automaker fails to take the initiative to recall and get rid of the faulty automotive product will state authorities initiate the required recall procedure. Figure 2 displays a flowchart of a force recall.</w:t>
      </w:r>
    </w:p>
    <w:p>
      <w:pPr>
        <w:ind w:firstLine="480" w:firstLineChars="200"/>
        <w:jc w:val="both"/>
        <w:rPr>
          <w:rFonts w:hint="default" w:ascii="Times New Roman" w:hAnsi="Times New Roman" w:eastAsia="宋体" w:cs="Times New Roman"/>
          <w:b w:val="0"/>
          <w:bCs w:val="0"/>
          <w:sz w:val="24"/>
          <w:szCs w:val="24"/>
          <w:lang w:val="en-US" w:eastAsia="zh-CN"/>
        </w:rPr>
      </w:pPr>
      <w:r>
        <w:rPr>
          <w:rFonts w:hint="default" w:ascii="Times New Roman" w:hAnsi="Times New Roman" w:eastAsia="宋体" w:cs="Times New Roman"/>
          <w:b w:val="0"/>
          <w:bCs w:val="0"/>
          <w:sz w:val="24"/>
          <w:szCs w:val="24"/>
          <w:lang w:val="en-US" w:eastAsia="zh-CN"/>
        </w:rPr>
        <w:drawing>
          <wp:inline distT="0" distB="0" distL="114300" distR="114300">
            <wp:extent cx="5272405" cy="2973705"/>
            <wp:effectExtent l="0" t="0" r="635" b="13335"/>
            <wp:docPr id="3" name="图片 3" descr="3)2]@5PUT@]QU_YJQ7E(W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3)2]@5PUT@]QU_YJQ7E(WJO"/>
                    <pic:cNvPicPr>
                      <a:picLocks noChangeAspect="1"/>
                    </pic:cNvPicPr>
                  </pic:nvPicPr>
                  <pic:blipFill>
                    <a:blip r:embed="rId5"/>
                    <a:stretch>
                      <a:fillRect/>
                    </a:stretch>
                  </pic:blipFill>
                  <pic:spPr>
                    <a:xfrm>
                      <a:off x="0" y="0"/>
                      <a:ext cx="5272405" cy="2973705"/>
                    </a:xfrm>
                    <a:prstGeom prst="rect">
                      <a:avLst/>
                    </a:prstGeom>
                  </pic:spPr>
                </pic:pic>
              </a:graphicData>
            </a:graphic>
          </wp:inline>
        </w:drawing>
      </w:r>
    </w:p>
    <w:p>
      <w:pPr>
        <w:ind w:firstLine="482" w:firstLineChars="200"/>
        <w:jc w:val="center"/>
        <w:rPr>
          <w:rFonts w:hint="eastAsia" w:ascii="Times New Roman" w:hAnsi="Times New Roman" w:eastAsia="宋体" w:cs="Times New Roman"/>
          <w:b/>
          <w:bCs/>
          <w:sz w:val="24"/>
          <w:szCs w:val="24"/>
          <w:lang w:val="en-US" w:eastAsia="zh-CN"/>
        </w:rPr>
      </w:pPr>
      <w:r>
        <w:rPr>
          <w:rFonts w:hint="eastAsia" w:ascii="Times New Roman" w:hAnsi="Times New Roman" w:eastAsia="宋体" w:cs="Times New Roman"/>
          <w:b/>
          <w:bCs/>
          <w:sz w:val="24"/>
          <w:szCs w:val="24"/>
          <w:lang w:val="en-US" w:eastAsia="zh-CN"/>
        </w:rPr>
        <w:t>Figure 2. Process of forced recall</w:t>
      </w: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ind w:firstLine="482" w:firstLineChars="200"/>
        <w:jc w:val="center"/>
        <w:rPr>
          <w:rFonts w:hint="eastAsia" w:ascii="Times New Roman" w:hAnsi="Times New Roman" w:eastAsia="宋体" w:cs="Times New Roman"/>
          <w:b/>
          <w:bCs/>
          <w:sz w:val="24"/>
          <w:szCs w:val="24"/>
          <w:lang w:val="en-US" w:eastAsia="zh-CN"/>
        </w:rPr>
      </w:pPr>
    </w:p>
    <w:p>
      <w:pPr>
        <w:numPr>
          <w:ilvl w:val="0"/>
          <w:numId w:val="0"/>
        </w:numPr>
        <w:jc w:val="both"/>
        <w:rPr>
          <w:rFonts w:hint="default" w:ascii="Times New Roman" w:hAnsi="Times New Roman" w:cs="Times New Roman"/>
          <w:b w:val="0"/>
          <w:bCs/>
          <w:sz w:val="24"/>
          <w:szCs w:val="24"/>
          <w:lang w:val="en-US" w:eastAsia="zh-CN"/>
        </w:rPr>
      </w:pPr>
    </w:p>
    <w:p>
      <w:pPr>
        <w:numPr>
          <w:ilvl w:val="0"/>
          <w:numId w:val="0"/>
        </w:numPr>
        <w:jc w:val="both"/>
        <w:rPr>
          <w:rFonts w:hint="eastAsia" w:ascii="Times New Roman" w:hAnsi="Times New Roman" w:cs="Times New Roman"/>
          <w:b/>
          <w:bCs/>
          <w:sz w:val="32"/>
          <w:szCs w:val="32"/>
          <w:lang w:val="en-US" w:eastAsia="zh-CN"/>
        </w:rPr>
      </w:pPr>
      <w:r>
        <w:rPr>
          <w:rFonts w:hint="eastAsia" w:ascii="Times New Roman" w:hAnsi="Times New Roman" w:cs="Times New Roman"/>
          <w:b/>
          <w:bCs/>
          <w:sz w:val="32"/>
          <w:szCs w:val="32"/>
          <w:lang w:val="en-US" w:eastAsia="zh-CN"/>
        </w:rPr>
        <w:t>3 Costs associated with product recalls and controls</w:t>
      </w:r>
    </w:p>
    <w:p>
      <w:pPr>
        <w:numPr>
          <w:ilvl w:val="0"/>
          <w:numId w:val="0"/>
        </w:numPr>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The Toyota recall, which raised the company's total number of vehicles recalled to 5 million in 2012, and for which Toyota paid the highest compensation in its history of US$1.1 billion, serves as an illustration in this study. On February 4, 2009, Toyota's senior managing director Takahiko Ijichi told the Japanese media that the company has accounted for 180 billion yen in "recall charges" for recalling vehicles with defective accelerator pedals. 80 billion yen of this total was spent compensating for lost sales as a result of the recall, with the remaining 100 billion yen going on repairs and replacements for the recalled vehicles. This demonstrates the devastating consequences of subpar product quality.</w:t>
      </w:r>
    </w:p>
    <w:p>
      <w:pPr>
        <w:numPr>
          <w:ilvl w:val="0"/>
          <w:numId w:val="0"/>
        </w:numPr>
        <w:ind w:firstLine="480" w:firstLineChars="200"/>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Juran</w:t>
      </w:r>
      <w:r>
        <w:rPr>
          <w:rFonts w:hint="eastAsia" w:ascii="Times New Roman" w:hAnsi="Times New Roman" w:cs="Times New Roman"/>
          <w:b w:val="0"/>
          <w:bCs w:val="0"/>
          <w:sz w:val="24"/>
          <w:szCs w:val="24"/>
          <w:lang w:val="en-US" w:eastAsia="zh-CN"/>
        </w:rPr>
        <w:t xml:space="preserve"> et al. (1999)</w:t>
      </w:r>
      <w:r>
        <w:rPr>
          <w:rFonts w:hint="default" w:ascii="Times New Roman" w:hAnsi="Times New Roman" w:cs="Times New Roman"/>
          <w:b w:val="0"/>
          <w:bCs w:val="0"/>
          <w:sz w:val="24"/>
          <w:szCs w:val="24"/>
          <w:lang w:val="en-US" w:eastAsia="zh-CN"/>
        </w:rPr>
        <w:t xml:space="preserve"> [8] divides the cost of an automotive product recall into direct and indirect costs. Direct costs include costs for testing and repairing the defective product, replacing parts or refunding customers, and providing compensation [9], as well as logistics costs, storage costs, and legal and liability costs incurred during the product recall process [10]</w:t>
      </w:r>
      <w:r>
        <w:rPr>
          <w:rFonts w:hint="eastAsia" w:ascii="Times New Roman" w:hAnsi="Times New Roman" w:cs="Times New Roman"/>
          <w:b w:val="0"/>
          <w:bCs w:val="0"/>
          <w:sz w:val="24"/>
          <w:szCs w:val="24"/>
          <w:lang w:val="en-US" w:eastAsia="zh-CN"/>
        </w:rPr>
        <w:t xml:space="preserve"> . The severity of the defect issue, the quantity of defective products involved, etc. all affect how much direct expenditures will be. Loss of market value and brand image are examples of indirect costs [11] . According to Peltzman and Jarrell (1985) [12] , the indirect costs of product recalls might occasionally be significantly more than the direct expenditures.</w:t>
      </w:r>
    </w:p>
    <w:p>
      <w:pPr>
        <w:numPr>
          <w:ilvl w:val="0"/>
          <w:numId w:val="0"/>
        </w:numPr>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Following a review of the literature, it can be broadly divided into four categories: costs associated with identification in the recall identification phase, costs associated with decision-making in the recall decision phase, costs associated with implementation in the recall execution phase, and potential market and legal costs in the post-recall phase.</w:t>
      </w:r>
    </w:p>
    <w:p>
      <w:pPr>
        <w:keepNext w:val="0"/>
        <w:keepLines w:val="0"/>
        <w:pageBreakBefore w:val="0"/>
        <w:widowControl w:val="0"/>
        <w:numPr>
          <w:ilvl w:val="0"/>
          <w:numId w:val="1"/>
        </w:numPr>
        <w:kinsoku/>
        <w:wordWrap/>
        <w:overflowPunct/>
        <w:topLinePunct w:val="0"/>
        <w:autoSpaceDE/>
        <w:autoSpaceDN/>
        <w:bidi w:val="0"/>
        <w:adjustRightInd/>
        <w:snapToGrid/>
        <w:ind w:firstLine="480" w:firstLineChars="20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Identifying costs: </w:t>
      </w:r>
      <w:r>
        <w:rPr>
          <w:rFonts w:hint="default" w:ascii="Times New Roman" w:hAnsi="Times New Roman" w:cs="Times New Roman"/>
          <w:b w:val="0"/>
          <w:bCs w:val="0"/>
          <w:sz w:val="24"/>
          <w:szCs w:val="24"/>
          <w:lang w:val="en-US" w:eastAsia="zh-CN"/>
        </w:rPr>
        <w:t>The main expenses associated with identification are those related to the time, money, and resources engaged by the business in gathering data. costs that the corporation incurred to evaluate its resources in order to lessen the recall action's effect. costs that the company spend for testing to confirm that the recall decision was made correctly. The final expense of the recall identification phase is the cost invested by the company to ensure that the recall is carried out in a timely and orderly fashion.</w:t>
      </w:r>
    </w:p>
    <w:p>
      <w:pPr>
        <w:pStyle w:val="2"/>
        <w:keepNext w:val="0"/>
        <w:keepLines w:val="0"/>
        <w:widowControl/>
        <w:numPr>
          <w:ilvl w:val="0"/>
          <w:numId w:val="1"/>
        </w:numPr>
        <w:suppressLineNumbers w:val="0"/>
        <w:spacing w:before="0" w:beforeAutospacing="0" w:after="0" w:afterAutospacing="0"/>
        <w:ind w:left="0" w:leftChars="0" w:right="0" w:rightChars="0" w:firstLine="480" w:firstLineChars="20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Decision-making costs: The main expenses associated with identification are those related to the time, money, and resources engaged by the business in gathering data. costs that the corporation incurred to evaluate its resources in order to lessen the recall action's effect. costs that the company spend for testing to confirm that the recall decision was made correctly. The final expense of the recall identification phase is the cost invested by the company to ensure that the recall is carried out in a timely and orderly fashion. After determining that a defect exists, the automaker must inform all parties who are affected, including car dealers, auto part suppliers, and consumers. Dealers must stop selling defective car models and batches, and suppliers must stop producing and supplying defective parts. Consumers must return defective cars in accordance with the company's recall plan. Costs associated with planning and coordinating the activities of all relevant company departments</w:t>
      </w: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(3) Implementation costs: The recall must then be carried out and implemented by removing the vehicle from the consumer, fixing the defect, and then giving it back to the consumer. This process is known as the recall implementation process, and the implementation cost refers to the resources used and expenses incurred by the vehicle manufacturer during this stage. It covers the price of swapping out or fixing damaged components. The manufacturer provides a vehicle of the same type as the defective car for use by the consumer and replaces it once the repair of the car is finished if the defect in the defective car product is so severe that it cannot be removed by simple repair or replacement of parts by the seller and a recall of the entire vehicle is required. All logistics-related tasks are covered by the price of shipping, storing, and transferring new and old parts or damaged cars. Costs that the business incurs to coordinate and communicate with the community and with those upstream and downstream of the supply chain in order to foster a positive social climate and lessen public pressure. The price of centrally destructing faulty vehicles during a recall, given that certain of the metal components need to be disposed of through specialised waste disposal facilities since they pose environmental hazards.</w:t>
      </w: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(4) Market costs: Market costs are the expenses incurred by an automaker as a result of the damage a recall of a defective car does to its image, reputation, and potential for future growth. As soon as an automaker recalls a defective car, it will unavoidably have an impact on the sales and market expansion of the branded vehicle as well as on consumer trust, brand image recognition, and company reputation. If a car manufacturer implements a proactive recall during the entire process of a defective car recall with a reasonable recall plan and appropriate public relations measures, the deferred costs will be minimal and advantageous to the company's reputation and market expansion, but if the manufacturer's recall is too passive or perfunctory, it may result in higher recall costs down the road or negatively impact the company's reputation and product sales.</w:t>
      </w: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(5) Legal costs: Legal and regulatory concerns, such as government fines, consumer lawsuits, company compensation, and other difficulties that can be generally referred to as legal costs, may arise when performing a recall of a defective automobile product. One is the expense of being sued since the defective car already caused the consumer needless harm, and the other is the cost of the consumer rejecting the company's recall programme or the recall process being ineffective, which leads to the consumer launching a lawsuit. Government sanctions against businesses that disregard pertinent rules and regulations, gravely breach consumers' rights, and fail to do recalls.</w:t>
      </w: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p>
    <w:p>
      <w:pPr>
        <w:pStyle w:val="2"/>
        <w:keepNext w:val="0"/>
        <w:keepLines w:val="0"/>
        <w:widowControl/>
        <w:numPr>
          <w:numId w:val="0"/>
        </w:numPr>
        <w:suppressLineNumbers w:val="0"/>
        <w:spacing w:before="0" w:beforeAutospacing="0" w:after="0" w:afterAutospacing="0"/>
        <w:ind w:leftChars="200" w:right="0" w:rightChars="0"/>
        <w:jc w:val="both"/>
        <w:rPr>
          <w:rFonts w:hint="eastAsia" w:ascii="Times New Roman" w:hAnsi="Times New Roman" w:cs="Times New Roman"/>
          <w:b w:val="0"/>
          <w:bCs w:val="0"/>
          <w:sz w:val="24"/>
          <w:szCs w:val="24"/>
          <w:lang w:val="en-US" w:eastAsia="zh-CN"/>
        </w:rPr>
      </w:pPr>
    </w:p>
    <w:p>
      <w:pPr>
        <w:pStyle w:val="2"/>
        <w:keepNext w:val="0"/>
        <w:keepLines w:val="0"/>
        <w:widowControl/>
        <w:numPr>
          <w:numId w:val="0"/>
        </w:numPr>
        <w:suppressLineNumbers w:val="0"/>
        <w:spacing w:before="0" w:beforeAutospacing="0" w:after="0" w:afterAutospacing="0"/>
        <w:ind w:right="0" w:rightChars="0"/>
        <w:jc w:val="both"/>
        <w:rPr>
          <w:rFonts w:hint="eastAsia" w:ascii="Times New Roman" w:hAnsi="Times New Roman" w:cs="Times New Roman"/>
          <w:b w:val="0"/>
          <w:bCs w:val="0"/>
          <w:sz w:val="24"/>
          <w:szCs w:val="24"/>
          <w:lang w:val="en-US" w:eastAsia="zh-CN"/>
        </w:rPr>
      </w:pPr>
    </w:p>
    <w:p>
      <w:pPr>
        <w:pStyle w:val="2"/>
        <w:keepNext w:val="0"/>
        <w:keepLines w:val="0"/>
        <w:widowControl/>
        <w:numPr>
          <w:numId w:val="0"/>
        </w:numPr>
        <w:suppressLineNumbers w:val="0"/>
        <w:spacing w:before="0" w:beforeAutospacing="0" w:after="0" w:afterAutospacing="0"/>
        <w:ind w:right="0" w:rightChars="0"/>
        <w:jc w:val="both"/>
        <w:rPr>
          <w:rFonts w:hint="eastAsia" w:ascii="Times New Roman" w:hAnsi="Times New Roman" w:cs="Times New Roman"/>
          <w:b/>
          <w:bCs/>
          <w:sz w:val="32"/>
          <w:szCs w:val="32"/>
          <w:lang w:val="en-US" w:eastAsia="zh-CN"/>
        </w:rPr>
      </w:pPr>
      <w:bookmarkStart w:id="1" w:name="_Toc7303"/>
      <w:r>
        <w:rPr>
          <w:rFonts w:hint="eastAsia" w:ascii="Times New Roman" w:hAnsi="Times New Roman" w:cs="Times New Roman"/>
          <w:b/>
          <w:bCs/>
          <w:sz w:val="32"/>
          <w:szCs w:val="32"/>
          <w:lang w:val="en-US" w:eastAsia="zh-CN"/>
        </w:rPr>
        <w:t>4 Restoring customer confidence</w:t>
      </w:r>
      <w:bookmarkEnd w:id="1"/>
    </w:p>
    <w:p>
      <w:pPr>
        <w:pStyle w:val="2"/>
        <w:keepNext w:val="0"/>
        <w:keepLines w:val="0"/>
        <w:widowControl/>
        <w:numPr>
          <w:numId w:val="0"/>
        </w:numPr>
        <w:suppressLineNumbers w:val="0"/>
        <w:spacing w:before="0" w:beforeAutospacing="0" w:after="0" w:afterAutospacing="0"/>
        <w:ind w:right="0" w:rightChars="0"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Whether a firm can successfully lessen the harm caused by a product recall issue will depend on the strategic actions it decides to take. Both the company's stakeholders and the company itself may be impacted by a product recall. The major reason why a product recall affects consumers is because product quality flaws can raise consumer concerns and mistrust, which in turn can damage the company's reputation. The consumer's behavioural intentions and the company's reputation will both be harmed by the poor perception of the company.</w:t>
      </w:r>
    </w:p>
    <w:p>
      <w:pPr>
        <w:numPr>
          <w:numId w:val="0"/>
        </w:numPr>
        <w:ind w:firstLine="480" w:firstLineChars="200"/>
        <w:jc w:val="both"/>
        <w:rPr>
          <w:rFonts w:hint="eastAsia"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Scholars' classifications of product crisis response tactics differ greatly with relation to the classification of response strategies. Siomkos and Kurzbard</w:t>
      </w:r>
      <w:r>
        <w:rPr>
          <w:rFonts w:hint="eastAsia" w:ascii="Times New Roman" w:hAnsi="Times New Roman" w:cs="Times New Roman"/>
          <w:b w:val="0"/>
          <w:bCs w:val="0"/>
          <w:sz w:val="24"/>
          <w:szCs w:val="24"/>
          <w:lang w:val="en-US" w:eastAsia="zh-CN"/>
        </w:rPr>
        <w:t xml:space="preserve"> (1994) </w:t>
      </w:r>
      <w:r>
        <w:rPr>
          <w:rFonts w:hint="default" w:ascii="Times New Roman" w:hAnsi="Times New Roman" w:cs="Times New Roman"/>
          <w:b w:val="0"/>
          <w:bCs w:val="0"/>
          <w:sz w:val="24"/>
          <w:szCs w:val="24"/>
          <w:lang w:val="en-US" w:eastAsia="zh-CN"/>
        </w:rPr>
        <w:t>[6] divided companies' crisis management tactics into four groups: denial, forced recall, active recall, and very hard response.</w:t>
      </w:r>
      <w:r>
        <w:rPr>
          <w:rFonts w:hint="eastAsia" w:ascii="Times New Roman" w:hAnsi="Times New Roman" w:cs="Times New Roman"/>
          <w:b w:val="0"/>
          <w:bCs w:val="0"/>
          <w:sz w:val="24"/>
          <w:szCs w:val="24"/>
          <w:lang w:val="en-US" w:eastAsia="zh-CN"/>
        </w:rPr>
        <w:t xml:space="preserve"> Dawar and </w:t>
      </w:r>
      <w:r>
        <w:rPr>
          <w:rFonts w:hint="default" w:ascii="Times New Roman" w:hAnsi="Times New Roman" w:eastAsia="宋体" w:cs="Times New Roman"/>
          <w:i w:val="0"/>
          <w:iCs w:val="0"/>
          <w:caps w:val="0"/>
          <w:color w:val="222222"/>
          <w:spacing w:val="0"/>
          <w:sz w:val="24"/>
          <w:szCs w:val="24"/>
          <w:shd w:val="clear" w:fill="FFFFFF"/>
        </w:rPr>
        <w:t>Pillutla</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(2000)</w:t>
      </w:r>
      <w:r>
        <w:rPr>
          <w:rFonts w:hint="eastAsia" w:ascii="Times New Roman" w:hAnsi="Times New Roman" w:cs="Times New Roman"/>
          <w:b w:val="0"/>
          <w:bCs w:val="0"/>
          <w:sz w:val="24"/>
          <w:szCs w:val="24"/>
          <w:lang w:val="en-US" w:eastAsia="zh-CN"/>
        </w:rPr>
        <w:t xml:space="preserve"> [13] divides corporate crisis management tactics into three categories: hard denial, proactive response, and quiet. Siomkos and </w:t>
      </w:r>
      <w:r>
        <w:rPr>
          <w:rFonts w:hint="default" w:ascii="Times New Roman" w:hAnsi="Times New Roman" w:eastAsia="宋体" w:cs="Times New Roman"/>
          <w:i w:val="0"/>
          <w:iCs w:val="0"/>
          <w:caps w:val="0"/>
          <w:color w:val="222222"/>
          <w:spacing w:val="0"/>
          <w:sz w:val="24"/>
          <w:szCs w:val="24"/>
          <w:shd w:val="clear" w:fill="FFFFFF"/>
        </w:rPr>
        <w:t>Kurzbard</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(1994)</w:t>
      </w:r>
      <w:r>
        <w:rPr>
          <w:rFonts w:hint="eastAsia" w:ascii="Times New Roman" w:hAnsi="Times New Roman" w:cs="Times New Roman"/>
          <w:b w:val="0"/>
          <w:bCs w:val="0"/>
          <w:sz w:val="24"/>
          <w:szCs w:val="24"/>
          <w:lang w:val="en-US" w:eastAsia="zh-CN"/>
        </w:rPr>
        <w:t xml:space="preserve"> [6] contends that prompt action and proactive recall demonstrate enhanced market reaction. Similar to this, Dawar </w:t>
      </w:r>
      <w:r>
        <w:rPr>
          <w:rFonts w:hint="eastAsia" w:ascii="Times New Roman" w:hAnsi="Times New Roman" w:cs="Times New Roman"/>
          <w:b w:val="0"/>
          <w:bCs w:val="0"/>
          <w:sz w:val="24"/>
          <w:szCs w:val="24"/>
          <w:lang w:val="en-US" w:eastAsia="zh-CN"/>
        </w:rPr>
        <w:t xml:space="preserve">and </w:t>
      </w:r>
      <w:r>
        <w:rPr>
          <w:rFonts w:hint="default" w:ascii="Times New Roman" w:hAnsi="Times New Roman" w:eastAsia="宋体" w:cs="Times New Roman"/>
          <w:i w:val="0"/>
          <w:iCs w:val="0"/>
          <w:caps w:val="0"/>
          <w:color w:val="222222"/>
          <w:spacing w:val="0"/>
          <w:sz w:val="24"/>
          <w:szCs w:val="24"/>
          <w:shd w:val="clear" w:fill="FFFFFF"/>
        </w:rPr>
        <w:t>Pillutla</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(2000)</w:t>
      </w:r>
      <w:r>
        <w:rPr>
          <w:rFonts w:hint="eastAsia" w:ascii="Times New Roman" w:hAnsi="Times New Roman" w:cs="Times New Roman"/>
          <w:b w:val="0"/>
          <w:bCs w:val="0"/>
          <w:sz w:val="24"/>
          <w:szCs w:val="24"/>
          <w:lang w:val="en-US" w:eastAsia="zh-CN"/>
        </w:rPr>
        <w:t xml:space="preserve"> [13] contends that the best reaction tactics are proactive ones. A proactive recall strategy can, to some extent, lessen the negative effects of a product recall crisis, thereby restoring investor confidence and reducing consumer complaints and perceived risks. On the other hand, it can also amplify unfavourable consumer perceptions and worsen the effect of a product crisis on investors, such as. Therefore, while choosing a product recall approach, a proactive recall strategy should be used. On the one hand, businesses can reduce consumer caution toward their brand, cut down on customer churn, and lay the groundwork for potential future "recovery" if they want to take the initiative and accept responsibility.</w:t>
      </w:r>
    </w:p>
    <w:p>
      <w:pPr>
        <w:numPr>
          <w:numId w:val="0"/>
        </w:numPr>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According to Bruce</w:t>
      </w:r>
      <w:r>
        <w:rPr>
          <w:rFonts w:hint="eastAsia" w:ascii="Times New Roman" w:hAnsi="Times New Roman" w:cs="Times New Roman"/>
          <w:b w:val="0"/>
          <w:bCs w:val="0"/>
          <w:sz w:val="24"/>
          <w:szCs w:val="24"/>
          <w:lang w:val="en-US" w:eastAsia="zh-CN"/>
        </w:rPr>
        <w:t xml:space="preserve"> et al.</w:t>
      </w:r>
      <w:r>
        <w:rPr>
          <w:rFonts w:hint="default" w:ascii="Times New Roman" w:hAnsi="Times New Roman" w:cs="Times New Roman"/>
          <w:b w:val="0"/>
          <w:bCs w:val="0"/>
          <w:sz w:val="24"/>
          <w:szCs w:val="24"/>
          <w:lang w:val="en-US" w:eastAsia="zh-CN"/>
        </w:rPr>
        <w:t xml:space="preserve"> (2012)</w:t>
      </w:r>
      <w:r>
        <w:rPr>
          <w:rFonts w:hint="eastAsia" w:ascii="Times New Roman" w:hAnsi="Times New Roman" w:cs="Times New Roman"/>
          <w:b w:val="0"/>
          <w:bCs w:val="0"/>
          <w:sz w:val="24"/>
          <w:szCs w:val="24"/>
          <w:lang w:val="en-US" w:eastAsia="zh-CN"/>
        </w:rPr>
        <w:t xml:space="preserve"> [14]</w:t>
      </w:r>
      <w:r>
        <w:rPr>
          <w:rFonts w:hint="default" w:ascii="Times New Roman" w:hAnsi="Times New Roman" w:cs="Times New Roman"/>
          <w:b w:val="0"/>
          <w:bCs w:val="0"/>
          <w:sz w:val="24"/>
          <w:szCs w:val="24"/>
          <w:lang w:val="en-US" w:eastAsia="zh-CN"/>
        </w:rPr>
        <w:t>, businesses that spend a lot of money on brand advertising after a product recall are better able to recover from the negative effects of a damaged reputation, lessen the revenue loss brought on by the recall, and possibly even win back lost consumer trust.</w:t>
      </w:r>
      <w:r>
        <w:rPr>
          <w:rFonts w:hint="eastAsia" w:ascii="Times New Roman" w:hAnsi="Times New Roman" w:cs="Times New Roman"/>
          <w:b w:val="0"/>
          <w:bCs w:val="0"/>
          <w:sz w:val="24"/>
          <w:szCs w:val="24"/>
          <w:lang w:val="en-US" w:eastAsia="zh-CN"/>
        </w:rPr>
        <w:t xml:space="preserve"> In order to analyse the sales of Australia's largest peanut butter company before, during, and after a product recall problem, cleeren and Dekimpe (2008) [15] used real experimental data and real items. According to the data, all of the manufacturer's defective peanut butter was withdrawn off the shelves within five months of the crisis, and the company's market share decreased to 0%, while its rivals boosted their market share by 55% through a number of significant campaigns. Despite this, the survey indicated that peanut butter demand decreased 30% across the board. According to the study, devoted customers still had a strong motivation to purchase the product when it was relaunched, even though the defective manufacturer pulled all of its products off the market after five months, leaving it with zero market share. </w:t>
      </w:r>
      <w:r>
        <w:rPr>
          <w:rFonts w:hint="default" w:ascii="Times New Roman" w:hAnsi="Times New Roman" w:cs="Times New Roman"/>
          <w:b w:val="0"/>
          <w:bCs w:val="0"/>
          <w:sz w:val="24"/>
          <w:szCs w:val="24"/>
          <w:lang w:val="en-US" w:eastAsia="zh-CN"/>
        </w:rPr>
        <w:t>In order to win back customers, producers should minimise the length of the recall process and alert consumers in advance when the problem has been fixed and the product is ready to be restocked.</w:t>
      </w:r>
    </w:p>
    <w:p>
      <w:pPr>
        <w:numPr>
          <w:numId w:val="0"/>
        </w:numPr>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A review of earlier studies in the literature reveals that scholars are more consistent in classifying recall remedies, which can be divided into three main categories: first, inspection or repair of defective products; second, replacement of defective products; and third, return of the product or refund of the product's price in monetary terms, and, in exceptional cases, a corresponding gift or subsidy to the consumer.</w:t>
      </w: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jc w:val="both"/>
        <w:rPr>
          <w:rFonts w:hint="eastAsia" w:ascii="Times New Roman" w:hAnsi="Times New Roman" w:cs="Times New Roman"/>
          <w:b/>
          <w:bCs/>
          <w:sz w:val="32"/>
          <w:szCs w:val="32"/>
          <w:lang w:val="en-US" w:eastAsia="zh-CN"/>
        </w:rPr>
      </w:pPr>
      <w:bookmarkStart w:id="2" w:name="_Toc16308"/>
      <w:r>
        <w:rPr>
          <w:rFonts w:hint="eastAsia" w:ascii="Times New Roman" w:hAnsi="Times New Roman" w:cs="Times New Roman"/>
          <w:b/>
          <w:bCs/>
          <w:sz w:val="32"/>
          <w:szCs w:val="32"/>
          <w:lang w:val="en-US" w:eastAsia="zh-CN"/>
        </w:rPr>
        <w:t>5 Conclusion</w:t>
      </w:r>
      <w:bookmarkEnd w:id="2"/>
    </w:p>
    <w:p>
      <w:pPr>
        <w:numPr>
          <w:numId w:val="0"/>
        </w:numPr>
        <w:ind w:firstLine="480" w:firstLineChars="200"/>
        <w:jc w:val="both"/>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In order to summarise the prior post, we would like to offer the following guidance to businesses who have had items recalled: The expenses of recalls are broken down into identification costs, decision costs, implementation costs, marketing costs, and legal costs. Product recalls are often separated into </w:t>
      </w:r>
      <w:r>
        <w:rPr>
          <w:rFonts w:hint="eastAsia" w:ascii="Times New Roman" w:hAnsi="Times New Roman" w:cs="Times New Roman"/>
          <w:b w:val="0"/>
          <w:bCs w:val="0"/>
          <w:sz w:val="24"/>
          <w:szCs w:val="24"/>
          <w:lang w:val="en-US" w:eastAsia="zh-CN"/>
        </w:rPr>
        <w:t>voluntary</w:t>
      </w:r>
      <w:r>
        <w:rPr>
          <w:rFonts w:hint="default" w:ascii="Times New Roman" w:hAnsi="Times New Roman" w:cs="Times New Roman"/>
          <w:b w:val="0"/>
          <w:bCs w:val="0"/>
          <w:sz w:val="24"/>
          <w:szCs w:val="24"/>
          <w:lang w:val="en-US" w:eastAsia="zh-CN"/>
        </w:rPr>
        <w:t xml:space="preserve"> and </w:t>
      </w:r>
      <w:r>
        <w:rPr>
          <w:rFonts w:hint="eastAsia" w:ascii="Times New Roman" w:hAnsi="Times New Roman" w:cs="Times New Roman"/>
          <w:b w:val="0"/>
          <w:bCs w:val="0"/>
          <w:sz w:val="24"/>
          <w:szCs w:val="24"/>
          <w:lang w:val="en-US" w:eastAsia="zh-CN"/>
        </w:rPr>
        <w:t>force</w:t>
      </w:r>
      <w:r>
        <w:rPr>
          <w:rFonts w:hint="default" w:ascii="Times New Roman" w:hAnsi="Times New Roman" w:cs="Times New Roman"/>
          <w:b w:val="0"/>
          <w:bCs w:val="0"/>
          <w:sz w:val="24"/>
          <w:szCs w:val="24"/>
          <w:lang w:val="en-US" w:eastAsia="zh-CN"/>
        </w:rPr>
        <w:t xml:space="preserve"> recalls</w:t>
      </w:r>
      <w:r>
        <w:rPr>
          <w:rFonts w:hint="eastAsia" w:ascii="Times New Roman" w:hAnsi="Times New Roman" w:cs="Times New Roman"/>
          <w:b w:val="0"/>
          <w:bCs w:val="0"/>
          <w:sz w:val="24"/>
          <w:szCs w:val="24"/>
          <w:lang w:val="en-US" w:eastAsia="zh-CN"/>
        </w:rPr>
        <w:t xml:space="preserve"> to</w:t>
      </w:r>
      <w:r>
        <w:rPr>
          <w:rFonts w:hint="default" w:ascii="Times New Roman" w:hAnsi="Times New Roman" w:cs="Times New Roman"/>
          <w:b w:val="0"/>
          <w:bCs w:val="0"/>
          <w:sz w:val="24"/>
          <w:szCs w:val="24"/>
          <w:lang w:val="en-US" w:eastAsia="zh-CN"/>
        </w:rPr>
        <w:t xml:space="preserve"> help restore consumer faith.</w:t>
      </w: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480" w:firstLineChars="200"/>
        <w:jc w:val="both"/>
        <w:rPr>
          <w:rFonts w:hint="default" w:ascii="Times New Roman" w:hAnsi="Times New Roman" w:cs="Times New Roman"/>
          <w:b w:val="0"/>
          <w:bCs w:val="0"/>
          <w:sz w:val="24"/>
          <w:szCs w:val="24"/>
          <w:lang w:val="en-US" w:eastAsia="zh-CN"/>
        </w:rPr>
      </w:pPr>
    </w:p>
    <w:p>
      <w:pPr>
        <w:numPr>
          <w:numId w:val="0"/>
        </w:numPr>
        <w:ind w:firstLine="643" w:firstLineChars="200"/>
        <w:jc w:val="center"/>
        <w:rPr>
          <w:rFonts w:hint="eastAsia" w:ascii="Times New Roman" w:hAnsi="Times New Roman" w:cs="Times New Roman"/>
          <w:b/>
          <w:bCs/>
          <w:sz w:val="32"/>
          <w:szCs w:val="32"/>
          <w:lang w:val="en-US" w:eastAsia="zh-CN"/>
        </w:rPr>
      </w:pPr>
      <w:bookmarkStart w:id="3" w:name="_Toc3590"/>
      <w:r>
        <w:rPr>
          <w:rFonts w:hint="eastAsia" w:ascii="Times New Roman" w:hAnsi="Times New Roman" w:cs="Times New Roman"/>
          <w:b/>
          <w:bCs/>
          <w:sz w:val="32"/>
          <w:szCs w:val="32"/>
          <w:lang w:val="en-US" w:eastAsia="zh-CN"/>
        </w:rPr>
        <w:t>References</w:t>
      </w:r>
      <w:bookmarkEnd w:id="3"/>
    </w:p>
    <w:p>
      <w:pPr>
        <w:numPr>
          <w:ilvl w:val="0"/>
          <w:numId w:val="2"/>
        </w:numPr>
        <w:jc w:val="both"/>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Chen, Y., Ganesan, S., &amp; Liu, Y</w:t>
      </w:r>
      <w:r>
        <w:rPr>
          <w:rFonts w:hint="eastAsia" w:ascii="Times New Roman" w:hAnsi="Times New Roman" w:cs="Times New Roman"/>
          <w:sz w:val="24"/>
          <w:szCs w:val="24"/>
          <w:lang w:val="en-US" w:eastAsia="zh-CN"/>
        </w:rPr>
        <w:t xml:space="preserve">, </w:t>
      </w:r>
      <w:r>
        <w:rPr>
          <w:rFonts w:hint="default" w:ascii="Times New Roman" w:hAnsi="Times New Roman" w:cs="Times New Roman" w:eastAsiaTheme="minorEastAsia"/>
          <w:sz w:val="24"/>
          <w:szCs w:val="24"/>
          <w:lang w:val="en-US" w:eastAsia="zh-CN"/>
        </w:rPr>
        <w:t xml:space="preserve">2009. Does a Firm’s Product-Recall Strategy Affect Its Financial Value? An Examination of Strategic Alternatives during Product-Harm Crises. </w:t>
      </w:r>
      <w:r>
        <w:rPr>
          <w:rFonts w:hint="default" w:ascii="Times New Roman" w:hAnsi="Times New Roman" w:cs="Times New Roman" w:eastAsiaTheme="minorEastAsia"/>
          <w:b w:val="0"/>
          <w:bCs w:val="0"/>
          <w:i/>
          <w:iCs/>
          <w:sz w:val="24"/>
          <w:szCs w:val="24"/>
          <w:lang w:val="en-US" w:eastAsia="zh-CN"/>
        </w:rPr>
        <w:t>Journal of Marketing</w:t>
      </w:r>
      <w:r>
        <w:rPr>
          <w:rFonts w:hint="default" w:ascii="Times New Roman" w:hAnsi="Times New Roman" w:cs="Times New Roman" w:eastAsiaTheme="minorEastAsia"/>
          <w:sz w:val="24"/>
          <w:szCs w:val="24"/>
          <w:lang w:val="en-US" w:eastAsia="zh-CN"/>
        </w:rPr>
        <w:t xml:space="preserve">, </w:t>
      </w:r>
      <w:r>
        <w:rPr>
          <w:rFonts w:hint="default" w:ascii="Times New Roman" w:hAnsi="Times New Roman" w:cs="Times New Roman" w:eastAsiaTheme="minorEastAsia"/>
          <w:i/>
          <w:iCs/>
          <w:sz w:val="24"/>
          <w:szCs w:val="24"/>
          <w:lang w:val="en-US" w:eastAsia="zh-CN"/>
        </w:rPr>
        <w:t>73</w:t>
      </w:r>
      <w:r>
        <w:rPr>
          <w:rFonts w:hint="default" w:ascii="Times New Roman" w:hAnsi="Times New Roman" w:cs="Times New Roman" w:eastAsiaTheme="minorEastAsia"/>
          <w:sz w:val="24"/>
          <w:szCs w:val="24"/>
          <w:lang w:val="en-US" w:eastAsia="zh-CN"/>
        </w:rPr>
        <w:t xml:space="preserve">(6), </w:t>
      </w:r>
      <w:r>
        <w:rPr>
          <w:rFonts w:hint="eastAsia" w:ascii="Times New Roman" w:hAnsi="Times New Roman" w:cs="Times New Roman"/>
          <w:sz w:val="24"/>
          <w:szCs w:val="24"/>
          <w:lang w:val="en-US" w:eastAsia="zh-CN"/>
        </w:rPr>
        <w:t xml:space="preserve">pp. </w:t>
      </w:r>
      <w:r>
        <w:rPr>
          <w:rFonts w:hint="default" w:ascii="Times New Roman" w:hAnsi="Times New Roman" w:cs="Times New Roman" w:eastAsiaTheme="minorEastAsia"/>
          <w:sz w:val="24"/>
          <w:szCs w:val="24"/>
          <w:lang w:val="en-US" w:eastAsia="zh-CN"/>
        </w:rPr>
        <w:t>214–226.</w:t>
      </w:r>
    </w:p>
    <w:p>
      <w:pPr>
        <w:numPr>
          <w:ilvl w:val="0"/>
          <w:numId w:val="2"/>
        </w:numPr>
        <w:jc w:val="both"/>
        <w:rPr>
          <w:rFonts w:hint="default" w:ascii="Times New Roman" w:hAnsi="Times New Roman" w:cs="Times New Roman" w:eastAsiaTheme="minorEastAsia"/>
          <w:sz w:val="24"/>
          <w:szCs w:val="24"/>
          <w:lang w:val="en-US" w:eastAsia="zh-CN"/>
        </w:rPr>
      </w:pPr>
      <w:r>
        <w:rPr>
          <w:rFonts w:hint="default" w:ascii="Times New Roman" w:hAnsi="Times New Roman" w:eastAsia="宋体" w:cs="Times New Roman"/>
          <w:i w:val="0"/>
          <w:iCs w:val="0"/>
          <w:caps w:val="0"/>
          <w:color w:val="222222"/>
          <w:spacing w:val="0"/>
          <w:sz w:val="24"/>
          <w:szCs w:val="24"/>
          <w:shd w:val="clear" w:fill="FFFFFF"/>
        </w:rPr>
        <w:t>Zhao, X., Li, Y. and Flynn, B.B., 2013.</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The financial impact of product recall announcements in China.</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International Journal of Production Economics</w:t>
      </w:r>
      <w:r>
        <w:rPr>
          <w:rFonts w:hint="default" w:ascii="Times New Roman" w:hAnsi="Times New Roman" w:eastAsia="宋体" w:cs="Times New Roman"/>
          <w:i w:val="0"/>
          <w:iCs w:val="0"/>
          <w:caps w:val="0"/>
          <w:color w:val="222222"/>
          <w:spacing w:val="0"/>
          <w:sz w:val="24"/>
          <w:szCs w:val="24"/>
          <w:shd w:val="clear" w:fill="FFFFFF"/>
        </w:rPr>
        <w: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iCs/>
          <w:caps w:val="0"/>
          <w:color w:val="222222"/>
          <w:spacing w:val="0"/>
          <w:sz w:val="24"/>
          <w:szCs w:val="24"/>
          <w:shd w:val="clear" w:fill="FFFFFF"/>
        </w:rPr>
        <w:t>142</w:t>
      </w:r>
      <w:r>
        <w:rPr>
          <w:rFonts w:hint="default" w:ascii="Times New Roman" w:hAnsi="Times New Roman" w:eastAsia="宋体" w:cs="Times New Roman"/>
          <w:i w:val="0"/>
          <w:iCs w:val="0"/>
          <w:caps w:val="0"/>
          <w:color w:val="222222"/>
          <w:spacing w:val="0"/>
          <w:sz w:val="24"/>
          <w:szCs w:val="24"/>
          <w:shd w:val="clear" w:fill="FFFFFF"/>
        </w:rPr>
        <w:t>(1),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115-123.</w:t>
      </w:r>
    </w:p>
    <w:p>
      <w:pPr>
        <w:widowControl w:val="0"/>
        <w:numPr>
          <w:ilvl w:val="0"/>
          <w:numId w:val="0"/>
        </w:numPr>
        <w:tabs>
          <w:tab w:val="left" w:pos="397"/>
        </w:tabs>
        <w:ind w:leftChars="0"/>
        <w:jc w:val="both"/>
        <w:rPr>
          <w:rFonts w:hint="default" w:ascii="Times New Roman" w:hAnsi="Times New Roman" w:cs="Times New Roman" w:eastAsiaTheme="minorEastAsia"/>
          <w:sz w:val="24"/>
          <w:szCs w:val="24"/>
          <w:lang w:val="en-US" w:eastAsia="zh-CN"/>
        </w:rPr>
      </w:pP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[3] </w:t>
      </w:r>
      <w:r>
        <w:rPr>
          <w:rFonts w:hint="default" w:ascii="Times New Roman" w:hAnsi="Times New Roman" w:eastAsia="宋体" w:cs="Times New Roman"/>
          <w:i w:val="0"/>
          <w:iCs w:val="0"/>
          <w:caps w:val="0"/>
          <w:color w:val="222222"/>
          <w:spacing w:val="0"/>
          <w:sz w:val="24"/>
          <w:szCs w:val="24"/>
          <w:shd w:val="clear" w:fill="FFFFFF"/>
        </w:rPr>
        <w:t>Siomkos, G.J., 1999. On achieving exoneration after a product safety industrial crisis. </w:t>
      </w:r>
      <w:r>
        <w:rPr>
          <w:rFonts w:hint="default" w:ascii="Times New Roman" w:hAnsi="Times New Roman" w:eastAsia="宋体" w:cs="Times New Roman"/>
          <w:i/>
          <w:iCs/>
          <w:caps w:val="0"/>
          <w:color w:val="222222"/>
          <w:spacing w:val="0"/>
          <w:sz w:val="24"/>
          <w:szCs w:val="24"/>
          <w:shd w:val="clear" w:fill="FFFFFF"/>
        </w:rPr>
        <w:t>Journal of Business &amp; Industrial Marketing</w:t>
      </w:r>
      <w:r>
        <w:rPr>
          <w:rFonts w:hint="default" w:ascii="Times New Roman" w:hAnsi="Times New Roman" w:eastAsia="宋体" w:cs="Times New Roman"/>
          <w:i w:val="0"/>
          <w:iCs w:val="0"/>
          <w:caps w:val="0"/>
          <w:color w:val="222222"/>
          <w:spacing w:val="0"/>
          <w:sz w:val="24"/>
          <w:szCs w:val="24"/>
          <w:shd w:val="clear" w:fill="FFFFFF"/>
        </w:rPr>
        <w: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eastAsia" w:ascii="Times New Roman" w:hAnsi="Times New Roman" w:eastAsia="宋体" w:cs="Times New Roman"/>
          <w:i/>
          <w:iCs/>
          <w:caps w:val="0"/>
          <w:color w:val="222222"/>
          <w:spacing w:val="0"/>
          <w:sz w:val="24"/>
          <w:szCs w:val="24"/>
          <w:shd w:val="clear" w:fill="FFFFFF"/>
          <w:lang w:val="en-US" w:eastAsia="zh-CN"/>
        </w:rPr>
        <w:t>14</w:t>
      </w:r>
      <w:r>
        <w:rPr>
          <w:rFonts w:hint="eastAsia" w:ascii="Times New Roman" w:hAnsi="Times New Roman" w:eastAsia="宋体" w:cs="Times New Roman"/>
          <w:i w:val="0"/>
          <w:iCs w:val="0"/>
          <w:caps w:val="0"/>
          <w:color w:val="222222"/>
          <w:spacing w:val="0"/>
          <w:sz w:val="24"/>
          <w:szCs w:val="24"/>
          <w:shd w:val="clear" w:fill="FFFFFF"/>
          <w:lang w:val="en-US" w:eastAsia="zh-CN"/>
        </w:rPr>
        <w:t>(1), pp. 19-27.</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eastAsia" w:ascii="Times New Roman" w:hAnsi="Times New Roman" w:cs="Times New Roman"/>
          <w:b w:val="0"/>
          <w:bCs w:val="0"/>
          <w:sz w:val="24"/>
          <w:szCs w:val="24"/>
          <w:lang w:val="en-US" w:eastAsia="zh-CN"/>
        </w:rPr>
        <w:t xml:space="preserve">[4] </w:t>
      </w:r>
      <w:r>
        <w:rPr>
          <w:rFonts w:hint="default" w:ascii="Times New Roman" w:hAnsi="Times New Roman" w:eastAsia="宋体" w:cs="Times New Roman"/>
          <w:i w:val="0"/>
          <w:iCs w:val="0"/>
          <w:caps w:val="0"/>
          <w:color w:val="222222"/>
          <w:spacing w:val="0"/>
          <w:sz w:val="24"/>
          <w:szCs w:val="24"/>
          <w:shd w:val="clear" w:fill="FFFFFF"/>
        </w:rPr>
        <w:t>Rupp, N.G. and Taylor, C.R., 2002. Who initiates recalls and who cares? Evidence from the automobile industry. </w:t>
      </w:r>
      <w:r>
        <w:rPr>
          <w:rFonts w:hint="default" w:ascii="Times New Roman" w:hAnsi="Times New Roman" w:eastAsia="宋体" w:cs="Times New Roman"/>
          <w:i/>
          <w:iCs/>
          <w:caps w:val="0"/>
          <w:color w:val="222222"/>
          <w:spacing w:val="0"/>
          <w:sz w:val="24"/>
          <w:szCs w:val="24"/>
          <w:shd w:val="clear" w:fill="FFFFFF"/>
        </w:rPr>
        <w:t>The Journal of Industrial Economics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50</w:t>
      </w:r>
      <w:r>
        <w:rPr>
          <w:rFonts w:hint="default" w:ascii="Times New Roman" w:hAnsi="Times New Roman" w:eastAsia="宋体" w:cs="Times New Roman"/>
          <w:i w:val="0"/>
          <w:iCs w:val="0"/>
          <w:caps w:val="0"/>
          <w:color w:val="222222"/>
          <w:spacing w:val="0"/>
          <w:sz w:val="24"/>
          <w:szCs w:val="24"/>
          <w:shd w:val="clear" w:fill="FFFFFF"/>
        </w:rPr>
        <w:t>(2), pp.123-149.</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[5] </w:t>
      </w:r>
      <w:r>
        <w:rPr>
          <w:rFonts w:hint="default" w:ascii="Times New Roman" w:hAnsi="Times New Roman" w:eastAsia="宋体" w:cs="Times New Roman"/>
          <w:i w:val="0"/>
          <w:iCs w:val="0"/>
          <w:caps w:val="0"/>
          <w:color w:val="222222"/>
          <w:spacing w:val="0"/>
          <w:sz w:val="24"/>
          <w:szCs w:val="24"/>
          <w:shd w:val="clear" w:fill="FFFFFF"/>
        </w:rPr>
        <w:t>Chen, Y., Ganesan, S. and Liu, Y., 2009. Does a firm's product-recall strategy affect its financial value? An examination of strategic alternatives during product-harm crises. </w:t>
      </w:r>
      <w:r>
        <w:rPr>
          <w:rFonts w:hint="default" w:ascii="Times New Roman" w:hAnsi="Times New Roman" w:eastAsia="宋体" w:cs="Times New Roman"/>
          <w:i/>
          <w:iCs/>
          <w:caps w:val="0"/>
          <w:color w:val="222222"/>
          <w:spacing w:val="0"/>
          <w:sz w:val="24"/>
          <w:szCs w:val="24"/>
          <w:shd w:val="clear" w:fill="FFFFFF"/>
        </w:rPr>
        <w:t>Journal of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73</w:t>
      </w:r>
      <w:r>
        <w:rPr>
          <w:rFonts w:hint="default" w:ascii="Times New Roman" w:hAnsi="Times New Roman" w:eastAsia="宋体" w:cs="Times New Roman"/>
          <w:i w:val="0"/>
          <w:iCs w:val="0"/>
          <w:caps w:val="0"/>
          <w:color w:val="222222"/>
          <w:spacing w:val="0"/>
          <w:sz w:val="24"/>
          <w:szCs w:val="24"/>
          <w:shd w:val="clear" w:fill="FFFFFF"/>
        </w:rPr>
        <w:t>(6),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214-226.</w:t>
      </w:r>
    </w:p>
    <w:p>
      <w:pPr>
        <w:widowControl w:val="0"/>
        <w:numPr>
          <w:ilvl w:val="0"/>
          <w:numId w:val="0"/>
        </w:numPr>
        <w:tabs>
          <w:tab w:val="left" w:pos="397"/>
        </w:tabs>
        <w:ind w:leftChars="0"/>
        <w:jc w:val="both"/>
        <w:rPr>
          <w:rFonts w:hint="eastAsia" w:ascii="Times New Roman" w:hAnsi="Times New Roman" w:eastAsia="宋体" w:cs="Times New Roman"/>
          <w:i w:val="0"/>
          <w:iCs w:val="0"/>
          <w:caps w:val="0"/>
          <w:color w:val="222222"/>
          <w:spacing w:val="0"/>
          <w:sz w:val="24"/>
          <w:szCs w:val="24"/>
          <w:shd w:val="clear" w:fill="FFFFFF"/>
          <w:lang w:val="en-US" w:eastAsia="zh-CN"/>
        </w:rPr>
      </w:pPr>
      <w:r>
        <w:rPr>
          <w:rFonts w:hint="eastAsia" w:ascii="Times New Roman" w:hAnsi="Times New Roman" w:cs="Times New Roman"/>
          <w:b w:val="0"/>
          <w:bCs w:val="0"/>
          <w:sz w:val="24"/>
          <w:szCs w:val="24"/>
          <w:lang w:val="en-US" w:eastAsia="zh-CN"/>
        </w:rPr>
        <w:t xml:space="preserve">[6] </w:t>
      </w:r>
      <w:r>
        <w:rPr>
          <w:rFonts w:hint="default" w:ascii="Times New Roman" w:hAnsi="Times New Roman" w:eastAsia="宋体" w:cs="Times New Roman"/>
          <w:i w:val="0"/>
          <w:iCs w:val="0"/>
          <w:caps w:val="0"/>
          <w:color w:val="222222"/>
          <w:spacing w:val="0"/>
          <w:sz w:val="24"/>
          <w:szCs w:val="24"/>
          <w:shd w:val="clear" w:fill="FFFFFF"/>
        </w:rPr>
        <w:t>Siomkos, G.J. and Kurzbard, G., 1994. The hidden crisis in product‐harm crisis management. </w:t>
      </w:r>
      <w:r>
        <w:rPr>
          <w:rFonts w:hint="default" w:ascii="Times New Roman" w:hAnsi="Times New Roman" w:eastAsia="宋体" w:cs="Times New Roman"/>
          <w:i/>
          <w:iCs/>
          <w:caps w:val="0"/>
          <w:color w:val="222222"/>
          <w:spacing w:val="0"/>
          <w:sz w:val="24"/>
          <w:szCs w:val="24"/>
          <w:shd w:val="clear" w:fill="FFFFFF"/>
        </w:rPr>
        <w:t>European journal of marketing</w:t>
      </w:r>
      <w:r>
        <w:rPr>
          <w:rFonts w:hint="eastAsia" w:ascii="Times New Roman" w:hAnsi="Times New Roman" w:eastAsia="宋体" w:cs="Times New Roman"/>
          <w:i/>
          <w:iCs/>
          <w:caps w:val="0"/>
          <w:color w:val="222222"/>
          <w:spacing w:val="0"/>
          <w:sz w:val="24"/>
          <w:szCs w:val="24"/>
          <w:shd w:val="clear" w:fill="FFFFFF"/>
          <w:lang w:val="en-US" w:eastAsia="zh-CN"/>
        </w:rPr>
        <w:t>, 28</w:t>
      </w:r>
      <w:r>
        <w:rPr>
          <w:rFonts w:hint="eastAsia" w:ascii="Times New Roman" w:hAnsi="Times New Roman" w:eastAsia="宋体" w:cs="Times New Roman"/>
          <w:i w:val="0"/>
          <w:iCs w:val="0"/>
          <w:caps w:val="0"/>
          <w:color w:val="222222"/>
          <w:spacing w:val="0"/>
          <w:sz w:val="24"/>
          <w:szCs w:val="24"/>
          <w:shd w:val="clear" w:fill="FFFFFF"/>
          <w:lang w:val="en-US" w:eastAsia="zh-CN"/>
        </w:rPr>
        <w:t>(2), pp. 30-41.</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[7] </w:t>
      </w:r>
      <w:r>
        <w:rPr>
          <w:rFonts w:hint="default" w:ascii="Times New Roman" w:hAnsi="Times New Roman" w:eastAsia="宋体" w:cs="Times New Roman"/>
          <w:i w:val="0"/>
          <w:iCs w:val="0"/>
          <w:caps w:val="0"/>
          <w:color w:val="222222"/>
          <w:spacing w:val="0"/>
          <w:sz w:val="24"/>
          <w:szCs w:val="24"/>
          <w:shd w:val="clear" w:fill="FFFFFF"/>
        </w:rPr>
        <w:t>Laufer, D. and Coombs, W.T., 2006. How should a company respond to a product harm crisis? The role of corporate reputation and consumer-based cues. </w:t>
      </w:r>
      <w:r>
        <w:rPr>
          <w:rFonts w:hint="default" w:ascii="Times New Roman" w:hAnsi="Times New Roman" w:eastAsia="宋体" w:cs="Times New Roman"/>
          <w:i/>
          <w:iCs/>
          <w:caps w:val="0"/>
          <w:color w:val="222222"/>
          <w:spacing w:val="0"/>
          <w:sz w:val="24"/>
          <w:szCs w:val="24"/>
          <w:shd w:val="clear" w:fill="FFFFFF"/>
        </w:rPr>
        <w:t>Business Horizons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49</w:t>
      </w:r>
      <w:r>
        <w:rPr>
          <w:rFonts w:hint="default" w:ascii="Times New Roman" w:hAnsi="Times New Roman" w:eastAsia="宋体" w:cs="Times New Roman"/>
          <w:i w:val="0"/>
          <w:iCs w:val="0"/>
          <w:caps w:val="0"/>
          <w:color w:val="222222"/>
          <w:spacing w:val="0"/>
          <w:sz w:val="24"/>
          <w:szCs w:val="24"/>
          <w:shd w:val="clear" w:fill="FFFFFF"/>
        </w:rPr>
        <w:t>(5),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379-385.</w:t>
      </w:r>
    </w:p>
    <w:p>
      <w:pPr>
        <w:widowControl w:val="0"/>
        <w:numPr>
          <w:ilvl w:val="0"/>
          <w:numId w:val="0"/>
        </w:numPr>
        <w:tabs>
          <w:tab w:val="left" w:pos="397"/>
        </w:tabs>
        <w:ind w:leftChars="0"/>
        <w:jc w:val="both"/>
        <w:rPr>
          <w:rFonts w:ascii="Arial" w:hAnsi="Arial" w:eastAsia="宋体" w:cs="Arial"/>
          <w:i w:val="0"/>
          <w:iCs w:val="0"/>
          <w:caps w:val="0"/>
          <w:color w:val="222222"/>
          <w:spacing w:val="0"/>
          <w:sz w:val="15"/>
          <w:szCs w:val="15"/>
          <w:shd w:val="clear" w:fill="FFFFFF"/>
        </w:rPr>
      </w:pPr>
      <w:r>
        <w:rPr>
          <w:rFonts w:hint="eastAsia" w:ascii="Times New Roman" w:hAnsi="Times New Roman" w:cs="Times New Roman"/>
          <w:b w:val="0"/>
          <w:bCs w:val="0"/>
          <w:sz w:val="24"/>
          <w:szCs w:val="24"/>
          <w:lang w:val="en-US" w:eastAsia="zh-CN"/>
        </w:rPr>
        <w:t xml:space="preserve">[8] </w:t>
      </w:r>
      <w:r>
        <w:rPr>
          <w:rFonts w:hint="default" w:ascii="Times New Roman" w:hAnsi="Times New Roman" w:eastAsia="宋体" w:cs="Times New Roman"/>
          <w:i w:val="0"/>
          <w:iCs w:val="0"/>
          <w:caps w:val="0"/>
          <w:color w:val="222222"/>
          <w:spacing w:val="0"/>
          <w:sz w:val="24"/>
          <w:szCs w:val="24"/>
          <w:shd w:val="clear" w:fill="FFFFFF"/>
        </w:rPr>
        <w:t>Juran, J.M., Godfrey, A.B., Hoogstoel, R.E. and Schilling, E.G.</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 xml:space="preserve">1999. </w:t>
      </w:r>
      <w:r>
        <w:rPr>
          <w:rFonts w:hint="default" w:ascii="Times New Roman" w:hAnsi="Times New Roman" w:eastAsia="宋体" w:cs="Times New Roman"/>
          <w:i/>
          <w:iCs/>
          <w:caps w:val="0"/>
          <w:color w:val="222222"/>
          <w:spacing w:val="0"/>
          <w:sz w:val="24"/>
          <w:szCs w:val="24"/>
          <w:shd w:val="clear" w:fill="FFFFFF"/>
        </w:rPr>
        <w:t>Juran’s quality handbook 5th ed</w:t>
      </w:r>
      <w:r>
        <w:rPr>
          <w:rFonts w:hint="default" w:ascii="Times New Roman" w:hAnsi="Times New Roman" w:eastAsia="宋体" w:cs="Times New Roman"/>
          <w:i w:val="0"/>
          <w:iCs w:val="0"/>
          <w:caps w:val="0"/>
          <w:color w:val="222222"/>
          <w:spacing w:val="0"/>
          <w:sz w:val="24"/>
          <w:szCs w:val="24"/>
          <w:shd w:val="clear" w:fill="FFFFFF"/>
        </w:rPr>
        <w:t>.</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McGraw-Hill Education</w:t>
      </w:r>
      <w:r>
        <w:rPr>
          <w:rFonts w:ascii="Arial" w:hAnsi="Arial" w:eastAsia="宋体" w:cs="Arial"/>
          <w:i w:val="0"/>
          <w:iCs w:val="0"/>
          <w:caps w:val="0"/>
          <w:color w:val="222222"/>
          <w:spacing w:val="0"/>
          <w:sz w:val="15"/>
          <w:szCs w:val="15"/>
          <w:shd w:val="clear" w:fill="FFFFFF"/>
        </w:rPr>
        <w:t>.</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[9] </w:t>
      </w:r>
      <w:r>
        <w:rPr>
          <w:rFonts w:hint="default" w:ascii="Times New Roman" w:hAnsi="Times New Roman" w:eastAsia="宋体" w:cs="Times New Roman"/>
          <w:i w:val="0"/>
          <w:iCs w:val="0"/>
          <w:caps w:val="0"/>
          <w:color w:val="222222"/>
          <w:spacing w:val="0"/>
          <w:sz w:val="24"/>
          <w:szCs w:val="24"/>
          <w:shd w:val="clear" w:fill="FFFFFF"/>
        </w:rPr>
        <w:t>Jayaraman, V., Patterson, R.A. and Rolland, E., 2003. The design of reverse distribution networks: models and solution procedures. </w:t>
      </w:r>
      <w:r>
        <w:rPr>
          <w:rFonts w:hint="default" w:ascii="Times New Roman" w:hAnsi="Times New Roman" w:eastAsia="宋体" w:cs="Times New Roman"/>
          <w:i/>
          <w:iCs/>
          <w:caps w:val="0"/>
          <w:color w:val="222222"/>
          <w:spacing w:val="0"/>
          <w:sz w:val="24"/>
          <w:szCs w:val="24"/>
          <w:shd w:val="clear" w:fill="FFFFFF"/>
        </w:rPr>
        <w:t>European journal of operational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150</w:t>
      </w:r>
      <w:r>
        <w:rPr>
          <w:rFonts w:hint="default" w:ascii="Times New Roman" w:hAnsi="Times New Roman" w:eastAsia="宋体" w:cs="Times New Roman"/>
          <w:i w:val="0"/>
          <w:iCs w:val="0"/>
          <w:caps w:val="0"/>
          <w:color w:val="222222"/>
          <w:spacing w:val="0"/>
          <w:sz w:val="24"/>
          <w:szCs w:val="24"/>
          <w:shd w:val="clear" w:fill="FFFFFF"/>
        </w:rPr>
        <w:t>(1),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128-149.</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[10] </w:t>
      </w:r>
      <w:r>
        <w:rPr>
          <w:rFonts w:hint="default" w:ascii="Times New Roman" w:hAnsi="Times New Roman" w:eastAsia="宋体" w:cs="Times New Roman"/>
          <w:i w:val="0"/>
          <w:iCs w:val="0"/>
          <w:caps w:val="0"/>
          <w:color w:val="222222"/>
          <w:spacing w:val="0"/>
          <w:sz w:val="24"/>
          <w:szCs w:val="24"/>
          <w:shd w:val="clear" w:fill="FFFFFF"/>
        </w:rPr>
        <w:t>Tang, C.S., 2008. Making products safe: process and challenges. </w:t>
      </w:r>
      <w:r>
        <w:rPr>
          <w:rFonts w:hint="default" w:ascii="Times New Roman" w:hAnsi="Times New Roman" w:eastAsia="宋体" w:cs="Times New Roman"/>
          <w:i/>
          <w:iCs/>
          <w:caps w:val="0"/>
          <w:color w:val="222222"/>
          <w:spacing w:val="0"/>
          <w:sz w:val="24"/>
          <w:szCs w:val="24"/>
          <w:shd w:val="clear" w:fill="FFFFFF"/>
        </w:rPr>
        <w:t>International Commerce Review: ECR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w:t>
      </w:r>
      <w:r>
        <w:rPr>
          <w:rFonts w:hint="default" w:ascii="Times New Roman" w:hAnsi="Times New Roman" w:eastAsia="宋体" w:cs="Times New Roman"/>
          <w:i w:val="0"/>
          <w:iCs w:val="0"/>
          <w:caps w:val="0"/>
          <w:color w:val="222222"/>
          <w:spacing w:val="0"/>
          <w:sz w:val="24"/>
          <w:szCs w:val="24"/>
          <w:shd w:val="clear" w:fill="FFFFFF"/>
        </w:rPr>
        <w:t>(1), 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48</w:t>
      </w:r>
      <w:r>
        <w:rPr>
          <w:rFonts w:hint="eastAsia" w:ascii="Times New Roman" w:hAnsi="Times New Roman" w:eastAsia="宋体" w:cs="Times New Roman"/>
          <w:i w:val="0"/>
          <w:iCs w:val="0"/>
          <w:caps w:val="0"/>
          <w:color w:val="222222"/>
          <w:spacing w:val="0"/>
          <w:sz w:val="24"/>
          <w:szCs w:val="24"/>
          <w:shd w:val="clear" w:fill="FFFFFF"/>
          <w:lang w:val="en-US" w:eastAsia="zh-CN"/>
        </w:rPr>
        <w:t>-55</w:t>
      </w:r>
      <w:r>
        <w:rPr>
          <w:rFonts w:hint="default" w:ascii="Times New Roman" w:hAnsi="Times New Roman" w:eastAsia="宋体" w:cs="Times New Roman"/>
          <w:i w:val="0"/>
          <w:iCs w:val="0"/>
          <w:caps w:val="0"/>
          <w:color w:val="222222"/>
          <w:spacing w:val="0"/>
          <w:sz w:val="24"/>
          <w:szCs w:val="24"/>
          <w:shd w:val="clear" w:fill="FFFFFF"/>
        </w:rPr>
        <w:t>.</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lang w:val="en-US" w:eastAsia="zh-CN"/>
        </w:rPr>
      </w:pPr>
      <w:r>
        <w:rPr>
          <w:rFonts w:hint="eastAsia" w:ascii="Times New Roman" w:hAnsi="Times New Roman" w:cs="Times New Roman"/>
          <w:b w:val="0"/>
          <w:bCs w:val="0"/>
          <w:sz w:val="24"/>
          <w:szCs w:val="24"/>
          <w:lang w:val="en-US" w:eastAsia="zh-CN"/>
        </w:rPr>
        <w:t xml:space="preserve">[11] </w:t>
      </w:r>
      <w:r>
        <w:rPr>
          <w:rFonts w:hint="default" w:ascii="Times New Roman" w:hAnsi="Times New Roman" w:eastAsia="宋体" w:cs="Times New Roman"/>
          <w:i w:val="0"/>
          <w:iCs w:val="0"/>
          <w:caps w:val="0"/>
          <w:color w:val="222222"/>
          <w:spacing w:val="0"/>
          <w:sz w:val="24"/>
          <w:szCs w:val="24"/>
          <w:shd w:val="clear" w:fill="FFFFFF"/>
        </w:rPr>
        <w:t>Burnett, J.J., 1998. A strategic approach to managing crises. </w:t>
      </w:r>
      <w:r>
        <w:rPr>
          <w:rFonts w:hint="default" w:ascii="Times New Roman" w:hAnsi="Times New Roman" w:eastAsia="宋体" w:cs="Times New Roman"/>
          <w:i/>
          <w:iCs/>
          <w:caps w:val="0"/>
          <w:color w:val="222222"/>
          <w:spacing w:val="0"/>
          <w:sz w:val="24"/>
          <w:szCs w:val="24"/>
          <w:shd w:val="clear" w:fill="FFFFFF"/>
        </w:rPr>
        <w:t>Public relations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24</w:t>
      </w:r>
      <w:r>
        <w:rPr>
          <w:rFonts w:hint="default" w:ascii="Times New Roman" w:hAnsi="Times New Roman" w:eastAsia="宋体" w:cs="Times New Roman"/>
          <w:i w:val="0"/>
          <w:iCs w:val="0"/>
          <w:caps w:val="0"/>
          <w:color w:val="222222"/>
          <w:spacing w:val="0"/>
          <w:sz w:val="24"/>
          <w:szCs w:val="24"/>
          <w:shd w:val="clear" w:fill="FFFFFF"/>
        </w:rPr>
        <w:t>(4),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475-488.</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[12] </w:t>
      </w:r>
      <w:r>
        <w:rPr>
          <w:rFonts w:hint="default" w:ascii="Times New Roman" w:hAnsi="Times New Roman" w:eastAsia="宋体" w:cs="Times New Roman"/>
          <w:i w:val="0"/>
          <w:iCs w:val="0"/>
          <w:caps w:val="0"/>
          <w:color w:val="222222"/>
          <w:spacing w:val="0"/>
          <w:sz w:val="24"/>
          <w:szCs w:val="24"/>
          <w:shd w:val="clear" w:fill="FFFFFF"/>
        </w:rPr>
        <w:t>Jarrell, G. and Peltzman, S., 1985. The impact of product recalls on the wealth of sellers. </w:t>
      </w:r>
      <w:r>
        <w:rPr>
          <w:rFonts w:hint="default" w:ascii="Times New Roman" w:hAnsi="Times New Roman" w:eastAsia="宋体" w:cs="Times New Roman"/>
          <w:i/>
          <w:iCs/>
          <w:caps w:val="0"/>
          <w:color w:val="222222"/>
          <w:spacing w:val="0"/>
          <w:sz w:val="24"/>
          <w:szCs w:val="24"/>
          <w:shd w:val="clear" w:fill="FFFFFF"/>
        </w:rPr>
        <w:t>Journal of Political Economy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93</w:t>
      </w:r>
      <w:r>
        <w:rPr>
          <w:rFonts w:hint="default" w:ascii="Times New Roman" w:hAnsi="Times New Roman" w:eastAsia="宋体" w:cs="Times New Roman"/>
          <w:i w:val="0"/>
          <w:iCs w:val="0"/>
          <w:caps w:val="0"/>
          <w:color w:val="222222"/>
          <w:spacing w:val="0"/>
          <w:sz w:val="24"/>
          <w:szCs w:val="24"/>
          <w:shd w:val="clear" w:fill="FFFFFF"/>
        </w:rPr>
        <w:t>(3),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512-536.</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[13] </w:t>
      </w:r>
      <w:r>
        <w:rPr>
          <w:rFonts w:hint="default" w:ascii="Times New Roman" w:hAnsi="Times New Roman" w:eastAsia="宋体" w:cs="Times New Roman"/>
          <w:i w:val="0"/>
          <w:iCs w:val="0"/>
          <w:caps w:val="0"/>
          <w:color w:val="222222"/>
          <w:spacing w:val="0"/>
          <w:sz w:val="24"/>
          <w:szCs w:val="24"/>
          <w:shd w:val="clear" w:fill="FFFFFF"/>
        </w:rPr>
        <w:t>Dawar, N. and Pillutla, M.M., 2000. Impact of product-harm crises on brand equity: The moderating role of consumer expectations. </w:t>
      </w:r>
      <w:r>
        <w:rPr>
          <w:rFonts w:hint="default" w:ascii="Times New Roman" w:hAnsi="Times New Roman" w:eastAsia="宋体" w:cs="Times New Roman"/>
          <w:i/>
          <w:iCs/>
          <w:caps w:val="0"/>
          <w:color w:val="222222"/>
          <w:spacing w:val="0"/>
          <w:sz w:val="24"/>
          <w:szCs w:val="24"/>
          <w:shd w:val="clear" w:fill="FFFFFF"/>
        </w:rPr>
        <w:t>Journal of marketing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37</w:t>
      </w:r>
      <w:r>
        <w:rPr>
          <w:rFonts w:hint="default" w:ascii="Times New Roman" w:hAnsi="Times New Roman" w:eastAsia="宋体" w:cs="Times New Roman"/>
          <w:i w:val="0"/>
          <w:iCs w:val="0"/>
          <w:caps w:val="0"/>
          <w:color w:val="222222"/>
          <w:spacing w:val="0"/>
          <w:sz w:val="24"/>
          <w:szCs w:val="24"/>
          <w:shd w:val="clear" w:fill="FFFFFF"/>
        </w:rPr>
        <w:t>(2), pp.</w:t>
      </w:r>
      <w:r>
        <w:rPr>
          <w:rFonts w:hint="eastAsia" w:ascii="Times New Roman" w:hAnsi="Times New Roman" w:eastAsia="宋体" w:cs="Times New Roman"/>
          <w:i w:val="0"/>
          <w:iCs w:val="0"/>
          <w:caps w:val="0"/>
          <w:color w:val="222222"/>
          <w:spacing w:val="0"/>
          <w:sz w:val="24"/>
          <w:szCs w:val="24"/>
          <w:shd w:val="clear" w:fill="FFFFFF"/>
          <w:lang w:val="en-US" w:eastAsia="zh-CN"/>
        </w:rPr>
        <w:t xml:space="preserve"> </w:t>
      </w:r>
      <w:r>
        <w:rPr>
          <w:rFonts w:hint="default" w:ascii="Times New Roman" w:hAnsi="Times New Roman" w:eastAsia="宋体" w:cs="Times New Roman"/>
          <w:i w:val="0"/>
          <w:iCs w:val="0"/>
          <w:caps w:val="0"/>
          <w:color w:val="222222"/>
          <w:spacing w:val="0"/>
          <w:sz w:val="24"/>
          <w:szCs w:val="24"/>
          <w:shd w:val="clear" w:fill="FFFFFF"/>
        </w:rPr>
        <w:t>215-226.</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[14] </w:t>
      </w:r>
      <w:r>
        <w:rPr>
          <w:rFonts w:hint="default" w:ascii="Times New Roman" w:hAnsi="Times New Roman" w:eastAsia="宋体" w:cs="Times New Roman"/>
          <w:i w:val="0"/>
          <w:iCs w:val="0"/>
          <w:caps w:val="0"/>
          <w:color w:val="222222"/>
          <w:spacing w:val="0"/>
          <w:sz w:val="24"/>
          <w:szCs w:val="24"/>
          <w:shd w:val="clear" w:fill="FFFFFF"/>
        </w:rPr>
        <w:t>Bruce, N.I., Peters, K. and Naik, P.A., 2012. Discovering how advertising grows sales and builds brands. </w:t>
      </w:r>
      <w:r>
        <w:rPr>
          <w:rFonts w:hint="default" w:ascii="Times New Roman" w:hAnsi="Times New Roman" w:eastAsia="宋体" w:cs="Times New Roman"/>
          <w:i/>
          <w:iCs/>
          <w:caps w:val="0"/>
          <w:color w:val="222222"/>
          <w:spacing w:val="0"/>
          <w:sz w:val="24"/>
          <w:szCs w:val="24"/>
          <w:shd w:val="clear" w:fill="FFFFFF"/>
        </w:rPr>
        <w:t>Journal of marketing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49</w:t>
      </w:r>
      <w:r>
        <w:rPr>
          <w:rFonts w:hint="default" w:ascii="Times New Roman" w:hAnsi="Times New Roman" w:eastAsia="宋体" w:cs="Times New Roman"/>
          <w:i w:val="0"/>
          <w:iCs w:val="0"/>
          <w:caps w:val="0"/>
          <w:color w:val="222222"/>
          <w:spacing w:val="0"/>
          <w:sz w:val="24"/>
          <w:szCs w:val="24"/>
          <w:shd w:val="clear" w:fill="FFFFFF"/>
        </w:rPr>
        <w:t>(6), pp.793-806.</w:t>
      </w:r>
    </w:p>
    <w:p>
      <w:pPr>
        <w:widowControl w:val="0"/>
        <w:numPr>
          <w:ilvl w:val="0"/>
          <w:numId w:val="0"/>
        </w:numPr>
        <w:tabs>
          <w:tab w:val="left" w:pos="397"/>
        </w:tabs>
        <w:ind w:leftChars="0"/>
        <w:jc w:val="both"/>
        <w:rPr>
          <w:rFonts w:hint="default" w:ascii="Times New Roman" w:hAnsi="Times New Roman" w:eastAsia="宋体" w:cs="Times New Roman"/>
          <w:i w:val="0"/>
          <w:iCs w:val="0"/>
          <w:caps w:val="0"/>
          <w:color w:val="222222"/>
          <w:spacing w:val="0"/>
          <w:sz w:val="24"/>
          <w:szCs w:val="24"/>
          <w:shd w:val="clear" w:fill="FFFFFF"/>
        </w:rPr>
      </w:pPr>
      <w:r>
        <w:rPr>
          <w:rFonts w:hint="eastAsia" w:ascii="Times New Roman" w:hAnsi="Times New Roman" w:cs="Times New Roman"/>
          <w:b w:val="0"/>
          <w:bCs w:val="0"/>
          <w:sz w:val="24"/>
          <w:szCs w:val="24"/>
          <w:lang w:val="en-US" w:eastAsia="zh-CN"/>
        </w:rPr>
        <w:t xml:space="preserve">[15] </w:t>
      </w:r>
      <w:r>
        <w:rPr>
          <w:rFonts w:hint="default" w:ascii="Times New Roman" w:hAnsi="Times New Roman" w:eastAsia="宋体" w:cs="Times New Roman"/>
          <w:i w:val="0"/>
          <w:iCs w:val="0"/>
          <w:caps w:val="0"/>
          <w:color w:val="222222"/>
          <w:spacing w:val="0"/>
          <w:sz w:val="24"/>
          <w:szCs w:val="24"/>
          <w:shd w:val="clear" w:fill="FFFFFF"/>
        </w:rPr>
        <w:t>Cleeren, K., Dekimpe, M.G. and Helsen, K., 2008. Weathering product-harm crises. </w:t>
      </w:r>
      <w:r>
        <w:rPr>
          <w:rFonts w:hint="default" w:ascii="Times New Roman" w:hAnsi="Times New Roman" w:eastAsia="宋体" w:cs="Times New Roman"/>
          <w:i/>
          <w:iCs/>
          <w:caps w:val="0"/>
          <w:color w:val="222222"/>
          <w:spacing w:val="0"/>
          <w:sz w:val="24"/>
          <w:szCs w:val="24"/>
          <w:shd w:val="clear" w:fill="FFFFFF"/>
        </w:rPr>
        <w:t>Journal of the Academy of Marketing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36</w:t>
      </w:r>
      <w:r>
        <w:rPr>
          <w:rFonts w:hint="default" w:ascii="Times New Roman" w:hAnsi="Times New Roman" w:eastAsia="宋体" w:cs="Times New Roman"/>
          <w:i w:val="0"/>
          <w:iCs w:val="0"/>
          <w:caps w:val="0"/>
          <w:color w:val="222222"/>
          <w:spacing w:val="0"/>
          <w:sz w:val="24"/>
          <w:szCs w:val="24"/>
          <w:shd w:val="clear" w:fill="FFFFFF"/>
        </w:rPr>
        <w:t>(2), pp.262-270.</w:t>
      </w:r>
    </w:p>
    <w:p>
      <w:pPr>
        <w:numPr>
          <w:numId w:val="0"/>
        </w:numPr>
        <w:jc w:val="both"/>
        <w:rPr>
          <w:rFonts w:hint="default" w:ascii="Times New Roman" w:hAnsi="Times New Roman" w:cs="Times New Roman"/>
          <w:b w:val="0"/>
          <w:bCs w:val="0"/>
          <w:sz w:val="24"/>
          <w:szCs w:val="24"/>
          <w:lang w:val="en-US" w:eastAsia="zh-CN"/>
        </w:rPr>
      </w:pPr>
      <w:bookmarkStart w:id="4" w:name="_GoBack"/>
      <w:bookmarkEnd w:id="4"/>
    </w:p>
    <w:p>
      <w:pPr>
        <w:numPr>
          <w:numId w:val="0"/>
        </w:numPr>
        <w:jc w:val="both"/>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D5C844A"/>
    <w:multiLevelType w:val="singleLevel"/>
    <w:tmpl w:val="8D5C844A"/>
    <w:lvl w:ilvl="0" w:tentative="0">
      <w:start w:val="1"/>
      <w:numFmt w:val="decimal"/>
      <w:suff w:val="space"/>
      <w:lvlText w:val="(%1)"/>
      <w:lvlJc w:val="left"/>
    </w:lvl>
  </w:abstractNum>
  <w:abstractNum w:abstractNumId="1">
    <w:nsid w:val="700E9148"/>
    <w:multiLevelType w:val="singleLevel"/>
    <w:tmpl w:val="700E9148"/>
    <w:lvl w:ilvl="0" w:tentative="0">
      <w:start w:val="1"/>
      <w:numFmt w:val="decimal"/>
      <w:suff w:val="space"/>
      <w:lvlText w:val="[%1]"/>
      <w:lvlJc w:val="left"/>
      <w:rPr>
        <w:rFonts w:hint="default"/>
        <w:sz w:val="24"/>
        <w:szCs w:val="24"/>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k3YjczMWZkYjg1NzhkODY1ZGExZTkzMzRlMjY4OTUifQ=="/>
  </w:docVars>
  <w:rsids>
    <w:rsidRoot w:val="00000000"/>
    <w:rsid w:val="13853604"/>
    <w:rsid w:val="33037A40"/>
    <w:rsid w:val="654E74BF"/>
    <w:rsid w:val="6EC63ED9"/>
    <w:rsid w:val="72154854"/>
    <w:rsid w:val="72DE65ED"/>
    <w:rsid w:val="76E87D1B"/>
    <w:rsid w:val="7B170EF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3356</Words>
  <Characters>17983</Characters>
  <Lines>1</Lines>
  <Paragraphs>1</Paragraphs>
  <TotalTime>0</TotalTime>
  <ScaleCrop>false</ScaleCrop>
  <LinksUpToDate>false</LinksUpToDate>
  <CharactersWithSpaces>21311</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2022-11-05T21:18:00Z</dcterms:created>
  <dc:creator>程迅</dc:creator>
  <cp:lastModifiedBy>安然</cp:lastModifiedBy>
  <dcterms:modified xsi:type="dcterms:W3CDTF">2022-11-29T20:57:00Z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026B51E859014CF1A41ABB1ADD09E3B6</vt:lpwstr>
  </property>
</Properties>
</file>