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EF5398" w14:textId="77777777" w:rsidR="00AC1845" w:rsidRDefault="00AC1845" w:rsidP="00AC1845">
      <w:pPr>
        <w:pStyle w:val="Normal1"/>
        <w:spacing w:before="240" w:after="240" w:line="360" w:lineRule="auto"/>
        <w:jc w:val="center"/>
        <w:rPr>
          <w:rFonts w:ascii="Times New Roman" w:eastAsia="Times New Roman" w:hAnsi="Times New Roman" w:cs="Times New Roman"/>
          <w:b/>
          <w:sz w:val="24"/>
          <w:szCs w:val="24"/>
        </w:rPr>
      </w:pPr>
    </w:p>
    <w:p w14:paraId="7E86821D" w14:textId="77777777" w:rsidR="00AC1845" w:rsidRDefault="00AC1845" w:rsidP="00AC1845">
      <w:pPr>
        <w:pStyle w:val="Normal1"/>
        <w:spacing w:before="240" w:after="240" w:line="360" w:lineRule="auto"/>
        <w:jc w:val="center"/>
        <w:rPr>
          <w:rFonts w:ascii="Times New Roman" w:eastAsia="Times New Roman" w:hAnsi="Times New Roman" w:cs="Times New Roman"/>
          <w:b/>
          <w:sz w:val="24"/>
          <w:szCs w:val="24"/>
        </w:rPr>
      </w:pPr>
    </w:p>
    <w:p w14:paraId="27589A01" w14:textId="77777777" w:rsidR="00AC1845" w:rsidRDefault="00AC1845" w:rsidP="00AC1845">
      <w:pPr>
        <w:pStyle w:val="Normal1"/>
        <w:spacing w:before="240" w:after="240" w:line="360" w:lineRule="auto"/>
        <w:jc w:val="center"/>
        <w:rPr>
          <w:rFonts w:ascii="Times New Roman" w:eastAsia="Times New Roman" w:hAnsi="Times New Roman" w:cs="Times New Roman"/>
          <w:b/>
          <w:sz w:val="24"/>
          <w:szCs w:val="24"/>
        </w:rPr>
      </w:pPr>
    </w:p>
    <w:p w14:paraId="28637CF7" w14:textId="77777777" w:rsidR="007A6B65" w:rsidRDefault="007A6B65" w:rsidP="00AC1845">
      <w:pPr>
        <w:pStyle w:val="Normal1"/>
        <w:spacing w:before="240" w:after="240" w:line="360" w:lineRule="auto"/>
        <w:jc w:val="center"/>
        <w:rPr>
          <w:rFonts w:ascii="Times New Roman" w:eastAsia="Times New Roman" w:hAnsi="Times New Roman" w:cs="Times New Roman"/>
          <w:b/>
          <w:sz w:val="24"/>
          <w:szCs w:val="24"/>
        </w:rPr>
      </w:pPr>
    </w:p>
    <w:p w14:paraId="0E718654" w14:textId="77777777" w:rsidR="007A6B65" w:rsidRDefault="007A6B65" w:rsidP="00AC1845">
      <w:pPr>
        <w:pStyle w:val="Normal1"/>
        <w:spacing w:before="240" w:after="240" w:line="360" w:lineRule="auto"/>
        <w:jc w:val="center"/>
        <w:rPr>
          <w:rFonts w:ascii="Times New Roman" w:eastAsia="Times New Roman" w:hAnsi="Times New Roman" w:cs="Times New Roman"/>
          <w:b/>
          <w:sz w:val="24"/>
          <w:szCs w:val="24"/>
        </w:rPr>
      </w:pPr>
    </w:p>
    <w:p w14:paraId="5592113F" w14:textId="0BBDE11B" w:rsidR="00C23E9E" w:rsidRPr="005E319C" w:rsidRDefault="00AC1845" w:rsidP="00AC1845">
      <w:pPr>
        <w:pStyle w:val="Normal1"/>
        <w:spacing w:before="240" w:after="240" w:line="360" w:lineRule="auto"/>
        <w:jc w:val="center"/>
        <w:rPr>
          <w:rFonts w:ascii="Times New Roman" w:eastAsia="Times New Roman" w:hAnsi="Times New Roman" w:cs="Times New Roman"/>
          <w:b/>
          <w:sz w:val="32"/>
          <w:szCs w:val="32"/>
        </w:rPr>
      </w:pPr>
      <w:r w:rsidRPr="005E319C">
        <w:rPr>
          <w:rFonts w:ascii="Times New Roman" w:eastAsia="Times New Roman" w:hAnsi="Times New Roman" w:cs="Times New Roman"/>
          <w:b/>
          <w:sz w:val="32"/>
          <w:szCs w:val="32"/>
        </w:rPr>
        <w:t>BA BUSINESS MANAGEMENT</w:t>
      </w:r>
    </w:p>
    <w:p w14:paraId="5FAC7793" w14:textId="7A0988AB" w:rsidR="00C23E9E" w:rsidRPr="005E319C" w:rsidRDefault="00AC1845" w:rsidP="00AC1845">
      <w:pPr>
        <w:pStyle w:val="Normal1"/>
        <w:spacing w:before="240" w:after="240" w:line="360" w:lineRule="auto"/>
        <w:jc w:val="center"/>
        <w:rPr>
          <w:rFonts w:ascii="Times New Roman" w:eastAsia="Times New Roman" w:hAnsi="Times New Roman" w:cs="Times New Roman"/>
          <w:b/>
          <w:sz w:val="32"/>
          <w:szCs w:val="32"/>
        </w:rPr>
      </w:pPr>
      <w:r w:rsidRPr="005E319C">
        <w:rPr>
          <w:rFonts w:ascii="Times New Roman" w:eastAsia="Times New Roman" w:hAnsi="Times New Roman" w:cs="Times New Roman"/>
          <w:b/>
          <w:sz w:val="32"/>
          <w:szCs w:val="32"/>
        </w:rPr>
        <w:t>MODULE NAME: MANAGEMENT ECONOMICS</w:t>
      </w:r>
    </w:p>
    <w:p w14:paraId="76742C7F" w14:textId="0B1718E9" w:rsidR="00C23E9E" w:rsidRPr="005E319C" w:rsidRDefault="00AC1845" w:rsidP="00AC1845">
      <w:pPr>
        <w:pStyle w:val="Normal1"/>
        <w:spacing w:before="240" w:after="240" w:line="360" w:lineRule="auto"/>
        <w:jc w:val="center"/>
        <w:rPr>
          <w:rFonts w:ascii="Times New Roman" w:eastAsia="Times New Roman" w:hAnsi="Times New Roman" w:cs="Times New Roman"/>
          <w:b/>
          <w:sz w:val="32"/>
          <w:szCs w:val="32"/>
        </w:rPr>
      </w:pPr>
      <w:r w:rsidRPr="005E319C">
        <w:rPr>
          <w:rFonts w:ascii="Times New Roman" w:eastAsia="Times New Roman" w:hAnsi="Times New Roman" w:cs="Times New Roman"/>
          <w:b/>
          <w:sz w:val="32"/>
          <w:szCs w:val="32"/>
        </w:rPr>
        <w:t>MODULE CODE: LCBB5008</w:t>
      </w:r>
    </w:p>
    <w:p w14:paraId="61DC0C21" w14:textId="368ACD5F" w:rsidR="00C23E9E" w:rsidRPr="005E319C" w:rsidRDefault="00AC1845" w:rsidP="00AC1845">
      <w:pPr>
        <w:pStyle w:val="Normal1"/>
        <w:spacing w:before="240" w:after="240" w:line="360" w:lineRule="auto"/>
        <w:jc w:val="center"/>
        <w:rPr>
          <w:rFonts w:ascii="Times New Roman" w:eastAsia="Times New Roman" w:hAnsi="Times New Roman" w:cs="Times New Roman"/>
          <w:b/>
          <w:sz w:val="32"/>
          <w:szCs w:val="32"/>
        </w:rPr>
      </w:pPr>
      <w:r w:rsidRPr="005E319C">
        <w:rPr>
          <w:rFonts w:ascii="Times New Roman" w:eastAsia="Times New Roman" w:hAnsi="Times New Roman" w:cs="Times New Roman"/>
          <w:b/>
          <w:sz w:val="32"/>
          <w:szCs w:val="32"/>
        </w:rPr>
        <w:t>STUDENT NAME:</w:t>
      </w:r>
      <w:r w:rsidR="008B135D">
        <w:rPr>
          <w:rFonts w:ascii="Times New Roman" w:eastAsia="Times New Roman" w:hAnsi="Times New Roman" w:cs="Times New Roman"/>
          <w:b/>
          <w:sz w:val="32"/>
          <w:szCs w:val="32"/>
        </w:rPr>
        <w:t xml:space="preserve"> DENISA-ROXANA STOICA</w:t>
      </w:r>
    </w:p>
    <w:p w14:paraId="574F14AE" w14:textId="694E3FAB" w:rsidR="0089210F" w:rsidRDefault="00AC1845" w:rsidP="00AC1845">
      <w:pPr>
        <w:pStyle w:val="Normal1"/>
        <w:spacing w:before="240" w:after="240" w:line="360" w:lineRule="auto"/>
        <w:jc w:val="center"/>
        <w:rPr>
          <w:rFonts w:ascii="Times New Roman" w:eastAsia="Times New Roman" w:hAnsi="Times New Roman" w:cs="Times New Roman"/>
          <w:b/>
          <w:sz w:val="32"/>
          <w:szCs w:val="32"/>
        </w:rPr>
      </w:pPr>
      <w:r w:rsidRPr="005E319C">
        <w:rPr>
          <w:rFonts w:ascii="Times New Roman" w:eastAsia="Times New Roman" w:hAnsi="Times New Roman" w:cs="Times New Roman"/>
          <w:b/>
          <w:sz w:val="32"/>
          <w:szCs w:val="32"/>
        </w:rPr>
        <w:t>STUDENT ID:</w:t>
      </w:r>
      <w:r w:rsidR="008B135D">
        <w:rPr>
          <w:rFonts w:ascii="Times New Roman" w:eastAsia="Times New Roman" w:hAnsi="Times New Roman" w:cs="Times New Roman"/>
          <w:b/>
          <w:sz w:val="32"/>
          <w:szCs w:val="32"/>
        </w:rPr>
        <w:t xml:space="preserve"> 2211503</w:t>
      </w:r>
    </w:p>
    <w:p w14:paraId="249DBDD0" w14:textId="324E0E1E" w:rsidR="008B135D" w:rsidRDefault="008B135D" w:rsidP="00AC1845">
      <w:pPr>
        <w:pStyle w:val="Normal1"/>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NAME</w:t>
      </w:r>
      <w:r w:rsidR="007D283C">
        <w:rPr>
          <w:rFonts w:ascii="Times New Roman" w:eastAsia="Times New Roman" w:hAnsi="Times New Roman" w:cs="Times New Roman"/>
          <w:b/>
          <w:sz w:val="32"/>
          <w:szCs w:val="32"/>
        </w:rPr>
        <w:t>: Z</w:t>
      </w:r>
      <w:r w:rsidR="006F05E8">
        <w:rPr>
          <w:rFonts w:ascii="Times New Roman" w:eastAsia="Times New Roman" w:hAnsi="Times New Roman" w:cs="Times New Roman"/>
          <w:b/>
          <w:sz w:val="32"/>
          <w:szCs w:val="32"/>
        </w:rPr>
        <w:t>AINAB ATTA</w:t>
      </w:r>
    </w:p>
    <w:p w14:paraId="421EE690" w14:textId="77777777" w:rsidR="0089210F" w:rsidRDefault="0089210F">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
        </w:rPr>
        <w:id w:val="313226848"/>
        <w:docPartObj>
          <w:docPartGallery w:val="Table of Contents"/>
          <w:docPartUnique/>
        </w:docPartObj>
      </w:sdtPr>
      <w:sdtEndPr>
        <w:rPr>
          <w:b/>
          <w:bCs/>
          <w:noProof/>
        </w:rPr>
      </w:sdtEndPr>
      <w:sdtContent>
        <w:p w14:paraId="226E2CC4" w14:textId="150C062E" w:rsidR="00031193" w:rsidRPr="00D0208A" w:rsidRDefault="00031193" w:rsidP="00D0208A">
          <w:pPr>
            <w:pStyle w:val="TOCHeading"/>
            <w:spacing w:line="360" w:lineRule="auto"/>
            <w:jc w:val="center"/>
            <w:rPr>
              <w:rFonts w:ascii="Times New Roman" w:hAnsi="Times New Roman" w:cs="Times New Roman"/>
              <w:b/>
              <w:bCs/>
              <w:color w:val="000000" w:themeColor="text1"/>
              <w:sz w:val="28"/>
              <w:szCs w:val="28"/>
            </w:rPr>
          </w:pPr>
          <w:r w:rsidRPr="00D0208A">
            <w:rPr>
              <w:rFonts w:ascii="Times New Roman" w:hAnsi="Times New Roman" w:cs="Times New Roman"/>
              <w:b/>
              <w:bCs/>
              <w:color w:val="000000" w:themeColor="text1"/>
              <w:sz w:val="28"/>
              <w:szCs w:val="28"/>
            </w:rPr>
            <w:t>Table of Contents</w:t>
          </w:r>
        </w:p>
        <w:p w14:paraId="48729A6C" w14:textId="62354B0A" w:rsidR="00031193" w:rsidRPr="00031193" w:rsidRDefault="00031193"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031193">
            <w:rPr>
              <w:rFonts w:ascii="Times New Roman" w:hAnsi="Times New Roman" w:cs="Times New Roman"/>
              <w:color w:val="000000" w:themeColor="text1"/>
              <w:sz w:val="24"/>
              <w:szCs w:val="24"/>
            </w:rPr>
            <w:fldChar w:fldCharType="begin"/>
          </w:r>
          <w:r w:rsidRPr="00031193">
            <w:rPr>
              <w:rFonts w:ascii="Times New Roman" w:hAnsi="Times New Roman" w:cs="Times New Roman"/>
              <w:color w:val="000000" w:themeColor="text1"/>
              <w:sz w:val="24"/>
              <w:szCs w:val="24"/>
            </w:rPr>
            <w:instrText xml:space="preserve"> TOC \o "1-3" \h \z \u </w:instrText>
          </w:r>
          <w:r w:rsidRPr="00031193">
            <w:rPr>
              <w:rFonts w:ascii="Times New Roman" w:hAnsi="Times New Roman" w:cs="Times New Roman"/>
              <w:color w:val="000000" w:themeColor="text1"/>
              <w:sz w:val="24"/>
              <w:szCs w:val="24"/>
            </w:rPr>
            <w:fldChar w:fldCharType="separate"/>
          </w:r>
          <w:hyperlink w:anchor="_Toc172898344" w:history="1">
            <w:r w:rsidRPr="00031193">
              <w:rPr>
                <w:rStyle w:val="Hyperlink"/>
                <w:rFonts w:ascii="Times New Roman" w:hAnsi="Times New Roman" w:cs="Times New Roman"/>
                <w:noProof/>
                <w:color w:val="000000" w:themeColor="text1"/>
                <w:sz w:val="24"/>
                <w:szCs w:val="24"/>
              </w:rPr>
              <w:t>Q1(a). Discussion of the fundamental economic problems</w:t>
            </w:r>
            <w:r w:rsidRPr="00031193">
              <w:rPr>
                <w:rFonts w:ascii="Times New Roman" w:hAnsi="Times New Roman" w:cs="Times New Roman"/>
                <w:noProof/>
                <w:webHidden/>
                <w:color w:val="000000" w:themeColor="text1"/>
                <w:sz w:val="24"/>
                <w:szCs w:val="24"/>
              </w:rPr>
              <w:tab/>
            </w:r>
            <w:r w:rsidRPr="00031193">
              <w:rPr>
                <w:rFonts w:ascii="Times New Roman" w:hAnsi="Times New Roman" w:cs="Times New Roman"/>
                <w:noProof/>
                <w:webHidden/>
                <w:color w:val="000000" w:themeColor="text1"/>
                <w:sz w:val="24"/>
                <w:szCs w:val="24"/>
              </w:rPr>
              <w:fldChar w:fldCharType="begin"/>
            </w:r>
            <w:r w:rsidRPr="00031193">
              <w:rPr>
                <w:rFonts w:ascii="Times New Roman" w:hAnsi="Times New Roman" w:cs="Times New Roman"/>
                <w:noProof/>
                <w:webHidden/>
                <w:color w:val="000000" w:themeColor="text1"/>
                <w:sz w:val="24"/>
                <w:szCs w:val="24"/>
              </w:rPr>
              <w:instrText xml:space="preserve"> PAGEREF _Toc172898344 \h </w:instrText>
            </w:r>
            <w:r w:rsidRPr="00031193">
              <w:rPr>
                <w:rFonts w:ascii="Times New Roman" w:hAnsi="Times New Roman" w:cs="Times New Roman"/>
                <w:noProof/>
                <w:webHidden/>
                <w:color w:val="000000" w:themeColor="text1"/>
                <w:sz w:val="24"/>
                <w:szCs w:val="24"/>
              </w:rPr>
            </w:r>
            <w:r w:rsidRPr="00031193">
              <w:rPr>
                <w:rFonts w:ascii="Times New Roman" w:hAnsi="Times New Roman" w:cs="Times New Roman"/>
                <w:noProof/>
                <w:webHidden/>
                <w:color w:val="000000" w:themeColor="text1"/>
                <w:sz w:val="24"/>
                <w:szCs w:val="24"/>
              </w:rPr>
              <w:fldChar w:fldCharType="separate"/>
            </w:r>
            <w:r w:rsidRPr="00031193">
              <w:rPr>
                <w:rFonts w:ascii="Times New Roman" w:hAnsi="Times New Roman" w:cs="Times New Roman"/>
                <w:noProof/>
                <w:webHidden/>
                <w:color w:val="000000" w:themeColor="text1"/>
                <w:sz w:val="24"/>
                <w:szCs w:val="24"/>
              </w:rPr>
              <w:t>3</w:t>
            </w:r>
            <w:r w:rsidRPr="00031193">
              <w:rPr>
                <w:rFonts w:ascii="Times New Roman" w:hAnsi="Times New Roman" w:cs="Times New Roman"/>
                <w:noProof/>
                <w:webHidden/>
                <w:color w:val="000000" w:themeColor="text1"/>
                <w:sz w:val="24"/>
                <w:szCs w:val="24"/>
              </w:rPr>
              <w:fldChar w:fldCharType="end"/>
            </w:r>
          </w:hyperlink>
        </w:p>
        <w:p w14:paraId="6F9AF5C0" w14:textId="4E2C6EF2" w:rsidR="00031193" w:rsidRPr="00031193" w:rsidRDefault="0029344F"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72898345" w:history="1">
            <w:r w:rsidR="00031193" w:rsidRPr="00031193">
              <w:rPr>
                <w:rStyle w:val="Hyperlink"/>
                <w:rFonts w:ascii="Times New Roman" w:hAnsi="Times New Roman" w:cs="Times New Roman"/>
                <w:noProof/>
                <w:color w:val="000000" w:themeColor="text1"/>
                <w:sz w:val="24"/>
                <w:szCs w:val="24"/>
              </w:rPr>
              <w:t>Q1(b). Various ways of solving economic problems</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_Toc172898345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4</w:t>
            </w:r>
            <w:r w:rsidR="00031193" w:rsidRPr="00031193">
              <w:rPr>
                <w:rFonts w:ascii="Times New Roman" w:hAnsi="Times New Roman" w:cs="Times New Roman"/>
                <w:noProof/>
                <w:webHidden/>
                <w:color w:val="000000" w:themeColor="text1"/>
                <w:sz w:val="24"/>
                <w:szCs w:val="24"/>
              </w:rPr>
              <w:fldChar w:fldCharType="end"/>
            </w:r>
          </w:hyperlink>
        </w:p>
        <w:p w14:paraId="26D2C2C2" w14:textId="27853F93" w:rsidR="00031193" w:rsidRPr="00031193" w:rsidRDefault="0029344F"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72898346" w:history="1">
            <w:r w:rsidR="00031193" w:rsidRPr="00031193">
              <w:rPr>
                <w:rStyle w:val="Hyperlink"/>
                <w:rFonts w:ascii="Times New Roman" w:hAnsi="Times New Roman" w:cs="Times New Roman"/>
                <w:noProof/>
                <w:color w:val="000000" w:themeColor="text1"/>
                <w:sz w:val="24"/>
                <w:szCs w:val="24"/>
              </w:rPr>
              <w:t>Q2(a). Relevancy of demand and supply chain for identified case study</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_Toc172898346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6</w:t>
            </w:r>
            <w:r w:rsidR="00031193" w:rsidRPr="00031193">
              <w:rPr>
                <w:rFonts w:ascii="Times New Roman" w:hAnsi="Times New Roman" w:cs="Times New Roman"/>
                <w:noProof/>
                <w:webHidden/>
                <w:color w:val="000000" w:themeColor="text1"/>
                <w:sz w:val="24"/>
                <w:szCs w:val="24"/>
              </w:rPr>
              <w:fldChar w:fldCharType="end"/>
            </w:r>
          </w:hyperlink>
        </w:p>
        <w:p w14:paraId="7E8657A0" w14:textId="45173A46" w:rsidR="00031193" w:rsidRPr="00031193" w:rsidRDefault="0029344F"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72898347" w:history="1">
            <w:r w:rsidR="00031193" w:rsidRPr="00031193">
              <w:rPr>
                <w:rStyle w:val="Hyperlink"/>
                <w:rFonts w:ascii="Times New Roman" w:hAnsi="Times New Roman" w:cs="Times New Roman"/>
                <w:noProof/>
                <w:color w:val="000000" w:themeColor="text1"/>
                <w:sz w:val="24"/>
                <w:szCs w:val="24"/>
              </w:rPr>
              <w:t>Q2(b). Differences between elasticity and inelasticity of demand</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_Toc172898347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9</w:t>
            </w:r>
            <w:r w:rsidR="00031193" w:rsidRPr="00031193">
              <w:rPr>
                <w:rFonts w:ascii="Times New Roman" w:hAnsi="Times New Roman" w:cs="Times New Roman"/>
                <w:noProof/>
                <w:webHidden/>
                <w:color w:val="000000" w:themeColor="text1"/>
                <w:sz w:val="24"/>
                <w:szCs w:val="24"/>
              </w:rPr>
              <w:fldChar w:fldCharType="end"/>
            </w:r>
          </w:hyperlink>
        </w:p>
        <w:p w14:paraId="02DC9C73" w14:textId="1F0645AC" w:rsidR="00031193" w:rsidRPr="00031193" w:rsidRDefault="0029344F"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72898348" w:history="1">
            <w:r w:rsidR="00031193" w:rsidRPr="00031193">
              <w:rPr>
                <w:rStyle w:val="Hyperlink"/>
                <w:rFonts w:ascii="Times New Roman" w:hAnsi="Times New Roman" w:cs="Times New Roman"/>
                <w:noProof/>
                <w:color w:val="000000" w:themeColor="text1"/>
                <w:sz w:val="24"/>
                <w:szCs w:val="24"/>
              </w:rPr>
              <w:t>Q2(c). Explanation of the law of supply and demand</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_Toc172898348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11</w:t>
            </w:r>
            <w:r w:rsidR="00031193" w:rsidRPr="00031193">
              <w:rPr>
                <w:rFonts w:ascii="Times New Roman" w:hAnsi="Times New Roman" w:cs="Times New Roman"/>
                <w:noProof/>
                <w:webHidden/>
                <w:color w:val="000000" w:themeColor="text1"/>
                <w:sz w:val="24"/>
                <w:szCs w:val="24"/>
              </w:rPr>
              <w:fldChar w:fldCharType="end"/>
            </w:r>
          </w:hyperlink>
        </w:p>
        <w:p w14:paraId="646A9D0D" w14:textId="2FA15C1B" w:rsidR="00031193" w:rsidRPr="00031193" w:rsidRDefault="0029344F"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72898349" w:history="1">
            <w:r w:rsidR="00031193" w:rsidRPr="00031193">
              <w:rPr>
                <w:rStyle w:val="Hyperlink"/>
                <w:rFonts w:ascii="Times New Roman" w:hAnsi="Times New Roman" w:cs="Times New Roman"/>
                <w:noProof/>
                <w:color w:val="000000" w:themeColor="text1"/>
                <w:sz w:val="24"/>
                <w:szCs w:val="24"/>
              </w:rPr>
              <w:t>References</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_Toc172898349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12</w:t>
            </w:r>
            <w:r w:rsidR="00031193" w:rsidRPr="00031193">
              <w:rPr>
                <w:rFonts w:ascii="Times New Roman" w:hAnsi="Times New Roman" w:cs="Times New Roman"/>
                <w:noProof/>
                <w:webHidden/>
                <w:color w:val="000000" w:themeColor="text1"/>
                <w:sz w:val="24"/>
                <w:szCs w:val="24"/>
              </w:rPr>
              <w:fldChar w:fldCharType="end"/>
            </w:r>
          </w:hyperlink>
        </w:p>
        <w:p w14:paraId="6917DB2E" w14:textId="68F6BF8C" w:rsidR="00031193" w:rsidRPr="00031193" w:rsidRDefault="0029344F" w:rsidP="00D0208A">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172898350" w:history="1">
            <w:r w:rsidR="00031193" w:rsidRPr="00031193">
              <w:rPr>
                <w:rStyle w:val="Hyperlink"/>
                <w:rFonts w:ascii="Times New Roman" w:hAnsi="Times New Roman" w:cs="Times New Roman"/>
                <w:noProof/>
                <w:color w:val="000000" w:themeColor="text1"/>
                <w:sz w:val="24"/>
                <w:szCs w:val="24"/>
              </w:rPr>
              <w:t>Appendices</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_Toc172898350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14</w:t>
            </w:r>
            <w:r w:rsidR="00031193" w:rsidRPr="00031193">
              <w:rPr>
                <w:rFonts w:ascii="Times New Roman" w:hAnsi="Times New Roman" w:cs="Times New Roman"/>
                <w:noProof/>
                <w:webHidden/>
                <w:color w:val="000000" w:themeColor="text1"/>
                <w:sz w:val="24"/>
                <w:szCs w:val="24"/>
              </w:rPr>
              <w:fldChar w:fldCharType="end"/>
            </w:r>
          </w:hyperlink>
        </w:p>
        <w:p w14:paraId="53407449" w14:textId="1E40911A" w:rsidR="00031193" w:rsidRPr="00031193" w:rsidRDefault="0029344F" w:rsidP="00D0208A">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72898351" w:history="1">
            <w:r w:rsidR="00031193" w:rsidRPr="00031193">
              <w:rPr>
                <w:rStyle w:val="Hyperlink"/>
                <w:rFonts w:ascii="Times New Roman" w:hAnsi="Times New Roman" w:cs="Times New Roman"/>
                <w:noProof/>
                <w:color w:val="000000" w:themeColor="text1"/>
                <w:sz w:val="24"/>
                <w:szCs w:val="24"/>
              </w:rPr>
              <w:t>Appendix 1: Distribution of Covid-19 fiscal support</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_Toc172898351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14</w:t>
            </w:r>
            <w:r w:rsidR="00031193" w:rsidRPr="00031193">
              <w:rPr>
                <w:rFonts w:ascii="Times New Roman" w:hAnsi="Times New Roman" w:cs="Times New Roman"/>
                <w:noProof/>
                <w:webHidden/>
                <w:color w:val="000000" w:themeColor="text1"/>
                <w:sz w:val="24"/>
                <w:szCs w:val="24"/>
              </w:rPr>
              <w:fldChar w:fldCharType="end"/>
            </w:r>
          </w:hyperlink>
        </w:p>
        <w:p w14:paraId="6ABA0908" w14:textId="0E49AA7E" w:rsidR="00031193" w:rsidRPr="00031193" w:rsidRDefault="0029344F" w:rsidP="00D0208A">
          <w:pPr>
            <w:pStyle w:val="TOC2"/>
            <w:tabs>
              <w:tab w:val="right" w:leader="dot" w:pos="9019"/>
            </w:tabs>
            <w:spacing w:line="360" w:lineRule="auto"/>
            <w:jc w:val="both"/>
            <w:rPr>
              <w:rFonts w:ascii="Times New Roman" w:hAnsi="Times New Roman" w:cs="Times New Roman"/>
              <w:noProof/>
              <w:color w:val="000000" w:themeColor="text1"/>
              <w:sz w:val="24"/>
              <w:szCs w:val="24"/>
            </w:rPr>
          </w:pPr>
          <w:hyperlink w:anchor="_Toc172898352" w:history="1">
            <w:r w:rsidR="00031193" w:rsidRPr="00031193">
              <w:rPr>
                <w:rStyle w:val="Hyperlink"/>
                <w:rFonts w:ascii="Times New Roman" w:hAnsi="Times New Roman" w:cs="Times New Roman"/>
                <w:noProof/>
                <w:color w:val="000000" w:themeColor="text1"/>
                <w:sz w:val="24"/>
                <w:szCs w:val="24"/>
              </w:rPr>
              <w:t xml:space="preserve">Appendix 2: </w:t>
            </w:r>
            <w:r w:rsidR="00031193" w:rsidRPr="00031193">
              <w:rPr>
                <w:rStyle w:val="Hyperlink"/>
                <w:rFonts w:ascii="Times New Roman" w:hAnsi="Times New Roman" w:cs="Times New Roman"/>
                <w:noProof/>
                <w:color w:val="000000" w:themeColor="text1"/>
                <w:sz w:val="24"/>
                <w:szCs w:val="24"/>
                <w:lang w:val="en-US"/>
              </w:rPr>
              <w:t>Elastic vs. Inelastic Demand:</w:t>
            </w:r>
            <w:r w:rsidR="00031193" w:rsidRPr="00031193">
              <w:rPr>
                <w:rFonts w:ascii="Times New Roman" w:hAnsi="Times New Roman" w:cs="Times New Roman"/>
                <w:noProof/>
                <w:webHidden/>
                <w:color w:val="000000" w:themeColor="text1"/>
                <w:sz w:val="24"/>
                <w:szCs w:val="24"/>
              </w:rPr>
              <w:tab/>
            </w:r>
            <w:r w:rsidR="00031193" w:rsidRPr="00031193">
              <w:rPr>
                <w:rFonts w:ascii="Times New Roman" w:hAnsi="Times New Roman" w:cs="Times New Roman"/>
                <w:noProof/>
                <w:webHidden/>
                <w:color w:val="000000" w:themeColor="text1"/>
                <w:sz w:val="24"/>
                <w:szCs w:val="24"/>
              </w:rPr>
              <w:fldChar w:fldCharType="begin"/>
            </w:r>
            <w:r w:rsidR="00031193" w:rsidRPr="00031193">
              <w:rPr>
                <w:rFonts w:ascii="Times New Roman" w:hAnsi="Times New Roman" w:cs="Times New Roman"/>
                <w:noProof/>
                <w:webHidden/>
                <w:color w:val="000000" w:themeColor="text1"/>
                <w:sz w:val="24"/>
                <w:szCs w:val="24"/>
              </w:rPr>
              <w:instrText xml:space="preserve"> PAGEREF _Toc172898352 \h </w:instrText>
            </w:r>
            <w:r w:rsidR="00031193" w:rsidRPr="00031193">
              <w:rPr>
                <w:rFonts w:ascii="Times New Roman" w:hAnsi="Times New Roman" w:cs="Times New Roman"/>
                <w:noProof/>
                <w:webHidden/>
                <w:color w:val="000000" w:themeColor="text1"/>
                <w:sz w:val="24"/>
                <w:szCs w:val="24"/>
              </w:rPr>
            </w:r>
            <w:r w:rsidR="00031193" w:rsidRPr="00031193">
              <w:rPr>
                <w:rFonts w:ascii="Times New Roman" w:hAnsi="Times New Roman" w:cs="Times New Roman"/>
                <w:noProof/>
                <w:webHidden/>
                <w:color w:val="000000" w:themeColor="text1"/>
                <w:sz w:val="24"/>
                <w:szCs w:val="24"/>
              </w:rPr>
              <w:fldChar w:fldCharType="separate"/>
            </w:r>
            <w:r w:rsidR="00031193" w:rsidRPr="00031193">
              <w:rPr>
                <w:rFonts w:ascii="Times New Roman" w:hAnsi="Times New Roman" w:cs="Times New Roman"/>
                <w:noProof/>
                <w:webHidden/>
                <w:color w:val="000000" w:themeColor="text1"/>
                <w:sz w:val="24"/>
                <w:szCs w:val="24"/>
              </w:rPr>
              <w:t>14</w:t>
            </w:r>
            <w:r w:rsidR="00031193" w:rsidRPr="00031193">
              <w:rPr>
                <w:rFonts w:ascii="Times New Roman" w:hAnsi="Times New Roman" w:cs="Times New Roman"/>
                <w:noProof/>
                <w:webHidden/>
                <w:color w:val="000000" w:themeColor="text1"/>
                <w:sz w:val="24"/>
                <w:szCs w:val="24"/>
              </w:rPr>
              <w:fldChar w:fldCharType="end"/>
            </w:r>
          </w:hyperlink>
        </w:p>
        <w:p w14:paraId="77B82168" w14:textId="3B1E50BC" w:rsidR="00031193" w:rsidRDefault="00031193" w:rsidP="00D0208A">
          <w:pPr>
            <w:spacing w:line="360" w:lineRule="auto"/>
            <w:jc w:val="both"/>
          </w:pPr>
          <w:r w:rsidRPr="00031193">
            <w:rPr>
              <w:rFonts w:ascii="Times New Roman" w:hAnsi="Times New Roman" w:cs="Times New Roman"/>
              <w:b/>
              <w:bCs/>
              <w:noProof/>
              <w:color w:val="000000" w:themeColor="text1"/>
              <w:sz w:val="24"/>
              <w:szCs w:val="24"/>
            </w:rPr>
            <w:fldChar w:fldCharType="end"/>
          </w:r>
        </w:p>
      </w:sdtContent>
    </w:sdt>
    <w:p w14:paraId="6AA3B592" w14:textId="77777777" w:rsidR="00C23E9E" w:rsidRPr="005E319C" w:rsidRDefault="00C23E9E" w:rsidP="00031193">
      <w:pPr>
        <w:pStyle w:val="Normal1"/>
        <w:spacing w:before="240" w:after="240" w:line="360" w:lineRule="auto"/>
        <w:rPr>
          <w:rFonts w:ascii="Times New Roman" w:eastAsia="Times New Roman" w:hAnsi="Times New Roman" w:cs="Times New Roman"/>
          <w:b/>
          <w:sz w:val="32"/>
          <w:szCs w:val="32"/>
        </w:rPr>
      </w:pPr>
    </w:p>
    <w:p w14:paraId="67CE5656" w14:textId="77777777" w:rsidR="00A60AC0" w:rsidRDefault="00A60AC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FD94848" w14:textId="56892E9E" w:rsidR="00C23E9E" w:rsidRDefault="0029344F" w:rsidP="007A6B65">
      <w:pPr>
        <w:pStyle w:val="Heading1"/>
        <w:rPr>
          <w:b w:val="0"/>
        </w:rPr>
      </w:pPr>
      <w:bookmarkStart w:id="0" w:name="_Toc172898344"/>
      <w:r>
        <w:t>Q1(a). Discussion of the fundamental economic problems</w:t>
      </w:r>
      <w:bookmarkEnd w:id="0"/>
    </w:p>
    <w:p w14:paraId="1DB6A94E"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case study, has estimated some fundamental economic problems such as scarcity due to unlimited </w:t>
      </w:r>
      <w:r>
        <w:rPr>
          <w:rFonts w:ascii="Times New Roman" w:eastAsia="Times New Roman" w:hAnsi="Times New Roman" w:cs="Times New Roman"/>
          <w:sz w:val="24"/>
          <w:szCs w:val="24"/>
        </w:rPr>
        <w:t>resources to meet expectations and basic needs, opportunity cost is high, resource allocation, supply and demand imbalance, market failure, economic growth and development, public goods, inequality and distribution. However, after the COVID-19 pandemic situation, the rules of conducting business have been changed with both positive and negative impacts (Institute for Government, 2021). The UK has changed their physical work infrastructure to remote work to adapt to digital technology and conduct work activi</w:t>
      </w:r>
      <w:r>
        <w:rPr>
          <w:rFonts w:ascii="Times New Roman" w:eastAsia="Times New Roman" w:hAnsi="Times New Roman" w:cs="Times New Roman"/>
          <w:sz w:val="24"/>
          <w:szCs w:val="24"/>
        </w:rPr>
        <w:t>ties without any disruption. Increase the ecommerce industry’s demand, including new trading relationships with the EU, industry divergence and many more (Aigner-Walder, 2015). At the initial moment, the UK faced difficulties managing its business operations due to new infrastructure, a shortage of labour and a crisis. Therefore, the shortage of demand has risen due to the increase in supply-demand (Baker, 2003). On the other hand, the shortage of supply has increased due to a lack of drivers as many driver</w:t>
      </w:r>
      <w:r>
        <w:rPr>
          <w:rFonts w:ascii="Times New Roman" w:eastAsia="Times New Roman" w:hAnsi="Times New Roman" w:cs="Times New Roman"/>
          <w:sz w:val="24"/>
          <w:szCs w:val="24"/>
        </w:rPr>
        <w:t>s left the UK creating this remarkable shortage and severely disrupting deliveries to a minority of petrol stations. Brexit and Covid both are equally responsible for this crisis situation and it breaks the UK economy. These remarkable shortages also impacted fuel supply issues as well as affected the international supply chain. Therefore, it creates delays in the delivery of raw materials and goods, intermediate products and finished goods. On the other hand, inflationary pressure has led to imminent price</w:t>
      </w:r>
      <w:r>
        <w:rPr>
          <w:rFonts w:ascii="Times New Roman" w:eastAsia="Times New Roman" w:hAnsi="Times New Roman" w:cs="Times New Roman"/>
          <w:sz w:val="24"/>
          <w:szCs w:val="24"/>
        </w:rPr>
        <w:t xml:space="preserve"> change which directly impacts the global economy as well as the country's economic infrastructure.</w:t>
      </w:r>
    </w:p>
    <w:p w14:paraId="0389E331"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Brexit is another difficult phase for the UK people as declines in business investment, influenced the trade patterns, and decreased customer spending. Based on the UK’s Office for National Statistics (ONS), has estimated that customers are sincere about their spending and their spending is reduced by 1.1% in the quarter of 2016 (Ons.gov.uk. 2022). The Bank of England estimated a 10.4% decline in the context of business outlying in the year of Brexit (Bankofengland.co.uk, 2022). On the flip side, based on t</w:t>
      </w:r>
      <w:r>
        <w:rPr>
          <w:rFonts w:ascii="Times New Roman" w:eastAsia="Times New Roman" w:hAnsi="Times New Roman" w:cs="Times New Roman"/>
          <w:sz w:val="24"/>
          <w:szCs w:val="24"/>
        </w:rPr>
        <w:t xml:space="preserve">he Chartered Institute of Procurement and Supply (CIPS), 63% of UK businesses suffer from supply chain disruption due to Brexit events. 22% of businesses stockpiled the goods in the context of Brexit, leading to enhanced cost of inventory management. In this regard, business organisations are scarce to buy the resources as there is a shortage of fuel supply, and price changes for fuel. Hence, “high borrowing of funds to meet the surging high cost of living includes economic downturn, financial emergencies, </w:t>
      </w:r>
      <w:r>
        <w:rPr>
          <w:rFonts w:ascii="Times New Roman" w:eastAsia="Times New Roman" w:hAnsi="Times New Roman" w:cs="Times New Roman"/>
          <w:sz w:val="24"/>
          <w:szCs w:val="24"/>
        </w:rPr>
        <w:t>increased expenses, and a high inflation rate. After the pandemic situation, some business sectors suffered from redundancies due to the end of the furlough scheme. This scheme enables the incomes of millions of people across the UK and it is supporting nearly 11.6 million jobs (Bbc.com, 2022). This scheme will end in September 2021 after conducting 18 months of operational activities. COVID-19 influenced the redundancy rate in the UK and it is faster than 2008-2009’s economic downturn. Moreover, it has bee</w:t>
      </w:r>
      <w:r>
        <w:rPr>
          <w:rFonts w:ascii="Times New Roman" w:eastAsia="Times New Roman" w:hAnsi="Times New Roman" w:cs="Times New Roman"/>
          <w:sz w:val="24"/>
          <w:szCs w:val="24"/>
        </w:rPr>
        <w:t>n estimated that the effects of high living costs on business and individuals as well as, leading to bankruptcies and inability to pay debts. During and after the financial crisis may lead people to manage their living cost as well as finances and debt obligations. Consumer behaviour has changed and there is a shift in consumer appetite to service goods due to hygiene transparency, back to basic value, flight to online and increment of e-grocery shopping.</w:t>
      </w:r>
    </w:p>
    <w:p w14:paraId="5BDD77B6" w14:textId="77777777" w:rsidR="00C23E9E" w:rsidRDefault="0029344F" w:rsidP="007A6B65">
      <w:pPr>
        <w:pStyle w:val="Heading1"/>
      </w:pPr>
      <w:bookmarkStart w:id="1" w:name="_Toc172898345"/>
      <w:r>
        <w:t>Q1(b). Various ways of solving economic problems</w:t>
      </w:r>
      <w:bookmarkEnd w:id="1"/>
    </w:p>
    <w:p w14:paraId="5A4661B3"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interventions by implementing strict rules and regulations, governmental agency, financial support, communications, taxes and business engagement. The government must reassess the trade policies and regulations and enable barrier controls to ensure effective international trade and investment (Bagwell, 2005). Monetary policies, Fiscal policy, investment in healthcare, support for small-sized businesses, trade felicitation can decrease interest rates and streamline spending and borrowing and also </w:t>
      </w:r>
      <w:r>
        <w:rPr>
          <w:rFonts w:ascii="Times New Roman" w:eastAsia="Times New Roman" w:hAnsi="Times New Roman" w:cs="Times New Roman"/>
          <w:sz w:val="24"/>
          <w:szCs w:val="24"/>
        </w:rPr>
        <w:t>boost international trade. Some specific covid 19 rules have been implemented such as remote working, social distancing, sanitization, mask mandate, health screening, safety measures with proper protocols during communication, training, local support, and digital transformation (Bagwell, 2005). In this context, the government should invest in infrastructure development, social protection and healthcare activities to reduce inequality and racism.</w:t>
      </w:r>
    </w:p>
    <w:p w14:paraId="591EEF09"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organisation must focus on developing a shortage management team which helps them during their crisis situation and is able to handle the financial losses. The UK should encourage the contingency development plan and risk assessment strategy to handle the crisis situation tactfully (Baker, 2003). Therefore, to prevent labour shortages and resources, the public and private sectors both focus on diversifying supply chains which influence relationships with local suppliers and improve local economic grow</w:t>
      </w:r>
      <w:r>
        <w:rPr>
          <w:rFonts w:ascii="Times New Roman" w:eastAsia="Times New Roman" w:hAnsi="Times New Roman" w:cs="Times New Roman"/>
          <w:sz w:val="24"/>
          <w:szCs w:val="24"/>
        </w:rPr>
        <w:t>th by investing in local manufacturing abilities. Moreover, contingency planning, risk management strategy, employee support and digital infrastructure can improve organisational productivity and resilience as well as. Local supports boost the supply chain activity and manage the business consequences which leads the business towards effectiveness.</w:t>
      </w:r>
    </w:p>
    <w:p w14:paraId="12C51266"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Henry Fayol’s management theory is the best practice which can improve the communication and collaboration among the team members which can improve suppliers’ collaboration networks (Gunasekara, 2023). Ensuring an effective relationship with the stakeholders such as suppliers to reduce the high price including fuel cost and raw materials. Stakeholder engagement is the most effective way to manage different kinds of operational activities in an organisation and enables informed decision-making. However, as s</w:t>
      </w:r>
      <w:r>
        <w:rPr>
          <w:rFonts w:ascii="Times New Roman" w:eastAsia="Times New Roman" w:hAnsi="Times New Roman" w:cs="Times New Roman"/>
          <w:sz w:val="24"/>
          <w:szCs w:val="24"/>
        </w:rPr>
        <w:t xml:space="preserve">tated by Khalatur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an organisation must be influenced by their industry partnership, share effective practices, and build a transparent communication network to identify supply chain disruptions. Fostering collaborations and communication influenced the business value and it would create transparency among the partners.</w:t>
      </w:r>
    </w:p>
    <w:p w14:paraId="2D5F9CA3"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 advanced technology has taken place and it is influencing people towards innovation management. In this context, by using advanced technology, organisations can easily create alternative paths to decrease waste. Companies should leverage technologies including artificial intelligence, blockchain, IoT, and big data analytics tools to manage future opportunities by enhancing supply chain and demand visibility, resiliency and efficiency. Digital infrastructure and advanced technology appreciate sustainable</w:t>
      </w:r>
      <w:r>
        <w:rPr>
          <w:rFonts w:ascii="Times New Roman" w:eastAsia="Times New Roman" w:hAnsi="Times New Roman" w:cs="Times New Roman"/>
          <w:sz w:val="24"/>
          <w:szCs w:val="24"/>
        </w:rPr>
        <w:t xml:space="preserve"> practices which encourage creating customer awareness campaigns to decrease unusual demand (Winkler and Wamu, 2023). By using data analytics tools companies can easily forecast people’s demand, optimise inventory levels and develop manufacturing progress.</w:t>
      </w:r>
    </w:p>
    <w:p w14:paraId="4808DAED" w14:textId="77777777" w:rsidR="00C23E9E" w:rsidRDefault="0029344F" w:rsidP="007A6B6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E348981" wp14:editId="63C91BC0">
            <wp:extent cx="3686175" cy="2686050"/>
            <wp:effectExtent l="76200" t="76200" r="142875" b="1333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3686175" cy="2686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C39B67" w14:textId="77777777" w:rsidR="00C23E9E" w:rsidRPr="007A6B65" w:rsidRDefault="0029344F" w:rsidP="007A6B65">
      <w:pPr>
        <w:pStyle w:val="Normal1"/>
        <w:spacing w:before="240" w:after="240" w:line="360" w:lineRule="auto"/>
        <w:jc w:val="center"/>
        <w:rPr>
          <w:rFonts w:ascii="Times New Roman" w:eastAsia="Times New Roman" w:hAnsi="Times New Roman" w:cs="Times New Roman"/>
          <w:b/>
          <w:bCs/>
          <w:sz w:val="24"/>
          <w:szCs w:val="24"/>
        </w:rPr>
      </w:pPr>
      <w:r w:rsidRPr="007A6B65">
        <w:rPr>
          <w:rFonts w:ascii="Times New Roman" w:eastAsia="Times New Roman" w:hAnsi="Times New Roman" w:cs="Times New Roman"/>
          <w:b/>
          <w:bCs/>
          <w:sz w:val="24"/>
          <w:szCs w:val="24"/>
        </w:rPr>
        <w:t>Figure 1: Lockdown and growth forecast errors</w:t>
      </w:r>
    </w:p>
    <w:p w14:paraId="692D8812" w14:textId="77777777" w:rsidR="00C23E9E" w:rsidRDefault="0029344F" w:rsidP="007A6B6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Imf.org, 2022)</w:t>
      </w:r>
    </w:p>
    <w:p w14:paraId="12CA0996" w14:textId="38F838E2"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Enabling and developing its own supply chain networks by fostering organisational collaboration which would support a firm in managing the crisis situation in an effective manner. Companies must ensure development programs such as workshops, and yearly training to improve employees’ skills and attract new talent to the transportation and logistics industry. Hence, UK organisations must support the SMEs and ensure local partnering with them to create their own supply chain network (Ellickson, 2013). It has b</w:t>
      </w:r>
      <w:r>
        <w:rPr>
          <w:rFonts w:ascii="Times New Roman" w:eastAsia="Times New Roman" w:hAnsi="Times New Roman" w:cs="Times New Roman"/>
          <w:sz w:val="24"/>
          <w:szCs w:val="24"/>
        </w:rPr>
        <w:t>een estimated that workers' training and development programs produce a high return of $1.50 in enhancing performance levels (Ilo.org, 2022). However international cooperation includes the G20 plan in 2020 to deploy $5 trillion after the Covid-19 pandemic situation for developing economies and emerging markets (Imf.org, 2022). Most of organisation now focuses on developing their own production practices to improve future opportunities and be able to manage the future situation</w:t>
      </w:r>
      <w:r w:rsidR="00DF3F29">
        <w:rPr>
          <w:rFonts w:ascii="Times New Roman" w:eastAsia="Times New Roman" w:hAnsi="Times New Roman" w:cs="Times New Roman"/>
          <w:sz w:val="24"/>
          <w:szCs w:val="24"/>
        </w:rPr>
        <w:t xml:space="preserve">  </w:t>
      </w:r>
      <w:r w:rsidR="00DF3F29" w:rsidRPr="00AA4707">
        <w:rPr>
          <w:rFonts w:ascii="Times New Roman" w:eastAsia="Times New Roman" w:hAnsi="Times New Roman" w:cs="Times New Roman"/>
          <w:b/>
          <w:bCs/>
          <w:i/>
          <w:iCs/>
          <w:sz w:val="24"/>
          <w:szCs w:val="24"/>
        </w:rPr>
        <w:t xml:space="preserve">[Refer to Appendix </w:t>
      </w:r>
      <w:r w:rsidR="00DF3F29">
        <w:rPr>
          <w:rFonts w:ascii="Times New Roman" w:eastAsia="Times New Roman" w:hAnsi="Times New Roman" w:cs="Times New Roman"/>
          <w:b/>
          <w:bCs/>
          <w:i/>
          <w:iCs/>
          <w:sz w:val="24"/>
          <w:szCs w:val="24"/>
        </w:rPr>
        <w:t>1]</w:t>
      </w:r>
      <w:r>
        <w:rPr>
          <w:rFonts w:ascii="Times New Roman" w:eastAsia="Times New Roman" w:hAnsi="Times New Roman" w:cs="Times New Roman"/>
          <w:sz w:val="24"/>
          <w:szCs w:val="24"/>
        </w:rPr>
        <w:t xml:space="preserve">.  </w:t>
      </w:r>
    </w:p>
    <w:p w14:paraId="6BDE7A4F" w14:textId="77777777" w:rsidR="00C23E9E" w:rsidRDefault="0029344F" w:rsidP="007A6B65">
      <w:pPr>
        <w:pStyle w:val="Heading1"/>
      </w:pPr>
      <w:bookmarkStart w:id="2" w:name="_Toc172898346"/>
      <w:r>
        <w:t>Q2(a). Relevancy of demand and supply chain for identified case study</w:t>
      </w:r>
      <w:bookmarkEnd w:id="2"/>
    </w:p>
    <w:p w14:paraId="51071917"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perspectives of demand and supply chain are highly relevant to the identified case study. The case study mainly explores the impact of covid 19 on the demand and supply chain in the UK and how it creates labour shortages and creates scarcity. The case study explores shortage and scarcity that led to a lack of raw materials, labour, and intermediate products. Brexit events and Covid 19 pandemic situation broke down the UK economy which has badly impacted on the people. In this situation, people's demands</w:t>
      </w:r>
      <w:r>
        <w:rPr>
          <w:rFonts w:ascii="Times New Roman" w:eastAsia="Times New Roman" w:hAnsi="Times New Roman" w:cs="Times New Roman"/>
          <w:sz w:val="24"/>
          <w:szCs w:val="24"/>
        </w:rPr>
        <w:t xml:space="preserve"> have changed which negatively affects the business organisation as well. Hence, in this crisis situation people were focused on their security and safety rather than luxury. The case study also optimises disruption and pressures on international supply chains, which is required to understand the demand and supply chain interactions (Institute for Government, 2021). Moreover, the shortage of fuel and high demand led to cost changes which is a basic supply chain and demand. Consumer attitudes have changed as</w:t>
      </w:r>
      <w:r>
        <w:rPr>
          <w:rFonts w:ascii="Times New Roman" w:eastAsia="Times New Roman" w:hAnsi="Times New Roman" w:cs="Times New Roman"/>
          <w:sz w:val="24"/>
          <w:szCs w:val="24"/>
        </w:rPr>
        <w:t xml:space="preserve"> it is shifted from services to goods which is another pressure on supply chain management. During this situation, pricing strategy to decrease and manage the pressure of demand and supply which helps to prevent an economic downturn.</w:t>
      </w:r>
    </w:p>
    <w:p w14:paraId="185A72E1"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UK firms are mainly dependent on importing and exporting goods and services and it is another sign for supply and demand which is briefly illustrated in the case study. Competition and driving the cost to be low and decreased the price which is optimised during the pandemic (Institute for Government, 2021). The other countries are focusing on developing their infrastructure while the UK suffers from a supply chain crisis due to a lack of advanced techniques and local support. Global interconnectedness is an</w:t>
      </w:r>
      <w:r>
        <w:rPr>
          <w:rFonts w:ascii="Times New Roman" w:eastAsia="Times New Roman" w:hAnsi="Times New Roman" w:cs="Times New Roman"/>
          <w:sz w:val="24"/>
          <w:szCs w:val="24"/>
        </w:rPr>
        <w:t>other reason behind supply chain demands and it is directly impacted on the importing and exporting setting.</w:t>
      </w:r>
    </w:p>
    <w:p w14:paraId="60F5EE50"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 resiliency can support an organisation to expand its business and also improve its organisational productivity by ensuring global reach. As an example, Amazon's online platform management experienced significant growth after the pandemic situation due to an increase of online shopping, omnichannel retailing, digital transformation, and growth in ecommerce (Osadiya, 2023). Amazon is highly focused on their technical development which helps them to improve their sales surpassing $4.2 trillion glo</w:t>
      </w:r>
      <w:r>
        <w:rPr>
          <w:rFonts w:ascii="Times New Roman" w:eastAsia="Times New Roman" w:hAnsi="Times New Roman" w:cs="Times New Roman"/>
          <w:sz w:val="24"/>
          <w:szCs w:val="24"/>
        </w:rPr>
        <w:t>bally in 2020 and it reach 5.8 trillion U.S. dollars in 2023 (Statista.com, 2022). It has been estimated that Amazon’s sales will increase by 30.6% in 2020 compared to the previous year. As stated by Kassab, (2023), an effective marketing strategy such as the 4ps marketing strategy promotes business operations and it would be improving organisational productivity.  It also helps the organisation to enable balanced inventory management which is necessary to manage people’s demand and supply the goods and ser</w:t>
      </w:r>
      <w:r>
        <w:rPr>
          <w:rFonts w:ascii="Times New Roman" w:eastAsia="Times New Roman" w:hAnsi="Times New Roman" w:cs="Times New Roman"/>
          <w:sz w:val="24"/>
          <w:szCs w:val="24"/>
        </w:rPr>
        <w:t>vices at the right time. In this context, big data analytics is the most useful technology which would improve organisational future opportunities by reviewing customer demand and making informed decisions based on that.</w:t>
      </w:r>
    </w:p>
    <w:p w14:paraId="55C46554" w14:textId="77777777" w:rsidR="00C23E9E" w:rsidRDefault="0029344F" w:rsidP="007A6B6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5EE3CAB" wp14:editId="52740830">
            <wp:extent cx="5731200" cy="3581400"/>
            <wp:effectExtent l="76200" t="76200" r="136525" b="1333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731200" cy="3581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70216D" w14:textId="77777777" w:rsidR="00C23E9E" w:rsidRPr="007A6B65" w:rsidRDefault="0029344F" w:rsidP="007A6B65">
      <w:pPr>
        <w:pStyle w:val="Normal1"/>
        <w:spacing w:before="240" w:after="240" w:line="360" w:lineRule="auto"/>
        <w:jc w:val="center"/>
        <w:rPr>
          <w:rFonts w:ascii="Times New Roman" w:eastAsia="Times New Roman" w:hAnsi="Times New Roman" w:cs="Times New Roman"/>
          <w:b/>
          <w:bCs/>
          <w:sz w:val="24"/>
          <w:szCs w:val="24"/>
        </w:rPr>
      </w:pPr>
      <w:r w:rsidRPr="007A6B65">
        <w:rPr>
          <w:rFonts w:ascii="Times New Roman" w:eastAsia="Times New Roman" w:hAnsi="Times New Roman" w:cs="Times New Roman"/>
          <w:b/>
          <w:bCs/>
          <w:sz w:val="24"/>
          <w:szCs w:val="24"/>
        </w:rPr>
        <w:t>Figure 2: “Retail e-commerce sales worldwide from 2014 to 2027”</w:t>
      </w:r>
    </w:p>
    <w:p w14:paraId="6ABF5199" w14:textId="77777777" w:rsidR="00C23E9E" w:rsidRDefault="0029344F" w:rsidP="007A6B6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2022)</w:t>
      </w:r>
    </w:p>
    <w:p w14:paraId="48AA5637"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just-in-time system is a production and inventory control strategy which is mainly used to maintain inventory levels by reducing costs and meeting customer demand. It can improve cash flow, reduce waste and greater flexibility in supply chain management relationships (Institute for Government, 2021). Finance attraction through investment such as “initial public offering (IPO)”, to fund high capital investment by making an investment spree which also influences supply chain demands.</w:t>
      </w:r>
    </w:p>
    <w:p w14:paraId="49BA4A94"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implementing JIT, Supply chain demands enable massive employee retention and enable satisfaction by providing rewards and </w:t>
      </w:r>
      <w:r>
        <w:rPr>
          <w:rFonts w:ascii="Times New Roman" w:eastAsia="Times New Roman" w:hAnsi="Times New Roman" w:cs="Times New Roman"/>
          <w:sz w:val="24"/>
          <w:szCs w:val="24"/>
        </w:rPr>
        <w:t>high salaries payment to the employees. On the flip side, management of risk has enabled supply chain activity to maintain the demand and supply equilibrium (Pisch, 2020). Management of shortages and supply helps to shift market demand and it supports people to focus on their inventory levels. JIT has different kinds of risks such as supply chain vulnerability, higher transportation costs, and limited flexibility in supply and demand.</w:t>
      </w:r>
    </w:p>
    <w:p w14:paraId="0ACBFE5D" w14:textId="77777777" w:rsidR="00C23E9E" w:rsidRDefault="0029344F" w:rsidP="007A6B65">
      <w:pPr>
        <w:pStyle w:val="Heading1"/>
      </w:pPr>
      <w:bookmarkStart w:id="3" w:name="_Toc172898347"/>
      <w:r>
        <w:t>Q2(b). Differences between elasticity and inelasticity of demand</w:t>
      </w:r>
      <w:bookmarkEnd w:id="3"/>
    </w:p>
    <w:p w14:paraId="4EE9ED28"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Elasticity of demand: </w:t>
      </w:r>
      <w:r>
        <w:rPr>
          <w:rFonts w:ascii="Times New Roman" w:eastAsia="Times New Roman" w:hAnsi="Times New Roman" w:cs="Times New Roman"/>
          <w:sz w:val="24"/>
          <w:szCs w:val="24"/>
        </w:rPr>
        <w:t>Elasticity of demand is considered as the measurement to address the change in quantity demanded of a product in response to changes in its price, income and any other influential factors (Díaz and Medlock, 2021). It is the most important attribute which is crucial in economics and business as it can be used by the company to make policies to predict changes in price and its impact on other market factors.</w:t>
      </w:r>
    </w:p>
    <w:p w14:paraId="7F3BFA49"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Inelasticity of demand: </w:t>
      </w:r>
      <w:r>
        <w:rPr>
          <w:rFonts w:ascii="Times New Roman" w:eastAsia="Times New Roman" w:hAnsi="Times New Roman" w:cs="Times New Roman"/>
          <w:sz w:val="24"/>
          <w:szCs w:val="24"/>
        </w:rPr>
        <w:t>It is mainly referring to the situational context where the quantity demanded of a product or service and it do not change respectively in response to changes in its price or other attributes. In this context, this demand does not affect the consumer's buying habits, as example if the price goes down then the customer’s buying behaviour remains the same.</w:t>
      </w:r>
    </w:p>
    <w:p w14:paraId="3AFDABCB" w14:textId="77777777" w:rsidR="00C23E9E" w:rsidRDefault="0029344F">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 between elasticity and inelasticity of demand</w:t>
      </w:r>
    </w:p>
    <w:tbl>
      <w:tblPr>
        <w:tblStyle w:val="Table1"/>
        <w:tblW w:w="5000" w:type="pct"/>
        <w:tblInd w:w="0" w:type="dxa"/>
        <w:tblBorders>
          <w:top w:val="nil"/>
          <w:left w:val="nil"/>
          <w:bottom w:val="nil"/>
          <w:right w:val="nil"/>
          <w:insideH w:val="nil"/>
          <w:insideV w:val="nil"/>
        </w:tblBorders>
        <w:tblLook w:val="0600" w:firstRow="0" w:lastRow="0" w:firstColumn="0" w:lastColumn="0" w:noHBand="1" w:noVBand="1"/>
      </w:tblPr>
      <w:tblGrid>
        <w:gridCol w:w="2996"/>
        <w:gridCol w:w="2996"/>
        <w:gridCol w:w="3027"/>
      </w:tblGrid>
      <w:tr w:rsidR="00C23E9E" w14:paraId="05839807" w14:textId="77777777" w:rsidTr="007A6B65">
        <w:trPr>
          <w:trHeight w:val="375"/>
        </w:trPr>
        <w:tc>
          <w:tcPr>
            <w:tcW w:w="1661"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0B46C87" w14:textId="77777777" w:rsidR="00C23E9E" w:rsidRDefault="0029344F">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Basic</w:t>
            </w:r>
          </w:p>
        </w:tc>
        <w:tc>
          <w:tcPr>
            <w:tcW w:w="1661" w:type="pct"/>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14B45275" w14:textId="77777777" w:rsidR="00C23E9E" w:rsidRDefault="0029344F">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Elasticity of demand</w:t>
            </w:r>
          </w:p>
        </w:tc>
        <w:tc>
          <w:tcPr>
            <w:tcW w:w="1678" w:type="pct"/>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64CC1D0E" w14:textId="77777777" w:rsidR="00C23E9E" w:rsidRDefault="0029344F">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Inelasticity of demand</w:t>
            </w:r>
          </w:p>
        </w:tc>
      </w:tr>
      <w:tr w:rsidR="00C23E9E" w14:paraId="6944518F" w14:textId="77777777" w:rsidTr="007A6B65">
        <w:trPr>
          <w:trHeight w:val="1815"/>
        </w:trPr>
        <w:tc>
          <w:tcPr>
            <w:tcW w:w="1661"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246BF446" w14:textId="77777777" w:rsidR="00C23E9E" w:rsidRDefault="0029344F">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Price flexibility</w:t>
            </w:r>
          </w:p>
        </w:tc>
        <w:tc>
          <w:tcPr>
            <w:tcW w:w="1661" w:type="pct"/>
            <w:tcBorders>
              <w:top w:val="nil"/>
              <w:left w:val="nil"/>
              <w:bottom w:val="single" w:sz="4" w:space="0" w:color="000000"/>
              <w:right w:val="single" w:sz="4" w:space="0" w:color="000000"/>
            </w:tcBorders>
            <w:tcMar>
              <w:top w:w="0" w:type="dxa"/>
              <w:left w:w="100" w:type="dxa"/>
              <w:bottom w:w="0" w:type="dxa"/>
              <w:right w:w="100" w:type="dxa"/>
            </w:tcMar>
          </w:tcPr>
          <w:p w14:paraId="5C86EFF4" w14:textId="77777777" w:rsidR="00C23E9E" w:rsidRDefault="0029344F">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Elasticity has been changed while any economic factors change such as price or </w:t>
            </w:r>
            <w:r>
              <w:rPr>
                <w:rFonts w:ascii="Times New Roman" w:eastAsia="Times New Roman" w:hAnsi="Times New Roman" w:cs="Times New Roman"/>
                <w:sz w:val="24"/>
                <w:szCs w:val="24"/>
              </w:rPr>
              <w:t>income.</w:t>
            </w:r>
          </w:p>
        </w:tc>
        <w:tc>
          <w:tcPr>
            <w:tcW w:w="1678" w:type="pct"/>
            <w:tcBorders>
              <w:top w:val="nil"/>
              <w:left w:val="nil"/>
              <w:bottom w:val="single" w:sz="4" w:space="0" w:color="000000"/>
              <w:right w:val="single" w:sz="4" w:space="0" w:color="000000"/>
            </w:tcBorders>
            <w:tcMar>
              <w:top w:w="0" w:type="dxa"/>
              <w:left w:w="100" w:type="dxa"/>
              <w:bottom w:w="0" w:type="dxa"/>
              <w:right w:w="100" w:type="dxa"/>
            </w:tcMar>
          </w:tcPr>
          <w:p w14:paraId="3FB04B44" w14:textId="77777777" w:rsidR="00C23E9E" w:rsidRDefault="0029344F">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the demand has remained unchanged even if the price of the product changes, it can be high or low.</w:t>
            </w:r>
          </w:p>
        </w:tc>
      </w:tr>
      <w:tr w:rsidR="00C23E9E" w14:paraId="4EC54AA9" w14:textId="77777777" w:rsidTr="007A6B65">
        <w:trPr>
          <w:trHeight w:val="2895"/>
        </w:trPr>
        <w:tc>
          <w:tcPr>
            <w:tcW w:w="1661"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CF9BD54" w14:textId="77777777" w:rsidR="00C23E9E" w:rsidRDefault="0029344F">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Protection during market fluctuations</w:t>
            </w:r>
          </w:p>
        </w:tc>
        <w:tc>
          <w:tcPr>
            <w:tcW w:w="1661" w:type="pct"/>
            <w:tcBorders>
              <w:top w:val="nil"/>
              <w:left w:val="nil"/>
              <w:bottom w:val="single" w:sz="4" w:space="0" w:color="000000"/>
              <w:right w:val="single" w:sz="4" w:space="0" w:color="000000"/>
            </w:tcBorders>
            <w:tcMar>
              <w:top w:w="0" w:type="dxa"/>
              <w:left w:w="100" w:type="dxa"/>
              <w:bottom w:w="0" w:type="dxa"/>
              <w:right w:w="100" w:type="dxa"/>
            </w:tcMar>
          </w:tcPr>
          <w:p w14:paraId="13E12C51" w14:textId="77777777" w:rsidR="00C23E9E" w:rsidRDefault="0029344F">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kind of goods includes luxury products, certain foods and beverages as changes in their cost based on the market demand (Andreyeva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2010).</w:t>
            </w:r>
          </w:p>
        </w:tc>
        <w:tc>
          <w:tcPr>
            <w:tcW w:w="1678" w:type="pct"/>
            <w:tcBorders>
              <w:top w:val="nil"/>
              <w:left w:val="nil"/>
              <w:bottom w:val="single" w:sz="4" w:space="0" w:color="000000"/>
              <w:right w:val="single" w:sz="4" w:space="0" w:color="000000"/>
            </w:tcBorders>
            <w:tcMar>
              <w:top w:w="0" w:type="dxa"/>
              <w:left w:w="100" w:type="dxa"/>
              <w:bottom w:w="0" w:type="dxa"/>
              <w:right w:w="100" w:type="dxa"/>
            </w:tcMar>
          </w:tcPr>
          <w:p w14:paraId="406DC903" w14:textId="77777777" w:rsidR="00C23E9E" w:rsidRDefault="0029344F">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inelastic goods may refer to tobacco, medicines, or prescribed drugs. This product demand remains unchanged and it does not depend on the market reliability (Andreyeva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2010).</w:t>
            </w:r>
          </w:p>
        </w:tc>
      </w:tr>
      <w:tr w:rsidR="00C23E9E" w14:paraId="55317036" w14:textId="77777777" w:rsidTr="007A6B65">
        <w:trPr>
          <w:trHeight w:val="2175"/>
        </w:trPr>
        <w:tc>
          <w:tcPr>
            <w:tcW w:w="1661" w:type="pct"/>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01CE15AE" w14:textId="77777777" w:rsidR="00C23E9E" w:rsidRDefault="0029344F">
            <w:pPr>
              <w:pStyle w:val="Normal1"/>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Entry barriers</w:t>
            </w:r>
          </w:p>
        </w:tc>
        <w:tc>
          <w:tcPr>
            <w:tcW w:w="1661" w:type="pct"/>
            <w:tcBorders>
              <w:top w:val="nil"/>
              <w:left w:val="nil"/>
              <w:bottom w:val="single" w:sz="4" w:space="0" w:color="000000"/>
              <w:right w:val="single" w:sz="4" w:space="0" w:color="000000"/>
            </w:tcBorders>
            <w:tcMar>
              <w:top w:w="0" w:type="dxa"/>
              <w:left w:w="100" w:type="dxa"/>
              <w:bottom w:w="0" w:type="dxa"/>
              <w:right w:w="100" w:type="dxa"/>
            </w:tcMar>
          </w:tcPr>
          <w:p w14:paraId="5A227758" w14:textId="77777777" w:rsidR="00C23E9E" w:rsidRDefault="0029344F">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requires proper research to introduce the product in the market because customer demand has changed over time and it creates </w:t>
            </w:r>
            <w:r>
              <w:rPr>
                <w:rFonts w:ascii="Times New Roman" w:eastAsia="Times New Roman" w:hAnsi="Times New Roman" w:cs="Times New Roman"/>
                <w:sz w:val="24"/>
                <w:szCs w:val="24"/>
              </w:rPr>
              <w:t>competition.</w:t>
            </w:r>
          </w:p>
        </w:tc>
        <w:tc>
          <w:tcPr>
            <w:tcW w:w="1678" w:type="pct"/>
            <w:tcBorders>
              <w:top w:val="nil"/>
              <w:left w:val="nil"/>
              <w:bottom w:val="single" w:sz="4" w:space="0" w:color="000000"/>
              <w:right w:val="single" w:sz="4" w:space="0" w:color="000000"/>
            </w:tcBorders>
            <w:tcMar>
              <w:top w:w="0" w:type="dxa"/>
              <w:left w:w="100" w:type="dxa"/>
              <w:bottom w:w="0" w:type="dxa"/>
              <w:right w:w="100" w:type="dxa"/>
            </w:tcMar>
          </w:tcPr>
          <w:p w14:paraId="77496194" w14:textId="77777777" w:rsidR="00C23E9E" w:rsidRDefault="0029344F">
            <w:pPr>
              <w:pStyle w:val="Normal1"/>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capital requirements, patents and intellectual property, brand loyalty and trade barriers are the major challenges for inelastic goods.</w:t>
            </w:r>
          </w:p>
        </w:tc>
      </w:tr>
    </w:tbl>
    <w:p w14:paraId="64AAB4C9" w14:textId="77777777" w:rsidR="00C23E9E" w:rsidRDefault="0029344F" w:rsidP="007A6B65">
      <w:pPr>
        <w:pStyle w:val="Normal1"/>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Differences between elasticity and inelasticity of demand</w:t>
      </w:r>
    </w:p>
    <w:p w14:paraId="03E675D0" w14:textId="77777777" w:rsidR="00C23E9E" w:rsidRDefault="0029344F" w:rsidP="007A6B65">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sz w:val="24"/>
          <w:szCs w:val="24"/>
        </w:rPr>
        <w:t>Self-developed)</w:t>
      </w:r>
    </w:p>
    <w:p w14:paraId="3B426A87" w14:textId="0781CCD9" w:rsidR="00C23E9E" w:rsidRPr="00480BA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price changes in the cost of fuel considered as the inelasticity of demand as the price of fuel does impact the quantity of demand (Andreyeva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2010). Travelling, heating homes, powering vehicles, and fuel is mandatory for people in their daily lives. In this regard, they continue buying the fuel even though the price is increasing</w:t>
      </w:r>
      <w:r w:rsidR="002337A8">
        <w:rPr>
          <w:rFonts w:ascii="Times New Roman" w:eastAsia="Times New Roman" w:hAnsi="Times New Roman" w:cs="Times New Roman"/>
          <w:sz w:val="24"/>
          <w:szCs w:val="24"/>
        </w:rPr>
        <w:t xml:space="preserve"> </w:t>
      </w:r>
      <w:r w:rsidR="002337A8" w:rsidRPr="00AA4707">
        <w:rPr>
          <w:rFonts w:ascii="Times New Roman" w:eastAsia="Times New Roman" w:hAnsi="Times New Roman" w:cs="Times New Roman"/>
          <w:b/>
          <w:bCs/>
          <w:i/>
          <w:iCs/>
          <w:sz w:val="24"/>
          <w:szCs w:val="24"/>
        </w:rPr>
        <w:t>[Refer to Appen</w:t>
      </w:r>
      <w:r w:rsidR="00AA4707" w:rsidRPr="00AA4707">
        <w:rPr>
          <w:rFonts w:ascii="Times New Roman" w:eastAsia="Times New Roman" w:hAnsi="Times New Roman" w:cs="Times New Roman"/>
          <w:b/>
          <w:bCs/>
          <w:i/>
          <w:iCs/>
          <w:sz w:val="24"/>
          <w:szCs w:val="24"/>
        </w:rPr>
        <w:t>d</w:t>
      </w:r>
      <w:r w:rsidR="002337A8" w:rsidRPr="00AA4707">
        <w:rPr>
          <w:rFonts w:ascii="Times New Roman" w:eastAsia="Times New Roman" w:hAnsi="Times New Roman" w:cs="Times New Roman"/>
          <w:b/>
          <w:bCs/>
          <w:i/>
          <w:iCs/>
          <w:sz w:val="24"/>
          <w:szCs w:val="24"/>
        </w:rPr>
        <w:t>ix 2</w:t>
      </w:r>
      <w:r w:rsidR="00480BAE">
        <w:rPr>
          <w:rFonts w:ascii="Times New Roman" w:eastAsia="Times New Roman" w:hAnsi="Times New Roman" w:cs="Times New Roman"/>
          <w:b/>
          <w:bCs/>
          <w:i/>
          <w:iCs/>
          <w:sz w:val="24"/>
          <w:szCs w:val="24"/>
        </w:rPr>
        <w:t>]</w:t>
      </w:r>
      <w:r w:rsidR="00480BAE">
        <w:rPr>
          <w:rFonts w:ascii="Times New Roman" w:eastAsia="Times New Roman" w:hAnsi="Times New Roman" w:cs="Times New Roman"/>
          <w:sz w:val="24"/>
          <w:szCs w:val="24"/>
        </w:rPr>
        <w:t>.</w:t>
      </w:r>
    </w:p>
    <w:p w14:paraId="7DFD9F32" w14:textId="77777777" w:rsidR="00C23E9E" w:rsidRDefault="0029344F">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 and disadvantages of each demand</w:t>
      </w:r>
    </w:p>
    <w:p w14:paraId="05D13F6C" w14:textId="77777777" w:rsidR="00C23E9E" w:rsidRDefault="0029344F">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elasticity of demand:</w:t>
      </w:r>
    </w:p>
    <w:p w14:paraId="477AC842" w14:textId="77777777" w:rsidR="00C23E9E" w:rsidRDefault="0029344F">
      <w:pPr>
        <w:pStyle w:val="Normal1"/>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Advantage</w:t>
      </w:r>
    </w:p>
    <w:p w14:paraId="4C616464"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lower taxes, at an </w:t>
      </w:r>
      <w:r>
        <w:rPr>
          <w:rFonts w:ascii="Times New Roman" w:eastAsia="Times New Roman" w:hAnsi="Times New Roman" w:cs="Times New Roman"/>
          <w:sz w:val="24"/>
          <w:szCs w:val="24"/>
        </w:rPr>
        <w:t>optimum price which enhances product sales</w:t>
      </w:r>
    </w:p>
    <w:p w14:paraId="4F55370E" w14:textId="77777777" w:rsidR="00C23E9E" w:rsidRDefault="0029344F">
      <w:pPr>
        <w:pStyle w:val="Normal1"/>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Disadvantages</w:t>
      </w:r>
    </w:p>
    <w:p w14:paraId="132DEF0D"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level of competition for overtime due to demand changing as well as pricing   </w:t>
      </w:r>
    </w:p>
    <w:p w14:paraId="64388CD4" w14:textId="77777777" w:rsidR="00C23E9E" w:rsidRDefault="0029344F">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Inelasticity of demand</w:t>
      </w:r>
    </w:p>
    <w:p w14:paraId="687F8950" w14:textId="77777777" w:rsidR="00C23E9E" w:rsidRDefault="0029344F">
      <w:pPr>
        <w:pStyle w:val="Normal1"/>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Advantage</w:t>
      </w:r>
    </w:p>
    <w:p w14:paraId="7FC3BC44"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revenue can be integrated by developing the price</w:t>
      </w:r>
    </w:p>
    <w:p w14:paraId="131A86B9" w14:textId="77777777" w:rsidR="00C23E9E" w:rsidRDefault="0029344F">
      <w:pPr>
        <w:pStyle w:val="Normal1"/>
        <w:spacing w:before="240" w:after="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Disadvantages</w:t>
      </w:r>
    </w:p>
    <w:p w14:paraId="7BAF3128"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Tariffs and trade barriers and do not consider the demand  </w:t>
      </w:r>
    </w:p>
    <w:p w14:paraId="0AFDD674" w14:textId="77777777" w:rsidR="00C23E9E" w:rsidRDefault="0029344F" w:rsidP="007A6B65">
      <w:pPr>
        <w:pStyle w:val="Heading1"/>
      </w:pPr>
      <w:bookmarkStart w:id="4" w:name="_Toc172898348"/>
      <w:r>
        <w:t>Q2(c). Explanation of the law of supply and demand</w:t>
      </w:r>
      <w:bookmarkEnd w:id="4"/>
    </w:p>
    <w:p w14:paraId="4718CAA0" w14:textId="734C28D9" w:rsidR="00180BF8"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aspect, the three basic laws of supply and demand are such as law of supply, the law of demand and equilibrium. </w:t>
      </w:r>
      <w:r>
        <w:rPr>
          <w:rFonts w:ascii="Times New Roman" w:eastAsia="Times New Roman" w:hAnsi="Times New Roman" w:cs="Times New Roman"/>
          <w:sz w:val="24"/>
          <w:szCs w:val="24"/>
        </w:rPr>
        <w:t>Therefore, the government must be focused on four basic things while applying the law of supply and demand such as increase of demand, decrease of demand, increased supply, and decreased supply. As stated by Rauch and Schleicher, (2015), increased demand when supply is unchanged which supports higher cost in massive quantities. In this context, consumers are accepting the product where the price is high and it may be profitable for the seller to increase the supply and generate a high annual revenue. On the</w:t>
      </w:r>
      <w:r>
        <w:rPr>
          <w:rFonts w:ascii="Times New Roman" w:eastAsia="Times New Roman" w:hAnsi="Times New Roman" w:cs="Times New Roman"/>
          <w:sz w:val="24"/>
          <w:szCs w:val="24"/>
        </w:rPr>
        <w:t xml:space="preserve"> other hand, a decrease in demand when the supply is unchanged tends to lower quantities at lower prices (Fleximize.com, 2022). If the consumer demand is not high in specific areas, then sellers are reducing their product price and selling the item at a low cost to encourage the customers. Therefore, a high supply rate or increased supply leads to lower product prices at higher quantities. While the supply is high in a particular location, sellers are dropping their product prices to attract their customers</w:t>
      </w:r>
      <w:r>
        <w:rPr>
          <w:rFonts w:ascii="Times New Roman" w:eastAsia="Times New Roman" w:hAnsi="Times New Roman" w:cs="Times New Roman"/>
          <w:sz w:val="24"/>
          <w:szCs w:val="24"/>
        </w:rPr>
        <w:t xml:space="preserve"> over the competition (Haanwinckel, 2023). However, when supply is decreased then it leads to higher prices at lower quantities. In this sense, the shortage of products compared to the demand, and willingness to pay by the consumers to secure what is available in the market. Equilibrium is another balanced context where quality supplied equals quantity demanded and is considered a balanced market.</w:t>
      </w:r>
    </w:p>
    <w:p w14:paraId="4BC7F2F5" w14:textId="77777777" w:rsidR="00180BF8" w:rsidRDefault="00180BF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7AEC279" w14:textId="77777777" w:rsidR="00180BF8" w:rsidRPr="007975B3" w:rsidRDefault="00180BF8" w:rsidP="006B5865">
      <w:pPr>
        <w:pStyle w:val="Heading1"/>
      </w:pPr>
      <w:bookmarkStart w:id="5" w:name="_Toc172898349"/>
      <w:r w:rsidRPr="007975B3">
        <w:t>References</w:t>
      </w:r>
      <w:bookmarkEnd w:id="5"/>
      <w:r w:rsidRPr="007975B3">
        <w:t xml:space="preserve"> </w:t>
      </w:r>
    </w:p>
    <w:p w14:paraId="580B8C4F"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Aigner-Walder, B. (2015) Effects of the Demographic Changes on Private Consumption: An Almost Ideal Demand System Analysis for Austria. Journal of Economic and Social Studies, 5, 1, 33-57 </w:t>
      </w:r>
    </w:p>
    <w:p w14:paraId="4E129382"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Andreyeva, T., Long, M. and Brownell, K. (2010) The Impact of Food Prices on Consumption: A Systematic Review of Research on the Price Elasticity of Demand for Food. American Journal of Public Health, 100, 2, 216-222. </w:t>
      </w:r>
    </w:p>
    <w:p w14:paraId="39B1AFC7"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Bagwell, K. (2005) The Economic Analysis of Advertising. Columbia University Discussion</w:t>
      </w:r>
      <w:r>
        <w:rPr>
          <w:rFonts w:ascii="Times New Roman" w:hAnsi="Times New Roman" w:cs="Times New Roman"/>
          <w:sz w:val="24"/>
          <w:szCs w:val="24"/>
        </w:rPr>
        <w:t xml:space="preserve"> </w:t>
      </w:r>
      <w:r w:rsidRPr="007975B3">
        <w:rPr>
          <w:rFonts w:ascii="Times New Roman" w:hAnsi="Times New Roman" w:cs="Times New Roman"/>
          <w:sz w:val="24"/>
          <w:szCs w:val="24"/>
        </w:rPr>
        <w:t xml:space="preserve">Papers No. : 050601 </w:t>
      </w:r>
    </w:p>
    <w:p w14:paraId="70B13F0E"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Baker, J. (2003) Competitive Price Discrimination: The Exercise of Market Power Without Anticompetitive Effects (Comment on Klein and Wiley). Articles in Law Reviews &amp; Other Academic Journals. Paper 278. </w:t>
      </w:r>
    </w:p>
    <w:p w14:paraId="5ACCED27"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Bankofengland.co.uk, 2022.</w:t>
      </w:r>
      <w:r w:rsidRPr="007975B3">
        <w:rPr>
          <w:rFonts w:ascii="Times New Roman" w:eastAsia="Times New Roman" w:hAnsi="Times New Roman" w:cs="Times New Roman"/>
          <w:color w:val="C4C9CF"/>
          <w:kern w:val="36"/>
          <w:sz w:val="24"/>
          <w:szCs w:val="24"/>
        </w:rPr>
        <w:t xml:space="preserve"> </w:t>
      </w:r>
      <w:r w:rsidRPr="007975B3">
        <w:rPr>
          <w:rFonts w:ascii="Times New Roman" w:eastAsiaTheme="minorHAnsi" w:hAnsi="Times New Roman" w:cs="Times New Roman"/>
          <w:i/>
          <w:iCs/>
          <w:sz w:val="24"/>
          <w:szCs w:val="24"/>
        </w:rPr>
        <w:t>In focus - Uncertainty and Brexit</w:t>
      </w:r>
      <w:r w:rsidRPr="007975B3">
        <w:rPr>
          <w:rFonts w:ascii="Times New Roman" w:hAnsi="Times New Roman" w:cs="Times New Roman"/>
          <w:sz w:val="24"/>
          <w:szCs w:val="24"/>
        </w:rPr>
        <w:t xml:space="preserve"> Available at: https://www.bankofengland.co.uk/monetary-policy-report/2019/november-2019/in-focus-uncertainty-and-brexit [Accessed on: 26/07/2024]</w:t>
      </w:r>
    </w:p>
    <w:p w14:paraId="02B2CEC2"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Bbc.com, 2022. </w:t>
      </w:r>
      <w:r w:rsidRPr="007975B3">
        <w:rPr>
          <w:rFonts w:ascii="Times New Roman" w:eastAsiaTheme="minorHAnsi" w:hAnsi="Times New Roman" w:cs="Times New Roman"/>
          <w:i/>
          <w:iCs/>
          <w:sz w:val="24"/>
          <w:szCs w:val="24"/>
        </w:rPr>
        <w:t>Covid: What impact has the furlough scheme had?</w:t>
      </w:r>
      <w:r w:rsidRPr="007975B3">
        <w:rPr>
          <w:rFonts w:ascii="Times New Roman" w:hAnsi="Times New Roman" w:cs="Times New Roman"/>
          <w:sz w:val="24"/>
          <w:szCs w:val="24"/>
        </w:rPr>
        <w:t xml:space="preserve"> Available at: https://www.bbc.com/news/business-54601117 [Accessed on: 26/07/2024]</w:t>
      </w:r>
    </w:p>
    <w:p w14:paraId="20B296EF" w14:textId="77777777" w:rsidR="00DC15A8" w:rsidRPr="007975B3" w:rsidRDefault="00DC15A8" w:rsidP="002526F6">
      <w:pPr>
        <w:spacing w:line="360" w:lineRule="auto"/>
        <w:jc w:val="both"/>
        <w:rPr>
          <w:rFonts w:ascii="Times New Roman" w:hAnsi="Times New Roman" w:cs="Times New Roman"/>
          <w:color w:val="222222"/>
          <w:sz w:val="24"/>
          <w:szCs w:val="24"/>
          <w:shd w:val="clear" w:color="auto" w:fill="FFFFFF"/>
        </w:rPr>
      </w:pPr>
      <w:r w:rsidRPr="007975B3">
        <w:rPr>
          <w:rFonts w:ascii="Times New Roman" w:hAnsi="Times New Roman" w:cs="Times New Roman"/>
          <w:color w:val="222222"/>
          <w:sz w:val="24"/>
          <w:szCs w:val="24"/>
          <w:shd w:val="clear" w:color="auto" w:fill="FFFFFF"/>
        </w:rPr>
        <w:t>Díaz, A.O. and Medlock, K.B., 2021. Price elasticity of demand for fuels by income level in Mexican households. </w:t>
      </w:r>
      <w:r w:rsidRPr="007975B3">
        <w:rPr>
          <w:rFonts w:ascii="Times New Roman" w:hAnsi="Times New Roman" w:cs="Times New Roman"/>
          <w:i/>
          <w:iCs/>
          <w:color w:val="222222"/>
          <w:sz w:val="24"/>
          <w:szCs w:val="24"/>
          <w:shd w:val="clear" w:color="auto" w:fill="FFFFFF"/>
        </w:rPr>
        <w:t>Energy Policy</w:t>
      </w:r>
      <w:r w:rsidRPr="007975B3">
        <w:rPr>
          <w:rFonts w:ascii="Times New Roman" w:hAnsi="Times New Roman" w:cs="Times New Roman"/>
          <w:color w:val="222222"/>
          <w:sz w:val="24"/>
          <w:szCs w:val="24"/>
          <w:shd w:val="clear" w:color="auto" w:fill="FFFFFF"/>
        </w:rPr>
        <w:t>, </w:t>
      </w:r>
      <w:r w:rsidRPr="007975B3">
        <w:rPr>
          <w:rFonts w:ascii="Times New Roman" w:hAnsi="Times New Roman" w:cs="Times New Roman"/>
          <w:i/>
          <w:iCs/>
          <w:color w:val="222222"/>
          <w:sz w:val="24"/>
          <w:szCs w:val="24"/>
          <w:shd w:val="clear" w:color="auto" w:fill="FFFFFF"/>
        </w:rPr>
        <w:t>151</w:t>
      </w:r>
      <w:r w:rsidRPr="007975B3">
        <w:rPr>
          <w:rFonts w:ascii="Times New Roman" w:hAnsi="Times New Roman" w:cs="Times New Roman"/>
          <w:color w:val="222222"/>
          <w:sz w:val="24"/>
          <w:szCs w:val="24"/>
          <w:shd w:val="clear" w:color="auto" w:fill="FFFFFF"/>
        </w:rPr>
        <w:t>, p.112132.</w:t>
      </w:r>
    </w:p>
    <w:p w14:paraId="7E5519FA"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Ellickson, P. (2013) Market Structure and Performance. International Encyclopedia of the Social &amp; Behavioral Sciences, Forthcoming; Simon School Working Paper No. 13-21 </w:t>
      </w:r>
    </w:p>
    <w:p w14:paraId="21D283C8"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Fleximize.com, 2022. </w:t>
      </w:r>
      <w:r w:rsidRPr="007975B3">
        <w:rPr>
          <w:rFonts w:ascii="Times New Roman" w:hAnsi="Times New Roman" w:cs="Times New Roman"/>
          <w:i/>
          <w:iCs/>
          <w:sz w:val="24"/>
          <w:szCs w:val="24"/>
        </w:rPr>
        <w:t>An SME's Guide to Supply and Demand</w:t>
      </w:r>
      <w:r w:rsidRPr="007975B3">
        <w:rPr>
          <w:rFonts w:ascii="Times New Roman" w:hAnsi="Times New Roman" w:cs="Times New Roman"/>
          <w:sz w:val="24"/>
          <w:szCs w:val="24"/>
        </w:rPr>
        <w:t xml:space="preserve"> Available at: https://fleximize.com/articles/002211/what-is-supply-and-demand [Accessed on: 26/07/2024]</w:t>
      </w:r>
    </w:p>
    <w:p w14:paraId="24166228" w14:textId="77777777" w:rsidR="00DC15A8" w:rsidRPr="007975B3" w:rsidRDefault="00DC15A8" w:rsidP="002526F6">
      <w:pPr>
        <w:spacing w:line="360" w:lineRule="auto"/>
        <w:jc w:val="both"/>
        <w:rPr>
          <w:rFonts w:ascii="Times New Roman" w:hAnsi="Times New Roman" w:cs="Times New Roman"/>
          <w:color w:val="222222"/>
          <w:sz w:val="24"/>
          <w:szCs w:val="24"/>
          <w:shd w:val="clear" w:color="auto" w:fill="FFFFFF"/>
        </w:rPr>
      </w:pPr>
      <w:r w:rsidRPr="007975B3">
        <w:rPr>
          <w:rFonts w:ascii="Times New Roman" w:hAnsi="Times New Roman" w:cs="Times New Roman"/>
          <w:color w:val="222222"/>
          <w:sz w:val="24"/>
          <w:szCs w:val="24"/>
          <w:shd w:val="clear" w:color="auto" w:fill="FFFFFF"/>
        </w:rPr>
        <w:t>Gunasekara, H.O.C., 2023. Article Review: Henri Fayol, Practitioner and Theoretician-Revered and Reviled by Mildred Golden Pryor and Sonia Taneja. </w:t>
      </w:r>
      <w:r w:rsidRPr="007975B3">
        <w:rPr>
          <w:rFonts w:ascii="Times New Roman" w:hAnsi="Times New Roman" w:cs="Times New Roman"/>
          <w:i/>
          <w:iCs/>
          <w:color w:val="222222"/>
          <w:sz w:val="24"/>
          <w:szCs w:val="24"/>
          <w:shd w:val="clear" w:color="auto" w:fill="FFFFFF"/>
        </w:rPr>
        <w:t>International Journal of Governance and Public Policy Analysis</w:t>
      </w:r>
      <w:r w:rsidRPr="007975B3">
        <w:rPr>
          <w:rFonts w:ascii="Times New Roman" w:hAnsi="Times New Roman" w:cs="Times New Roman"/>
          <w:color w:val="222222"/>
          <w:sz w:val="24"/>
          <w:szCs w:val="24"/>
          <w:shd w:val="clear" w:color="auto" w:fill="FFFFFF"/>
        </w:rPr>
        <w:t>, </w:t>
      </w:r>
      <w:r w:rsidRPr="007975B3">
        <w:rPr>
          <w:rFonts w:ascii="Times New Roman" w:hAnsi="Times New Roman" w:cs="Times New Roman"/>
          <w:i/>
          <w:iCs/>
          <w:color w:val="222222"/>
          <w:sz w:val="24"/>
          <w:szCs w:val="24"/>
          <w:shd w:val="clear" w:color="auto" w:fill="FFFFFF"/>
        </w:rPr>
        <w:t>5</w:t>
      </w:r>
      <w:r w:rsidRPr="007975B3">
        <w:rPr>
          <w:rFonts w:ascii="Times New Roman" w:hAnsi="Times New Roman" w:cs="Times New Roman"/>
          <w:color w:val="222222"/>
          <w:sz w:val="24"/>
          <w:szCs w:val="24"/>
          <w:shd w:val="clear" w:color="auto" w:fill="FFFFFF"/>
        </w:rPr>
        <w:t>(02).</w:t>
      </w:r>
    </w:p>
    <w:p w14:paraId="09C04B7C" w14:textId="77777777" w:rsidR="00DC15A8" w:rsidRPr="007975B3" w:rsidRDefault="00DC15A8" w:rsidP="002526F6">
      <w:pPr>
        <w:spacing w:line="360" w:lineRule="auto"/>
        <w:jc w:val="both"/>
        <w:rPr>
          <w:rFonts w:ascii="Times New Roman" w:hAnsi="Times New Roman" w:cs="Times New Roman"/>
          <w:color w:val="222222"/>
          <w:sz w:val="24"/>
          <w:szCs w:val="24"/>
          <w:shd w:val="clear" w:color="auto" w:fill="FFFFFF"/>
        </w:rPr>
      </w:pPr>
      <w:r w:rsidRPr="007975B3">
        <w:rPr>
          <w:rFonts w:ascii="Times New Roman" w:hAnsi="Times New Roman" w:cs="Times New Roman"/>
          <w:color w:val="222222"/>
          <w:sz w:val="24"/>
          <w:szCs w:val="24"/>
          <w:shd w:val="clear" w:color="auto" w:fill="FFFFFF"/>
        </w:rPr>
        <w:t>Haanwinckel, D., 2023. </w:t>
      </w:r>
      <w:r w:rsidRPr="007975B3">
        <w:rPr>
          <w:rFonts w:ascii="Times New Roman" w:hAnsi="Times New Roman" w:cs="Times New Roman"/>
          <w:i/>
          <w:iCs/>
          <w:color w:val="222222"/>
          <w:sz w:val="24"/>
          <w:szCs w:val="24"/>
          <w:shd w:val="clear" w:color="auto" w:fill="FFFFFF"/>
        </w:rPr>
        <w:t>Supply, demand, institutions, and firms: A theory of labor market sorting and the wage distribution</w:t>
      </w:r>
      <w:r w:rsidRPr="007975B3">
        <w:rPr>
          <w:rFonts w:ascii="Times New Roman" w:hAnsi="Times New Roman" w:cs="Times New Roman"/>
          <w:color w:val="222222"/>
          <w:sz w:val="24"/>
          <w:szCs w:val="24"/>
          <w:shd w:val="clear" w:color="auto" w:fill="FFFFFF"/>
        </w:rPr>
        <w:t> (No. w31318). National Bureau of Economic Research.</w:t>
      </w:r>
    </w:p>
    <w:p w14:paraId="311C9B4E"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Ilo.org, 2022. Available at: </w:t>
      </w:r>
      <w:hyperlink r:id="rId9" w:anchor=":~:text=Since%201919%2C%20the%20International%20Labour,%2C%20equity%2C%20security%20and%20dignity" w:history="1">
        <w:r w:rsidRPr="007975B3">
          <w:rPr>
            <w:rStyle w:val="Hyperlink"/>
            <w:rFonts w:ascii="Times New Roman" w:hAnsi="Times New Roman" w:cs="Times New Roman"/>
            <w:sz w:val="24"/>
            <w:szCs w:val="24"/>
          </w:rPr>
          <w:t>https://www.ilo.org/international-labour-standards#:~:text=Since%201919%2C%20the%20International%20Labour,%2C%20equity%2C%20security%20and%20dignity</w:t>
        </w:r>
      </w:hyperlink>
      <w:r w:rsidRPr="007975B3">
        <w:rPr>
          <w:rFonts w:ascii="Times New Roman" w:hAnsi="Times New Roman" w:cs="Times New Roman"/>
          <w:sz w:val="24"/>
          <w:szCs w:val="24"/>
        </w:rPr>
        <w:t>. [Accessed on: 26/07/2024]</w:t>
      </w:r>
    </w:p>
    <w:p w14:paraId="317ECF36"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Imf.org, 2022. </w:t>
      </w:r>
      <w:r w:rsidRPr="007975B3">
        <w:rPr>
          <w:rFonts w:ascii="Times New Roman" w:hAnsi="Times New Roman" w:cs="Times New Roman"/>
          <w:i/>
          <w:iCs/>
          <w:sz w:val="24"/>
          <w:szCs w:val="24"/>
        </w:rPr>
        <w:t>IMPLEMENTATION OF THE G-20 ACTION PLAN</w:t>
      </w:r>
      <w:r w:rsidRPr="007975B3">
        <w:rPr>
          <w:rFonts w:ascii="Times New Roman" w:hAnsi="Times New Roman" w:cs="Times New Roman"/>
          <w:sz w:val="24"/>
          <w:szCs w:val="24"/>
        </w:rPr>
        <w:t xml:space="preserve"> Available at: https://www.imf.org/external/np/g20/pdf/2020/071620a.pdf [Accessed on: 26/07/2024]</w:t>
      </w:r>
    </w:p>
    <w:p w14:paraId="68E01638"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Institute for Government (2021) Institute for Government analysis of ONS, Business Impact of COVID-19 Survey (BICS). </w:t>
      </w:r>
      <w:hyperlink r:id="rId10" w:history="1">
        <w:r w:rsidRPr="007975B3">
          <w:rPr>
            <w:rStyle w:val="Hyperlink"/>
            <w:rFonts w:ascii="Times New Roman" w:hAnsi="Times New Roman" w:cs="Times New Roman"/>
            <w:sz w:val="24"/>
            <w:szCs w:val="24"/>
          </w:rPr>
          <w:t>https://www.instituteforgovernment.org.uk/publication/supply-chains/causes</w:t>
        </w:r>
      </w:hyperlink>
      <w:r w:rsidRPr="007975B3">
        <w:rPr>
          <w:rFonts w:ascii="Times New Roman" w:hAnsi="Times New Roman" w:cs="Times New Roman"/>
          <w:sz w:val="24"/>
          <w:szCs w:val="24"/>
        </w:rPr>
        <w:t xml:space="preserve"> </w:t>
      </w:r>
    </w:p>
    <w:p w14:paraId="77C146BF" w14:textId="77777777" w:rsidR="00DC15A8" w:rsidRPr="007975B3" w:rsidRDefault="00DC15A8" w:rsidP="002526F6">
      <w:pPr>
        <w:spacing w:line="360" w:lineRule="auto"/>
        <w:jc w:val="both"/>
        <w:rPr>
          <w:rFonts w:ascii="Times New Roman" w:hAnsi="Times New Roman" w:cs="Times New Roman"/>
          <w:color w:val="222222"/>
          <w:sz w:val="24"/>
          <w:szCs w:val="24"/>
          <w:shd w:val="clear" w:color="auto" w:fill="FFFFFF"/>
        </w:rPr>
      </w:pPr>
      <w:r w:rsidRPr="007975B3">
        <w:rPr>
          <w:rFonts w:ascii="Times New Roman" w:hAnsi="Times New Roman" w:cs="Times New Roman"/>
          <w:color w:val="222222"/>
          <w:sz w:val="24"/>
          <w:szCs w:val="24"/>
          <w:shd w:val="clear" w:color="auto" w:fill="FFFFFF"/>
        </w:rPr>
        <w:t>Kassab, A., 2023. Emerging Trends in Marketing Strategy: A Comprehensive Analysis Of 4ps.</w:t>
      </w:r>
    </w:p>
    <w:p w14:paraId="4CC3F683" w14:textId="77777777" w:rsidR="00DC15A8"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color w:val="222222"/>
          <w:sz w:val="24"/>
          <w:szCs w:val="24"/>
          <w:shd w:val="clear" w:color="auto" w:fill="FFFFFF"/>
        </w:rPr>
        <w:t>Khalatur, S., Pavlova, H., Vasilieva, L., Karamushka, D. and Danileviča, A., 2022. Innovation management as basis of digitalization trends and security of financial sector. </w:t>
      </w:r>
      <w:r w:rsidRPr="007975B3">
        <w:rPr>
          <w:rFonts w:ascii="Times New Roman" w:hAnsi="Times New Roman" w:cs="Times New Roman"/>
          <w:i/>
          <w:iCs/>
          <w:color w:val="222222"/>
          <w:sz w:val="24"/>
          <w:szCs w:val="24"/>
          <w:shd w:val="clear" w:color="auto" w:fill="FFFFFF"/>
        </w:rPr>
        <w:t>Entrepreneurship and Sustainability Issues</w:t>
      </w:r>
      <w:r w:rsidRPr="007975B3">
        <w:rPr>
          <w:rFonts w:ascii="Times New Roman" w:hAnsi="Times New Roman" w:cs="Times New Roman"/>
          <w:color w:val="222222"/>
          <w:sz w:val="24"/>
          <w:szCs w:val="24"/>
          <w:shd w:val="clear" w:color="auto" w:fill="FFFFFF"/>
        </w:rPr>
        <w:t>, </w:t>
      </w:r>
      <w:r w:rsidRPr="007975B3">
        <w:rPr>
          <w:rFonts w:ascii="Times New Roman" w:hAnsi="Times New Roman" w:cs="Times New Roman"/>
          <w:i/>
          <w:iCs/>
          <w:color w:val="222222"/>
          <w:sz w:val="24"/>
          <w:szCs w:val="24"/>
          <w:shd w:val="clear" w:color="auto" w:fill="FFFFFF"/>
        </w:rPr>
        <w:t>9</w:t>
      </w:r>
      <w:r w:rsidRPr="007975B3">
        <w:rPr>
          <w:rFonts w:ascii="Times New Roman" w:hAnsi="Times New Roman" w:cs="Times New Roman"/>
          <w:color w:val="222222"/>
          <w:sz w:val="24"/>
          <w:szCs w:val="24"/>
          <w:shd w:val="clear" w:color="auto" w:fill="FFFFFF"/>
        </w:rPr>
        <w:t>(4), p.56.</w:t>
      </w:r>
    </w:p>
    <w:p w14:paraId="14D4D370"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Ons.gov.uk. 2022. </w:t>
      </w:r>
      <w:r w:rsidRPr="007975B3">
        <w:rPr>
          <w:rFonts w:ascii="Times New Roman" w:eastAsiaTheme="minorHAnsi" w:hAnsi="Times New Roman" w:cs="Times New Roman"/>
          <w:i/>
          <w:iCs/>
          <w:sz w:val="24"/>
          <w:szCs w:val="24"/>
        </w:rPr>
        <w:t>Cost of living insights: Spending</w:t>
      </w:r>
      <w:r w:rsidRPr="007975B3">
        <w:rPr>
          <w:rFonts w:ascii="Times New Roman" w:hAnsi="Times New Roman" w:cs="Times New Roman"/>
          <w:b/>
          <w:bCs/>
          <w:sz w:val="24"/>
          <w:szCs w:val="24"/>
        </w:rPr>
        <w:t xml:space="preserve"> </w:t>
      </w:r>
      <w:r w:rsidRPr="007975B3">
        <w:rPr>
          <w:rFonts w:ascii="Times New Roman" w:hAnsi="Times New Roman" w:cs="Times New Roman"/>
          <w:sz w:val="24"/>
          <w:szCs w:val="24"/>
        </w:rPr>
        <w:t>Available at: https://www.ons.gov.uk/economy/inflationandpriceindices/articles/costoflivinginsights/spending [Accessed on: 26/07/2024]</w:t>
      </w:r>
    </w:p>
    <w:p w14:paraId="43C02CFB"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Osadiya T. (2023), Introduction to Economics. Amazon </w:t>
      </w:r>
    </w:p>
    <w:p w14:paraId="3E8A62FD" w14:textId="77777777" w:rsidR="00DC15A8" w:rsidRPr="007975B3" w:rsidRDefault="00DC15A8" w:rsidP="002526F6">
      <w:pPr>
        <w:spacing w:line="360" w:lineRule="auto"/>
        <w:jc w:val="both"/>
        <w:rPr>
          <w:rFonts w:ascii="Times New Roman" w:hAnsi="Times New Roman" w:cs="Times New Roman"/>
          <w:color w:val="222222"/>
          <w:sz w:val="24"/>
          <w:szCs w:val="24"/>
          <w:shd w:val="clear" w:color="auto" w:fill="FFFFFF"/>
        </w:rPr>
      </w:pPr>
      <w:r w:rsidRPr="007975B3">
        <w:rPr>
          <w:rFonts w:ascii="Times New Roman" w:hAnsi="Times New Roman" w:cs="Times New Roman"/>
          <w:color w:val="222222"/>
          <w:sz w:val="24"/>
          <w:szCs w:val="24"/>
          <w:shd w:val="clear" w:color="auto" w:fill="FFFFFF"/>
        </w:rPr>
        <w:t>Pisch, F., 2020. Managing global production: Theory and evidence from just-in-time supply chains.</w:t>
      </w:r>
    </w:p>
    <w:p w14:paraId="5E045A87"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Rauch, D. and Schleicher, D. (2015) Like Uber, But for Local Governmental Policy: The Future of Local Regulation of the 'Sharing Economy'. George Mason Law &amp; Economics Research Paper No. 15-01. Available at: </w:t>
      </w:r>
      <w:hyperlink r:id="rId11" w:history="1">
        <w:r w:rsidRPr="007975B3">
          <w:rPr>
            <w:rStyle w:val="Hyperlink"/>
            <w:rFonts w:ascii="Times New Roman" w:hAnsi="Times New Roman" w:cs="Times New Roman"/>
            <w:sz w:val="24"/>
            <w:szCs w:val="24"/>
          </w:rPr>
          <w:t>http://ssrn.com/abstract=2549919</w:t>
        </w:r>
      </w:hyperlink>
    </w:p>
    <w:p w14:paraId="6811C5FB" w14:textId="77777777" w:rsidR="00DC15A8" w:rsidRPr="007975B3" w:rsidRDefault="00DC15A8" w:rsidP="002526F6">
      <w:pPr>
        <w:spacing w:line="360" w:lineRule="auto"/>
        <w:jc w:val="both"/>
        <w:rPr>
          <w:rFonts w:ascii="Times New Roman" w:hAnsi="Times New Roman" w:cs="Times New Roman"/>
          <w:sz w:val="24"/>
          <w:szCs w:val="24"/>
        </w:rPr>
      </w:pPr>
      <w:r w:rsidRPr="007975B3">
        <w:rPr>
          <w:rFonts w:ascii="Times New Roman" w:hAnsi="Times New Roman" w:cs="Times New Roman"/>
          <w:sz w:val="24"/>
          <w:szCs w:val="24"/>
        </w:rPr>
        <w:t xml:space="preserve">Statista.com, 2022. </w:t>
      </w:r>
      <w:r w:rsidRPr="007975B3">
        <w:rPr>
          <w:rFonts w:ascii="Times New Roman" w:hAnsi="Times New Roman" w:cs="Times New Roman"/>
          <w:i/>
          <w:iCs/>
          <w:sz w:val="24"/>
          <w:szCs w:val="24"/>
        </w:rPr>
        <w:t>Retail e-commerce sales worldwide from 2014 to 2027</w:t>
      </w:r>
      <w:r w:rsidRPr="007975B3">
        <w:rPr>
          <w:rFonts w:ascii="Times New Roman" w:hAnsi="Times New Roman" w:cs="Times New Roman"/>
          <w:b/>
          <w:bCs/>
          <w:sz w:val="24"/>
          <w:szCs w:val="24"/>
        </w:rPr>
        <w:t xml:space="preserve"> </w:t>
      </w:r>
      <w:r w:rsidRPr="007975B3">
        <w:rPr>
          <w:rFonts w:ascii="Times New Roman" w:hAnsi="Times New Roman" w:cs="Times New Roman"/>
          <w:sz w:val="24"/>
          <w:szCs w:val="24"/>
        </w:rPr>
        <w:t>Available at: https://www.statista.com/statistics/379046/worldwide-retail-e-commerce-sales/ [Accessed on: 26/07/2024]</w:t>
      </w:r>
    </w:p>
    <w:p w14:paraId="0CE51F54" w14:textId="77777777" w:rsidR="00DC15A8" w:rsidRPr="007975B3" w:rsidRDefault="00DC15A8" w:rsidP="002526F6">
      <w:pPr>
        <w:spacing w:line="360" w:lineRule="auto"/>
        <w:jc w:val="both"/>
        <w:rPr>
          <w:rFonts w:ascii="Times New Roman" w:hAnsi="Times New Roman" w:cs="Times New Roman"/>
          <w:color w:val="222222"/>
          <w:sz w:val="24"/>
          <w:szCs w:val="24"/>
          <w:shd w:val="clear" w:color="auto" w:fill="FFFFFF"/>
        </w:rPr>
      </w:pPr>
      <w:r w:rsidRPr="007975B3">
        <w:rPr>
          <w:rFonts w:ascii="Times New Roman" w:hAnsi="Times New Roman" w:cs="Times New Roman"/>
          <w:color w:val="222222"/>
          <w:sz w:val="24"/>
          <w:szCs w:val="24"/>
          <w:shd w:val="clear" w:color="auto" w:fill="FFFFFF"/>
        </w:rPr>
        <w:t>Winkler, K.M. and Wamu, S., 2023. Sustainability Leadership and Employee Satisfaction in Small and Medium-sized Enterprises: An Exploratory Study in Germany and Sweden.</w:t>
      </w:r>
    </w:p>
    <w:p w14:paraId="7EAE70FE" w14:textId="77777777" w:rsidR="00180BF8" w:rsidRPr="007975B3" w:rsidRDefault="00180BF8" w:rsidP="00180BF8">
      <w:pPr>
        <w:pStyle w:val="Heading1"/>
      </w:pPr>
      <w:bookmarkStart w:id="6" w:name="_Toc172898350"/>
      <w:r w:rsidRPr="007975B3">
        <w:t>Appendices</w:t>
      </w:r>
      <w:bookmarkEnd w:id="6"/>
    </w:p>
    <w:p w14:paraId="0531C1FA" w14:textId="77777777" w:rsidR="00180BF8" w:rsidRPr="007975B3" w:rsidRDefault="00180BF8" w:rsidP="00180BF8">
      <w:pPr>
        <w:pStyle w:val="Heading2"/>
      </w:pPr>
      <w:bookmarkStart w:id="7" w:name="_Toc172898351"/>
      <w:r w:rsidRPr="007975B3">
        <w:t>Appendix 1: Distribution of Covid-19 fiscal support</w:t>
      </w:r>
      <w:bookmarkEnd w:id="7"/>
      <w:r w:rsidRPr="007975B3">
        <w:t xml:space="preserve">  </w:t>
      </w:r>
      <w:r w:rsidRPr="007975B3">
        <w:tab/>
      </w:r>
    </w:p>
    <w:p w14:paraId="60EB577B" w14:textId="77777777" w:rsidR="00180BF8" w:rsidRPr="007975B3" w:rsidRDefault="00180BF8" w:rsidP="00180BF8">
      <w:pPr>
        <w:spacing w:line="360" w:lineRule="auto"/>
        <w:jc w:val="center"/>
        <w:rPr>
          <w:rFonts w:ascii="Times New Roman" w:hAnsi="Times New Roman" w:cs="Times New Roman"/>
          <w:sz w:val="24"/>
          <w:szCs w:val="24"/>
        </w:rPr>
      </w:pPr>
      <w:r w:rsidRPr="007975B3">
        <w:rPr>
          <w:rFonts w:ascii="Times New Roman" w:hAnsi="Times New Roman" w:cs="Times New Roman"/>
          <w:noProof/>
          <w:sz w:val="24"/>
          <w:szCs w:val="24"/>
        </w:rPr>
        <w:drawing>
          <wp:inline distT="0" distB="0" distL="0" distR="0" wp14:anchorId="2680ABE2" wp14:editId="722DAA16">
            <wp:extent cx="5197290" cy="5814564"/>
            <wp:effectExtent l="76200" t="76200" r="137160" b="129540"/>
            <wp:docPr id="1495708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08499" name=""/>
                    <pic:cNvPicPr/>
                  </pic:nvPicPr>
                  <pic:blipFill>
                    <a:blip r:embed="rId12"/>
                    <a:stretch>
                      <a:fillRect/>
                    </a:stretch>
                  </pic:blipFill>
                  <pic:spPr>
                    <a:xfrm>
                      <a:off x="0" y="0"/>
                      <a:ext cx="5197290" cy="58145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87E459" w14:textId="77777777" w:rsidR="00180BF8" w:rsidRPr="007975B3" w:rsidRDefault="00180BF8" w:rsidP="00180BF8">
      <w:pPr>
        <w:spacing w:line="360" w:lineRule="auto"/>
        <w:jc w:val="center"/>
        <w:rPr>
          <w:rFonts w:ascii="Times New Roman" w:hAnsi="Times New Roman" w:cs="Times New Roman"/>
          <w:sz w:val="24"/>
          <w:szCs w:val="24"/>
        </w:rPr>
      </w:pPr>
      <w:r w:rsidRPr="007975B3">
        <w:rPr>
          <w:rFonts w:ascii="Times New Roman" w:hAnsi="Times New Roman" w:cs="Times New Roman"/>
          <w:sz w:val="24"/>
          <w:szCs w:val="24"/>
        </w:rPr>
        <w:t xml:space="preserve">(Source: </w:t>
      </w:r>
      <w:hyperlink r:id="rId13" w:history="1">
        <w:r w:rsidRPr="007975B3">
          <w:rPr>
            <w:rStyle w:val="Hyperlink"/>
            <w:rFonts w:ascii="Times New Roman" w:hAnsi="Times New Roman" w:cs="Times New Roman"/>
            <w:sz w:val="24"/>
            <w:szCs w:val="24"/>
          </w:rPr>
          <w:t>https://www.imf.org/external/np/g20/pdf/2020/071620a.pdf</w:t>
        </w:r>
      </w:hyperlink>
      <w:r w:rsidRPr="007975B3">
        <w:rPr>
          <w:rFonts w:ascii="Times New Roman" w:hAnsi="Times New Roman" w:cs="Times New Roman"/>
          <w:sz w:val="24"/>
          <w:szCs w:val="24"/>
        </w:rPr>
        <w:t>)</w:t>
      </w:r>
    </w:p>
    <w:p w14:paraId="799D3725" w14:textId="77777777" w:rsidR="00DF3F29" w:rsidRPr="00DF3F29" w:rsidRDefault="00180BF8" w:rsidP="00DF3F29">
      <w:pPr>
        <w:pStyle w:val="Heading2"/>
        <w:rPr>
          <w:lang w:val="en-US"/>
        </w:rPr>
      </w:pPr>
      <w:bookmarkStart w:id="8" w:name="_Toc172898352"/>
      <w:r>
        <w:t xml:space="preserve">Appendix 2: </w:t>
      </w:r>
      <w:r w:rsidR="00DF3F29" w:rsidRPr="00DF3F29">
        <w:rPr>
          <w:lang w:val="en-US"/>
        </w:rPr>
        <w:t>Elastic vs. Inelastic Demand:</w:t>
      </w:r>
      <w:bookmarkEnd w:id="8"/>
    </w:p>
    <w:p w14:paraId="5B4FFBED" w14:textId="1F5981ED" w:rsidR="00180BF8" w:rsidRDefault="00180BF8" w:rsidP="00180BF8">
      <w:pPr>
        <w:spacing w:line="360" w:lineRule="auto"/>
        <w:jc w:val="both"/>
        <w:rPr>
          <w:rFonts w:ascii="Times New Roman" w:hAnsi="Times New Roman" w:cs="Times New Roman"/>
          <w:sz w:val="24"/>
          <w:szCs w:val="24"/>
        </w:rPr>
      </w:pPr>
    </w:p>
    <w:p w14:paraId="30EBCF68" w14:textId="4A02A7E6" w:rsidR="009617C0" w:rsidRDefault="009617C0" w:rsidP="00DF3F29">
      <w:pPr>
        <w:spacing w:line="360" w:lineRule="auto"/>
        <w:jc w:val="center"/>
        <w:rPr>
          <w:rFonts w:ascii="Times New Roman" w:hAnsi="Times New Roman" w:cs="Times New Roman"/>
          <w:sz w:val="24"/>
          <w:szCs w:val="24"/>
        </w:rPr>
      </w:pPr>
      <w:r w:rsidRPr="009617C0">
        <w:rPr>
          <w:rFonts w:ascii="Times New Roman" w:hAnsi="Times New Roman" w:cs="Times New Roman"/>
          <w:noProof/>
          <w:sz w:val="24"/>
          <w:szCs w:val="24"/>
        </w:rPr>
        <w:drawing>
          <wp:inline distT="0" distB="0" distL="0" distR="0" wp14:anchorId="62EFEC48" wp14:editId="592624AB">
            <wp:extent cx="4927600" cy="4062037"/>
            <wp:effectExtent l="76200" t="76200" r="139700" b="129540"/>
            <wp:docPr id="772234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234302" name=""/>
                    <pic:cNvPicPr/>
                  </pic:nvPicPr>
                  <pic:blipFill>
                    <a:blip r:embed="rId14"/>
                    <a:stretch>
                      <a:fillRect/>
                    </a:stretch>
                  </pic:blipFill>
                  <pic:spPr>
                    <a:xfrm>
                      <a:off x="0" y="0"/>
                      <a:ext cx="4937642" cy="4070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605CE7" w14:textId="7FAD8752" w:rsidR="009617C0" w:rsidRDefault="009617C0" w:rsidP="00DF3F2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hyperlink r:id="rId15" w:history="1">
        <w:r w:rsidR="00DF3F29" w:rsidRPr="007A3515">
          <w:rPr>
            <w:rStyle w:val="Hyperlink"/>
            <w:rFonts w:ascii="Times New Roman" w:hAnsi="Times New Roman" w:cs="Times New Roman"/>
            <w:sz w:val="24"/>
            <w:szCs w:val="24"/>
          </w:rPr>
          <w:t>https://www.indeed.com/career-advice/career-development/difference-between-inelastic-and-elastic</w:t>
        </w:r>
      </w:hyperlink>
      <w:r>
        <w:rPr>
          <w:rFonts w:ascii="Times New Roman" w:hAnsi="Times New Roman" w:cs="Times New Roman"/>
          <w:sz w:val="24"/>
          <w:szCs w:val="24"/>
        </w:rPr>
        <w:t>)</w:t>
      </w:r>
    </w:p>
    <w:p w14:paraId="537995C9" w14:textId="77777777" w:rsidR="00DF3F29" w:rsidRPr="007975B3" w:rsidRDefault="00DF3F29" w:rsidP="00180BF8">
      <w:pPr>
        <w:spacing w:line="360" w:lineRule="auto"/>
        <w:jc w:val="both"/>
        <w:rPr>
          <w:rFonts w:ascii="Times New Roman" w:hAnsi="Times New Roman" w:cs="Times New Roman"/>
          <w:sz w:val="24"/>
          <w:szCs w:val="24"/>
        </w:rPr>
      </w:pPr>
    </w:p>
    <w:p w14:paraId="6BF363E5" w14:textId="77777777" w:rsidR="00C23E9E" w:rsidRDefault="00C23E9E">
      <w:pPr>
        <w:pStyle w:val="Normal1"/>
        <w:spacing w:before="240" w:after="240" w:line="360" w:lineRule="auto"/>
        <w:jc w:val="both"/>
        <w:rPr>
          <w:rFonts w:ascii="Times New Roman" w:eastAsia="Times New Roman" w:hAnsi="Times New Roman" w:cs="Times New Roman"/>
          <w:sz w:val="24"/>
          <w:szCs w:val="24"/>
        </w:rPr>
      </w:pPr>
    </w:p>
    <w:p w14:paraId="1D223598" w14:textId="77777777" w:rsidR="00C23E9E" w:rsidRDefault="00C23E9E">
      <w:pPr>
        <w:pStyle w:val="Normal1"/>
        <w:spacing w:line="256" w:lineRule="auto"/>
        <w:rPr>
          <w:rFonts w:ascii="Times New Roman" w:eastAsia="Times New Roman" w:hAnsi="Times New Roman" w:cs="Times New Roman"/>
          <w:sz w:val="24"/>
          <w:szCs w:val="24"/>
        </w:rPr>
      </w:pPr>
    </w:p>
    <w:p w14:paraId="446EB70D" w14:textId="77777777" w:rsidR="00C23E9E" w:rsidRDefault="0029344F">
      <w:pPr>
        <w:pStyle w:val="Normal1"/>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671355A" w14:textId="77777777" w:rsidR="00C23E9E" w:rsidRDefault="0029344F">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018B06A" w14:textId="77777777" w:rsidR="00C23E9E" w:rsidRDefault="00C23E9E">
      <w:pPr>
        <w:pStyle w:val="Normal1"/>
      </w:pPr>
    </w:p>
    <w:sectPr w:rsidR="00C23E9E" w:rsidSect="0077396D">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6AC86C" w14:textId="77777777" w:rsidR="00A26E99" w:rsidRDefault="00A26E99">
      <w:pPr>
        <w:spacing w:line="240" w:lineRule="auto"/>
      </w:pPr>
      <w:r>
        <w:separator/>
      </w:r>
    </w:p>
  </w:endnote>
  <w:endnote w:type="continuationSeparator" w:id="0">
    <w:p w14:paraId="685AA6A6" w14:textId="77777777" w:rsidR="00A26E99" w:rsidRDefault="00A26E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080903"/>
      <w:docPartObj>
        <w:docPartGallery w:val="Page Numbers (Bottom of Page)"/>
        <w:docPartUnique/>
      </w:docPartObj>
    </w:sdtPr>
    <w:sdtEndPr>
      <w:rPr>
        <w:rFonts w:ascii="Times New Roman" w:hAnsi="Times New Roman" w:cs="Times New Roman"/>
        <w:noProof/>
        <w:sz w:val="20"/>
        <w:szCs w:val="20"/>
      </w:rPr>
    </w:sdtEndPr>
    <w:sdtContent>
      <w:p w14:paraId="2E1FA583" w14:textId="76263185" w:rsidR="00AC1845" w:rsidRPr="00AC1845" w:rsidRDefault="00AC1845">
        <w:pPr>
          <w:pStyle w:val="Footer"/>
          <w:jc w:val="right"/>
          <w:rPr>
            <w:rFonts w:ascii="Times New Roman" w:hAnsi="Times New Roman" w:cs="Times New Roman"/>
            <w:sz w:val="20"/>
            <w:szCs w:val="20"/>
          </w:rPr>
        </w:pPr>
        <w:r w:rsidRPr="00AC1845">
          <w:rPr>
            <w:rFonts w:ascii="Times New Roman" w:hAnsi="Times New Roman" w:cs="Times New Roman"/>
            <w:sz w:val="20"/>
            <w:szCs w:val="20"/>
          </w:rPr>
          <w:fldChar w:fldCharType="begin"/>
        </w:r>
        <w:r w:rsidRPr="00AC1845">
          <w:rPr>
            <w:rFonts w:ascii="Times New Roman" w:hAnsi="Times New Roman" w:cs="Times New Roman"/>
            <w:sz w:val="20"/>
            <w:szCs w:val="20"/>
          </w:rPr>
          <w:instrText xml:space="preserve"> PAGE   \* MERGEFORMAT </w:instrText>
        </w:r>
        <w:r w:rsidRPr="00AC1845">
          <w:rPr>
            <w:rFonts w:ascii="Times New Roman" w:hAnsi="Times New Roman" w:cs="Times New Roman"/>
            <w:sz w:val="20"/>
            <w:szCs w:val="20"/>
          </w:rPr>
          <w:fldChar w:fldCharType="separate"/>
        </w:r>
        <w:r w:rsidRPr="00AC1845">
          <w:rPr>
            <w:rFonts w:ascii="Times New Roman" w:hAnsi="Times New Roman" w:cs="Times New Roman"/>
            <w:noProof/>
            <w:sz w:val="20"/>
            <w:szCs w:val="20"/>
          </w:rPr>
          <w:t>2</w:t>
        </w:r>
        <w:r w:rsidRPr="00AC1845">
          <w:rPr>
            <w:rFonts w:ascii="Times New Roman" w:hAnsi="Times New Roman" w:cs="Times New Roman"/>
            <w:noProof/>
            <w:sz w:val="20"/>
            <w:szCs w:val="20"/>
          </w:rPr>
          <w:fldChar w:fldCharType="end"/>
        </w:r>
      </w:p>
    </w:sdtContent>
  </w:sdt>
  <w:p w14:paraId="0C48FDCF" w14:textId="77777777" w:rsidR="00C23E9E" w:rsidRDefault="00C23E9E">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212C87" w14:textId="77777777" w:rsidR="00A26E99" w:rsidRDefault="00A26E99">
      <w:pPr>
        <w:spacing w:line="240" w:lineRule="auto"/>
      </w:pPr>
      <w:r>
        <w:separator/>
      </w:r>
    </w:p>
  </w:footnote>
  <w:footnote w:type="continuationSeparator" w:id="0">
    <w:p w14:paraId="2DD8B7A5" w14:textId="77777777" w:rsidR="00A26E99" w:rsidRDefault="00A26E9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3E9E"/>
    <w:rsid w:val="00031193"/>
    <w:rsid w:val="00057C6D"/>
    <w:rsid w:val="000B434B"/>
    <w:rsid w:val="00180BF8"/>
    <w:rsid w:val="002337A8"/>
    <w:rsid w:val="002526F6"/>
    <w:rsid w:val="003A2468"/>
    <w:rsid w:val="00480BAE"/>
    <w:rsid w:val="005E319C"/>
    <w:rsid w:val="006B5865"/>
    <w:rsid w:val="006F05E8"/>
    <w:rsid w:val="0077396D"/>
    <w:rsid w:val="007A6B65"/>
    <w:rsid w:val="007D283C"/>
    <w:rsid w:val="0089210F"/>
    <w:rsid w:val="008B135D"/>
    <w:rsid w:val="00903122"/>
    <w:rsid w:val="009617C0"/>
    <w:rsid w:val="00A26E99"/>
    <w:rsid w:val="00A60AC0"/>
    <w:rsid w:val="00AA4707"/>
    <w:rsid w:val="00AC1845"/>
    <w:rsid w:val="00B60258"/>
    <w:rsid w:val="00C23E9E"/>
    <w:rsid w:val="00D0208A"/>
    <w:rsid w:val="00DC15A8"/>
    <w:rsid w:val="00DF3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F5F64"/>
  <w15:docId w15:val="{2EF1CF71-C356-40D3-9E4E-1D6E44250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A6B6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180BF8"/>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C1845"/>
    <w:pPr>
      <w:tabs>
        <w:tab w:val="center" w:pos="4680"/>
        <w:tab w:val="right" w:pos="9360"/>
      </w:tabs>
      <w:spacing w:line="240" w:lineRule="auto"/>
    </w:pPr>
  </w:style>
  <w:style w:type="character" w:customStyle="1" w:styleId="HeaderChar">
    <w:name w:val="Header Char"/>
    <w:basedOn w:val="DefaultParagraphFont"/>
    <w:link w:val="Header"/>
    <w:uiPriority w:val="99"/>
    <w:rsid w:val="00AC1845"/>
  </w:style>
  <w:style w:type="paragraph" w:styleId="Footer">
    <w:name w:val="footer"/>
    <w:basedOn w:val="Normal"/>
    <w:link w:val="FooterChar"/>
    <w:uiPriority w:val="99"/>
    <w:unhideWhenUsed/>
    <w:rsid w:val="00AC1845"/>
    <w:pPr>
      <w:tabs>
        <w:tab w:val="center" w:pos="4680"/>
        <w:tab w:val="right" w:pos="9360"/>
      </w:tabs>
      <w:spacing w:line="240" w:lineRule="auto"/>
    </w:pPr>
  </w:style>
  <w:style w:type="character" w:customStyle="1" w:styleId="FooterChar">
    <w:name w:val="Footer Char"/>
    <w:basedOn w:val="DefaultParagraphFont"/>
    <w:link w:val="Footer"/>
    <w:uiPriority w:val="99"/>
    <w:rsid w:val="00AC1845"/>
  </w:style>
  <w:style w:type="character" w:styleId="Hyperlink">
    <w:name w:val="Hyperlink"/>
    <w:basedOn w:val="DefaultParagraphFont"/>
    <w:uiPriority w:val="99"/>
    <w:unhideWhenUsed/>
    <w:rsid w:val="00180BF8"/>
    <w:rPr>
      <w:color w:val="0000FF" w:themeColor="hyperlink"/>
      <w:u w:val="single"/>
    </w:rPr>
  </w:style>
  <w:style w:type="character" w:styleId="UnresolvedMention">
    <w:name w:val="Unresolved Mention"/>
    <w:basedOn w:val="DefaultParagraphFont"/>
    <w:uiPriority w:val="99"/>
    <w:semiHidden/>
    <w:unhideWhenUsed/>
    <w:rsid w:val="00DF3F29"/>
    <w:rPr>
      <w:color w:val="605E5C"/>
      <w:shd w:val="clear" w:color="auto" w:fill="E1DFDD"/>
    </w:rPr>
  </w:style>
  <w:style w:type="paragraph" w:styleId="TOCHeading">
    <w:name w:val="TOC Heading"/>
    <w:basedOn w:val="Heading1"/>
    <w:next w:val="Normal"/>
    <w:uiPriority w:val="39"/>
    <w:unhideWhenUsed/>
    <w:qFormat/>
    <w:rsid w:val="0003119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31193"/>
    <w:pPr>
      <w:spacing w:after="100"/>
    </w:pPr>
  </w:style>
  <w:style w:type="paragraph" w:styleId="TOC2">
    <w:name w:val="toc 2"/>
    <w:basedOn w:val="Normal"/>
    <w:next w:val="Normal"/>
    <w:autoRedefine/>
    <w:uiPriority w:val="39"/>
    <w:unhideWhenUsed/>
    <w:rsid w:val="000311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6137524">
      <w:bodyDiv w:val="1"/>
      <w:marLeft w:val="0"/>
      <w:marRight w:val="0"/>
      <w:marTop w:val="0"/>
      <w:marBottom w:val="0"/>
      <w:divBdr>
        <w:top w:val="none" w:sz="0" w:space="0" w:color="auto"/>
        <w:left w:val="none" w:sz="0" w:space="0" w:color="auto"/>
        <w:bottom w:val="none" w:sz="0" w:space="0" w:color="auto"/>
        <w:right w:val="none" w:sz="0" w:space="0" w:color="auto"/>
      </w:divBdr>
    </w:div>
    <w:div w:id="21292284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mf.org/external/np/g20/pdf/2020/071620a.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rn.com/abstract=2549919" TargetMode="External"/><Relationship Id="rId5" Type="http://schemas.openxmlformats.org/officeDocument/2006/relationships/footnotes" Target="footnotes.xml"/><Relationship Id="rId15" Type="http://schemas.openxmlformats.org/officeDocument/2006/relationships/hyperlink" Target="https://www.indeed.com/career-advice/career-development/difference-between-inelastic-and-elastic" TargetMode="External"/><Relationship Id="rId10" Type="http://schemas.openxmlformats.org/officeDocument/2006/relationships/hyperlink" Target="https://www.instituteforgovernment.org.uk/publication/supply-chains/causes" TargetMode="External"/><Relationship Id="rId4" Type="http://schemas.openxmlformats.org/officeDocument/2006/relationships/webSettings" Target="webSettings.xml"/><Relationship Id="rId9" Type="http://schemas.openxmlformats.org/officeDocument/2006/relationships/hyperlink" Target="https://www.ilo.org/international-labour-standards"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AD1F9-6CD0-40E8-9338-DD09102967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3411</Words>
  <Characters>19443</Characters>
  <Application>Microsoft Office Word</Application>
  <DocSecurity>0</DocSecurity>
  <Lines>162</Lines>
  <Paragraphs>45</Paragraphs>
  <ScaleCrop>false</ScaleCrop>
  <Company/>
  <LinksUpToDate>false</LinksUpToDate>
  <CharactersWithSpaces>22809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 Stoica</cp:lastModifiedBy>
  <cp:revision>2</cp:revision>
  <dcterms:created xsi:type="dcterms:W3CDTF">2024-07-26T12:08:00Z</dcterms:created>
  <dcterms:modified xsi:type="dcterms:W3CDTF">2024-07-26T12:08:00Z</dcterms:modified>
</cp:coreProperties>
</file>