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4367C7" w14:textId="5E3FC026" w:rsidR="009257EB" w:rsidRPr="00563DF3" w:rsidRDefault="00563DF3">
      <w:pPr>
        <w:rPr>
          <w:b/>
          <w:bCs/>
          <w:sz w:val="32"/>
          <w:szCs w:val="32"/>
          <w:lang w:val="en-US"/>
        </w:rPr>
      </w:pPr>
      <w:r w:rsidRPr="00563DF3">
        <w:rPr>
          <w:b/>
          <w:bCs/>
          <w:sz w:val="32"/>
          <w:szCs w:val="32"/>
          <w:lang w:val="en-US"/>
        </w:rPr>
        <w:t>Proprietary Estoppel: Questions</w:t>
      </w:r>
      <w:r w:rsidR="007E4965">
        <w:rPr>
          <w:b/>
          <w:bCs/>
          <w:sz w:val="32"/>
          <w:szCs w:val="32"/>
          <w:lang w:val="en-US"/>
        </w:rPr>
        <w:t xml:space="preserve"> and answers</w:t>
      </w:r>
    </w:p>
    <w:p w14:paraId="65318AC9" w14:textId="4EBB4859" w:rsidR="00563DF3" w:rsidRDefault="00563DF3" w:rsidP="00563DF3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 w:rsidRPr="00563DF3">
        <w:rPr>
          <w:sz w:val="32"/>
          <w:szCs w:val="32"/>
          <w:lang w:val="en-US"/>
        </w:rPr>
        <w:t>Why do you think the remedy of monetary compensation is useful when the court is looking at a remedy in proprietary estoppel?</w:t>
      </w:r>
    </w:p>
    <w:p w14:paraId="01D3504F" w14:textId="6C280153" w:rsidR="007E4965" w:rsidRPr="007E4965" w:rsidRDefault="007E4965" w:rsidP="007E4965">
      <w:pPr>
        <w:pStyle w:val="ListParagraph"/>
        <w:rPr>
          <w:b/>
          <w:bCs/>
          <w:i/>
          <w:iCs/>
          <w:sz w:val="32"/>
          <w:szCs w:val="32"/>
          <w:lang w:val="en-US"/>
        </w:rPr>
      </w:pPr>
      <w:r>
        <w:rPr>
          <w:b/>
          <w:bCs/>
          <w:i/>
          <w:iCs/>
          <w:sz w:val="32"/>
          <w:szCs w:val="32"/>
          <w:lang w:val="en-US"/>
        </w:rPr>
        <w:t>Monetary compensation can be useful as a remedy when proprietary estoppel is found because it may no longer be possible to grant a proprietary estoppel remedy to meet the claimant’s expectation that he/she would receive an interest in land.</w:t>
      </w:r>
    </w:p>
    <w:p w14:paraId="27DA9104" w14:textId="77777777" w:rsidR="00563DF3" w:rsidRPr="00563DF3" w:rsidRDefault="00563DF3" w:rsidP="00563DF3">
      <w:pPr>
        <w:pStyle w:val="ListParagraph"/>
        <w:rPr>
          <w:sz w:val="32"/>
          <w:szCs w:val="32"/>
          <w:lang w:val="en-US"/>
        </w:rPr>
      </w:pPr>
    </w:p>
    <w:p w14:paraId="036D2D05" w14:textId="55C7C782" w:rsidR="00563DF3" w:rsidRDefault="00563DF3" w:rsidP="00563DF3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 w:rsidRPr="00563DF3">
        <w:rPr>
          <w:sz w:val="32"/>
          <w:szCs w:val="32"/>
          <w:lang w:val="en-US"/>
        </w:rPr>
        <w:t>Proprietary estoppel arises in a variety of situations.  Which other areas of land law that you have looked at might it arise in?</w:t>
      </w:r>
    </w:p>
    <w:p w14:paraId="6C3DB7E4" w14:textId="7D7E6C72" w:rsidR="007E4965" w:rsidRPr="007E4965" w:rsidRDefault="007E4965" w:rsidP="007E4965">
      <w:pPr>
        <w:pStyle w:val="ListParagraph"/>
        <w:rPr>
          <w:b/>
          <w:bCs/>
          <w:i/>
          <w:iCs/>
          <w:sz w:val="32"/>
          <w:szCs w:val="32"/>
          <w:lang w:val="en-US"/>
        </w:rPr>
      </w:pPr>
      <w:r>
        <w:rPr>
          <w:b/>
          <w:bCs/>
          <w:i/>
          <w:iCs/>
          <w:sz w:val="32"/>
          <w:szCs w:val="32"/>
          <w:lang w:val="en-US"/>
        </w:rPr>
        <w:t xml:space="preserve">Proprietary estoppel can be used as a default or back up position if other more obvious arguments fail.  Its requirements of assurance, reliance and detriment are very similar to that of a constructive trust of the family home, for example.  It is also possible to acquire an interest in land, for example, the transfer of the farm in </w:t>
      </w:r>
      <w:r>
        <w:rPr>
          <w:b/>
          <w:bCs/>
          <w:i/>
          <w:iCs/>
          <w:sz w:val="32"/>
          <w:szCs w:val="32"/>
          <w:u w:val="single"/>
          <w:lang w:val="en-US"/>
        </w:rPr>
        <w:t xml:space="preserve">Gillett v Holt [2000], </w:t>
      </w:r>
      <w:r>
        <w:rPr>
          <w:b/>
          <w:bCs/>
          <w:i/>
          <w:iCs/>
          <w:sz w:val="32"/>
          <w:szCs w:val="32"/>
          <w:lang w:val="en-US"/>
        </w:rPr>
        <w:t>without any of the usual formalities.</w:t>
      </w:r>
    </w:p>
    <w:sectPr w:rsidR="007E4965" w:rsidRPr="007E49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96345D"/>
    <w:multiLevelType w:val="hybridMultilevel"/>
    <w:tmpl w:val="90BE43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DF3"/>
    <w:rsid w:val="00563DF3"/>
    <w:rsid w:val="007E4965"/>
    <w:rsid w:val="0092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111DD"/>
  <w15:chartTrackingRefBased/>
  <w15:docId w15:val="{EA22132F-1278-401C-9BB0-AE57E27EC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3D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2</cp:revision>
  <dcterms:created xsi:type="dcterms:W3CDTF">2021-03-22T12:25:00Z</dcterms:created>
  <dcterms:modified xsi:type="dcterms:W3CDTF">2021-03-22T12:25:00Z</dcterms:modified>
</cp:coreProperties>
</file>