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1A7" w:rsidRPr="00EE5BC3" w:rsidRDefault="00FE41A7" w:rsidP="00FE41A7">
      <w:pPr>
        <w:jc w:val="center"/>
        <w:rPr>
          <w:b/>
          <w:sz w:val="28"/>
          <w:szCs w:val="28"/>
        </w:rPr>
      </w:pPr>
      <w:r w:rsidRPr="00EE5BC3">
        <w:rPr>
          <w:b/>
          <w:sz w:val="28"/>
          <w:szCs w:val="28"/>
        </w:rPr>
        <w:t>Task 4</w:t>
      </w:r>
    </w:p>
    <w:p w:rsidR="00FE41A7" w:rsidRPr="00EE5BC3" w:rsidRDefault="00FE41A7" w:rsidP="00FE41A7">
      <w:pPr>
        <w:jc w:val="center"/>
        <w:rPr>
          <w:b/>
          <w:sz w:val="28"/>
          <w:szCs w:val="28"/>
        </w:rPr>
      </w:pPr>
    </w:p>
    <w:p w:rsidR="00FE41A7" w:rsidRPr="00EE5BC3" w:rsidRDefault="00FE41A7" w:rsidP="00FE41A7">
      <w:pPr>
        <w:jc w:val="center"/>
        <w:rPr>
          <w:b/>
          <w:sz w:val="28"/>
          <w:szCs w:val="28"/>
        </w:rPr>
      </w:pPr>
      <w:r w:rsidRPr="00EE5BC3">
        <w:rPr>
          <w:b/>
          <w:sz w:val="28"/>
          <w:szCs w:val="28"/>
        </w:rPr>
        <w:t>Safeguarding</w:t>
      </w:r>
      <w:r>
        <w:rPr>
          <w:b/>
          <w:sz w:val="28"/>
          <w:szCs w:val="28"/>
        </w:rPr>
        <w:t xml:space="preserve"> in an area which is not your main area of work</w:t>
      </w:r>
    </w:p>
    <w:p w:rsidR="00FE41A7" w:rsidRPr="008B28E7" w:rsidRDefault="00FE41A7" w:rsidP="00FE41A7">
      <w:pPr>
        <w:jc w:val="both"/>
        <w:rPr>
          <w:b/>
          <w:sz w:val="24"/>
          <w:szCs w:val="24"/>
        </w:rPr>
      </w:pPr>
    </w:p>
    <w:p w:rsidR="00FE41A7" w:rsidRPr="00EE5BC3" w:rsidRDefault="00FE41A7" w:rsidP="00FE41A7">
      <w:pPr>
        <w:ind w:left="-90"/>
        <w:jc w:val="both"/>
        <w:rPr>
          <w:b/>
          <w:i/>
          <w:sz w:val="24"/>
          <w:szCs w:val="24"/>
        </w:rPr>
      </w:pPr>
      <w:r w:rsidRPr="00EE5BC3">
        <w:rPr>
          <w:b/>
          <w:i/>
          <w:sz w:val="24"/>
          <w:szCs w:val="24"/>
        </w:rPr>
        <w:t xml:space="preserve">Guidance: </w:t>
      </w:r>
    </w:p>
    <w:p w:rsidR="00FE41A7" w:rsidRPr="00706BB5" w:rsidRDefault="00FE41A7" w:rsidP="00FE41A7">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rsidR="00FE41A7" w:rsidRPr="008B28E7" w:rsidRDefault="00FE41A7" w:rsidP="00FE41A7">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E41A7" w:rsidRPr="008B28E7" w:rsidTr="00F520A9">
        <w:tc>
          <w:tcPr>
            <w:tcW w:w="10188" w:type="dxa"/>
            <w:shd w:val="clear" w:color="auto" w:fill="auto"/>
          </w:tcPr>
          <w:p w:rsidR="00FE41A7" w:rsidRPr="00EB695F" w:rsidRDefault="00FE41A7" w:rsidP="00F520A9">
            <w:pPr>
              <w:jc w:val="both"/>
              <w:rPr>
                <w:b/>
                <w:sz w:val="24"/>
                <w:szCs w:val="24"/>
              </w:rPr>
            </w:pPr>
            <w:r w:rsidRPr="00EB695F">
              <w:rPr>
                <w:b/>
                <w:sz w:val="24"/>
                <w:szCs w:val="24"/>
              </w:rPr>
              <w:t>Question</w:t>
            </w:r>
            <w:r>
              <w:rPr>
                <w:b/>
                <w:sz w:val="24"/>
                <w:szCs w:val="24"/>
              </w:rPr>
              <w:t xml:space="preserve"> a:</w:t>
            </w:r>
          </w:p>
          <w:p w:rsidR="00FE41A7" w:rsidRDefault="00FE41A7" w:rsidP="00F520A9">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w:t>
            </w:r>
          </w:p>
          <w:p w:rsidR="00FE41A7" w:rsidRDefault="00FE41A7" w:rsidP="00F520A9">
            <w:pPr>
              <w:jc w:val="both"/>
              <w:rPr>
                <w:sz w:val="24"/>
                <w:szCs w:val="24"/>
              </w:rPr>
            </w:pPr>
          </w:p>
          <w:p w:rsidR="00FE41A7" w:rsidRDefault="00FE41A7" w:rsidP="00F520A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FE41A7" w:rsidRDefault="00FE41A7" w:rsidP="00F520A9">
            <w:pPr>
              <w:jc w:val="both"/>
              <w:rPr>
                <w:sz w:val="24"/>
                <w:szCs w:val="24"/>
              </w:rPr>
            </w:pPr>
            <w:r>
              <w:rPr>
                <w:sz w:val="24"/>
                <w:szCs w:val="24"/>
              </w:rPr>
              <w:t xml:space="preserve"> </w:t>
            </w:r>
          </w:p>
          <w:p w:rsidR="00FE41A7" w:rsidRDefault="00FE41A7" w:rsidP="00FE41A7">
            <w:pPr>
              <w:spacing w:line="360" w:lineRule="auto"/>
              <w:rPr>
                <w:rFonts w:eastAsia="Calibri"/>
                <w:color w:val="auto"/>
                <w:sz w:val="24"/>
                <w:szCs w:val="24"/>
                <w:lang w:eastAsia="en-US"/>
              </w:rPr>
            </w:pPr>
            <w:r w:rsidRPr="00403315">
              <w:rPr>
                <w:sz w:val="24"/>
                <w:szCs w:val="24"/>
              </w:rPr>
              <w:t>This task wil</w:t>
            </w:r>
            <w:r w:rsidR="00362966">
              <w:rPr>
                <w:sz w:val="24"/>
                <w:szCs w:val="24"/>
              </w:rPr>
              <w:t>l explore adult safeguarding:</w:t>
            </w:r>
            <w:r w:rsidRPr="00403315">
              <w:rPr>
                <w:sz w:val="24"/>
                <w:szCs w:val="24"/>
              </w:rPr>
              <w:t xml:space="preserve"> the relevant </w:t>
            </w:r>
            <w:r w:rsidR="00362966">
              <w:rPr>
                <w:sz w:val="24"/>
                <w:szCs w:val="24"/>
              </w:rPr>
              <w:t>national;</w:t>
            </w:r>
            <w:r w:rsidRPr="00403315">
              <w:rPr>
                <w:sz w:val="24"/>
                <w:szCs w:val="24"/>
              </w:rPr>
              <w:t xml:space="preserve"> local</w:t>
            </w:r>
            <w:r w:rsidR="00362966">
              <w:rPr>
                <w:sz w:val="24"/>
                <w:szCs w:val="24"/>
              </w:rPr>
              <w:t xml:space="preserve"> and organisational legislation;</w:t>
            </w:r>
            <w:r w:rsidRPr="00403315">
              <w:rPr>
                <w:sz w:val="24"/>
                <w:szCs w:val="24"/>
              </w:rPr>
              <w:t xml:space="preserve"> policies and procedures. In 2016 the Social Services and Well-being (Wales) Act (2014) (SSWBWA) came into effect. </w:t>
            </w:r>
            <w:r>
              <w:rPr>
                <w:sz w:val="24"/>
                <w:szCs w:val="24"/>
              </w:rPr>
              <w:t>P</w:t>
            </w:r>
            <w:r w:rsidRPr="00403315">
              <w:rPr>
                <w:sz w:val="24"/>
                <w:szCs w:val="24"/>
              </w:rPr>
              <w:t>roviding the legal frame work for improving the well</w:t>
            </w:r>
            <w:r>
              <w:rPr>
                <w:sz w:val="24"/>
                <w:szCs w:val="24"/>
              </w:rPr>
              <w:t>-being of individuals in need of</w:t>
            </w:r>
            <w:r w:rsidRPr="00403315">
              <w:rPr>
                <w:sz w:val="24"/>
                <w:szCs w:val="24"/>
              </w:rPr>
              <w:t xml:space="preserve"> care and support and their </w:t>
            </w:r>
            <w:proofErr w:type="spellStart"/>
            <w:r w:rsidRPr="00403315">
              <w:rPr>
                <w:sz w:val="24"/>
                <w:szCs w:val="24"/>
              </w:rPr>
              <w:t>carers</w:t>
            </w:r>
            <w:proofErr w:type="spellEnd"/>
            <w:r w:rsidRPr="00403315">
              <w:rPr>
                <w:sz w:val="24"/>
                <w:szCs w:val="24"/>
              </w:rPr>
              <w:t xml:space="preserve">. The </w:t>
            </w:r>
            <w:r w:rsidR="00362966">
              <w:rPr>
                <w:sz w:val="24"/>
                <w:szCs w:val="24"/>
              </w:rPr>
              <w:t xml:space="preserve">main </w:t>
            </w:r>
            <w:r w:rsidRPr="00403315">
              <w:rPr>
                <w:sz w:val="24"/>
                <w:szCs w:val="24"/>
              </w:rPr>
              <w:t>principles</w:t>
            </w:r>
            <w:r w:rsidR="00362966">
              <w:rPr>
                <w:sz w:val="24"/>
                <w:szCs w:val="24"/>
              </w:rPr>
              <w:t xml:space="preserve"> </w:t>
            </w:r>
            <w:proofErr w:type="spellStart"/>
            <w:r w:rsidR="00362966">
              <w:rPr>
                <w:sz w:val="24"/>
                <w:szCs w:val="24"/>
              </w:rPr>
              <w:t>od</w:t>
            </w:r>
            <w:proofErr w:type="spellEnd"/>
            <w:r w:rsidR="00362966">
              <w:rPr>
                <w:sz w:val="24"/>
                <w:szCs w:val="24"/>
              </w:rPr>
              <w:t xml:space="preserve"> which</w:t>
            </w:r>
            <w:r w:rsidRPr="00403315">
              <w:rPr>
                <w:sz w:val="24"/>
                <w:szCs w:val="24"/>
              </w:rPr>
              <w:t xml:space="preserve"> are: voice and control; prevention and early intervention; well-being and co-production (</w:t>
            </w:r>
            <w:r w:rsidRPr="00403315">
              <w:rPr>
                <w:rFonts w:eastAsia="Calibri"/>
                <w:color w:val="auto"/>
                <w:sz w:val="24"/>
                <w:szCs w:val="24"/>
                <w:lang w:eastAsia="en-US"/>
              </w:rPr>
              <w:t xml:space="preserve">Social Care Wales (SCW), 2023). </w:t>
            </w:r>
          </w:p>
          <w:p w:rsidR="00FE41A7" w:rsidRPr="003522D7" w:rsidRDefault="00FE41A7" w:rsidP="00FE41A7">
            <w:pPr>
              <w:spacing w:line="360" w:lineRule="auto"/>
              <w:rPr>
                <w:sz w:val="24"/>
                <w:szCs w:val="24"/>
              </w:rPr>
            </w:pPr>
          </w:p>
          <w:p w:rsidR="00FE41A7" w:rsidRDefault="00FE41A7" w:rsidP="00FE41A7">
            <w:pPr>
              <w:spacing w:line="360" w:lineRule="auto"/>
              <w:rPr>
                <w:rFonts w:eastAsia="Calibri"/>
                <w:color w:val="auto"/>
                <w:sz w:val="24"/>
                <w:szCs w:val="24"/>
                <w:lang w:eastAsia="en-US"/>
              </w:rPr>
            </w:pPr>
            <w:r w:rsidRPr="003522D7">
              <w:rPr>
                <w:rFonts w:eastAsia="Calibri"/>
                <w:color w:val="auto"/>
                <w:sz w:val="24"/>
                <w:szCs w:val="24"/>
                <w:lang w:eastAsia="en-US"/>
              </w:rPr>
              <w:t>Section 126(1) of the SSWBWA defines an adult at risk</w:t>
            </w:r>
            <w:r>
              <w:rPr>
                <w:rFonts w:eastAsia="Calibri"/>
                <w:color w:val="auto"/>
                <w:sz w:val="24"/>
                <w:szCs w:val="24"/>
                <w:lang w:eastAsia="en-US"/>
              </w:rPr>
              <w:t xml:space="preserve"> as an adult: who </w:t>
            </w:r>
            <w:r w:rsidRPr="003522D7">
              <w:rPr>
                <w:rFonts w:eastAsia="Calibri"/>
                <w:color w:val="auto"/>
                <w:sz w:val="24"/>
                <w:szCs w:val="24"/>
                <w:lang w:eastAsia="en-US"/>
              </w:rPr>
              <w:t>is experiencing or is at risk of abuse or neglect; has care and support needs and as a result of those needs is unable to protect themselves from abuse/neglect or the risk of it (Safeguarding Wales, 2019). Section 197 states abuse can be: physical; sexual; psychological; emotional; or financial. Neglect is defined as the failure to meet a person’s basic physical, emotional, social, or psychological needs (SCW</w:t>
            </w:r>
            <w:proofErr w:type="gramStart"/>
            <w:r>
              <w:rPr>
                <w:rFonts w:eastAsia="Calibri"/>
                <w:color w:val="auto"/>
                <w:sz w:val="24"/>
                <w:szCs w:val="24"/>
                <w:lang w:eastAsia="en-US"/>
              </w:rPr>
              <w:t>,</w:t>
            </w:r>
            <w:r w:rsidRPr="003522D7">
              <w:rPr>
                <w:rFonts w:eastAsia="Calibri"/>
                <w:color w:val="auto"/>
                <w:sz w:val="24"/>
                <w:szCs w:val="24"/>
                <w:lang w:eastAsia="en-US"/>
              </w:rPr>
              <w:t>2023</w:t>
            </w:r>
            <w:proofErr w:type="gramEnd"/>
            <w:r w:rsidRPr="003522D7">
              <w:rPr>
                <w:rFonts w:eastAsia="Calibri"/>
                <w:color w:val="auto"/>
                <w:sz w:val="24"/>
                <w:szCs w:val="24"/>
                <w:lang w:eastAsia="en-US"/>
              </w:rPr>
              <w:t xml:space="preserve">). </w:t>
            </w:r>
          </w:p>
          <w:p w:rsidR="00FE41A7" w:rsidRDefault="00FE41A7" w:rsidP="00FE41A7">
            <w:pPr>
              <w:spacing w:line="360" w:lineRule="auto"/>
              <w:rPr>
                <w:rFonts w:eastAsia="Calibri"/>
                <w:color w:val="auto"/>
                <w:sz w:val="24"/>
                <w:szCs w:val="24"/>
                <w:lang w:eastAsia="en-US"/>
              </w:rPr>
            </w:pPr>
          </w:p>
          <w:p w:rsidR="00FE41A7" w:rsidRDefault="00FE41A7" w:rsidP="00FE41A7">
            <w:pPr>
              <w:spacing w:line="360" w:lineRule="auto"/>
              <w:jc w:val="both"/>
              <w:rPr>
                <w:sz w:val="24"/>
                <w:szCs w:val="24"/>
              </w:rPr>
            </w:pPr>
            <w:r w:rsidRPr="00403315">
              <w:rPr>
                <w:rFonts w:eastAsia="Calibri"/>
                <w:color w:val="auto"/>
                <w:sz w:val="24"/>
                <w:szCs w:val="24"/>
                <w:lang w:eastAsia="en-US"/>
              </w:rPr>
              <w:t xml:space="preserve">The SSWBWA introduced a strengthened, partnership approach to safeguarding and a </w:t>
            </w:r>
            <w:r w:rsidRPr="00403315">
              <w:rPr>
                <w:rFonts w:eastAsia="Calibri"/>
                <w:sz w:val="24"/>
                <w:szCs w:val="24"/>
              </w:rPr>
              <w:t xml:space="preserve">duty to </w:t>
            </w:r>
            <w:r w:rsidRPr="00403315">
              <w:rPr>
                <w:sz w:val="24"/>
                <w:szCs w:val="24"/>
              </w:rPr>
              <w:t xml:space="preserve">report harm. </w:t>
            </w:r>
            <w:r w:rsidRPr="003522D7">
              <w:rPr>
                <w:sz w:val="24"/>
                <w:szCs w:val="24"/>
              </w:rPr>
              <w:t>Part 7 of</w:t>
            </w:r>
            <w:r>
              <w:rPr>
                <w:sz w:val="24"/>
                <w:szCs w:val="24"/>
              </w:rPr>
              <w:t xml:space="preserve"> the SSWBWA</w:t>
            </w:r>
            <w:r w:rsidRPr="003522D7">
              <w:rPr>
                <w:sz w:val="24"/>
                <w:szCs w:val="24"/>
              </w:rPr>
              <w:t xml:space="preserve"> and the accompanying statutory guidance ‘Working Together to Safeguard People’ relates specifically to the safeguarding of adults </w:t>
            </w:r>
            <w:r w:rsidRPr="003522D7">
              <w:rPr>
                <w:rFonts w:eastAsia="Calibri"/>
                <w:color w:val="auto"/>
                <w:sz w:val="24"/>
                <w:szCs w:val="24"/>
                <w:lang w:eastAsia="en-US"/>
              </w:rPr>
              <w:t xml:space="preserve">(SCW, 2023). </w:t>
            </w:r>
            <w:r>
              <w:rPr>
                <w:sz w:val="24"/>
                <w:szCs w:val="24"/>
              </w:rPr>
              <w:t>A</w:t>
            </w:r>
            <w:r w:rsidRPr="00403315">
              <w:rPr>
                <w:sz w:val="24"/>
                <w:szCs w:val="24"/>
              </w:rPr>
              <w:t>sserting local authorities (LA’s)</w:t>
            </w:r>
            <w:r>
              <w:rPr>
                <w:sz w:val="24"/>
                <w:szCs w:val="24"/>
              </w:rPr>
              <w:t xml:space="preserve"> must make </w:t>
            </w:r>
            <w:r>
              <w:rPr>
                <w:sz w:val="24"/>
                <w:szCs w:val="24"/>
              </w:rPr>
              <w:lastRenderedPageBreak/>
              <w:t>enquires where there</w:t>
            </w:r>
            <w:r w:rsidRPr="00403315">
              <w:rPr>
                <w:sz w:val="24"/>
                <w:szCs w:val="24"/>
              </w:rPr>
              <w:t xml:space="preserve"> is reasonable cause to suspect an adult is at risk. </w:t>
            </w:r>
            <w:r>
              <w:rPr>
                <w:sz w:val="24"/>
                <w:szCs w:val="24"/>
              </w:rPr>
              <w:t xml:space="preserve">At this point the Act stipulates consideration of advocacy is required to ensure individuals are supported to participate fully. </w:t>
            </w:r>
            <w:r w:rsidR="001901B6">
              <w:rPr>
                <w:rFonts w:eastAsia="Calibri"/>
                <w:color w:val="auto"/>
                <w:sz w:val="24"/>
                <w:szCs w:val="24"/>
                <w:lang w:eastAsia="en-US"/>
              </w:rPr>
              <w:t>The</w:t>
            </w:r>
            <w:r w:rsidRPr="003522D7">
              <w:rPr>
                <w:sz w:val="24"/>
                <w:szCs w:val="24"/>
              </w:rPr>
              <w:t xml:space="preserve"> All-Wales Safeguarding Procedure (2022</w:t>
            </w:r>
            <w:r>
              <w:rPr>
                <w:sz w:val="24"/>
                <w:szCs w:val="24"/>
              </w:rPr>
              <w:t>), details the roles and respo</w:t>
            </w:r>
            <w:r w:rsidR="001901B6">
              <w:rPr>
                <w:sz w:val="24"/>
                <w:szCs w:val="24"/>
              </w:rPr>
              <w:t xml:space="preserve">nsibilities of practitioners when </w:t>
            </w:r>
            <w:r w:rsidR="007F3B83">
              <w:rPr>
                <w:sz w:val="24"/>
                <w:szCs w:val="24"/>
              </w:rPr>
              <w:t>application</w:t>
            </w:r>
            <w:bookmarkStart w:id="0" w:name="_GoBack"/>
            <w:bookmarkEnd w:id="0"/>
            <w:r>
              <w:rPr>
                <w:sz w:val="24"/>
                <w:szCs w:val="24"/>
              </w:rPr>
              <w:t xml:space="preserve"> of afore mentioned legislation/guidance into practice. </w:t>
            </w:r>
          </w:p>
          <w:p w:rsidR="00FE41A7" w:rsidRDefault="00FE41A7" w:rsidP="00FE41A7">
            <w:pPr>
              <w:spacing w:line="360" w:lineRule="auto"/>
              <w:jc w:val="both"/>
              <w:rPr>
                <w:sz w:val="24"/>
                <w:szCs w:val="24"/>
              </w:rPr>
            </w:pPr>
          </w:p>
          <w:p w:rsidR="00FE41A7" w:rsidRPr="00403315" w:rsidRDefault="00FE41A7" w:rsidP="00FE41A7">
            <w:pPr>
              <w:spacing w:line="360" w:lineRule="auto"/>
              <w:jc w:val="both"/>
              <w:rPr>
                <w:sz w:val="24"/>
                <w:szCs w:val="24"/>
              </w:rPr>
            </w:pPr>
            <w:r>
              <w:rPr>
                <w:sz w:val="24"/>
                <w:szCs w:val="24"/>
              </w:rPr>
              <w:t xml:space="preserve">The </w:t>
            </w:r>
            <w:r w:rsidRPr="003522D7">
              <w:rPr>
                <w:rFonts w:eastAsia="Calibri"/>
                <w:color w:val="auto"/>
                <w:sz w:val="24"/>
                <w:szCs w:val="24"/>
                <w:lang w:eastAsia="en-US"/>
              </w:rPr>
              <w:t>SSWBWA established National Independent Safeguarding Board</w:t>
            </w:r>
            <w:r>
              <w:rPr>
                <w:rFonts w:eastAsia="Calibri"/>
                <w:color w:val="auto"/>
                <w:sz w:val="24"/>
                <w:szCs w:val="24"/>
                <w:lang w:eastAsia="en-US"/>
              </w:rPr>
              <w:t xml:space="preserve">s, which </w:t>
            </w:r>
            <w:r w:rsidRPr="003522D7">
              <w:rPr>
                <w:rFonts w:eastAsia="Calibri"/>
                <w:color w:val="auto"/>
                <w:sz w:val="24"/>
                <w:szCs w:val="24"/>
                <w:lang w:eastAsia="en-US"/>
              </w:rPr>
              <w:t>scrutinise</w:t>
            </w:r>
            <w:r w:rsidR="007F3B83">
              <w:rPr>
                <w:rFonts w:eastAsia="Calibri"/>
                <w:color w:val="auto"/>
                <w:sz w:val="24"/>
                <w:szCs w:val="24"/>
                <w:lang w:eastAsia="en-US"/>
              </w:rPr>
              <w:t xml:space="preserve"> and report on the </w:t>
            </w:r>
            <w:r w:rsidRPr="003522D7">
              <w:rPr>
                <w:rFonts w:eastAsia="Calibri"/>
                <w:color w:val="auto"/>
                <w:sz w:val="24"/>
                <w:szCs w:val="24"/>
                <w:lang w:eastAsia="en-US"/>
              </w:rPr>
              <w:t>effectiveness</w:t>
            </w:r>
            <w:r w:rsidR="007F3B83">
              <w:rPr>
                <w:rFonts w:eastAsia="Calibri"/>
                <w:color w:val="auto"/>
                <w:sz w:val="24"/>
                <w:szCs w:val="24"/>
                <w:lang w:eastAsia="en-US"/>
              </w:rPr>
              <w:t xml:space="preserve"> and adequacy</w:t>
            </w:r>
            <w:r w:rsidRPr="003522D7">
              <w:rPr>
                <w:rFonts w:eastAsia="Calibri"/>
                <w:color w:val="auto"/>
                <w:sz w:val="24"/>
                <w:szCs w:val="24"/>
                <w:lang w:eastAsia="en-US"/>
              </w:rPr>
              <w:t xml:space="preserve"> of safeguarding arrangements to Welsh Government (Safeguarding Board Wales, 2017).</w:t>
            </w:r>
            <w:r>
              <w:rPr>
                <w:rFonts w:eastAsia="Calibri"/>
                <w:color w:val="auto"/>
                <w:sz w:val="24"/>
                <w:szCs w:val="24"/>
                <w:lang w:eastAsia="en-US"/>
              </w:rPr>
              <w:t xml:space="preserve"> The Act also introduced</w:t>
            </w:r>
            <w:r w:rsidRPr="00403315">
              <w:rPr>
                <w:rFonts w:eastAsia="Calibri"/>
                <w:color w:val="auto"/>
                <w:sz w:val="24"/>
                <w:szCs w:val="24"/>
                <w:lang w:eastAsia="en-US"/>
              </w:rPr>
              <w:t xml:space="preserve"> </w:t>
            </w:r>
            <w:r w:rsidRPr="00403315">
              <w:rPr>
                <w:sz w:val="24"/>
                <w:szCs w:val="24"/>
              </w:rPr>
              <w:t xml:space="preserve">Adult Protection and Support Orders which enable LA’s to speak </w:t>
            </w:r>
            <w:r>
              <w:rPr>
                <w:sz w:val="24"/>
                <w:szCs w:val="24"/>
              </w:rPr>
              <w:t xml:space="preserve">to individuals </w:t>
            </w:r>
            <w:r w:rsidRPr="00403315">
              <w:rPr>
                <w:sz w:val="24"/>
                <w:szCs w:val="24"/>
              </w:rPr>
              <w:t>in private, to establish whether the</w:t>
            </w:r>
            <w:r>
              <w:rPr>
                <w:sz w:val="24"/>
                <w:szCs w:val="24"/>
              </w:rPr>
              <w:t>y</w:t>
            </w:r>
            <w:r w:rsidRPr="00403315">
              <w:rPr>
                <w:sz w:val="24"/>
                <w:szCs w:val="24"/>
              </w:rPr>
              <w:t xml:space="preserve"> </w:t>
            </w:r>
            <w:r>
              <w:rPr>
                <w:sz w:val="24"/>
                <w:szCs w:val="24"/>
              </w:rPr>
              <w:t xml:space="preserve">are able to make decisions freely and if they are </w:t>
            </w:r>
            <w:r w:rsidRPr="00403315">
              <w:rPr>
                <w:sz w:val="24"/>
                <w:szCs w:val="24"/>
              </w:rPr>
              <w:t xml:space="preserve">at risk and, if so, decide on subsequent actions </w:t>
            </w:r>
            <w:r w:rsidRPr="00403315">
              <w:rPr>
                <w:rFonts w:eastAsia="Calibri"/>
                <w:color w:val="auto"/>
                <w:sz w:val="24"/>
                <w:szCs w:val="24"/>
                <w:lang w:eastAsia="en-US"/>
              </w:rPr>
              <w:t xml:space="preserve">(ADSS </w:t>
            </w:r>
            <w:proofErr w:type="spellStart"/>
            <w:r w:rsidRPr="00403315">
              <w:rPr>
                <w:rFonts w:eastAsia="Calibri"/>
                <w:color w:val="auto"/>
                <w:sz w:val="24"/>
                <w:szCs w:val="24"/>
                <w:lang w:eastAsia="en-US"/>
              </w:rPr>
              <w:t>Cymru</w:t>
            </w:r>
            <w:proofErr w:type="spellEnd"/>
            <w:r w:rsidRPr="00403315">
              <w:rPr>
                <w:rFonts w:eastAsia="Calibri"/>
                <w:color w:val="auto"/>
                <w:sz w:val="24"/>
                <w:szCs w:val="24"/>
                <w:lang w:eastAsia="en-US"/>
              </w:rPr>
              <w:t>, 2018).</w:t>
            </w:r>
          </w:p>
          <w:p w:rsidR="00FE41A7" w:rsidRPr="00403315" w:rsidRDefault="00FE41A7" w:rsidP="00FE41A7">
            <w:pPr>
              <w:spacing w:line="360" w:lineRule="auto"/>
              <w:jc w:val="both"/>
              <w:rPr>
                <w:sz w:val="24"/>
                <w:szCs w:val="24"/>
              </w:rPr>
            </w:pPr>
          </w:p>
          <w:p w:rsidR="00FE41A7" w:rsidRDefault="00FE41A7" w:rsidP="00FE41A7">
            <w:pPr>
              <w:spacing w:line="360" w:lineRule="auto"/>
              <w:rPr>
                <w:sz w:val="24"/>
                <w:szCs w:val="24"/>
              </w:rPr>
            </w:pPr>
            <w:r>
              <w:rPr>
                <w:rFonts w:eastAsia="Calibri"/>
                <w:color w:val="auto"/>
                <w:sz w:val="24"/>
                <w:szCs w:val="24"/>
                <w:lang w:eastAsia="en-US"/>
              </w:rPr>
              <w:t xml:space="preserve">There is an interface between SSWBWA </w:t>
            </w:r>
            <w:r w:rsidRPr="00440D67">
              <w:rPr>
                <w:rFonts w:eastAsia="Calibri"/>
                <w:sz w:val="24"/>
                <w:szCs w:val="24"/>
              </w:rPr>
              <w:t xml:space="preserve">and </w:t>
            </w:r>
            <w:r w:rsidRPr="00440D67">
              <w:rPr>
                <w:sz w:val="24"/>
                <w:szCs w:val="24"/>
              </w:rPr>
              <w:t>Mental Health (Wal</w:t>
            </w:r>
            <w:r>
              <w:rPr>
                <w:sz w:val="24"/>
                <w:szCs w:val="24"/>
              </w:rPr>
              <w:t xml:space="preserve">es) Measure 2010. Further mental health legislation which requires consideration are: </w:t>
            </w:r>
            <w:r w:rsidRPr="00440D67">
              <w:rPr>
                <w:sz w:val="24"/>
                <w:szCs w:val="24"/>
              </w:rPr>
              <w:t>Mental Capacity Act 2005 (MCA)</w:t>
            </w:r>
            <w:r>
              <w:rPr>
                <w:sz w:val="24"/>
                <w:szCs w:val="24"/>
              </w:rPr>
              <w:t xml:space="preserve"> and the accompanying Code of Practice and</w:t>
            </w:r>
            <w:r w:rsidRPr="00440D67">
              <w:rPr>
                <w:sz w:val="24"/>
                <w:szCs w:val="24"/>
              </w:rPr>
              <w:t xml:space="preserve"> </w:t>
            </w:r>
            <w:r>
              <w:rPr>
                <w:sz w:val="24"/>
                <w:szCs w:val="24"/>
              </w:rPr>
              <w:t xml:space="preserve">Deprivation of Liberty Safeguards (soon to be Liberty Protection Safeguards). These pieces of legislation are </w:t>
            </w:r>
            <w:r w:rsidRPr="003522D7">
              <w:rPr>
                <w:sz w:val="24"/>
                <w:szCs w:val="24"/>
              </w:rPr>
              <w:t>design</w:t>
            </w:r>
            <w:r>
              <w:rPr>
                <w:sz w:val="24"/>
                <w:szCs w:val="24"/>
              </w:rPr>
              <w:t>ed to protect and empower individuals</w:t>
            </w:r>
            <w:r w:rsidRPr="003522D7">
              <w:rPr>
                <w:sz w:val="24"/>
                <w:szCs w:val="24"/>
              </w:rPr>
              <w:t xml:space="preserve"> who may lack the mental capacity to make their own decisions</w:t>
            </w:r>
            <w:r>
              <w:rPr>
                <w:sz w:val="24"/>
                <w:szCs w:val="24"/>
              </w:rPr>
              <w:t xml:space="preserve"> and ensure decisions are made in their best interests</w:t>
            </w:r>
            <w:r w:rsidRPr="003522D7">
              <w:rPr>
                <w:sz w:val="24"/>
                <w:szCs w:val="24"/>
              </w:rPr>
              <w:t xml:space="preserve"> (NHS, 2021). </w:t>
            </w:r>
          </w:p>
          <w:p w:rsidR="00FE41A7" w:rsidRDefault="00FE41A7" w:rsidP="00FE41A7">
            <w:pPr>
              <w:spacing w:line="360" w:lineRule="auto"/>
              <w:rPr>
                <w:sz w:val="24"/>
                <w:szCs w:val="24"/>
              </w:rPr>
            </w:pPr>
          </w:p>
          <w:p w:rsidR="00FE41A7" w:rsidRPr="00912D3B" w:rsidRDefault="00FE41A7" w:rsidP="00FE41A7">
            <w:pPr>
              <w:spacing w:line="360" w:lineRule="auto"/>
              <w:jc w:val="both"/>
              <w:rPr>
                <w:color w:val="303030"/>
                <w:sz w:val="24"/>
                <w:szCs w:val="24"/>
              </w:rPr>
            </w:pPr>
            <w:r w:rsidRPr="001A2096">
              <w:rPr>
                <w:sz w:val="24"/>
                <w:szCs w:val="24"/>
              </w:rPr>
              <w:t xml:space="preserve">The Equality Act (2010) repealed much </w:t>
            </w:r>
            <w:r w:rsidRPr="001A2096">
              <w:rPr>
                <w:color w:val="303030"/>
                <w:sz w:val="24"/>
                <w:szCs w:val="24"/>
              </w:rPr>
              <w:t>anti-discrimination legislation</w:t>
            </w:r>
            <w:r>
              <w:rPr>
                <w:color w:val="303030"/>
                <w:sz w:val="24"/>
                <w:szCs w:val="24"/>
              </w:rPr>
              <w:t xml:space="preserve"> in the United Kingdom</w:t>
            </w:r>
            <w:r w:rsidRPr="001A2096">
              <w:rPr>
                <w:color w:val="303030"/>
                <w:sz w:val="24"/>
                <w:szCs w:val="24"/>
              </w:rPr>
              <w:t>, affording protection to ensure individuals are not treated unfairly due to protected characteristic</w:t>
            </w:r>
            <w:r>
              <w:rPr>
                <w:color w:val="303030"/>
                <w:sz w:val="24"/>
                <w:szCs w:val="24"/>
              </w:rPr>
              <w:t>s</w:t>
            </w:r>
            <w:r w:rsidRPr="001A2096">
              <w:rPr>
                <w:color w:val="303030"/>
                <w:sz w:val="24"/>
                <w:szCs w:val="24"/>
              </w:rPr>
              <w:t xml:space="preserve">. </w:t>
            </w:r>
            <w:r>
              <w:rPr>
                <w:color w:val="303030"/>
                <w:sz w:val="24"/>
                <w:szCs w:val="24"/>
              </w:rPr>
              <w:t>Principles of which are</w:t>
            </w:r>
            <w:r w:rsidRPr="001A2096">
              <w:rPr>
                <w:color w:val="303030"/>
                <w:sz w:val="24"/>
                <w:szCs w:val="24"/>
              </w:rPr>
              <w:t xml:space="preserve"> also embedded within the </w:t>
            </w:r>
            <w:r w:rsidRPr="001A2096">
              <w:rPr>
                <w:sz w:val="24"/>
                <w:szCs w:val="24"/>
              </w:rPr>
              <w:t>Code of Professional Practice for Social Care (2017)</w:t>
            </w:r>
            <w:r>
              <w:rPr>
                <w:sz w:val="24"/>
                <w:szCs w:val="24"/>
              </w:rPr>
              <w:t xml:space="preserve">. </w:t>
            </w:r>
            <w:r w:rsidRPr="00912D3B">
              <w:rPr>
                <w:color w:val="202124"/>
                <w:sz w:val="24"/>
                <w:szCs w:val="24"/>
                <w:shd w:val="clear" w:color="auto" w:fill="FFFFFF"/>
              </w:rPr>
              <w:t>The Violence against Women, Domestic Abuse and Sexual Violence (Wales) Act 2015</w:t>
            </w:r>
            <w:r>
              <w:rPr>
                <w:color w:val="202124"/>
                <w:sz w:val="24"/>
                <w:szCs w:val="24"/>
                <w:shd w:val="clear" w:color="auto" w:fill="FFFFFF"/>
              </w:rPr>
              <w:t>, is the</w:t>
            </w:r>
            <w:r w:rsidRPr="00912D3B">
              <w:rPr>
                <w:color w:val="202124"/>
                <w:sz w:val="24"/>
                <w:szCs w:val="24"/>
                <w:shd w:val="clear" w:color="auto" w:fill="FFFFFF"/>
              </w:rPr>
              <w:t xml:space="preserve"> strategic framework </w:t>
            </w:r>
            <w:r>
              <w:rPr>
                <w:color w:val="202124"/>
                <w:sz w:val="24"/>
                <w:szCs w:val="24"/>
                <w:shd w:val="clear" w:color="auto" w:fill="FFFFFF"/>
              </w:rPr>
              <w:t xml:space="preserve">which aims </w:t>
            </w:r>
            <w:r w:rsidRPr="00912D3B">
              <w:rPr>
                <w:color w:val="202124"/>
                <w:sz w:val="24"/>
                <w:szCs w:val="24"/>
                <w:shd w:val="clear" w:color="auto" w:fill="FFFFFF"/>
              </w:rPr>
              <w:t xml:space="preserve">to improve </w:t>
            </w:r>
            <w:r>
              <w:rPr>
                <w:color w:val="202124"/>
                <w:sz w:val="24"/>
                <w:szCs w:val="24"/>
                <w:shd w:val="clear" w:color="auto" w:fill="FFFFFF"/>
              </w:rPr>
              <w:t>arrangements for the prevention;</w:t>
            </w:r>
            <w:r w:rsidRPr="00912D3B">
              <w:rPr>
                <w:color w:val="202124"/>
                <w:sz w:val="24"/>
                <w:szCs w:val="24"/>
                <w:shd w:val="clear" w:color="auto" w:fill="FFFFFF"/>
              </w:rPr>
              <w:t xml:space="preserve"> protection and support of those affected by violence against women, domestic abuse and sexual violence (Public Health Wales, 2023).</w:t>
            </w:r>
          </w:p>
          <w:p w:rsidR="00FE41A7" w:rsidRDefault="00FE41A7" w:rsidP="00FE41A7">
            <w:pPr>
              <w:spacing w:line="360" w:lineRule="auto"/>
              <w:rPr>
                <w:sz w:val="24"/>
                <w:szCs w:val="24"/>
              </w:rPr>
            </w:pPr>
          </w:p>
          <w:p w:rsidR="00FE41A7" w:rsidRPr="00F127BB" w:rsidRDefault="00FE41A7" w:rsidP="00FE41A7">
            <w:pPr>
              <w:spacing w:line="360" w:lineRule="auto"/>
              <w:jc w:val="both"/>
              <w:rPr>
                <w:sz w:val="24"/>
                <w:szCs w:val="24"/>
              </w:rPr>
            </w:pPr>
            <w:r w:rsidRPr="00734232">
              <w:rPr>
                <w:sz w:val="24"/>
                <w:szCs w:val="24"/>
              </w:rPr>
              <w:t>European law further underpins duties and responsibilities pertai</w:t>
            </w:r>
            <w:r>
              <w:rPr>
                <w:sz w:val="24"/>
                <w:szCs w:val="24"/>
              </w:rPr>
              <w:t>ning to adult safeguarding. These</w:t>
            </w:r>
            <w:r w:rsidRPr="00734232">
              <w:rPr>
                <w:sz w:val="24"/>
                <w:szCs w:val="24"/>
              </w:rPr>
              <w:t xml:space="preserve"> includ</w:t>
            </w:r>
            <w:r>
              <w:rPr>
                <w:sz w:val="24"/>
                <w:szCs w:val="24"/>
              </w:rPr>
              <w:t xml:space="preserve">e The Human Rights Act (1998), in particular: Article 3 Freedom from torture and inhume or degrading treatment; Article 5 Right to liberty </w:t>
            </w:r>
            <w:r>
              <w:rPr>
                <w:sz w:val="24"/>
                <w:szCs w:val="24"/>
              </w:rPr>
              <w:lastRenderedPageBreak/>
              <w:t xml:space="preserve">and </w:t>
            </w:r>
            <w:proofErr w:type="spellStart"/>
            <w:r>
              <w:rPr>
                <w:sz w:val="24"/>
                <w:szCs w:val="24"/>
              </w:rPr>
              <w:t>Artcile</w:t>
            </w:r>
            <w:proofErr w:type="spellEnd"/>
            <w:r>
              <w:rPr>
                <w:sz w:val="24"/>
                <w:szCs w:val="24"/>
              </w:rPr>
              <w:t xml:space="preserve"> 8 respect for private/family life (SCIE, 2020). The </w:t>
            </w:r>
            <w:r w:rsidRPr="00734232">
              <w:rPr>
                <w:sz w:val="24"/>
                <w:szCs w:val="24"/>
              </w:rPr>
              <w:t>United Nations Conventions on the rights of Persons with disabilities article 16 asserts that individuals should be meaningfully involved in safeguarding to ensure risk of future harm is reduced (Keeling, 2017)</w:t>
            </w:r>
            <w:r>
              <w:rPr>
                <w:sz w:val="24"/>
                <w:szCs w:val="24"/>
              </w:rPr>
              <w:t xml:space="preserve">. Additionally, The </w:t>
            </w:r>
            <w:r w:rsidRPr="00F127BB">
              <w:rPr>
                <w:sz w:val="24"/>
                <w:szCs w:val="24"/>
              </w:rPr>
              <w:t>United Nations Principles for Older Persons</w:t>
            </w:r>
            <w:r>
              <w:rPr>
                <w:sz w:val="24"/>
                <w:szCs w:val="24"/>
              </w:rPr>
              <w:t xml:space="preserve"> are Independence; participation; care; </w:t>
            </w:r>
            <w:proofErr w:type="spellStart"/>
            <w:r>
              <w:rPr>
                <w:sz w:val="24"/>
                <w:szCs w:val="24"/>
              </w:rPr>
              <w:t>self fulfilment</w:t>
            </w:r>
            <w:proofErr w:type="spellEnd"/>
            <w:r>
              <w:rPr>
                <w:sz w:val="24"/>
                <w:szCs w:val="24"/>
              </w:rPr>
              <w:t xml:space="preserve"> and dignity.</w:t>
            </w:r>
          </w:p>
          <w:p w:rsidR="00FE41A7" w:rsidRDefault="00FE41A7" w:rsidP="00FE41A7">
            <w:pPr>
              <w:spacing w:line="360" w:lineRule="auto"/>
              <w:jc w:val="both"/>
              <w:rPr>
                <w:sz w:val="24"/>
                <w:szCs w:val="24"/>
              </w:rPr>
            </w:pPr>
          </w:p>
          <w:p w:rsidR="00FE41A7" w:rsidRPr="004E7BD2" w:rsidRDefault="00FE41A7" w:rsidP="00F520A9">
            <w:pPr>
              <w:spacing w:line="360" w:lineRule="auto"/>
              <w:jc w:val="both"/>
              <w:rPr>
                <w:sz w:val="24"/>
                <w:szCs w:val="24"/>
              </w:rPr>
            </w:pPr>
            <w:r w:rsidRPr="00912D3B">
              <w:rPr>
                <w:b/>
                <w:sz w:val="24"/>
                <w:szCs w:val="24"/>
              </w:rPr>
              <w:t>Word Count:</w:t>
            </w:r>
            <w:r>
              <w:rPr>
                <w:sz w:val="24"/>
                <w:szCs w:val="24"/>
              </w:rPr>
              <w:t xml:space="preserve"> 4</w:t>
            </w:r>
            <w:r>
              <w:rPr>
                <w:sz w:val="24"/>
                <w:szCs w:val="24"/>
              </w:rPr>
              <w:t>41</w:t>
            </w:r>
          </w:p>
        </w:tc>
      </w:tr>
    </w:tbl>
    <w:p w:rsidR="00FE41A7" w:rsidRPr="008B28E7" w:rsidRDefault="00FE41A7" w:rsidP="00FE41A7">
      <w:pPr>
        <w:jc w:val="both"/>
        <w:rPr>
          <w:sz w:val="24"/>
          <w:szCs w:val="24"/>
        </w:rPr>
      </w:pPr>
    </w:p>
    <w:p w:rsidR="00FE41A7" w:rsidRPr="008B28E7" w:rsidRDefault="00FE41A7" w:rsidP="00FE41A7">
      <w:pPr>
        <w:jc w:val="both"/>
        <w:rPr>
          <w:sz w:val="24"/>
          <w:szCs w:val="24"/>
        </w:rPr>
      </w:pPr>
    </w:p>
    <w:p w:rsidR="00FE41A7" w:rsidRDefault="00FE41A7" w:rsidP="00FE41A7">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E41A7" w:rsidRPr="008B28E7" w:rsidTr="00F520A9">
        <w:tc>
          <w:tcPr>
            <w:tcW w:w="10278" w:type="dxa"/>
            <w:shd w:val="clear" w:color="auto" w:fill="auto"/>
          </w:tcPr>
          <w:p w:rsidR="00FE41A7" w:rsidRPr="00EB695F" w:rsidRDefault="00FE41A7" w:rsidP="00F520A9">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E41A7" w:rsidRDefault="00FE41A7" w:rsidP="00F520A9">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rsidR="00FE41A7" w:rsidRDefault="00FE41A7" w:rsidP="00F520A9">
            <w:pPr>
              <w:jc w:val="both"/>
              <w:rPr>
                <w:sz w:val="24"/>
                <w:szCs w:val="24"/>
              </w:rPr>
            </w:pPr>
          </w:p>
          <w:p w:rsidR="00FE41A7" w:rsidRDefault="00FE41A7" w:rsidP="00F520A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FE41A7" w:rsidRDefault="00FE41A7" w:rsidP="00F520A9">
            <w:pPr>
              <w:jc w:val="both"/>
              <w:rPr>
                <w:i/>
                <w:sz w:val="24"/>
                <w:szCs w:val="24"/>
              </w:rPr>
            </w:pPr>
          </w:p>
          <w:p w:rsidR="00FE41A7" w:rsidRDefault="00FE41A7" w:rsidP="00FE41A7">
            <w:pPr>
              <w:spacing w:line="360" w:lineRule="auto"/>
              <w:jc w:val="both"/>
              <w:rPr>
                <w:sz w:val="24"/>
                <w:szCs w:val="24"/>
              </w:rPr>
            </w:pPr>
            <w:r w:rsidRPr="008233A4">
              <w:rPr>
                <w:sz w:val="24"/>
                <w:szCs w:val="24"/>
              </w:rPr>
              <w:t>The Social Services and Well-being (Wales) Act (2014) (SSWBWA) came into effect in 2017 providing the legal framework for safeguarding in Wales. The Act and accompanying guidance ‘Working Together to Safeguard People’ standardised responses to the safeguarding of adults and protection of children. Repealing</w:t>
            </w:r>
            <w:r>
              <w:rPr>
                <w:sz w:val="24"/>
                <w:szCs w:val="24"/>
              </w:rPr>
              <w:t xml:space="preserve"> some</w:t>
            </w:r>
            <w:r w:rsidRPr="008233A4">
              <w:rPr>
                <w:sz w:val="24"/>
                <w:szCs w:val="24"/>
              </w:rPr>
              <w:t xml:space="preserve"> adult and child specific legislation. Historically the All Wales Child Protection Procedures (2008) were concerned with the safeguarding of just children. The All-Wales Safeguarding Procedure (AWSP) (2022) replaced this legislation and details the roles and responsibilities of practitioners in both child and adult safeguarding.</w:t>
            </w:r>
          </w:p>
          <w:p w:rsidR="00FE41A7" w:rsidRPr="008233A4" w:rsidRDefault="00FE41A7" w:rsidP="00FE41A7">
            <w:pPr>
              <w:spacing w:line="360" w:lineRule="auto"/>
              <w:jc w:val="both"/>
              <w:rPr>
                <w:sz w:val="24"/>
                <w:szCs w:val="24"/>
              </w:rPr>
            </w:pPr>
          </w:p>
          <w:p w:rsidR="00FE41A7" w:rsidRDefault="00FE41A7" w:rsidP="00FE41A7">
            <w:pPr>
              <w:spacing w:line="360" w:lineRule="auto"/>
              <w:jc w:val="both"/>
              <w:rPr>
                <w:sz w:val="24"/>
                <w:szCs w:val="24"/>
              </w:rPr>
            </w:pPr>
            <w:r w:rsidRPr="008233A4">
              <w:rPr>
                <w:sz w:val="24"/>
                <w:szCs w:val="24"/>
              </w:rPr>
              <w:t>The SSWBWA asserts that safeguarding is everyone’s responsibility, the duty to report and the local authority’s (LA’s) duty to investigate. Part 7 is concerned with safeguarding of all individuals who are deemed at risk. For adults the definition is an individual who is experiencing or is at risk of abuse or neglect; has care and support needs and as a result of those needs is unable to protect themselves from abuse/neglect or the risk of it. However, a child defined at risk if experiencing, or is at risk of experiencing abuse, neglect or other kinds of harm and has needs for care and support (Safeguarding Wales, 2023).</w:t>
            </w:r>
          </w:p>
          <w:p w:rsidR="00FE41A7" w:rsidRPr="008233A4" w:rsidRDefault="00FE41A7" w:rsidP="00FE41A7">
            <w:pPr>
              <w:spacing w:line="360" w:lineRule="auto"/>
              <w:jc w:val="both"/>
              <w:rPr>
                <w:sz w:val="24"/>
                <w:szCs w:val="24"/>
              </w:rPr>
            </w:pPr>
          </w:p>
          <w:p w:rsidR="00FE41A7" w:rsidRDefault="00FE41A7" w:rsidP="00FE41A7">
            <w:pPr>
              <w:spacing w:line="360" w:lineRule="auto"/>
              <w:jc w:val="both"/>
              <w:rPr>
                <w:sz w:val="24"/>
                <w:szCs w:val="24"/>
              </w:rPr>
            </w:pPr>
            <w:r w:rsidRPr="008233A4">
              <w:rPr>
                <w:sz w:val="24"/>
                <w:szCs w:val="24"/>
              </w:rPr>
              <w:t xml:space="preserve">Within child protection the SSWBWA, AWSP and Children’s Act (1989) section 47, set out the threshold of significant harm. Whereby, the LA has a duty to respond and take the necessary steps to ensure a child is protected from harm. There are clear </w:t>
            </w:r>
            <w:r w:rsidRPr="008233A4">
              <w:rPr>
                <w:sz w:val="24"/>
                <w:szCs w:val="24"/>
              </w:rPr>
              <w:lastRenderedPageBreak/>
              <w:t>timescales for such enquires and powers afforded should there not be consent from those with parental responsibility.</w:t>
            </w:r>
          </w:p>
          <w:p w:rsidR="00FE41A7" w:rsidRPr="008233A4" w:rsidRDefault="00FE41A7" w:rsidP="00FE41A7">
            <w:pPr>
              <w:spacing w:line="360" w:lineRule="auto"/>
              <w:jc w:val="both"/>
              <w:rPr>
                <w:sz w:val="24"/>
                <w:szCs w:val="24"/>
              </w:rPr>
            </w:pPr>
          </w:p>
          <w:p w:rsidR="00FE41A7" w:rsidRPr="00335BFA" w:rsidRDefault="00FE41A7" w:rsidP="00FE41A7">
            <w:pPr>
              <w:spacing w:line="360" w:lineRule="auto"/>
              <w:rPr>
                <w:sz w:val="24"/>
                <w:szCs w:val="24"/>
              </w:rPr>
            </w:pPr>
            <w:r w:rsidRPr="008233A4">
              <w:rPr>
                <w:sz w:val="24"/>
                <w:szCs w:val="24"/>
              </w:rPr>
              <w:t xml:space="preserve">Conversely, within adult safeguarding timescales are not as clear and </w:t>
            </w:r>
            <w:r>
              <w:rPr>
                <w:sz w:val="24"/>
                <w:szCs w:val="24"/>
              </w:rPr>
              <w:t xml:space="preserve">the </w:t>
            </w:r>
            <w:r w:rsidRPr="008233A4">
              <w:rPr>
                <w:sz w:val="24"/>
                <w:szCs w:val="24"/>
              </w:rPr>
              <w:t xml:space="preserve">threshold is more complex due to consent and capacity issues. The Mental Capacity Act </w:t>
            </w:r>
            <w:r>
              <w:rPr>
                <w:sz w:val="24"/>
                <w:szCs w:val="24"/>
              </w:rPr>
              <w:t xml:space="preserve">(MCA) </w:t>
            </w:r>
            <w:r w:rsidRPr="008233A4">
              <w:rPr>
                <w:sz w:val="24"/>
                <w:szCs w:val="24"/>
              </w:rPr>
              <w:t xml:space="preserve">(2005) asserts </w:t>
            </w:r>
            <w:r>
              <w:rPr>
                <w:sz w:val="24"/>
                <w:szCs w:val="24"/>
              </w:rPr>
              <w:t xml:space="preserve">the presumption of capacity, </w:t>
            </w:r>
            <w:r w:rsidRPr="008233A4">
              <w:rPr>
                <w:sz w:val="24"/>
                <w:szCs w:val="24"/>
              </w:rPr>
              <w:t xml:space="preserve">adults have the right to make unwise choices. Therefore, a fundamental difference being adults have the right to self-determination. </w:t>
            </w:r>
            <w:r>
              <w:rPr>
                <w:sz w:val="24"/>
                <w:szCs w:val="24"/>
              </w:rPr>
              <w:t xml:space="preserve">The LA </w:t>
            </w:r>
            <w:r w:rsidRPr="00335BFA">
              <w:rPr>
                <w:color w:val="212529"/>
                <w:sz w:val="24"/>
                <w:szCs w:val="24"/>
                <w:shd w:val="clear" w:color="auto" w:fill="FFFFFF"/>
              </w:rPr>
              <w:t xml:space="preserve">must make </w:t>
            </w:r>
            <w:r>
              <w:rPr>
                <w:color w:val="212529"/>
                <w:sz w:val="24"/>
                <w:szCs w:val="24"/>
                <w:shd w:val="clear" w:color="auto" w:fill="FFFFFF"/>
              </w:rPr>
              <w:t xml:space="preserve">relevant </w:t>
            </w:r>
            <w:r w:rsidRPr="00335BFA">
              <w:rPr>
                <w:color w:val="212529"/>
                <w:sz w:val="24"/>
                <w:szCs w:val="24"/>
                <w:shd w:val="clear" w:color="auto" w:fill="FFFFFF"/>
              </w:rPr>
              <w:t xml:space="preserve">enquiries </w:t>
            </w:r>
            <w:r>
              <w:rPr>
                <w:color w:val="212529"/>
                <w:sz w:val="24"/>
                <w:szCs w:val="24"/>
                <w:shd w:val="clear" w:color="auto" w:fill="FFFFFF"/>
              </w:rPr>
              <w:t xml:space="preserve">in order to </w:t>
            </w:r>
            <w:r w:rsidRPr="00335BFA">
              <w:rPr>
                <w:color w:val="212529"/>
                <w:sz w:val="24"/>
                <w:szCs w:val="24"/>
                <w:shd w:val="clear" w:color="auto" w:fill="FFFFFF"/>
              </w:rPr>
              <w:t xml:space="preserve">decide whether action should be taken. </w:t>
            </w:r>
            <w:r w:rsidR="00267C59">
              <w:rPr>
                <w:color w:val="212529"/>
                <w:sz w:val="24"/>
                <w:szCs w:val="24"/>
                <w:shd w:val="clear" w:color="auto" w:fill="FFFFFF"/>
              </w:rPr>
              <w:t xml:space="preserve">Including </w:t>
            </w:r>
            <w:r w:rsidRPr="00335BFA">
              <w:rPr>
                <w:color w:val="212529"/>
                <w:sz w:val="24"/>
                <w:szCs w:val="24"/>
                <w:shd w:val="clear" w:color="auto" w:fill="FFFFFF"/>
              </w:rPr>
              <w:t xml:space="preserve">taking steps to protect the adult under other legislation, such as the Mental Health Act </w:t>
            </w:r>
            <w:r>
              <w:rPr>
                <w:color w:val="212529"/>
                <w:sz w:val="24"/>
                <w:szCs w:val="24"/>
                <w:shd w:val="clear" w:color="auto" w:fill="FFFFFF"/>
              </w:rPr>
              <w:t>(1</w:t>
            </w:r>
            <w:r w:rsidRPr="00335BFA">
              <w:rPr>
                <w:color w:val="212529"/>
                <w:sz w:val="24"/>
                <w:szCs w:val="24"/>
                <w:shd w:val="clear" w:color="auto" w:fill="FFFFFF"/>
              </w:rPr>
              <w:t>983</w:t>
            </w:r>
            <w:r>
              <w:rPr>
                <w:color w:val="212529"/>
                <w:sz w:val="24"/>
                <w:szCs w:val="24"/>
                <w:shd w:val="clear" w:color="auto" w:fill="FFFFFF"/>
              </w:rPr>
              <w:t>)</w:t>
            </w:r>
            <w:r w:rsidRPr="00335BFA">
              <w:rPr>
                <w:color w:val="212529"/>
                <w:sz w:val="24"/>
                <w:szCs w:val="24"/>
                <w:shd w:val="clear" w:color="auto" w:fill="FFFFFF"/>
              </w:rPr>
              <w:t xml:space="preserve"> or the</w:t>
            </w:r>
            <w:r>
              <w:rPr>
                <w:color w:val="212529"/>
                <w:sz w:val="24"/>
                <w:szCs w:val="24"/>
                <w:shd w:val="clear" w:color="auto" w:fill="FFFFFF"/>
              </w:rPr>
              <w:t xml:space="preserve"> MCA and</w:t>
            </w:r>
            <w:r w:rsidRPr="00335BFA">
              <w:rPr>
                <w:sz w:val="24"/>
                <w:szCs w:val="24"/>
              </w:rPr>
              <w:t xml:space="preserve"> Deprivation of Liberty Safeguards (</w:t>
            </w:r>
            <w:proofErr w:type="spellStart"/>
            <w:r w:rsidRPr="00335BFA">
              <w:rPr>
                <w:sz w:val="24"/>
                <w:szCs w:val="24"/>
              </w:rPr>
              <w:t>DoLS</w:t>
            </w:r>
            <w:proofErr w:type="spellEnd"/>
            <w:r w:rsidRPr="00335BFA">
              <w:rPr>
                <w:sz w:val="24"/>
                <w:szCs w:val="24"/>
              </w:rPr>
              <w:t>)</w:t>
            </w:r>
            <w:r>
              <w:rPr>
                <w:sz w:val="24"/>
                <w:szCs w:val="24"/>
              </w:rPr>
              <w:t xml:space="preserve"> (</w:t>
            </w:r>
            <w:proofErr w:type="spellStart"/>
            <w:r>
              <w:rPr>
                <w:sz w:val="24"/>
                <w:szCs w:val="24"/>
              </w:rPr>
              <w:t>LawWales</w:t>
            </w:r>
            <w:proofErr w:type="spellEnd"/>
            <w:r>
              <w:rPr>
                <w:sz w:val="24"/>
                <w:szCs w:val="24"/>
              </w:rPr>
              <w:t xml:space="preserve">, 2021). </w:t>
            </w:r>
            <w:proofErr w:type="spellStart"/>
            <w:r>
              <w:rPr>
                <w:sz w:val="24"/>
                <w:szCs w:val="24"/>
              </w:rPr>
              <w:t>DoLS</w:t>
            </w:r>
            <w:proofErr w:type="spellEnd"/>
            <w:r>
              <w:rPr>
                <w:sz w:val="24"/>
                <w:szCs w:val="24"/>
              </w:rPr>
              <w:t xml:space="preserve"> afford protection to individuals who</w:t>
            </w:r>
            <w:r w:rsidRPr="00335BFA">
              <w:rPr>
                <w:sz w:val="24"/>
                <w:szCs w:val="24"/>
              </w:rPr>
              <w:t xml:space="preserve"> are unable to make decisions for themselves. Ensuring individuals are only deprived of their liberties where in their best interests and there are no other ways to keep them safe (Care Inspectorate Wales, 2023).</w:t>
            </w:r>
          </w:p>
          <w:p w:rsidR="00FE41A7" w:rsidRPr="008233A4" w:rsidRDefault="00FE41A7" w:rsidP="00FE41A7">
            <w:pPr>
              <w:spacing w:line="360" w:lineRule="auto"/>
              <w:jc w:val="both"/>
              <w:rPr>
                <w:sz w:val="24"/>
                <w:szCs w:val="24"/>
              </w:rPr>
            </w:pPr>
          </w:p>
          <w:p w:rsidR="00FE41A7" w:rsidRDefault="00FE41A7" w:rsidP="00FE41A7">
            <w:pPr>
              <w:spacing w:line="360" w:lineRule="auto"/>
              <w:jc w:val="both"/>
              <w:rPr>
                <w:sz w:val="24"/>
                <w:szCs w:val="24"/>
              </w:rPr>
            </w:pPr>
            <w:r w:rsidRPr="00BF1057">
              <w:rPr>
                <w:b/>
                <w:sz w:val="24"/>
                <w:szCs w:val="24"/>
              </w:rPr>
              <w:t>Word Count:</w:t>
            </w:r>
            <w:r>
              <w:rPr>
                <w:sz w:val="24"/>
                <w:szCs w:val="24"/>
              </w:rPr>
              <w:t xml:space="preserve"> 392</w:t>
            </w:r>
          </w:p>
          <w:p w:rsidR="00FE41A7" w:rsidRPr="006108C9" w:rsidRDefault="00FE41A7" w:rsidP="00F520A9">
            <w:pPr>
              <w:jc w:val="both"/>
              <w:rPr>
                <w:sz w:val="24"/>
                <w:szCs w:val="24"/>
              </w:rPr>
            </w:pPr>
          </w:p>
        </w:tc>
      </w:tr>
    </w:tbl>
    <w:p w:rsidR="00EC4FCB" w:rsidRDefault="00EC4FCB"/>
    <w:sectPr w:rsidR="00EC4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1A7"/>
    <w:rsid w:val="001901B6"/>
    <w:rsid w:val="00267C59"/>
    <w:rsid w:val="00362966"/>
    <w:rsid w:val="007F3B83"/>
    <w:rsid w:val="00EC4FCB"/>
    <w:rsid w:val="00FE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0663F"/>
  <w15:chartTrackingRefBased/>
  <w15:docId w15:val="{D16D160A-CF04-4195-9D27-D29AF021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A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Aimie Gee</dc:creator>
  <cp:keywords/>
  <dc:description/>
  <cp:lastModifiedBy>Aimie Gee</cp:lastModifiedBy>
  <cp:revision>5</cp:revision>
  <dcterms:created xsi:type="dcterms:W3CDTF">2023-02-23T12:11:00Z</dcterms:created>
  <dcterms:modified xsi:type="dcterms:W3CDTF">2023-02-23T12:23:00Z</dcterms:modified>
</cp:coreProperties>
</file>