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E8FEBED" w14:textId="77777777" w:rsidR="005B73CE" w:rsidRPr="005B73CE" w:rsidRDefault="005B73CE">
      <w:pPr>
        <w:rPr>
          <w:rFonts w:ascii="Times New Roman" w:hAnsi="Times New Roman" w:cs="Times New Roman"/>
          <w:b/>
          <w:sz w:val="28"/>
          <w:u w:val="single"/>
        </w:rPr>
      </w:pPr>
      <w:bookmarkStart w:id="0" w:name="_GoBack"/>
      <w:bookmarkEnd w:id="0"/>
      <w:r w:rsidRPr="005B73CE">
        <w:rPr>
          <w:rFonts w:ascii="Times New Roman" w:hAnsi="Times New Roman" w:cs="Times New Roman"/>
          <w:b/>
          <w:sz w:val="28"/>
          <w:u w:val="single"/>
        </w:rPr>
        <w:t>Biography of Antigonus Monopthalmos:</w:t>
      </w:r>
    </w:p>
    <w:p w14:paraId="625ABDC2" w14:textId="5787D264" w:rsidR="005B73CE" w:rsidRDefault="005B73CE" w:rsidP="005B73CE">
      <w:pPr>
        <w:spacing w:line="480" w:lineRule="auto"/>
        <w:rPr>
          <w:rFonts w:ascii="Times New Roman" w:hAnsi="Times New Roman" w:cs="Times New Roman"/>
          <w:sz w:val="24"/>
        </w:rPr>
      </w:pPr>
      <w:r>
        <w:rPr>
          <w:rFonts w:ascii="Times New Roman" w:hAnsi="Times New Roman" w:cs="Times New Roman"/>
          <w:sz w:val="24"/>
        </w:rPr>
        <w:t>Antigonus Monopthalmos</w:t>
      </w:r>
      <w:r w:rsidR="00A47D17">
        <w:rPr>
          <w:rFonts w:ascii="Times New Roman" w:hAnsi="Times New Roman" w:cs="Times New Roman"/>
          <w:sz w:val="24"/>
        </w:rPr>
        <w:t xml:space="preserve"> ‘the one eyed’</w:t>
      </w:r>
      <w:r w:rsidR="003F5A27">
        <w:rPr>
          <w:rFonts w:ascii="Times New Roman" w:hAnsi="Times New Roman" w:cs="Times New Roman"/>
          <w:sz w:val="24"/>
        </w:rPr>
        <w:t xml:space="preserve"> as he was known in his later life</w:t>
      </w:r>
      <w:r w:rsidR="0001486D">
        <w:rPr>
          <w:rStyle w:val="FootnoteReference"/>
          <w:rFonts w:ascii="Times New Roman" w:hAnsi="Times New Roman" w:cs="Times New Roman"/>
          <w:sz w:val="24"/>
        </w:rPr>
        <w:footnoteReference w:id="1"/>
      </w:r>
      <w:r w:rsidR="00C9117C">
        <w:rPr>
          <w:rFonts w:ascii="Times New Roman" w:hAnsi="Times New Roman" w:cs="Times New Roman"/>
          <w:sz w:val="24"/>
        </w:rPr>
        <w:t xml:space="preserve"> was a general and satrap</w:t>
      </w:r>
      <w:r w:rsidR="003D2796">
        <w:rPr>
          <w:rFonts w:ascii="Times New Roman" w:hAnsi="Times New Roman" w:cs="Times New Roman"/>
          <w:sz w:val="24"/>
        </w:rPr>
        <w:t xml:space="preserve"> of greater Phrygia</w:t>
      </w:r>
      <w:r w:rsidR="00C9117C">
        <w:rPr>
          <w:rFonts w:ascii="Times New Roman" w:hAnsi="Times New Roman" w:cs="Times New Roman"/>
          <w:sz w:val="24"/>
        </w:rPr>
        <w:t xml:space="preserve"> under Alexander the Great</w:t>
      </w:r>
      <w:r w:rsidR="009F5C06">
        <w:rPr>
          <w:rFonts w:ascii="Times New Roman" w:hAnsi="Times New Roman" w:cs="Times New Roman"/>
          <w:sz w:val="24"/>
        </w:rPr>
        <w:t xml:space="preserve">. Antigonus </w:t>
      </w:r>
      <w:r>
        <w:rPr>
          <w:rFonts w:ascii="Times New Roman" w:hAnsi="Times New Roman" w:cs="Times New Roman"/>
          <w:sz w:val="24"/>
        </w:rPr>
        <w:t>was born c. 382 BCE in Elimeia</w:t>
      </w:r>
      <w:r w:rsidR="001D455C">
        <w:rPr>
          <w:rFonts w:ascii="Times New Roman" w:hAnsi="Times New Roman" w:cs="Times New Roman"/>
          <w:sz w:val="24"/>
        </w:rPr>
        <w:t>,</w:t>
      </w:r>
      <w:r w:rsidR="00A47D17">
        <w:rPr>
          <w:rFonts w:ascii="Times New Roman" w:hAnsi="Times New Roman" w:cs="Times New Roman"/>
          <w:sz w:val="24"/>
        </w:rPr>
        <w:t xml:space="preserve"> Macedon</w:t>
      </w:r>
      <w:r w:rsidR="002C58CE">
        <w:rPr>
          <w:rFonts w:ascii="Times New Roman" w:hAnsi="Times New Roman" w:cs="Times New Roman"/>
          <w:sz w:val="24"/>
        </w:rPr>
        <w:t xml:space="preserve"> and was a contemporary of Phillip II</w:t>
      </w:r>
      <w:r w:rsidR="00F10C3B">
        <w:rPr>
          <w:rStyle w:val="FootnoteReference"/>
          <w:rFonts w:ascii="Times New Roman" w:hAnsi="Times New Roman" w:cs="Times New Roman"/>
          <w:sz w:val="24"/>
        </w:rPr>
        <w:footnoteReference w:id="2"/>
      </w:r>
      <w:r w:rsidR="002C58CE">
        <w:rPr>
          <w:rFonts w:ascii="Times New Roman" w:hAnsi="Times New Roman" w:cs="Times New Roman"/>
          <w:sz w:val="24"/>
        </w:rPr>
        <w:t>, but outlived the king by 35 years</w:t>
      </w:r>
      <w:r w:rsidR="00FB29C4">
        <w:rPr>
          <w:rFonts w:ascii="Times New Roman" w:hAnsi="Times New Roman" w:cs="Times New Roman"/>
          <w:sz w:val="24"/>
        </w:rPr>
        <w:t>.</w:t>
      </w:r>
      <w:r w:rsidR="00A47D17">
        <w:rPr>
          <w:rFonts w:ascii="Times New Roman" w:hAnsi="Times New Roman" w:cs="Times New Roman"/>
          <w:sz w:val="24"/>
        </w:rPr>
        <w:t xml:space="preserve"> H</w:t>
      </w:r>
      <w:r w:rsidR="001D455C">
        <w:rPr>
          <w:rFonts w:ascii="Times New Roman" w:hAnsi="Times New Roman" w:cs="Times New Roman"/>
          <w:sz w:val="24"/>
        </w:rPr>
        <w:t>is father was Philippos but his mother’s name was not recorded</w:t>
      </w:r>
      <w:r w:rsidR="00657BD9">
        <w:rPr>
          <w:rFonts w:ascii="Times New Roman" w:hAnsi="Times New Roman" w:cs="Times New Roman"/>
          <w:sz w:val="24"/>
        </w:rPr>
        <w:t xml:space="preserve">, Antigonus also had two biological brothers and one half-brother after his mother re-married to </w:t>
      </w:r>
      <w:r w:rsidR="00DA194F">
        <w:rPr>
          <w:rFonts w:ascii="Times New Roman" w:hAnsi="Times New Roman" w:cs="Times New Roman"/>
          <w:sz w:val="24"/>
        </w:rPr>
        <w:t>Periandros</w:t>
      </w:r>
      <w:r w:rsidR="00896394">
        <w:rPr>
          <w:rFonts w:ascii="Times New Roman" w:hAnsi="Times New Roman" w:cs="Times New Roman"/>
          <w:sz w:val="24"/>
        </w:rPr>
        <w:t>, and two</w:t>
      </w:r>
      <w:r w:rsidR="003466E9">
        <w:rPr>
          <w:rFonts w:ascii="Times New Roman" w:hAnsi="Times New Roman" w:cs="Times New Roman"/>
          <w:sz w:val="24"/>
        </w:rPr>
        <w:t xml:space="preserve"> biological son, Demetrius Poliocretes who would eventually become king of Macedonia</w:t>
      </w:r>
      <w:r w:rsidR="00896394">
        <w:rPr>
          <w:rFonts w:ascii="Times New Roman" w:hAnsi="Times New Roman" w:cs="Times New Roman"/>
          <w:sz w:val="24"/>
        </w:rPr>
        <w:t xml:space="preserve"> and Phillip after his brother and father, Demetrius is debated as to whether he was Antigonus’ son or nephew</w:t>
      </w:r>
      <w:r w:rsidR="00896394">
        <w:rPr>
          <w:rStyle w:val="FootnoteReference"/>
          <w:rFonts w:ascii="Times New Roman" w:hAnsi="Times New Roman" w:cs="Times New Roman"/>
          <w:sz w:val="24"/>
        </w:rPr>
        <w:footnoteReference w:id="3"/>
      </w:r>
      <w:r w:rsidR="00DA194F">
        <w:rPr>
          <w:rFonts w:ascii="Times New Roman" w:hAnsi="Times New Roman" w:cs="Times New Roman"/>
          <w:sz w:val="24"/>
        </w:rPr>
        <w:t xml:space="preserve">. </w:t>
      </w:r>
      <w:r w:rsidR="00340B0F">
        <w:rPr>
          <w:rFonts w:ascii="Times New Roman" w:hAnsi="Times New Roman" w:cs="Times New Roman"/>
          <w:sz w:val="24"/>
        </w:rPr>
        <w:t>Antigonus’ family social status is disputed as to whether he came from peasant or yeoman stock or if he was linked Macedonian royal house</w:t>
      </w:r>
      <w:r w:rsidR="00340B0F">
        <w:rPr>
          <w:rStyle w:val="FootnoteReference"/>
          <w:rFonts w:ascii="Times New Roman" w:hAnsi="Times New Roman" w:cs="Times New Roman"/>
          <w:sz w:val="24"/>
        </w:rPr>
        <w:footnoteReference w:id="4"/>
      </w:r>
      <w:r w:rsidR="00A05AFD">
        <w:rPr>
          <w:rFonts w:ascii="Times New Roman" w:hAnsi="Times New Roman" w:cs="Times New Roman"/>
          <w:sz w:val="24"/>
        </w:rPr>
        <w:t xml:space="preserve">. </w:t>
      </w:r>
      <w:r w:rsidR="006D420A">
        <w:rPr>
          <w:rFonts w:ascii="Times New Roman" w:hAnsi="Times New Roman" w:cs="Times New Roman"/>
          <w:sz w:val="24"/>
        </w:rPr>
        <w:t>Billows intercedes into the argument by stating Antigonus’ family were from noble birth because many of his family members, including himself, married into other noble families</w:t>
      </w:r>
      <w:r w:rsidR="004211CD">
        <w:rPr>
          <w:rStyle w:val="FootnoteReference"/>
          <w:rFonts w:ascii="Times New Roman" w:hAnsi="Times New Roman" w:cs="Times New Roman"/>
          <w:sz w:val="24"/>
        </w:rPr>
        <w:footnoteReference w:id="5"/>
      </w:r>
      <w:r w:rsidR="006D420A">
        <w:rPr>
          <w:rFonts w:ascii="Times New Roman" w:hAnsi="Times New Roman" w:cs="Times New Roman"/>
          <w:sz w:val="24"/>
        </w:rPr>
        <w:t xml:space="preserve">, </w:t>
      </w:r>
      <w:r w:rsidR="00BA560B">
        <w:rPr>
          <w:rFonts w:ascii="Times New Roman" w:hAnsi="Times New Roman" w:cs="Times New Roman"/>
          <w:sz w:val="24"/>
        </w:rPr>
        <w:t>and this shall be where I place myself within the scholarship.</w:t>
      </w:r>
      <w:r w:rsidR="0005369F">
        <w:rPr>
          <w:rFonts w:ascii="Times New Roman" w:hAnsi="Times New Roman" w:cs="Times New Roman"/>
          <w:sz w:val="24"/>
        </w:rPr>
        <w:t xml:space="preserve"> </w:t>
      </w:r>
      <w:r w:rsidR="00314A79">
        <w:rPr>
          <w:rFonts w:ascii="Times New Roman" w:hAnsi="Times New Roman" w:cs="Times New Roman"/>
          <w:sz w:val="24"/>
        </w:rPr>
        <w:t>During Antigonus’ early life he is said to have helped Phillip II tremendously with the reformation of Macedonian life, and predominantly their military power in the eastern Mediterranean</w:t>
      </w:r>
      <w:r w:rsidR="00042B48">
        <w:rPr>
          <w:rStyle w:val="FootnoteReference"/>
          <w:rFonts w:ascii="Times New Roman" w:hAnsi="Times New Roman" w:cs="Times New Roman"/>
          <w:sz w:val="24"/>
        </w:rPr>
        <w:footnoteReference w:id="6"/>
      </w:r>
      <w:r w:rsidR="00314A79">
        <w:rPr>
          <w:rFonts w:ascii="Times New Roman" w:hAnsi="Times New Roman" w:cs="Times New Roman"/>
          <w:sz w:val="24"/>
        </w:rPr>
        <w:t xml:space="preserve">. </w:t>
      </w:r>
      <w:r w:rsidR="005558BD">
        <w:rPr>
          <w:rFonts w:ascii="Times New Roman" w:hAnsi="Times New Roman" w:cs="Times New Roman"/>
          <w:sz w:val="24"/>
        </w:rPr>
        <w:t>However, we have lost many of the primary sources for the reign of Phillip II and therefore know very little about Antigonus’ life and career under Phillip which lasts 23 years</w:t>
      </w:r>
      <w:r w:rsidR="009A21CE">
        <w:rPr>
          <w:rFonts w:ascii="Times New Roman" w:hAnsi="Times New Roman" w:cs="Times New Roman"/>
          <w:sz w:val="24"/>
        </w:rPr>
        <w:t>, but this time period will have no doubt have shaped Antigonus’ views and careers as a military officer and administrator</w:t>
      </w:r>
      <w:r w:rsidR="007D31F6">
        <w:rPr>
          <w:rStyle w:val="FootnoteReference"/>
          <w:rFonts w:ascii="Times New Roman" w:hAnsi="Times New Roman" w:cs="Times New Roman"/>
          <w:sz w:val="24"/>
        </w:rPr>
        <w:footnoteReference w:id="7"/>
      </w:r>
      <w:r w:rsidR="009A21CE">
        <w:rPr>
          <w:rFonts w:ascii="Times New Roman" w:hAnsi="Times New Roman" w:cs="Times New Roman"/>
          <w:sz w:val="24"/>
        </w:rPr>
        <w:t>.</w:t>
      </w:r>
      <w:r w:rsidR="009C246B">
        <w:rPr>
          <w:rFonts w:ascii="Times New Roman" w:hAnsi="Times New Roman" w:cs="Times New Roman"/>
          <w:sz w:val="24"/>
        </w:rPr>
        <w:t xml:space="preserve"> Also, there is evidence that supports the fact that Antigonus played an important role at the siege of Perinthos in 340BC and some sources say that it is at this point that he lost an eye and was given the nick</w:t>
      </w:r>
      <w:r w:rsidR="00B81F97">
        <w:rPr>
          <w:rFonts w:ascii="Times New Roman" w:hAnsi="Times New Roman" w:cs="Times New Roman"/>
          <w:sz w:val="24"/>
        </w:rPr>
        <w:t>-</w:t>
      </w:r>
      <w:proofErr w:type="gramStart"/>
      <w:r w:rsidR="009C246B">
        <w:rPr>
          <w:rFonts w:ascii="Times New Roman" w:hAnsi="Times New Roman" w:cs="Times New Roman"/>
          <w:sz w:val="24"/>
        </w:rPr>
        <w:t>name</w:t>
      </w:r>
      <w:proofErr w:type="gramEnd"/>
      <w:r w:rsidR="009C246B">
        <w:rPr>
          <w:rFonts w:ascii="Times New Roman" w:hAnsi="Times New Roman" w:cs="Times New Roman"/>
          <w:sz w:val="24"/>
        </w:rPr>
        <w:t xml:space="preserve"> “one-eyed”.</w:t>
      </w:r>
      <w:r w:rsidR="00F82209">
        <w:rPr>
          <w:rFonts w:ascii="Times New Roman" w:hAnsi="Times New Roman" w:cs="Times New Roman"/>
          <w:sz w:val="24"/>
        </w:rPr>
        <w:t xml:space="preserve"> During the year 333 BCE Antigonus was appointed satrap of greater </w:t>
      </w:r>
      <w:r w:rsidR="00F82209">
        <w:rPr>
          <w:rFonts w:ascii="Times New Roman" w:hAnsi="Times New Roman" w:cs="Times New Roman"/>
          <w:sz w:val="24"/>
        </w:rPr>
        <w:lastRenderedPageBreak/>
        <w:t>Phrygia however, he no longer had any influence on the events of war for Alexander and contact was cut between himself and the king</w:t>
      </w:r>
      <w:r w:rsidR="00F84899">
        <w:rPr>
          <w:rFonts w:ascii="Times New Roman" w:hAnsi="Times New Roman" w:cs="Times New Roman"/>
          <w:sz w:val="24"/>
        </w:rPr>
        <w:t>, despite this the role of satrap of greater Phrygia was an important one for Alexander’s empire</w:t>
      </w:r>
      <w:r w:rsidR="00CE6118">
        <w:rPr>
          <w:rStyle w:val="FootnoteReference"/>
          <w:rFonts w:ascii="Times New Roman" w:hAnsi="Times New Roman" w:cs="Times New Roman"/>
          <w:sz w:val="24"/>
        </w:rPr>
        <w:footnoteReference w:id="8"/>
      </w:r>
      <w:r w:rsidR="00F84899">
        <w:rPr>
          <w:rFonts w:ascii="Times New Roman" w:hAnsi="Times New Roman" w:cs="Times New Roman"/>
          <w:sz w:val="24"/>
        </w:rPr>
        <w:t>.</w:t>
      </w:r>
      <w:r w:rsidR="002C45F3">
        <w:rPr>
          <w:rFonts w:ascii="Times New Roman" w:hAnsi="Times New Roman" w:cs="Times New Roman"/>
          <w:sz w:val="24"/>
        </w:rPr>
        <w:t xml:space="preserve"> Antigonus was victorious again over the course of three battles against Persian refugees from Issus in c.332</w:t>
      </w:r>
      <w:r w:rsidR="002C45F3">
        <w:rPr>
          <w:rStyle w:val="FootnoteReference"/>
          <w:rFonts w:ascii="Times New Roman" w:hAnsi="Times New Roman" w:cs="Times New Roman"/>
          <w:sz w:val="24"/>
        </w:rPr>
        <w:footnoteReference w:id="9"/>
      </w:r>
      <w:r w:rsidR="004379BE">
        <w:rPr>
          <w:rFonts w:ascii="Times New Roman" w:hAnsi="Times New Roman" w:cs="Times New Roman"/>
          <w:sz w:val="24"/>
        </w:rPr>
        <w:t>. In the following year with Alexander’s victory over the Persians Antigonus</w:t>
      </w:r>
      <w:r w:rsidR="00872C2B">
        <w:rPr>
          <w:rFonts w:ascii="Times New Roman" w:hAnsi="Times New Roman" w:cs="Times New Roman"/>
          <w:sz w:val="24"/>
        </w:rPr>
        <w:t xml:space="preserve"> was given</w:t>
      </w:r>
      <w:r w:rsidR="004379BE">
        <w:rPr>
          <w:rFonts w:ascii="Times New Roman" w:hAnsi="Times New Roman" w:cs="Times New Roman"/>
          <w:sz w:val="24"/>
        </w:rPr>
        <w:t xml:space="preserve"> the region of Asia</w:t>
      </w:r>
      <w:r w:rsidR="004379BE">
        <w:rPr>
          <w:rStyle w:val="FootnoteReference"/>
          <w:rFonts w:ascii="Times New Roman" w:hAnsi="Times New Roman" w:cs="Times New Roman"/>
          <w:sz w:val="24"/>
        </w:rPr>
        <w:footnoteReference w:id="10"/>
      </w:r>
      <w:r w:rsidR="00872C2B">
        <w:rPr>
          <w:rFonts w:ascii="Times New Roman" w:hAnsi="Times New Roman" w:cs="Times New Roman"/>
          <w:sz w:val="24"/>
        </w:rPr>
        <w:t xml:space="preserve">. </w:t>
      </w:r>
      <w:r w:rsidR="00ED308A">
        <w:rPr>
          <w:rFonts w:ascii="Times New Roman" w:hAnsi="Times New Roman" w:cs="Times New Roman"/>
          <w:sz w:val="24"/>
        </w:rPr>
        <w:t>In 330 Antigonus is said to have been out in charge of Lykia and Pamphylia, however this is disputed by Appian</w:t>
      </w:r>
      <w:r w:rsidR="00ED308A">
        <w:rPr>
          <w:rStyle w:val="FootnoteReference"/>
          <w:rFonts w:ascii="Times New Roman" w:hAnsi="Times New Roman" w:cs="Times New Roman"/>
          <w:sz w:val="24"/>
        </w:rPr>
        <w:footnoteReference w:id="11"/>
      </w:r>
      <w:r w:rsidR="00404EF1">
        <w:rPr>
          <w:rFonts w:ascii="Times New Roman" w:hAnsi="Times New Roman" w:cs="Times New Roman"/>
          <w:sz w:val="24"/>
        </w:rPr>
        <w:t>. The proceeding years and that precede Alexander’s death is also not documented in the sources, or ones that have survived to this date.</w:t>
      </w:r>
      <w:r w:rsidR="00FA2BAB">
        <w:rPr>
          <w:rFonts w:ascii="Times New Roman" w:hAnsi="Times New Roman" w:cs="Times New Roman"/>
          <w:sz w:val="24"/>
        </w:rPr>
        <w:t xml:space="preserve"> Alexander died in 323 and this created essentially a power vacuum in regards to the empire. Perdiccas had taken supreme command shortly after and gave Antigonus Pamphylia, Lykia and, what was known as greater Phrygia</w:t>
      </w:r>
      <w:r w:rsidR="00FA2BAB">
        <w:rPr>
          <w:rStyle w:val="FootnoteReference"/>
          <w:rFonts w:ascii="Times New Roman" w:hAnsi="Times New Roman" w:cs="Times New Roman"/>
          <w:sz w:val="24"/>
        </w:rPr>
        <w:footnoteReference w:id="12"/>
      </w:r>
      <w:r w:rsidR="007901E6">
        <w:rPr>
          <w:rFonts w:ascii="Times New Roman" w:hAnsi="Times New Roman" w:cs="Times New Roman"/>
          <w:sz w:val="24"/>
        </w:rPr>
        <w:t xml:space="preserve"> and thus followed what I would call Antigonus’ rise to power over the next 20 years</w:t>
      </w:r>
      <w:r w:rsidR="00FA2BAB">
        <w:rPr>
          <w:rFonts w:ascii="Times New Roman" w:hAnsi="Times New Roman" w:cs="Times New Roman"/>
          <w:sz w:val="24"/>
        </w:rPr>
        <w:t>.</w:t>
      </w:r>
      <w:r w:rsidR="001A6546">
        <w:rPr>
          <w:rFonts w:ascii="Times New Roman" w:hAnsi="Times New Roman" w:cs="Times New Roman"/>
          <w:sz w:val="24"/>
        </w:rPr>
        <w:t xml:space="preserve"> At this point, Antigonus was asked to help conquer Kappadokia and Paphlagonia with Leonnatos as a satrap for Eumenes, </w:t>
      </w:r>
      <w:r w:rsidR="00EA78E5">
        <w:rPr>
          <w:rFonts w:ascii="Times New Roman" w:hAnsi="Times New Roman" w:cs="Times New Roman"/>
          <w:sz w:val="24"/>
        </w:rPr>
        <w:t>Antigonus</w:t>
      </w:r>
      <w:r w:rsidR="001A6546">
        <w:rPr>
          <w:rFonts w:ascii="Times New Roman" w:hAnsi="Times New Roman" w:cs="Times New Roman"/>
          <w:sz w:val="24"/>
        </w:rPr>
        <w:t xml:space="preserve"> </w:t>
      </w:r>
      <w:r w:rsidR="00EA78E5">
        <w:rPr>
          <w:rFonts w:ascii="Times New Roman" w:hAnsi="Times New Roman" w:cs="Times New Roman"/>
          <w:sz w:val="24"/>
        </w:rPr>
        <w:t>refused as it would have potentially made Eumenes more powerful than himself due to the location of their satrapy</w:t>
      </w:r>
      <w:r w:rsidR="00EA78E5">
        <w:rPr>
          <w:rStyle w:val="FootnoteReference"/>
          <w:rFonts w:ascii="Times New Roman" w:hAnsi="Times New Roman" w:cs="Times New Roman"/>
          <w:sz w:val="24"/>
        </w:rPr>
        <w:footnoteReference w:id="13"/>
      </w:r>
      <w:r w:rsidR="00EA78E5">
        <w:rPr>
          <w:rFonts w:ascii="Times New Roman" w:hAnsi="Times New Roman" w:cs="Times New Roman"/>
          <w:sz w:val="24"/>
        </w:rPr>
        <w:t>.</w:t>
      </w:r>
      <w:r w:rsidR="00214189">
        <w:rPr>
          <w:rFonts w:ascii="Times New Roman" w:hAnsi="Times New Roman" w:cs="Times New Roman"/>
          <w:sz w:val="24"/>
        </w:rPr>
        <w:t xml:space="preserve"> As a result of this Antigonus </w:t>
      </w:r>
      <w:r w:rsidR="00063D4C">
        <w:rPr>
          <w:rFonts w:ascii="Times New Roman" w:hAnsi="Times New Roman" w:cs="Times New Roman"/>
          <w:sz w:val="24"/>
        </w:rPr>
        <w:t>was summoned by Perdiccas to stand trial in 322 with charges characterized by Diodorus as</w:t>
      </w:r>
      <w:r w:rsidR="00214189">
        <w:rPr>
          <w:rFonts w:ascii="Times New Roman" w:hAnsi="Times New Roman" w:cs="Times New Roman"/>
          <w:sz w:val="24"/>
        </w:rPr>
        <w:t xml:space="preserve"> </w:t>
      </w:r>
      <w:r w:rsidR="00063D4C">
        <w:rPr>
          <w:rFonts w:ascii="Times New Roman" w:hAnsi="Times New Roman" w:cs="Times New Roman"/>
          <w:sz w:val="24"/>
        </w:rPr>
        <w:t>“false slanders and unjust accusations”</w:t>
      </w:r>
      <w:r w:rsidR="00063D4C">
        <w:rPr>
          <w:rStyle w:val="FootnoteReference"/>
          <w:rFonts w:ascii="Times New Roman" w:hAnsi="Times New Roman" w:cs="Times New Roman"/>
          <w:sz w:val="24"/>
        </w:rPr>
        <w:footnoteReference w:id="14"/>
      </w:r>
      <w:r w:rsidR="00D151D1">
        <w:rPr>
          <w:rFonts w:ascii="Times New Roman" w:hAnsi="Times New Roman" w:cs="Times New Roman"/>
          <w:sz w:val="24"/>
        </w:rPr>
        <w:t>, however the real charges have not survived in the sources.</w:t>
      </w:r>
      <w:r w:rsidR="004C2C5E">
        <w:rPr>
          <w:rFonts w:ascii="Times New Roman" w:hAnsi="Times New Roman" w:cs="Times New Roman"/>
          <w:sz w:val="24"/>
        </w:rPr>
        <w:t xml:space="preserve"> </w:t>
      </w:r>
      <w:r w:rsidR="00E84C58">
        <w:rPr>
          <w:rFonts w:ascii="Times New Roman" w:hAnsi="Times New Roman" w:cs="Times New Roman"/>
          <w:sz w:val="24"/>
        </w:rPr>
        <w:t>Chaos ensued and battles were thought across the empire, satrap against satrap, Antigonu</w:t>
      </w:r>
      <w:r w:rsidR="00510E21">
        <w:rPr>
          <w:rFonts w:ascii="Times New Roman" w:hAnsi="Times New Roman" w:cs="Times New Roman"/>
          <w:sz w:val="24"/>
        </w:rPr>
        <w:t>s, fought in the successor’s</w:t>
      </w:r>
      <w:r w:rsidR="00E84C58">
        <w:rPr>
          <w:rFonts w:ascii="Times New Roman" w:hAnsi="Times New Roman" w:cs="Times New Roman"/>
          <w:sz w:val="24"/>
        </w:rPr>
        <w:t xml:space="preserve"> war in 322 against </w:t>
      </w:r>
      <w:r w:rsidR="00510E21">
        <w:rPr>
          <w:rFonts w:ascii="Times New Roman" w:hAnsi="Times New Roman" w:cs="Times New Roman"/>
          <w:sz w:val="24"/>
        </w:rPr>
        <w:t>Eumenes and the remainder</w:t>
      </w:r>
      <w:r w:rsidR="003703C9">
        <w:rPr>
          <w:rFonts w:ascii="Times New Roman" w:hAnsi="Times New Roman" w:cs="Times New Roman"/>
          <w:sz w:val="24"/>
        </w:rPr>
        <w:t xml:space="preserve"> of the perdikkan faction</w:t>
      </w:r>
      <w:r w:rsidR="00510E21">
        <w:rPr>
          <w:rFonts w:ascii="Times New Roman" w:hAnsi="Times New Roman" w:cs="Times New Roman"/>
          <w:sz w:val="24"/>
        </w:rPr>
        <w:t>.</w:t>
      </w:r>
      <w:r w:rsidR="00B81F97">
        <w:rPr>
          <w:rFonts w:ascii="Times New Roman" w:hAnsi="Times New Roman" w:cs="Times New Roman"/>
          <w:sz w:val="24"/>
        </w:rPr>
        <w:t xml:space="preserve"> </w:t>
      </w:r>
      <w:r w:rsidR="00C83C9A">
        <w:rPr>
          <w:rFonts w:ascii="Times New Roman" w:hAnsi="Times New Roman" w:cs="Times New Roman"/>
          <w:sz w:val="24"/>
        </w:rPr>
        <w:t>Antigonus, from here escapes to Europe</w:t>
      </w:r>
      <w:r w:rsidR="009079C4">
        <w:rPr>
          <w:rFonts w:ascii="Times New Roman" w:hAnsi="Times New Roman" w:cs="Times New Roman"/>
          <w:sz w:val="24"/>
        </w:rPr>
        <w:t xml:space="preserve"> from Asia Minor with his friends and family in Athenian ships, sources debate to whether this was with the help of Meandros</w:t>
      </w:r>
      <w:r w:rsidR="009079C4">
        <w:rPr>
          <w:rStyle w:val="FootnoteReference"/>
          <w:rFonts w:ascii="Times New Roman" w:hAnsi="Times New Roman" w:cs="Times New Roman"/>
          <w:sz w:val="24"/>
        </w:rPr>
        <w:footnoteReference w:id="15"/>
      </w:r>
      <w:r w:rsidR="009079C4">
        <w:rPr>
          <w:rFonts w:ascii="Times New Roman" w:hAnsi="Times New Roman" w:cs="Times New Roman"/>
          <w:sz w:val="24"/>
        </w:rPr>
        <w:t xml:space="preserve">. Antigonus arrived in 321 and joined Antipatros and </w:t>
      </w:r>
      <w:r w:rsidR="009079C4">
        <w:rPr>
          <w:rFonts w:ascii="Times New Roman" w:hAnsi="Times New Roman" w:cs="Times New Roman"/>
          <w:sz w:val="24"/>
        </w:rPr>
        <w:lastRenderedPageBreak/>
        <w:t>Krateros, and they set about addressing the problem of Perdiccas, with Ptolemy who had also experienced hostilities with Perdiccas</w:t>
      </w:r>
      <w:r w:rsidR="00772EEF">
        <w:rPr>
          <w:rStyle w:val="FootnoteReference"/>
          <w:rFonts w:ascii="Times New Roman" w:hAnsi="Times New Roman" w:cs="Times New Roman"/>
          <w:sz w:val="24"/>
        </w:rPr>
        <w:footnoteReference w:id="16"/>
      </w:r>
      <w:r w:rsidR="009079C4">
        <w:rPr>
          <w:rFonts w:ascii="Times New Roman" w:hAnsi="Times New Roman" w:cs="Times New Roman"/>
          <w:sz w:val="24"/>
        </w:rPr>
        <w:t>.</w:t>
      </w:r>
      <w:r w:rsidR="004A1A39">
        <w:rPr>
          <w:rFonts w:ascii="Times New Roman" w:hAnsi="Times New Roman" w:cs="Times New Roman"/>
          <w:sz w:val="24"/>
        </w:rPr>
        <w:t xml:space="preserve"> </w:t>
      </w:r>
    </w:p>
    <w:p w14:paraId="47DE8BC8" w14:textId="40D6448E" w:rsidR="004A1A39" w:rsidRDefault="004A1A39" w:rsidP="005B73CE">
      <w:pPr>
        <w:spacing w:line="480" w:lineRule="auto"/>
        <w:rPr>
          <w:rFonts w:ascii="Times New Roman" w:hAnsi="Times New Roman" w:cs="Times New Roman"/>
          <w:sz w:val="24"/>
        </w:rPr>
      </w:pPr>
    </w:p>
    <w:p w14:paraId="7710C1B7" w14:textId="7A3FD5A5" w:rsidR="004A1A39" w:rsidRDefault="004A1A39" w:rsidP="005B73CE">
      <w:pPr>
        <w:spacing w:line="480" w:lineRule="auto"/>
        <w:rPr>
          <w:rFonts w:ascii="Times New Roman" w:hAnsi="Times New Roman" w:cs="Times New Roman"/>
          <w:sz w:val="24"/>
        </w:rPr>
      </w:pPr>
    </w:p>
    <w:p w14:paraId="7DF40D47" w14:textId="4F9745E1" w:rsidR="004A1A39" w:rsidRDefault="004A1A39" w:rsidP="005B73CE">
      <w:pPr>
        <w:spacing w:line="480" w:lineRule="auto"/>
        <w:rPr>
          <w:rFonts w:ascii="Times New Roman" w:hAnsi="Times New Roman" w:cs="Times New Roman"/>
          <w:sz w:val="24"/>
        </w:rPr>
      </w:pPr>
    </w:p>
    <w:p w14:paraId="7960AD4A" w14:textId="04F16421" w:rsidR="004A1A39" w:rsidRDefault="004A1A39" w:rsidP="005B73CE">
      <w:pPr>
        <w:spacing w:line="480" w:lineRule="auto"/>
        <w:rPr>
          <w:rFonts w:ascii="Times New Roman" w:hAnsi="Times New Roman" w:cs="Times New Roman"/>
          <w:sz w:val="24"/>
        </w:rPr>
      </w:pPr>
    </w:p>
    <w:p w14:paraId="3B9AFE43" w14:textId="4005BA77" w:rsidR="004A1A39" w:rsidRDefault="004A1A39" w:rsidP="005B73CE">
      <w:pPr>
        <w:spacing w:line="480" w:lineRule="auto"/>
        <w:rPr>
          <w:rFonts w:ascii="Times New Roman" w:hAnsi="Times New Roman" w:cs="Times New Roman"/>
          <w:sz w:val="24"/>
        </w:rPr>
      </w:pPr>
    </w:p>
    <w:p w14:paraId="36CF3408" w14:textId="60125BB7" w:rsidR="004A1A39" w:rsidRDefault="004A1A39" w:rsidP="005B73CE">
      <w:pPr>
        <w:spacing w:line="480" w:lineRule="auto"/>
        <w:rPr>
          <w:rFonts w:ascii="Times New Roman" w:hAnsi="Times New Roman" w:cs="Times New Roman"/>
          <w:sz w:val="24"/>
        </w:rPr>
      </w:pPr>
    </w:p>
    <w:p w14:paraId="3B5568E0" w14:textId="6926B615" w:rsidR="004A1A39" w:rsidRDefault="004A1A39" w:rsidP="005B73CE">
      <w:pPr>
        <w:spacing w:line="480" w:lineRule="auto"/>
        <w:rPr>
          <w:rFonts w:ascii="Times New Roman" w:hAnsi="Times New Roman" w:cs="Times New Roman"/>
          <w:sz w:val="24"/>
        </w:rPr>
      </w:pPr>
    </w:p>
    <w:p w14:paraId="0D243C0B" w14:textId="2FC9233E" w:rsidR="004A1A39" w:rsidRDefault="004A1A39" w:rsidP="005B73CE">
      <w:pPr>
        <w:spacing w:line="480" w:lineRule="auto"/>
        <w:rPr>
          <w:rFonts w:ascii="Times New Roman" w:hAnsi="Times New Roman" w:cs="Times New Roman"/>
          <w:sz w:val="24"/>
        </w:rPr>
      </w:pPr>
    </w:p>
    <w:p w14:paraId="5259D285" w14:textId="6F7F5D18" w:rsidR="004A1A39" w:rsidRDefault="004A1A39" w:rsidP="005B73CE">
      <w:pPr>
        <w:spacing w:line="480" w:lineRule="auto"/>
        <w:rPr>
          <w:rFonts w:ascii="Times New Roman" w:hAnsi="Times New Roman" w:cs="Times New Roman"/>
          <w:sz w:val="24"/>
        </w:rPr>
      </w:pPr>
    </w:p>
    <w:p w14:paraId="04235483" w14:textId="25FC70BD" w:rsidR="004A1A39" w:rsidRDefault="004A1A39" w:rsidP="005B73CE">
      <w:pPr>
        <w:spacing w:line="480" w:lineRule="auto"/>
        <w:rPr>
          <w:rFonts w:ascii="Times New Roman" w:hAnsi="Times New Roman" w:cs="Times New Roman"/>
          <w:sz w:val="24"/>
        </w:rPr>
      </w:pPr>
    </w:p>
    <w:p w14:paraId="607DC5B8" w14:textId="040D0AD9" w:rsidR="004A1A39" w:rsidRDefault="004A1A39" w:rsidP="005B73CE">
      <w:pPr>
        <w:spacing w:line="480" w:lineRule="auto"/>
        <w:rPr>
          <w:rFonts w:ascii="Times New Roman" w:hAnsi="Times New Roman" w:cs="Times New Roman"/>
          <w:sz w:val="24"/>
        </w:rPr>
      </w:pPr>
    </w:p>
    <w:p w14:paraId="0365CFBF" w14:textId="42B74E2D" w:rsidR="004A1A39" w:rsidRDefault="004A1A39" w:rsidP="005B73CE">
      <w:pPr>
        <w:spacing w:line="480" w:lineRule="auto"/>
        <w:rPr>
          <w:rFonts w:ascii="Times New Roman" w:hAnsi="Times New Roman" w:cs="Times New Roman"/>
          <w:sz w:val="24"/>
        </w:rPr>
      </w:pPr>
    </w:p>
    <w:p w14:paraId="0D3EE7E4" w14:textId="0D2B61E7" w:rsidR="004A1A39" w:rsidRDefault="004A1A39" w:rsidP="005B73CE">
      <w:pPr>
        <w:spacing w:line="480" w:lineRule="auto"/>
        <w:rPr>
          <w:rFonts w:ascii="Times New Roman" w:hAnsi="Times New Roman" w:cs="Times New Roman"/>
          <w:sz w:val="24"/>
        </w:rPr>
      </w:pPr>
    </w:p>
    <w:p w14:paraId="54578E65" w14:textId="45199AC7" w:rsidR="004A1A39" w:rsidRDefault="004A1A39" w:rsidP="005B73CE">
      <w:pPr>
        <w:spacing w:line="480" w:lineRule="auto"/>
        <w:rPr>
          <w:rFonts w:ascii="Times New Roman" w:hAnsi="Times New Roman" w:cs="Times New Roman"/>
          <w:sz w:val="24"/>
        </w:rPr>
      </w:pPr>
    </w:p>
    <w:p w14:paraId="0253A82D" w14:textId="77D9BC1B" w:rsidR="004A1A39" w:rsidRDefault="004A1A39" w:rsidP="005B73CE">
      <w:pPr>
        <w:spacing w:line="480" w:lineRule="auto"/>
        <w:rPr>
          <w:rFonts w:ascii="Times New Roman" w:hAnsi="Times New Roman" w:cs="Times New Roman"/>
          <w:sz w:val="24"/>
        </w:rPr>
      </w:pPr>
    </w:p>
    <w:p w14:paraId="771244CA" w14:textId="5D3DAE85" w:rsidR="004A1A39" w:rsidRDefault="004A1A39" w:rsidP="005B73CE">
      <w:pPr>
        <w:spacing w:line="480" w:lineRule="auto"/>
        <w:rPr>
          <w:rFonts w:ascii="Times New Roman" w:hAnsi="Times New Roman" w:cs="Times New Roman"/>
          <w:sz w:val="24"/>
        </w:rPr>
      </w:pPr>
    </w:p>
    <w:p w14:paraId="225D19F5" w14:textId="56BDEB30" w:rsidR="004A1A39" w:rsidRDefault="004A1A39" w:rsidP="005B73CE">
      <w:pPr>
        <w:spacing w:line="480" w:lineRule="auto"/>
        <w:rPr>
          <w:rFonts w:ascii="Times New Roman" w:hAnsi="Times New Roman" w:cs="Times New Roman"/>
          <w:sz w:val="24"/>
        </w:rPr>
      </w:pPr>
    </w:p>
    <w:p w14:paraId="4EF47CDC" w14:textId="0A028DDE" w:rsidR="004A1A39" w:rsidRDefault="004A1A39" w:rsidP="005B73CE">
      <w:pPr>
        <w:spacing w:line="480" w:lineRule="auto"/>
        <w:rPr>
          <w:rFonts w:ascii="Times New Roman" w:hAnsi="Times New Roman" w:cs="Times New Roman"/>
          <w:sz w:val="24"/>
        </w:rPr>
      </w:pPr>
      <w:r>
        <w:rPr>
          <w:rFonts w:ascii="Times New Roman" w:hAnsi="Times New Roman" w:cs="Times New Roman"/>
          <w:sz w:val="24"/>
        </w:rPr>
        <w:lastRenderedPageBreak/>
        <w:t>Bibliography:</w:t>
      </w:r>
    </w:p>
    <w:p w14:paraId="1F094462" w14:textId="16603091" w:rsidR="004A1A39" w:rsidRDefault="004A1A39" w:rsidP="005B73CE">
      <w:pPr>
        <w:spacing w:line="480" w:lineRule="auto"/>
        <w:rPr>
          <w:rFonts w:ascii="Times New Roman" w:hAnsi="Times New Roman" w:cs="Times New Roman"/>
          <w:sz w:val="24"/>
        </w:rPr>
      </w:pPr>
    </w:p>
    <w:p w14:paraId="0333DFE1" w14:textId="78EF7123" w:rsidR="004A1A39" w:rsidRDefault="004A1A39" w:rsidP="005B73CE">
      <w:pPr>
        <w:spacing w:line="480" w:lineRule="auto"/>
        <w:rPr>
          <w:rFonts w:ascii="Times New Roman" w:hAnsi="Times New Roman" w:cs="Times New Roman"/>
          <w:sz w:val="24"/>
        </w:rPr>
      </w:pPr>
      <w:r>
        <w:rPr>
          <w:rFonts w:ascii="Times New Roman" w:hAnsi="Times New Roman" w:cs="Times New Roman"/>
          <w:sz w:val="24"/>
        </w:rPr>
        <w:t>Ancient sources:</w:t>
      </w:r>
    </w:p>
    <w:p w14:paraId="14D44BC5" w14:textId="70E72823" w:rsidR="004A1A39" w:rsidRDefault="00E04396" w:rsidP="005B73CE">
      <w:pPr>
        <w:spacing w:line="480" w:lineRule="auto"/>
        <w:rPr>
          <w:rFonts w:ascii="Times New Roman" w:hAnsi="Times New Roman" w:cs="Times New Roman"/>
          <w:sz w:val="24"/>
        </w:rPr>
      </w:pPr>
      <w:r>
        <w:rPr>
          <w:rFonts w:ascii="Times New Roman" w:hAnsi="Times New Roman" w:cs="Times New Roman"/>
          <w:sz w:val="24"/>
        </w:rPr>
        <w:t xml:space="preserve">Diodorus Siculus. </w:t>
      </w:r>
      <w:r>
        <w:rPr>
          <w:rFonts w:ascii="Times New Roman" w:hAnsi="Times New Roman" w:cs="Times New Roman"/>
          <w:i/>
          <w:sz w:val="24"/>
        </w:rPr>
        <w:t xml:space="preserve">Diodorus of Sicily in twelve volumes. </w:t>
      </w:r>
      <w:r>
        <w:rPr>
          <w:rFonts w:ascii="Times New Roman" w:hAnsi="Times New Roman" w:cs="Times New Roman"/>
          <w:sz w:val="24"/>
        </w:rPr>
        <w:t>C.H. Oldfather (</w:t>
      </w:r>
      <w:proofErr w:type="gramStart"/>
      <w:r>
        <w:rPr>
          <w:rFonts w:ascii="Times New Roman" w:hAnsi="Times New Roman" w:cs="Times New Roman"/>
          <w:sz w:val="24"/>
        </w:rPr>
        <w:t>trans</w:t>
      </w:r>
      <w:proofErr w:type="gramEnd"/>
      <w:r>
        <w:rPr>
          <w:rFonts w:ascii="Times New Roman" w:hAnsi="Times New Roman" w:cs="Times New Roman"/>
          <w:sz w:val="24"/>
        </w:rPr>
        <w:t>.). 1989. London: William Heinemann, Ltd.</w:t>
      </w:r>
    </w:p>
    <w:p w14:paraId="5C77BDDC" w14:textId="3ECE7D85" w:rsidR="00AD4293" w:rsidRDefault="00E04396" w:rsidP="005B73CE">
      <w:pPr>
        <w:spacing w:line="480" w:lineRule="auto"/>
        <w:rPr>
          <w:rFonts w:ascii="Times New Roman" w:hAnsi="Times New Roman" w:cs="Times New Roman"/>
          <w:sz w:val="24"/>
        </w:rPr>
      </w:pPr>
      <w:r>
        <w:rPr>
          <w:rFonts w:ascii="Times New Roman" w:hAnsi="Times New Roman" w:cs="Times New Roman"/>
          <w:sz w:val="24"/>
        </w:rPr>
        <w:t xml:space="preserve">Flavius Josephus. </w:t>
      </w:r>
      <w:r>
        <w:rPr>
          <w:rFonts w:ascii="Times New Roman" w:hAnsi="Times New Roman" w:cs="Times New Roman"/>
          <w:i/>
          <w:sz w:val="24"/>
        </w:rPr>
        <w:t xml:space="preserve">Antiquities of the Jews. </w:t>
      </w:r>
      <w:r>
        <w:rPr>
          <w:rFonts w:ascii="Times New Roman" w:hAnsi="Times New Roman" w:cs="Times New Roman"/>
          <w:sz w:val="24"/>
        </w:rPr>
        <w:t>William Whiston et al (</w:t>
      </w:r>
      <w:proofErr w:type="gramStart"/>
      <w:r>
        <w:rPr>
          <w:rFonts w:ascii="Times New Roman" w:hAnsi="Times New Roman" w:cs="Times New Roman"/>
          <w:sz w:val="24"/>
        </w:rPr>
        <w:t>trans</w:t>
      </w:r>
      <w:proofErr w:type="gramEnd"/>
      <w:r>
        <w:rPr>
          <w:rFonts w:ascii="Times New Roman" w:hAnsi="Times New Roman" w:cs="Times New Roman"/>
          <w:sz w:val="24"/>
        </w:rPr>
        <w:t xml:space="preserve">.). 1895. </w:t>
      </w:r>
      <w:r w:rsidR="00AD4293">
        <w:rPr>
          <w:rFonts w:ascii="Times New Roman" w:hAnsi="Times New Roman" w:cs="Times New Roman"/>
          <w:sz w:val="24"/>
        </w:rPr>
        <w:t>Virginia: Wilder Publications.</w:t>
      </w:r>
    </w:p>
    <w:p w14:paraId="12B23162" w14:textId="1A2DE791" w:rsidR="00AD4293" w:rsidRDefault="00AD4293" w:rsidP="005B73CE">
      <w:pPr>
        <w:spacing w:line="480" w:lineRule="auto"/>
        <w:rPr>
          <w:rFonts w:ascii="Times New Roman" w:hAnsi="Times New Roman" w:cs="Times New Roman"/>
          <w:sz w:val="24"/>
        </w:rPr>
      </w:pPr>
      <w:r>
        <w:rPr>
          <w:rFonts w:ascii="Times New Roman" w:hAnsi="Times New Roman" w:cs="Times New Roman"/>
          <w:sz w:val="24"/>
        </w:rPr>
        <w:t xml:space="preserve">Appian. </w:t>
      </w:r>
      <w:r>
        <w:rPr>
          <w:rFonts w:ascii="Times New Roman" w:hAnsi="Times New Roman" w:cs="Times New Roman"/>
          <w:i/>
          <w:sz w:val="24"/>
        </w:rPr>
        <w:t xml:space="preserve">The foreign wars. </w:t>
      </w:r>
      <w:r>
        <w:rPr>
          <w:rFonts w:ascii="Times New Roman" w:hAnsi="Times New Roman" w:cs="Times New Roman"/>
          <w:sz w:val="24"/>
        </w:rPr>
        <w:t>Horace White (</w:t>
      </w:r>
      <w:proofErr w:type="gramStart"/>
      <w:r>
        <w:rPr>
          <w:rFonts w:ascii="Times New Roman" w:hAnsi="Times New Roman" w:cs="Times New Roman"/>
          <w:sz w:val="24"/>
        </w:rPr>
        <w:t>trans</w:t>
      </w:r>
      <w:proofErr w:type="gramEnd"/>
      <w:r>
        <w:rPr>
          <w:rFonts w:ascii="Times New Roman" w:hAnsi="Times New Roman" w:cs="Times New Roman"/>
          <w:sz w:val="24"/>
        </w:rPr>
        <w:t>.). 1899. New York: The MacMillan Company.</w:t>
      </w:r>
    </w:p>
    <w:p w14:paraId="6E1953AE" w14:textId="6976008C" w:rsidR="00C87E81" w:rsidRPr="00C87E81" w:rsidRDefault="00C87E81" w:rsidP="005B73CE">
      <w:pPr>
        <w:spacing w:line="480" w:lineRule="auto"/>
        <w:rPr>
          <w:rFonts w:ascii="Times New Roman" w:hAnsi="Times New Roman" w:cs="Times New Roman"/>
          <w:sz w:val="24"/>
        </w:rPr>
      </w:pPr>
      <w:r>
        <w:rPr>
          <w:rFonts w:ascii="Times New Roman" w:hAnsi="Times New Roman" w:cs="Times New Roman"/>
          <w:sz w:val="24"/>
        </w:rPr>
        <w:t xml:space="preserve">Plutarch. </w:t>
      </w:r>
      <w:r>
        <w:rPr>
          <w:rFonts w:ascii="Times New Roman" w:hAnsi="Times New Roman" w:cs="Times New Roman"/>
          <w:i/>
          <w:sz w:val="24"/>
        </w:rPr>
        <w:t>Hellenistic Lives including Alexander the Great.</w:t>
      </w:r>
      <w:r>
        <w:rPr>
          <w:rFonts w:ascii="Times New Roman" w:hAnsi="Times New Roman" w:cs="Times New Roman"/>
          <w:sz w:val="24"/>
        </w:rPr>
        <w:t xml:space="preserve"> Robin Waterfield (</w:t>
      </w:r>
      <w:proofErr w:type="gramStart"/>
      <w:r>
        <w:rPr>
          <w:rFonts w:ascii="Times New Roman" w:hAnsi="Times New Roman" w:cs="Times New Roman"/>
          <w:sz w:val="24"/>
        </w:rPr>
        <w:t>trans</w:t>
      </w:r>
      <w:proofErr w:type="gramEnd"/>
      <w:r>
        <w:rPr>
          <w:rFonts w:ascii="Times New Roman" w:hAnsi="Times New Roman" w:cs="Times New Roman"/>
          <w:sz w:val="24"/>
        </w:rPr>
        <w:t xml:space="preserve">.). 2016. Oxford: Oxford University Press. </w:t>
      </w:r>
    </w:p>
    <w:p w14:paraId="4F1311F6" w14:textId="77777777" w:rsidR="00AD4293" w:rsidRDefault="00AD4293" w:rsidP="005B73CE">
      <w:pPr>
        <w:spacing w:line="480" w:lineRule="auto"/>
        <w:rPr>
          <w:rFonts w:ascii="Times New Roman" w:hAnsi="Times New Roman" w:cs="Times New Roman"/>
          <w:sz w:val="24"/>
        </w:rPr>
      </w:pPr>
    </w:p>
    <w:p w14:paraId="398DEBFE" w14:textId="77777777" w:rsidR="00AD4293" w:rsidRDefault="00AD4293" w:rsidP="005B73CE">
      <w:pPr>
        <w:spacing w:line="480" w:lineRule="auto"/>
        <w:rPr>
          <w:rFonts w:ascii="Times New Roman" w:hAnsi="Times New Roman" w:cs="Times New Roman"/>
          <w:sz w:val="24"/>
        </w:rPr>
      </w:pPr>
    </w:p>
    <w:p w14:paraId="53561BF4" w14:textId="77777777" w:rsidR="00AD4293" w:rsidRDefault="00AD4293" w:rsidP="005B73CE">
      <w:pPr>
        <w:spacing w:line="480" w:lineRule="auto"/>
        <w:rPr>
          <w:rFonts w:ascii="Times New Roman" w:hAnsi="Times New Roman" w:cs="Times New Roman"/>
          <w:sz w:val="24"/>
        </w:rPr>
      </w:pPr>
    </w:p>
    <w:p w14:paraId="229F881C" w14:textId="77777777" w:rsidR="00AD4293" w:rsidRDefault="00AD4293" w:rsidP="005B73CE">
      <w:pPr>
        <w:spacing w:line="480" w:lineRule="auto"/>
        <w:rPr>
          <w:rFonts w:ascii="Times New Roman" w:hAnsi="Times New Roman" w:cs="Times New Roman"/>
          <w:sz w:val="24"/>
        </w:rPr>
      </w:pPr>
      <w:r>
        <w:rPr>
          <w:rFonts w:ascii="Times New Roman" w:hAnsi="Times New Roman" w:cs="Times New Roman"/>
          <w:sz w:val="24"/>
        </w:rPr>
        <w:t>Modern sources:</w:t>
      </w:r>
    </w:p>
    <w:p w14:paraId="6EFBB11C" w14:textId="1AB08AAC" w:rsidR="00E04396" w:rsidRDefault="00AD4293" w:rsidP="005B73CE">
      <w:pPr>
        <w:spacing w:line="480" w:lineRule="auto"/>
        <w:rPr>
          <w:rFonts w:ascii="Times New Roman" w:hAnsi="Times New Roman" w:cs="Times New Roman"/>
          <w:sz w:val="24"/>
        </w:rPr>
      </w:pPr>
      <w:r>
        <w:rPr>
          <w:rFonts w:ascii="Times New Roman" w:hAnsi="Times New Roman" w:cs="Times New Roman"/>
          <w:sz w:val="24"/>
        </w:rPr>
        <w:t xml:space="preserve">Billows, R.A. </w:t>
      </w:r>
      <w:r w:rsidR="00E04396">
        <w:rPr>
          <w:rFonts w:ascii="Times New Roman" w:hAnsi="Times New Roman" w:cs="Times New Roman"/>
          <w:sz w:val="24"/>
        </w:rPr>
        <w:t xml:space="preserve"> </w:t>
      </w:r>
      <w:r>
        <w:rPr>
          <w:rFonts w:ascii="Times New Roman" w:hAnsi="Times New Roman" w:cs="Times New Roman"/>
          <w:sz w:val="24"/>
        </w:rPr>
        <w:t xml:space="preserve">1997. </w:t>
      </w:r>
      <w:proofErr w:type="spellStart"/>
      <w:r>
        <w:rPr>
          <w:rFonts w:ascii="Times New Roman" w:hAnsi="Times New Roman" w:cs="Times New Roman"/>
          <w:i/>
          <w:sz w:val="24"/>
        </w:rPr>
        <w:t>Antigonos</w:t>
      </w:r>
      <w:proofErr w:type="spellEnd"/>
      <w:r>
        <w:rPr>
          <w:rFonts w:ascii="Times New Roman" w:hAnsi="Times New Roman" w:cs="Times New Roman"/>
          <w:i/>
          <w:sz w:val="24"/>
        </w:rPr>
        <w:t xml:space="preserve"> the One-Eyed and the creation of the Hellenistic State. </w:t>
      </w:r>
      <w:r>
        <w:rPr>
          <w:rFonts w:ascii="Times New Roman" w:hAnsi="Times New Roman" w:cs="Times New Roman"/>
          <w:sz w:val="24"/>
        </w:rPr>
        <w:t>London: University of California Press, Ltd.</w:t>
      </w:r>
    </w:p>
    <w:p w14:paraId="01C4B6B7" w14:textId="4602A296" w:rsidR="00AD4293" w:rsidRDefault="00AD4293" w:rsidP="005B73CE">
      <w:pPr>
        <w:spacing w:line="480" w:lineRule="auto"/>
        <w:rPr>
          <w:rFonts w:ascii="Times New Roman" w:hAnsi="Times New Roman" w:cs="Times New Roman"/>
          <w:sz w:val="24"/>
        </w:rPr>
      </w:pPr>
      <w:r>
        <w:rPr>
          <w:rFonts w:ascii="Times New Roman" w:hAnsi="Times New Roman" w:cs="Times New Roman"/>
          <w:sz w:val="24"/>
        </w:rPr>
        <w:t xml:space="preserve">Hornblower, S. &amp; Spawforth, A. 2004. </w:t>
      </w:r>
      <w:r>
        <w:rPr>
          <w:rFonts w:ascii="Times New Roman" w:hAnsi="Times New Roman" w:cs="Times New Roman"/>
          <w:i/>
          <w:sz w:val="24"/>
        </w:rPr>
        <w:t xml:space="preserve">The Oxford Companion to Classical Civilization. </w:t>
      </w:r>
      <w:r>
        <w:rPr>
          <w:rFonts w:ascii="Times New Roman" w:hAnsi="Times New Roman" w:cs="Times New Roman"/>
          <w:sz w:val="24"/>
        </w:rPr>
        <w:t>Oxford: Oxford University Press.</w:t>
      </w:r>
    </w:p>
    <w:p w14:paraId="6E242D5B" w14:textId="2FF9B8A9" w:rsidR="00AD4293" w:rsidRPr="00AD4293" w:rsidRDefault="00AD4293" w:rsidP="005B73CE">
      <w:pPr>
        <w:spacing w:line="480" w:lineRule="auto"/>
        <w:rPr>
          <w:rFonts w:ascii="Times New Roman" w:hAnsi="Times New Roman" w:cs="Times New Roman"/>
          <w:sz w:val="24"/>
          <w:szCs w:val="24"/>
        </w:rPr>
      </w:pPr>
      <w:r w:rsidRPr="00AD4293">
        <w:rPr>
          <w:rFonts w:ascii="Times New Roman" w:hAnsi="Times New Roman" w:cs="Times New Roman"/>
          <w:sz w:val="24"/>
          <w:szCs w:val="24"/>
        </w:rPr>
        <w:t xml:space="preserve">Heckel, W. 1992. </w:t>
      </w:r>
      <w:r w:rsidRPr="00AD4293">
        <w:rPr>
          <w:rFonts w:ascii="Times New Roman" w:hAnsi="Times New Roman" w:cs="Times New Roman"/>
          <w:i/>
          <w:sz w:val="24"/>
          <w:szCs w:val="24"/>
        </w:rPr>
        <w:t>The Marshals of Alexander’s Empire.</w:t>
      </w:r>
      <w:r>
        <w:rPr>
          <w:rFonts w:ascii="Times New Roman" w:hAnsi="Times New Roman" w:cs="Times New Roman"/>
          <w:i/>
          <w:sz w:val="24"/>
          <w:szCs w:val="24"/>
        </w:rPr>
        <w:t xml:space="preserve"> </w:t>
      </w:r>
      <w:r w:rsidR="00C87E81">
        <w:rPr>
          <w:rFonts w:ascii="Times New Roman" w:hAnsi="Times New Roman" w:cs="Times New Roman"/>
          <w:sz w:val="24"/>
          <w:szCs w:val="24"/>
        </w:rPr>
        <w:t xml:space="preserve">Oxford: Routledge. </w:t>
      </w:r>
    </w:p>
    <w:sectPr w:rsidR="00AD4293" w:rsidRPr="00AD429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21F9494" w14:textId="77777777" w:rsidR="00340B0F" w:rsidRDefault="00340B0F" w:rsidP="00340B0F">
      <w:pPr>
        <w:spacing w:after="0" w:line="240" w:lineRule="auto"/>
      </w:pPr>
      <w:r>
        <w:separator/>
      </w:r>
    </w:p>
  </w:endnote>
  <w:endnote w:type="continuationSeparator" w:id="0">
    <w:p w14:paraId="71640610" w14:textId="77777777" w:rsidR="00340B0F" w:rsidRDefault="00340B0F" w:rsidP="00340B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F9882EE" w14:textId="77777777" w:rsidR="00340B0F" w:rsidRDefault="00340B0F" w:rsidP="00340B0F">
      <w:pPr>
        <w:spacing w:after="0" w:line="240" w:lineRule="auto"/>
      </w:pPr>
      <w:r>
        <w:separator/>
      </w:r>
    </w:p>
  </w:footnote>
  <w:footnote w:type="continuationSeparator" w:id="0">
    <w:p w14:paraId="11E63A38" w14:textId="77777777" w:rsidR="00340B0F" w:rsidRDefault="00340B0F" w:rsidP="00340B0F">
      <w:pPr>
        <w:spacing w:after="0" w:line="240" w:lineRule="auto"/>
      </w:pPr>
      <w:r>
        <w:continuationSeparator/>
      </w:r>
    </w:p>
  </w:footnote>
  <w:footnote w:id="1">
    <w:p w14:paraId="313F0701" w14:textId="0BBBB142" w:rsidR="0001486D" w:rsidRPr="0001486D" w:rsidRDefault="0001486D">
      <w:pPr>
        <w:pStyle w:val="FootnoteText"/>
      </w:pPr>
      <w:r>
        <w:rPr>
          <w:rStyle w:val="FootnoteReference"/>
        </w:rPr>
        <w:footnoteRef/>
      </w:r>
      <w:r w:rsidR="00D221C1">
        <w:t xml:space="preserve"> Heckel, W. 1992</w:t>
      </w:r>
      <w:r w:rsidR="00D221C1">
        <w:rPr>
          <w:i/>
        </w:rPr>
        <w:t>:</w:t>
      </w:r>
      <w:r>
        <w:rPr>
          <w:i/>
        </w:rPr>
        <w:t xml:space="preserve"> </w:t>
      </w:r>
      <w:r>
        <w:t>P.50.</w:t>
      </w:r>
    </w:p>
  </w:footnote>
  <w:footnote w:id="2">
    <w:p w14:paraId="109F23EB" w14:textId="07A0CC86" w:rsidR="00F10C3B" w:rsidRDefault="00F10C3B">
      <w:pPr>
        <w:pStyle w:val="FootnoteText"/>
      </w:pPr>
      <w:r>
        <w:rPr>
          <w:rStyle w:val="FootnoteReference"/>
        </w:rPr>
        <w:footnoteRef/>
      </w:r>
      <w:r>
        <w:t xml:space="preserve"> Justin. XVII. I</w:t>
      </w:r>
      <w:proofErr w:type="gramStart"/>
      <w:r>
        <w:t>,12</w:t>
      </w:r>
      <w:proofErr w:type="gramEnd"/>
      <w:r>
        <w:t>.</w:t>
      </w:r>
    </w:p>
  </w:footnote>
  <w:footnote w:id="3">
    <w:p w14:paraId="31A23F8C" w14:textId="0FA44F74" w:rsidR="00896394" w:rsidRDefault="00896394">
      <w:pPr>
        <w:pStyle w:val="FootnoteText"/>
      </w:pPr>
      <w:r>
        <w:rPr>
          <w:rStyle w:val="FootnoteReference"/>
        </w:rPr>
        <w:footnoteRef/>
      </w:r>
      <w:r>
        <w:t xml:space="preserve"> </w:t>
      </w:r>
      <w:proofErr w:type="spellStart"/>
      <w:r>
        <w:t>Plut</w:t>
      </w:r>
      <w:proofErr w:type="spellEnd"/>
      <w:r>
        <w:t>; Waterfield, R. (Trans.). 2016: DM II.</w:t>
      </w:r>
    </w:p>
  </w:footnote>
  <w:footnote w:id="4">
    <w:p w14:paraId="44ABBD22" w14:textId="140D9B71" w:rsidR="00340B0F" w:rsidRPr="00340B0F" w:rsidRDefault="00340B0F">
      <w:pPr>
        <w:pStyle w:val="FootnoteText"/>
      </w:pPr>
      <w:r>
        <w:rPr>
          <w:rStyle w:val="FootnoteReference"/>
        </w:rPr>
        <w:footnoteRef/>
      </w:r>
      <w:r>
        <w:t xml:space="preserve"> </w:t>
      </w:r>
      <w:r w:rsidR="005B2825">
        <w:t>Billows, R.A. 1997</w:t>
      </w:r>
      <w:r w:rsidR="00D221C1">
        <w:t>: P.16.</w:t>
      </w:r>
    </w:p>
  </w:footnote>
  <w:footnote w:id="5">
    <w:p w14:paraId="0D8B0C73" w14:textId="63B32B53" w:rsidR="004211CD" w:rsidRDefault="004211CD">
      <w:pPr>
        <w:pStyle w:val="FootnoteText"/>
      </w:pPr>
      <w:r>
        <w:rPr>
          <w:rStyle w:val="FootnoteReference"/>
        </w:rPr>
        <w:footnoteRef/>
      </w:r>
      <w:r>
        <w:t xml:space="preserve"> </w:t>
      </w:r>
      <w:r w:rsidR="005B2825">
        <w:t>Billows, R.A. 1997</w:t>
      </w:r>
      <w:r w:rsidR="00D221C1">
        <w:t>: P.17.</w:t>
      </w:r>
    </w:p>
  </w:footnote>
  <w:footnote w:id="6">
    <w:p w14:paraId="34C2A132" w14:textId="4F5CBB7B" w:rsidR="00042B48" w:rsidRDefault="00042B48">
      <w:pPr>
        <w:pStyle w:val="FootnoteText"/>
      </w:pPr>
      <w:r>
        <w:rPr>
          <w:rStyle w:val="FootnoteReference"/>
        </w:rPr>
        <w:footnoteRef/>
      </w:r>
      <w:r w:rsidR="00D221C1">
        <w:t xml:space="preserve"> Billows, R.A. 1997: P.24.</w:t>
      </w:r>
    </w:p>
  </w:footnote>
  <w:footnote w:id="7">
    <w:p w14:paraId="766B4197" w14:textId="10DC209C" w:rsidR="007D31F6" w:rsidRDefault="007D31F6">
      <w:pPr>
        <w:pStyle w:val="FootnoteText"/>
      </w:pPr>
      <w:r>
        <w:rPr>
          <w:rStyle w:val="FootnoteReference"/>
        </w:rPr>
        <w:footnoteRef/>
      </w:r>
      <w:r>
        <w:t xml:space="preserve"> Billows, R.A. 1997: P.26.</w:t>
      </w:r>
    </w:p>
  </w:footnote>
  <w:footnote w:id="8">
    <w:p w14:paraId="3A12110A" w14:textId="5113228B" w:rsidR="00CE6118" w:rsidRDefault="00CE6118">
      <w:pPr>
        <w:pStyle w:val="FootnoteText"/>
      </w:pPr>
      <w:r>
        <w:rPr>
          <w:rStyle w:val="FootnoteReference"/>
        </w:rPr>
        <w:footnoteRef/>
      </w:r>
      <w:r>
        <w:t xml:space="preserve"> Billows, R.A. 1997: P.41.</w:t>
      </w:r>
    </w:p>
  </w:footnote>
  <w:footnote w:id="9">
    <w:p w14:paraId="0D96DE81" w14:textId="3ED75C45" w:rsidR="002C45F3" w:rsidRDefault="002C45F3">
      <w:pPr>
        <w:pStyle w:val="FootnoteText"/>
      </w:pPr>
      <w:r>
        <w:rPr>
          <w:rStyle w:val="FootnoteReference"/>
        </w:rPr>
        <w:footnoteRef/>
      </w:r>
      <w:r>
        <w:t xml:space="preserve"> Hornblower, S &amp; Spawforth, A. 2004: P.44.</w:t>
      </w:r>
      <w:r w:rsidR="00D474F5">
        <w:t xml:space="preserve"> </w:t>
      </w:r>
    </w:p>
  </w:footnote>
  <w:footnote w:id="10">
    <w:p w14:paraId="743D9BE9" w14:textId="36940E40" w:rsidR="004379BE" w:rsidRDefault="004379BE">
      <w:pPr>
        <w:pStyle w:val="FootnoteText"/>
      </w:pPr>
      <w:r>
        <w:rPr>
          <w:rStyle w:val="FootnoteReference"/>
        </w:rPr>
        <w:footnoteRef/>
      </w:r>
      <w:r>
        <w:t xml:space="preserve"> J. AJ. 12.1.</w:t>
      </w:r>
    </w:p>
  </w:footnote>
  <w:footnote w:id="11">
    <w:p w14:paraId="044BE3A2" w14:textId="22C9EFFF" w:rsidR="00ED308A" w:rsidRDefault="00ED308A">
      <w:pPr>
        <w:pStyle w:val="FootnoteText"/>
      </w:pPr>
      <w:r>
        <w:rPr>
          <w:rStyle w:val="FootnoteReference"/>
        </w:rPr>
        <w:footnoteRef/>
      </w:r>
      <w:r>
        <w:t xml:space="preserve"> Billows, R.A. 1997: P.41. ; </w:t>
      </w:r>
      <w:r w:rsidRPr="00ED308A">
        <w:t>App. Syr. 9</w:t>
      </w:r>
      <w:r>
        <w:t>.</w:t>
      </w:r>
    </w:p>
  </w:footnote>
  <w:footnote w:id="12">
    <w:p w14:paraId="340C6A30" w14:textId="58851D4A" w:rsidR="00FA2BAB" w:rsidRDefault="00FA2BAB">
      <w:pPr>
        <w:pStyle w:val="FootnoteText"/>
      </w:pPr>
      <w:r>
        <w:rPr>
          <w:rStyle w:val="FootnoteReference"/>
        </w:rPr>
        <w:footnoteRef/>
      </w:r>
      <w:r>
        <w:t xml:space="preserve"> Diod. 17.3. </w:t>
      </w:r>
    </w:p>
  </w:footnote>
  <w:footnote w:id="13">
    <w:p w14:paraId="6D5BC8BD" w14:textId="73A4BCB1" w:rsidR="00EA78E5" w:rsidRDefault="00EA78E5">
      <w:pPr>
        <w:pStyle w:val="FootnoteText"/>
      </w:pPr>
      <w:r>
        <w:rPr>
          <w:rStyle w:val="FootnoteReference"/>
        </w:rPr>
        <w:footnoteRef/>
      </w:r>
      <w:r>
        <w:t xml:space="preserve"> Billows, R.A. 1997: P.57.</w:t>
      </w:r>
    </w:p>
  </w:footnote>
  <w:footnote w:id="14">
    <w:p w14:paraId="4789F363" w14:textId="0F336A48" w:rsidR="00063D4C" w:rsidRDefault="00063D4C">
      <w:pPr>
        <w:pStyle w:val="FootnoteText"/>
      </w:pPr>
      <w:r>
        <w:rPr>
          <w:rStyle w:val="FootnoteReference"/>
        </w:rPr>
        <w:footnoteRef/>
      </w:r>
      <w:r>
        <w:t xml:space="preserve"> Diod. 18</w:t>
      </w:r>
      <w:r w:rsidR="00956DB3">
        <w:t>.23,4.</w:t>
      </w:r>
    </w:p>
  </w:footnote>
  <w:footnote w:id="15">
    <w:p w14:paraId="14F3860B" w14:textId="00CA9509" w:rsidR="009079C4" w:rsidRDefault="009079C4">
      <w:pPr>
        <w:pStyle w:val="FootnoteText"/>
      </w:pPr>
      <w:r>
        <w:rPr>
          <w:rStyle w:val="FootnoteReference"/>
        </w:rPr>
        <w:footnoteRef/>
      </w:r>
      <w:r>
        <w:t xml:space="preserve"> Diod. 18.23,4.</w:t>
      </w:r>
    </w:p>
  </w:footnote>
  <w:footnote w:id="16">
    <w:p w14:paraId="01E4B14C" w14:textId="2237FACB" w:rsidR="00772EEF" w:rsidRDefault="00772EEF">
      <w:pPr>
        <w:pStyle w:val="FootnoteText"/>
      </w:pPr>
      <w:r>
        <w:rPr>
          <w:rStyle w:val="FootnoteReference"/>
        </w:rPr>
        <w:footnoteRef/>
      </w:r>
      <w:r>
        <w:t xml:space="preserve"> Diod. 18.14, 2; 25, 3-5; Paus. I 6, 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73CE"/>
    <w:rsid w:val="0001486D"/>
    <w:rsid w:val="00042B48"/>
    <w:rsid w:val="0005369F"/>
    <w:rsid w:val="00063D4C"/>
    <w:rsid w:val="000A6F64"/>
    <w:rsid w:val="001A6546"/>
    <w:rsid w:val="001C47F0"/>
    <w:rsid w:val="001D455C"/>
    <w:rsid w:val="00214189"/>
    <w:rsid w:val="002C45F3"/>
    <w:rsid w:val="002C58CE"/>
    <w:rsid w:val="002F0F56"/>
    <w:rsid w:val="00314A79"/>
    <w:rsid w:val="00340B0F"/>
    <w:rsid w:val="003466E9"/>
    <w:rsid w:val="003703C9"/>
    <w:rsid w:val="0037724F"/>
    <w:rsid w:val="003D2796"/>
    <w:rsid w:val="003F5A27"/>
    <w:rsid w:val="00404EF1"/>
    <w:rsid w:val="004211CD"/>
    <w:rsid w:val="004310A2"/>
    <w:rsid w:val="004379BE"/>
    <w:rsid w:val="00487619"/>
    <w:rsid w:val="004932B4"/>
    <w:rsid w:val="004A1A39"/>
    <w:rsid w:val="004C2C5E"/>
    <w:rsid w:val="00510E21"/>
    <w:rsid w:val="00521BFD"/>
    <w:rsid w:val="005558BD"/>
    <w:rsid w:val="005B2825"/>
    <w:rsid w:val="005B73CE"/>
    <w:rsid w:val="00657BD9"/>
    <w:rsid w:val="006D420A"/>
    <w:rsid w:val="007126E3"/>
    <w:rsid w:val="00724832"/>
    <w:rsid w:val="00754FE7"/>
    <w:rsid w:val="00772EEF"/>
    <w:rsid w:val="00773984"/>
    <w:rsid w:val="007901E6"/>
    <w:rsid w:val="007D31F6"/>
    <w:rsid w:val="00872C2B"/>
    <w:rsid w:val="00896394"/>
    <w:rsid w:val="009079C4"/>
    <w:rsid w:val="00956DB3"/>
    <w:rsid w:val="009A21CE"/>
    <w:rsid w:val="009A47BD"/>
    <w:rsid w:val="009C246B"/>
    <w:rsid w:val="009F5C06"/>
    <w:rsid w:val="00A05AFD"/>
    <w:rsid w:val="00A47D17"/>
    <w:rsid w:val="00A563FE"/>
    <w:rsid w:val="00AD4293"/>
    <w:rsid w:val="00B7633D"/>
    <w:rsid w:val="00B81F97"/>
    <w:rsid w:val="00BA560B"/>
    <w:rsid w:val="00BB2B03"/>
    <w:rsid w:val="00C65F4A"/>
    <w:rsid w:val="00C83C9A"/>
    <w:rsid w:val="00C87E81"/>
    <w:rsid w:val="00C9117C"/>
    <w:rsid w:val="00CE6118"/>
    <w:rsid w:val="00D151D1"/>
    <w:rsid w:val="00D221C1"/>
    <w:rsid w:val="00D474F5"/>
    <w:rsid w:val="00DA194F"/>
    <w:rsid w:val="00E04396"/>
    <w:rsid w:val="00E84C58"/>
    <w:rsid w:val="00EA78E5"/>
    <w:rsid w:val="00ED308A"/>
    <w:rsid w:val="00F10C3B"/>
    <w:rsid w:val="00F82209"/>
    <w:rsid w:val="00F84899"/>
    <w:rsid w:val="00FA2BAB"/>
    <w:rsid w:val="00FB29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93890"/>
  <w15:chartTrackingRefBased/>
  <w15:docId w15:val="{E7003842-5FC9-4EDF-A910-8C2D5A614E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40B0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40B0F"/>
    <w:rPr>
      <w:sz w:val="20"/>
      <w:szCs w:val="20"/>
    </w:rPr>
  </w:style>
  <w:style w:type="character" w:styleId="FootnoteReference">
    <w:name w:val="footnote reference"/>
    <w:basedOn w:val="DefaultParagraphFont"/>
    <w:uiPriority w:val="99"/>
    <w:semiHidden/>
    <w:unhideWhenUsed/>
    <w:rsid w:val="00340B0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548F28-75C2-4FCA-9CAA-BF248FA63A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699</Words>
  <Characters>3986</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Mills (1500425)</dc:creator>
  <cp:keywords/>
  <dc:description/>
  <cp:lastModifiedBy>James Mills (1500425)</cp:lastModifiedBy>
  <cp:revision>2</cp:revision>
  <dcterms:created xsi:type="dcterms:W3CDTF">2018-10-26T16:33:00Z</dcterms:created>
  <dcterms:modified xsi:type="dcterms:W3CDTF">2018-10-26T16:33:00Z</dcterms:modified>
</cp:coreProperties>
</file>