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55F4D7BC" w14:textId="7E806E28" w:rsidR="008F22BD"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75B3B1AE" w14:textId="200F0106" w:rsidR="005A1BA3" w:rsidRPr="00BA7D99"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524030AE" w14:textId="7AA70CD5" w:rsidR="0085230E" w:rsidRPr="00BA7D99"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1D6260E" w14:textId="37C8AE91" w:rsidR="00E95DB3" w:rsidRDefault="7908378C" w:rsidP="33572C6E">
            <w:pPr>
              <w:ind w:right="237"/>
              <w:rPr>
                <w:b/>
                <w:bCs/>
                <w:color w:val="auto"/>
                <w:sz w:val="32"/>
                <w:szCs w:val="32"/>
              </w:rPr>
            </w:pPr>
            <w:r w:rsidRPr="33572C6E">
              <w:rPr>
                <w:b/>
                <w:bCs/>
                <w:color w:val="auto"/>
                <w:sz w:val="32"/>
                <w:szCs w:val="32"/>
              </w:rPr>
              <w:t xml:space="preserve">Learner name: </w:t>
            </w:r>
            <w:r w:rsidR="00E95DB3">
              <w:rPr>
                <w:b/>
                <w:bCs/>
                <w:color w:val="auto"/>
                <w:sz w:val="32"/>
                <w:szCs w:val="32"/>
              </w:rPr>
              <w:t>Miyah Greenslade</w:t>
            </w:r>
          </w:p>
          <w:p w14:paraId="202E3A16" w14:textId="75A4366B" w:rsidR="33572C6E" w:rsidRPr="00BA7D99" w:rsidRDefault="7908378C" w:rsidP="00BA7D99">
            <w:pPr>
              <w:ind w:right="237"/>
              <w:rPr>
                <w:b/>
                <w:bCs/>
                <w:color w:val="auto"/>
                <w:sz w:val="32"/>
                <w:szCs w:val="32"/>
              </w:rPr>
            </w:pPr>
            <w:r w:rsidRPr="33572C6E">
              <w:rPr>
                <w:b/>
                <w:bCs/>
                <w:color w:val="auto"/>
                <w:sz w:val="32"/>
                <w:szCs w:val="32"/>
              </w:rPr>
              <w:t>Learner’s University Registration Number:</w:t>
            </w:r>
            <w:r w:rsidR="00E95DB3">
              <w:rPr>
                <w:b/>
                <w:bCs/>
                <w:color w:val="auto"/>
                <w:sz w:val="32"/>
                <w:szCs w:val="32"/>
              </w:rPr>
              <w:t xml:space="preserve"> 2222465</w:t>
            </w: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lastRenderedPageBreak/>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lastRenderedPageBreak/>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8980C89" w14:textId="28DDC8B8" w:rsidR="00B12295" w:rsidRPr="00E676F7" w:rsidRDefault="008B28E7" w:rsidP="5CE196A1">
      <w:pPr>
        <w:ind w:right="237"/>
        <w:jc w:val="both"/>
        <w:rPr>
          <w:b/>
          <w:bCs/>
          <w:sz w:val="24"/>
          <w:szCs w:val="24"/>
        </w:rPr>
      </w:pPr>
      <w:r w:rsidRPr="5CE196A1">
        <w:rPr>
          <w:b/>
          <w:bCs/>
          <w:sz w:val="24"/>
          <w:szCs w:val="24"/>
        </w:rPr>
        <w:t xml:space="preserve">Contents </w:t>
      </w: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lastRenderedPageBreak/>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lastRenderedPageBreak/>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lastRenderedPageBreak/>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lastRenderedPageBreak/>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lastRenderedPageBreak/>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1B266B98" w14:textId="138CDE17" w:rsidR="001D7A87" w:rsidRPr="00BA7D99"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2831FAB6" w14:textId="0AA8A21C" w:rsidR="00B1458C" w:rsidRDefault="001D7A87" w:rsidP="00B1458C">
      <w:pPr>
        <w:rPr>
          <w:sz w:val="24"/>
          <w:szCs w:val="24"/>
        </w:rPr>
      </w:pPr>
      <w:r w:rsidRPr="00BA7D99">
        <w:rPr>
          <w:sz w:val="24"/>
          <w:szCs w:val="24"/>
        </w:rPr>
        <w:t xml:space="preserve">Policing a </w:t>
      </w:r>
      <w:r w:rsidR="00B1458C" w:rsidRPr="00BA7D99">
        <w:rPr>
          <w:sz w:val="24"/>
          <w:szCs w:val="24"/>
        </w:rPr>
        <w:t>community entail</w:t>
      </w:r>
      <w:r w:rsidR="00723266">
        <w:rPr>
          <w:sz w:val="24"/>
          <w:szCs w:val="24"/>
        </w:rPr>
        <w:t>s</w:t>
      </w:r>
      <w:r w:rsidR="00B1458C" w:rsidRPr="00BA7D99">
        <w:rPr>
          <w:sz w:val="24"/>
          <w:szCs w:val="24"/>
        </w:rPr>
        <w:t xml:space="preserve"> </w:t>
      </w:r>
      <w:r w:rsidRPr="00BA7D99">
        <w:rPr>
          <w:sz w:val="24"/>
          <w:szCs w:val="24"/>
        </w:rPr>
        <w:t>making sure all those within feel represented and protected. This is especially relevant where people of an ethnic minority within that community have previously felt both victimised and let down by the police service. It is important that the police provide a quality service to such individuals, and ensure that despite their previous experiences, this would not permeate into</w:t>
      </w:r>
      <w:r w:rsidR="00B1458C" w:rsidRPr="00BA7D99">
        <w:rPr>
          <w:sz w:val="24"/>
          <w:szCs w:val="24"/>
        </w:rPr>
        <w:t xml:space="preserve"> their</w:t>
      </w:r>
      <w:r w:rsidRPr="00BA7D99">
        <w:rPr>
          <w:sz w:val="24"/>
          <w:szCs w:val="24"/>
        </w:rPr>
        <w:t xml:space="preserve"> future expectations and experiences with the police.</w:t>
      </w:r>
      <w:r w:rsidR="008108F6" w:rsidRPr="00BA7D99">
        <w:rPr>
          <w:sz w:val="24"/>
          <w:szCs w:val="24"/>
        </w:rPr>
        <w:t xml:space="preserve"> This is </w:t>
      </w:r>
      <w:r w:rsidR="00B1458C" w:rsidRPr="00BA7D99">
        <w:rPr>
          <w:sz w:val="24"/>
          <w:szCs w:val="24"/>
        </w:rPr>
        <w:t>pertinent</w:t>
      </w:r>
      <w:r w:rsidR="008108F6" w:rsidRPr="00BA7D99">
        <w:rPr>
          <w:sz w:val="24"/>
          <w:szCs w:val="24"/>
        </w:rPr>
        <w:t xml:space="preserve"> where a hate crime has occurred, and </w:t>
      </w:r>
      <w:r w:rsidR="00B1458C" w:rsidRPr="00BA7D99">
        <w:rPr>
          <w:sz w:val="24"/>
          <w:szCs w:val="24"/>
        </w:rPr>
        <w:t>police contact with the victim has followed</w:t>
      </w:r>
      <w:r w:rsidR="008108F6" w:rsidRPr="00BA7D99">
        <w:rPr>
          <w:sz w:val="24"/>
          <w:szCs w:val="24"/>
        </w:rPr>
        <w:t xml:space="preserve">. A hate crime is described as an offence motivated and committed due to the offender’s hostility towards a </w:t>
      </w:r>
      <w:r w:rsidR="00B1458C" w:rsidRPr="00BA7D99">
        <w:rPr>
          <w:sz w:val="24"/>
          <w:szCs w:val="24"/>
        </w:rPr>
        <w:t>victim’s characteristic</w:t>
      </w:r>
      <w:r w:rsidR="008108F6" w:rsidRPr="00BA7D99">
        <w:rPr>
          <w:sz w:val="24"/>
          <w:szCs w:val="24"/>
        </w:rPr>
        <w:t>, with race being included (CPS, 2022).</w:t>
      </w:r>
      <w:r w:rsidR="003C002B" w:rsidRPr="00BA7D99">
        <w:rPr>
          <w:sz w:val="24"/>
          <w:szCs w:val="24"/>
        </w:rPr>
        <w:t xml:space="preserve"> </w:t>
      </w:r>
      <w:r w:rsidR="00B1458C" w:rsidRPr="00BA7D99">
        <w:rPr>
          <w:sz w:val="24"/>
          <w:szCs w:val="24"/>
        </w:rPr>
        <w:t>I</w:t>
      </w:r>
      <w:r w:rsidRPr="00BA7D99">
        <w:rPr>
          <w:sz w:val="24"/>
          <w:szCs w:val="24"/>
        </w:rPr>
        <w:t xml:space="preserve"> will introduce an incident I attended </w:t>
      </w:r>
      <w:r w:rsidR="00B1458C" w:rsidRPr="00BA7D99">
        <w:rPr>
          <w:sz w:val="24"/>
          <w:szCs w:val="24"/>
        </w:rPr>
        <w:t>involving racially aggravated public order</w:t>
      </w:r>
      <w:r w:rsidRPr="00BA7D99">
        <w:rPr>
          <w:sz w:val="24"/>
          <w:szCs w:val="24"/>
        </w:rPr>
        <w:t xml:space="preserve">, </w:t>
      </w:r>
      <w:r w:rsidR="00B1458C" w:rsidRPr="00BA7D99">
        <w:rPr>
          <w:sz w:val="24"/>
          <w:szCs w:val="24"/>
        </w:rPr>
        <w:t>including</w:t>
      </w:r>
      <w:r w:rsidRPr="00BA7D99">
        <w:rPr>
          <w:sz w:val="24"/>
          <w:szCs w:val="24"/>
        </w:rPr>
        <w:t xml:space="preserve"> criminal damage. </w:t>
      </w:r>
      <w:r w:rsidR="00B1458C" w:rsidRPr="00BA7D99">
        <w:rPr>
          <w:sz w:val="24"/>
          <w:szCs w:val="24"/>
        </w:rPr>
        <w:t xml:space="preserve">This incident will be critically evaluated in light of my response using approaches </w:t>
      </w:r>
      <w:r w:rsidRPr="00BA7D99">
        <w:rPr>
          <w:sz w:val="24"/>
          <w:szCs w:val="24"/>
        </w:rPr>
        <w:t xml:space="preserve">I considered and then ultimately utilised </w:t>
      </w:r>
      <w:r w:rsidR="00B1458C" w:rsidRPr="00BA7D99">
        <w:rPr>
          <w:sz w:val="24"/>
          <w:szCs w:val="24"/>
        </w:rPr>
        <w:t>according</w:t>
      </w:r>
      <w:r w:rsidRPr="00BA7D99">
        <w:rPr>
          <w:sz w:val="24"/>
          <w:szCs w:val="24"/>
        </w:rPr>
        <w:t xml:space="preserve"> </w:t>
      </w:r>
      <w:r w:rsidR="00B1458C" w:rsidRPr="00BA7D99">
        <w:rPr>
          <w:sz w:val="24"/>
          <w:szCs w:val="24"/>
        </w:rPr>
        <w:t>to</w:t>
      </w:r>
      <w:r w:rsidRPr="00BA7D99">
        <w:rPr>
          <w:sz w:val="24"/>
          <w:szCs w:val="24"/>
        </w:rPr>
        <w:t xml:space="preserve"> their appropriateness, </w:t>
      </w:r>
      <w:r w:rsidR="00B1458C" w:rsidRPr="00BA7D99">
        <w:rPr>
          <w:sz w:val="24"/>
          <w:szCs w:val="24"/>
        </w:rPr>
        <w:t>meanwhile</w:t>
      </w:r>
      <w:r w:rsidRPr="00BA7D99">
        <w:rPr>
          <w:sz w:val="24"/>
          <w:szCs w:val="24"/>
        </w:rPr>
        <w:t xml:space="preserve"> managing the </w:t>
      </w:r>
      <w:r w:rsidR="00B1458C" w:rsidRPr="00BA7D99">
        <w:rPr>
          <w:sz w:val="24"/>
          <w:szCs w:val="24"/>
        </w:rPr>
        <w:t>victim’s</w:t>
      </w:r>
      <w:r w:rsidRPr="00BA7D99">
        <w:rPr>
          <w:sz w:val="24"/>
          <w:szCs w:val="24"/>
        </w:rPr>
        <w:t xml:space="preserve"> expectations. I will then explore the possibility of repeat victimisation being tackled, and how the offending of the youths can be curbed to both prevent the victim from future victimisation and averting the youths from committing </w:t>
      </w:r>
      <w:r w:rsidR="00C32F2E" w:rsidRPr="00BA7D99">
        <w:rPr>
          <w:sz w:val="24"/>
          <w:szCs w:val="24"/>
        </w:rPr>
        <w:t xml:space="preserve">further </w:t>
      </w:r>
      <w:r w:rsidRPr="00BA7D99">
        <w:rPr>
          <w:sz w:val="24"/>
          <w:szCs w:val="24"/>
        </w:rPr>
        <w:t>offences. The above will be viewed through both a social and legislative lens to provide a holistic overview of the incident and the subsequent ramifications.</w:t>
      </w:r>
      <w:r w:rsidR="008108F6" w:rsidRPr="00BA7D99">
        <w:rPr>
          <w:sz w:val="24"/>
          <w:szCs w:val="24"/>
        </w:rPr>
        <w:t xml:space="preserve"> </w:t>
      </w:r>
    </w:p>
    <w:p w14:paraId="2EA410D7" w14:textId="77777777" w:rsidR="00723266" w:rsidRDefault="00BA7D99" w:rsidP="00B1458C">
      <w:pPr>
        <w:rPr>
          <w:sz w:val="24"/>
          <w:szCs w:val="24"/>
        </w:rPr>
      </w:pPr>
      <w:r>
        <w:rPr>
          <w:sz w:val="24"/>
          <w:szCs w:val="24"/>
        </w:rPr>
        <w:lastRenderedPageBreak/>
        <w:t xml:space="preserve">I attended an incident whereby a group of 9-year-olds had thrown dog faeces at a black male’s house and car, all the while shouting racial abusive language towards him when he confronted them whilst his own 9-year-old was inside. This was a public order offence under section 4A of the Public Order Act 1986. However, Section 31 of the Crime and Disorder Act 1998 made it racially aggravated on a legislative footing, with section 28 of the same Act outlining racially aggravated as the motivation for committing the offence due to hostility of the offender towards the victim’s membership of the racial group. The damage caused by the faeces came under section 1 of the Criminal Damage Act 1971. </w:t>
      </w:r>
    </w:p>
    <w:p w14:paraId="5721C755" w14:textId="77777777" w:rsidR="00723266" w:rsidRDefault="00723266" w:rsidP="00B1458C">
      <w:pPr>
        <w:rPr>
          <w:sz w:val="24"/>
          <w:szCs w:val="24"/>
        </w:rPr>
      </w:pPr>
    </w:p>
    <w:p w14:paraId="20CC3BC1" w14:textId="77777777" w:rsidR="00723266" w:rsidRDefault="00BA7D99" w:rsidP="00B1458C">
      <w:pPr>
        <w:rPr>
          <w:sz w:val="24"/>
          <w:szCs w:val="24"/>
        </w:rPr>
      </w:pPr>
      <w:r>
        <w:rPr>
          <w:sz w:val="24"/>
          <w:szCs w:val="24"/>
        </w:rPr>
        <w:t xml:space="preserve">With the circumstances and legislative context in mind, the social context needed to be considered. On speaking with the male, he stated he had not lived in the community for long as he had moved with his son from a different country, therefore they were </w:t>
      </w:r>
      <w:r w:rsidR="00723266">
        <w:rPr>
          <w:sz w:val="24"/>
          <w:szCs w:val="24"/>
        </w:rPr>
        <w:t>isolated</w:t>
      </w:r>
      <w:r>
        <w:rPr>
          <w:sz w:val="24"/>
          <w:szCs w:val="24"/>
        </w:rPr>
        <w:t xml:space="preserve"> in terms of not knowing the area or the people within. In relation to his ethnic background, there are not many black individuals within the community, therefore he stated he felt lonely and had not received the support he felt he needed to raise his son. Due to this, isolation and loneliness were factors the male stated he had experienced since moving to the community, as well as being away from other members of his family, with Salway (</w:t>
      </w:r>
      <w:r>
        <w:rPr>
          <w:i/>
          <w:iCs/>
          <w:sz w:val="24"/>
          <w:szCs w:val="24"/>
        </w:rPr>
        <w:t xml:space="preserve">et al. </w:t>
      </w:r>
      <w:r>
        <w:rPr>
          <w:sz w:val="24"/>
          <w:szCs w:val="24"/>
        </w:rPr>
        <w:t xml:space="preserve">2020) stating social isolation as being prominent for members of ethnic minorities who have moved to an area they are not familiar with, increasing the likelihood of such individuals not wanting to leave their home, participate within the community, seek and accept support, etc. This became apparent on speaking with the victim. </w:t>
      </w:r>
    </w:p>
    <w:p w14:paraId="351E7902" w14:textId="77777777" w:rsidR="00723266" w:rsidRDefault="00723266" w:rsidP="00B1458C">
      <w:pPr>
        <w:rPr>
          <w:sz w:val="24"/>
          <w:szCs w:val="24"/>
        </w:rPr>
      </w:pPr>
    </w:p>
    <w:p w14:paraId="75BF1A86" w14:textId="561D1794" w:rsidR="00BA7D99" w:rsidRPr="00BA7D99" w:rsidRDefault="00BA7D99" w:rsidP="00B1458C">
      <w:pPr>
        <w:rPr>
          <w:sz w:val="24"/>
          <w:szCs w:val="24"/>
        </w:rPr>
      </w:pPr>
      <w:r>
        <w:rPr>
          <w:sz w:val="24"/>
          <w:szCs w:val="24"/>
        </w:rPr>
        <w:t xml:space="preserve">The police have a pivotal role in highlighting the importance of reporting such incidents, as Williams and Tregidga (2014) depict the reluctance by many victims to report hate crimes to the police due to their view that nothing will be done, or being used to the treatment and not deciphering their everyday treatment from hate crimes due to the familiarity of it. With this in mind, it is important to view the approaches I considered, and the approach I ultimately considered to be most appropriate for the situation. </w:t>
      </w:r>
    </w:p>
    <w:p w14:paraId="589F30AB" w14:textId="77777777" w:rsidR="00BA7D99" w:rsidRPr="00BA7D99" w:rsidRDefault="00BA7D99" w:rsidP="00B1458C">
      <w:pPr>
        <w:spacing w:after="0" w:line="240" w:lineRule="auto"/>
        <w:rPr>
          <w:sz w:val="24"/>
          <w:szCs w:val="24"/>
        </w:rPr>
      </w:pPr>
      <w:bookmarkStart w:id="0" w:name="_Hlk163685605"/>
    </w:p>
    <w:bookmarkEnd w:id="0"/>
    <w:p w14:paraId="5E5F14E1" w14:textId="77777777" w:rsidR="00723266" w:rsidRDefault="00CE06A3" w:rsidP="00B1458C">
      <w:pPr>
        <w:ind w:right="237"/>
        <w:rPr>
          <w:rFonts w:eastAsia="Arial"/>
          <w:color w:val="auto"/>
          <w:sz w:val="24"/>
          <w:szCs w:val="24"/>
        </w:rPr>
      </w:pPr>
      <w:r w:rsidRPr="00BA7D99">
        <w:rPr>
          <w:rFonts w:eastAsia="Arial"/>
          <w:color w:val="auto"/>
          <w:sz w:val="24"/>
          <w:szCs w:val="24"/>
        </w:rPr>
        <w:t xml:space="preserve">For this incident, I considered a range of approaches based on the information the victim provided me with. The most appropriate tool I implemented was submitting a public protection notification (PPN), which is a referral made by the police to social services that includes information of the victim so that support services from partner agencies can be offered whilst making them aware of safeguarding concerns (HMICFRS, 2023). Ford (2019) expresses the importance of these notifications as the police have a duty to notify agencies of individuals and their vulnerabilities who need protection and safeguarding, with assessments made to determine whether services will be involved, and if intervention is necessary. </w:t>
      </w:r>
    </w:p>
    <w:p w14:paraId="1E8AB793" w14:textId="77777777" w:rsidR="00723266" w:rsidRDefault="00723266" w:rsidP="00B1458C">
      <w:pPr>
        <w:ind w:right="237"/>
        <w:rPr>
          <w:rFonts w:eastAsia="Arial"/>
          <w:color w:val="auto"/>
          <w:sz w:val="24"/>
          <w:szCs w:val="24"/>
        </w:rPr>
      </w:pPr>
    </w:p>
    <w:p w14:paraId="4C1913BA" w14:textId="7EA7CCEB" w:rsidR="00723266" w:rsidRDefault="00866054" w:rsidP="00B1458C">
      <w:pPr>
        <w:ind w:right="237"/>
        <w:rPr>
          <w:rFonts w:eastAsia="Arial"/>
          <w:color w:val="auto"/>
          <w:sz w:val="24"/>
          <w:szCs w:val="24"/>
        </w:rPr>
      </w:pPr>
      <w:r w:rsidRPr="00BA7D99">
        <w:rPr>
          <w:rFonts w:eastAsia="Arial"/>
          <w:color w:val="auto"/>
          <w:sz w:val="24"/>
          <w:szCs w:val="24"/>
        </w:rPr>
        <w:t xml:space="preserve">A prominent factor that the victim highlighted to me was that he has felt let down in the past by the police service as he felt that officers did not fulfil their promises of getting him the support he needed. This made the victim wary of myself when I explained that I would send a PPN on his behalf to attempt to get him the support he needed. The victim became hostile and argumentative when I explained the </w:t>
      </w:r>
      <w:r w:rsidRPr="00BA7D99">
        <w:rPr>
          <w:rFonts w:eastAsia="Arial"/>
          <w:color w:val="auto"/>
          <w:sz w:val="24"/>
          <w:szCs w:val="24"/>
        </w:rPr>
        <w:lastRenderedPageBreak/>
        <w:t>need to include his child’s details in the PPN</w:t>
      </w:r>
      <w:r w:rsidR="00723266">
        <w:rPr>
          <w:rFonts w:eastAsia="Arial"/>
          <w:color w:val="auto"/>
          <w:sz w:val="24"/>
          <w:szCs w:val="24"/>
        </w:rPr>
        <w:t xml:space="preserve"> because he was worried about social service involvement. </w:t>
      </w:r>
    </w:p>
    <w:p w14:paraId="15447429" w14:textId="77777777" w:rsidR="00723266" w:rsidRDefault="00866054" w:rsidP="00B1458C">
      <w:pPr>
        <w:ind w:right="237"/>
        <w:rPr>
          <w:color w:val="auto"/>
          <w:sz w:val="24"/>
          <w:szCs w:val="24"/>
        </w:rPr>
      </w:pPr>
      <w:r w:rsidRPr="00BA7D99">
        <w:rPr>
          <w:color w:val="auto"/>
          <w:sz w:val="24"/>
          <w:szCs w:val="24"/>
        </w:rPr>
        <w:t xml:space="preserve">Ford (2019) explains that police are </w:t>
      </w:r>
      <w:r w:rsidR="00723266">
        <w:rPr>
          <w:color w:val="auto"/>
          <w:sz w:val="24"/>
          <w:szCs w:val="24"/>
        </w:rPr>
        <w:t>“</w:t>
      </w:r>
      <w:r w:rsidRPr="00BA7D99">
        <w:rPr>
          <w:color w:val="auto"/>
          <w:sz w:val="24"/>
          <w:szCs w:val="24"/>
        </w:rPr>
        <w:t>front end actors</w:t>
      </w:r>
      <w:r w:rsidR="00723266">
        <w:rPr>
          <w:color w:val="auto"/>
          <w:sz w:val="24"/>
          <w:szCs w:val="24"/>
        </w:rPr>
        <w:t>”</w:t>
      </w:r>
      <w:r w:rsidRPr="00BA7D99">
        <w:rPr>
          <w:color w:val="auto"/>
          <w:sz w:val="24"/>
          <w:szCs w:val="24"/>
        </w:rPr>
        <w:t>, meaning we are the ones who put the referrals in but not the service who provides that support, as services will assess the need for their involvement, and if they deem it to be unnecessary, then the police do not have a say in this decision as it is independent from us. Leese and Russell (2017) have identified the growing tension between the police service and support agencies due to the lack of action on agencies’ part to get involved, with this acting as a barrier for vulnerable individuals to receive the support they need. Stanley (</w:t>
      </w:r>
      <w:r w:rsidRPr="00BA7D99">
        <w:rPr>
          <w:i/>
          <w:iCs/>
          <w:color w:val="auto"/>
          <w:sz w:val="24"/>
          <w:szCs w:val="24"/>
        </w:rPr>
        <w:t xml:space="preserve">et al. </w:t>
      </w:r>
      <w:r w:rsidRPr="00BA7D99">
        <w:rPr>
          <w:color w:val="auto"/>
          <w:sz w:val="24"/>
          <w:szCs w:val="24"/>
        </w:rPr>
        <w:t xml:space="preserve">2011) supports this as they highlight that a third of referrals end in no further action, causing vulnerable individuals to fall through the cracks when they </w:t>
      </w:r>
      <w:r w:rsidR="00C32F2E" w:rsidRPr="00BA7D99">
        <w:rPr>
          <w:color w:val="auto"/>
          <w:sz w:val="24"/>
          <w:szCs w:val="24"/>
        </w:rPr>
        <w:t>need</w:t>
      </w:r>
      <w:r w:rsidRPr="00BA7D99">
        <w:rPr>
          <w:color w:val="auto"/>
          <w:sz w:val="24"/>
          <w:szCs w:val="24"/>
        </w:rPr>
        <w:t xml:space="preserve"> support the police cannot provide. Therefore, it was crucial to explain the process to the victim and highlight that it is </w:t>
      </w:r>
      <w:r w:rsidRPr="00BA7D99">
        <w:rPr>
          <w:i/>
          <w:iCs/>
          <w:color w:val="auto"/>
          <w:sz w:val="24"/>
          <w:szCs w:val="24"/>
        </w:rPr>
        <w:t>not</w:t>
      </w:r>
      <w:r w:rsidRPr="00BA7D99">
        <w:rPr>
          <w:color w:val="auto"/>
          <w:sz w:val="24"/>
          <w:szCs w:val="24"/>
        </w:rPr>
        <w:t xml:space="preserve"> the police who provide these services, but are the ones who make the referrals on their behalf to partner agencies who are independent from the police service. Due to </w:t>
      </w:r>
      <w:r w:rsidR="00C32F2E" w:rsidRPr="00BA7D99">
        <w:rPr>
          <w:color w:val="auto"/>
          <w:sz w:val="24"/>
          <w:szCs w:val="24"/>
        </w:rPr>
        <w:t>him vocalising his</w:t>
      </w:r>
      <w:r w:rsidRPr="00BA7D99">
        <w:rPr>
          <w:color w:val="auto"/>
          <w:sz w:val="24"/>
          <w:szCs w:val="24"/>
        </w:rPr>
        <w:t xml:space="preserve"> isolation and not wanting to continue to live in the area, I explained to him that the referral is also an opportunity for me to </w:t>
      </w:r>
      <w:r w:rsidR="00C32F2E" w:rsidRPr="00BA7D99">
        <w:rPr>
          <w:color w:val="auto"/>
          <w:sz w:val="24"/>
          <w:szCs w:val="24"/>
        </w:rPr>
        <w:t>include his</w:t>
      </w:r>
      <w:r w:rsidRPr="00BA7D99">
        <w:rPr>
          <w:color w:val="auto"/>
          <w:sz w:val="24"/>
          <w:szCs w:val="24"/>
        </w:rPr>
        <w:t xml:space="preserve"> opinions so that housing could consider a move for him out of the community, which made him subsequently supportive of the PPN being sent. In relation to his hostility in including his child’s details, I explained the importance of making his school aware of the circumstances so that they are understanding of any behaviour issues going forward so that teachers are better equipped at dealing with any problems that may arise as a result of the child being involved in the incident, </w:t>
      </w:r>
      <w:r w:rsidR="00C32F2E" w:rsidRPr="00BA7D99">
        <w:rPr>
          <w:color w:val="auto"/>
          <w:sz w:val="24"/>
          <w:szCs w:val="24"/>
        </w:rPr>
        <w:t xml:space="preserve">which </w:t>
      </w:r>
      <w:r w:rsidRPr="00BA7D99">
        <w:rPr>
          <w:color w:val="auto"/>
          <w:sz w:val="24"/>
          <w:szCs w:val="24"/>
        </w:rPr>
        <w:t xml:space="preserve">BCP Council (2024) explains. </w:t>
      </w:r>
    </w:p>
    <w:p w14:paraId="10292420" w14:textId="74EF23FC" w:rsidR="00866054" w:rsidRPr="00723266" w:rsidRDefault="00866054" w:rsidP="00B1458C">
      <w:pPr>
        <w:ind w:right="237"/>
        <w:rPr>
          <w:color w:val="auto"/>
          <w:sz w:val="24"/>
          <w:szCs w:val="24"/>
        </w:rPr>
      </w:pPr>
      <w:r w:rsidRPr="00BA7D99">
        <w:rPr>
          <w:color w:val="auto"/>
          <w:sz w:val="24"/>
          <w:szCs w:val="24"/>
        </w:rPr>
        <w:lastRenderedPageBreak/>
        <w:t xml:space="preserve">On explaining the process and that the victim was not being targeted or made out to be a bad father, he calmed down and became apologetic for his outburst as he became aware that the PPN is a benefit for him rather than a hindrance. This shows the need for officers to explain the process to the victim so that they are kept informed on what will happen going forward, and that the police are being transparent with the work we do. </w:t>
      </w:r>
    </w:p>
    <w:p w14:paraId="019B96F3" w14:textId="4E4AAE69" w:rsidR="00866054" w:rsidRPr="00BA7D99" w:rsidRDefault="00866054" w:rsidP="00B1458C">
      <w:pPr>
        <w:ind w:right="237"/>
        <w:rPr>
          <w:color w:val="auto"/>
          <w:sz w:val="24"/>
          <w:szCs w:val="24"/>
        </w:rPr>
      </w:pPr>
    </w:p>
    <w:p w14:paraId="6534C0B1" w14:textId="0D3CD1DC" w:rsidR="00FB176A" w:rsidRPr="00BA7D99" w:rsidRDefault="00866054" w:rsidP="00B1458C">
      <w:pPr>
        <w:ind w:right="237"/>
        <w:rPr>
          <w:color w:val="auto"/>
          <w:sz w:val="24"/>
          <w:szCs w:val="24"/>
        </w:rPr>
      </w:pPr>
      <w:r w:rsidRPr="00BA7D99">
        <w:rPr>
          <w:color w:val="auto"/>
          <w:sz w:val="24"/>
          <w:szCs w:val="24"/>
        </w:rPr>
        <w:t>In addition to the PPN, I also considered the use of the Youth Offending Service (YOS). YOS is a service that offers prevention and intervention services to young individuals aged between 8 – 17 years old who display offending behaviour, and the service is used as a preventer of anti-social behaviour that plagues the community (Caerphilly County Borough Council, 2024). Bearing in mind that the age of criminal responsibility in the UK is 10 years old (</w:t>
      </w:r>
      <w:r w:rsidR="00A434BF" w:rsidRPr="00BA7D99">
        <w:rPr>
          <w:color w:val="auto"/>
          <w:sz w:val="24"/>
          <w:szCs w:val="24"/>
        </w:rPr>
        <w:t>CPS, 2022), YOS was an instrumental approach to the incident as it meant that there were interventions that were available to deter the 9-year-olds from committing similar incidents in the future. Due to YOS being a localised service, there is little research into it. However,</w:t>
      </w:r>
      <w:r w:rsidR="00690E21" w:rsidRPr="00BA7D99">
        <w:rPr>
          <w:color w:val="auto"/>
          <w:sz w:val="24"/>
          <w:szCs w:val="24"/>
        </w:rPr>
        <w:t xml:space="preserve"> Williamson (2009, p. 14)</w:t>
      </w:r>
      <w:r w:rsidR="00A434BF" w:rsidRPr="00BA7D99">
        <w:rPr>
          <w:color w:val="auto"/>
          <w:sz w:val="24"/>
          <w:szCs w:val="24"/>
        </w:rPr>
        <w:t xml:space="preserve"> highlights the importance of tackling such behaviour early on </w:t>
      </w:r>
      <w:r w:rsidR="00690E21" w:rsidRPr="00BA7D99">
        <w:rPr>
          <w:color w:val="auto"/>
          <w:sz w:val="24"/>
          <w:szCs w:val="24"/>
        </w:rPr>
        <w:t xml:space="preserve">where once prevalent support, such as from the family sphere and schooling, are now no longer as involved and effective as they once were, creating a complex situation needing interventions that are as diverse as the youth’s situation, as they may be experiencing social exclusion, challenging transition into adulthood, and anxieties related to adolescence. </w:t>
      </w:r>
      <w:r w:rsidR="00712D55" w:rsidRPr="00BA7D99">
        <w:rPr>
          <w:color w:val="auto"/>
          <w:sz w:val="24"/>
          <w:szCs w:val="24"/>
        </w:rPr>
        <w:t>Therefore, working with the young offenders not only teaches them the importance of diversity and providing support to those</w:t>
      </w:r>
      <w:r w:rsidR="00E8624A" w:rsidRPr="00BA7D99">
        <w:rPr>
          <w:color w:val="auto"/>
          <w:sz w:val="24"/>
          <w:szCs w:val="24"/>
        </w:rPr>
        <w:t xml:space="preserve"> both</w:t>
      </w:r>
      <w:r w:rsidR="00712D55" w:rsidRPr="00BA7D99">
        <w:rPr>
          <w:color w:val="auto"/>
          <w:sz w:val="24"/>
          <w:szCs w:val="24"/>
        </w:rPr>
        <w:t xml:space="preserve"> affected</w:t>
      </w:r>
      <w:r w:rsidR="00E8624A" w:rsidRPr="00BA7D99">
        <w:rPr>
          <w:color w:val="auto"/>
          <w:sz w:val="24"/>
          <w:szCs w:val="24"/>
        </w:rPr>
        <w:t xml:space="preserve"> and involved</w:t>
      </w:r>
      <w:r w:rsidR="00712D55" w:rsidRPr="00BA7D99">
        <w:rPr>
          <w:color w:val="auto"/>
          <w:sz w:val="24"/>
          <w:szCs w:val="24"/>
        </w:rPr>
        <w:t xml:space="preserve">, </w:t>
      </w:r>
      <w:r w:rsidR="00C32F2E" w:rsidRPr="00BA7D99">
        <w:rPr>
          <w:color w:val="auto"/>
          <w:sz w:val="24"/>
          <w:szCs w:val="24"/>
        </w:rPr>
        <w:t>but it</w:t>
      </w:r>
      <w:r w:rsidR="00712D55" w:rsidRPr="00BA7D99">
        <w:rPr>
          <w:color w:val="auto"/>
          <w:sz w:val="24"/>
          <w:szCs w:val="24"/>
        </w:rPr>
        <w:t xml:space="preserve"> also encourages </w:t>
      </w:r>
      <w:r w:rsidR="00712D55" w:rsidRPr="00BA7D99">
        <w:rPr>
          <w:color w:val="auto"/>
          <w:sz w:val="24"/>
          <w:szCs w:val="24"/>
        </w:rPr>
        <w:lastRenderedPageBreak/>
        <w:t xml:space="preserve">restorative </w:t>
      </w:r>
      <w:r w:rsidR="00E8624A" w:rsidRPr="00BA7D99">
        <w:rPr>
          <w:color w:val="auto"/>
          <w:sz w:val="24"/>
          <w:szCs w:val="24"/>
        </w:rPr>
        <w:t>practices</w:t>
      </w:r>
      <w:r w:rsidR="00712D55" w:rsidRPr="00BA7D99">
        <w:rPr>
          <w:color w:val="auto"/>
          <w:sz w:val="24"/>
          <w:szCs w:val="24"/>
        </w:rPr>
        <w:t xml:space="preserve"> rather than punishment; if the young person thought they were being punished, they would be less likely to engage with the services, and so the YOS referral was the most appropriate outcome for the incident. </w:t>
      </w:r>
    </w:p>
    <w:p w14:paraId="7C572DE1" w14:textId="77777777" w:rsidR="00FB176A" w:rsidRPr="00BA7D99" w:rsidRDefault="00FB176A" w:rsidP="00B1458C">
      <w:pPr>
        <w:ind w:right="237"/>
        <w:rPr>
          <w:color w:val="auto"/>
          <w:sz w:val="24"/>
          <w:szCs w:val="24"/>
        </w:rPr>
      </w:pPr>
    </w:p>
    <w:p w14:paraId="210A65DE" w14:textId="1760534E" w:rsidR="00866054" w:rsidRPr="00BA7D99" w:rsidRDefault="00FB176A" w:rsidP="00B1458C">
      <w:pPr>
        <w:ind w:right="237"/>
        <w:rPr>
          <w:color w:val="auto"/>
          <w:sz w:val="24"/>
          <w:szCs w:val="24"/>
        </w:rPr>
      </w:pPr>
      <w:r w:rsidRPr="00BA7D99">
        <w:rPr>
          <w:color w:val="auto"/>
          <w:sz w:val="24"/>
          <w:szCs w:val="24"/>
        </w:rPr>
        <w:t xml:space="preserve">Other approaches, such as tasking community support officers (CSOs) and making the neighbourhood team aware of the incident, proved to be effective </w:t>
      </w:r>
      <w:r w:rsidR="00471ADA" w:rsidRPr="00BA7D99">
        <w:rPr>
          <w:color w:val="auto"/>
          <w:sz w:val="24"/>
          <w:szCs w:val="24"/>
        </w:rPr>
        <w:t>as</w:t>
      </w:r>
      <w:r w:rsidRPr="00BA7D99">
        <w:rPr>
          <w:color w:val="auto"/>
          <w:sz w:val="24"/>
          <w:szCs w:val="24"/>
        </w:rPr>
        <w:t xml:space="preserve"> routine patrols being conducted in the area made a visible presence to the community that such behaviour was being monitored, and </w:t>
      </w:r>
      <w:r w:rsidR="00E8624A" w:rsidRPr="00BA7D99">
        <w:rPr>
          <w:color w:val="auto"/>
          <w:sz w:val="24"/>
          <w:szCs w:val="24"/>
        </w:rPr>
        <w:t xml:space="preserve">reoccurring incidents </w:t>
      </w:r>
      <w:r w:rsidRPr="00BA7D99">
        <w:rPr>
          <w:color w:val="auto"/>
          <w:sz w:val="24"/>
          <w:szCs w:val="24"/>
        </w:rPr>
        <w:t>reported</w:t>
      </w:r>
      <w:r w:rsidR="00E8624A" w:rsidRPr="00BA7D99">
        <w:rPr>
          <w:color w:val="auto"/>
          <w:sz w:val="24"/>
          <w:szCs w:val="24"/>
        </w:rPr>
        <w:t xml:space="preserve"> (Ariel, Weinborn and Sherman, 2016). This visible presence within the community also increases the public’s trust and confidence in the police </w:t>
      </w:r>
      <w:r w:rsidR="00471ADA" w:rsidRPr="00BA7D99">
        <w:rPr>
          <w:color w:val="auto"/>
          <w:sz w:val="24"/>
          <w:szCs w:val="24"/>
        </w:rPr>
        <w:t>service and</w:t>
      </w:r>
      <w:r w:rsidR="00E8624A" w:rsidRPr="00BA7D99">
        <w:rPr>
          <w:color w:val="auto"/>
          <w:sz w:val="24"/>
          <w:szCs w:val="24"/>
        </w:rPr>
        <w:t xml:space="preserve"> acts as a barrier to further criminality (</w:t>
      </w:r>
      <w:r w:rsidR="00495709" w:rsidRPr="00BA7D99">
        <w:rPr>
          <w:color w:val="auto"/>
          <w:sz w:val="24"/>
          <w:szCs w:val="24"/>
        </w:rPr>
        <w:t>O’Neill, 2015</w:t>
      </w:r>
      <w:r w:rsidR="00E8624A" w:rsidRPr="00BA7D99">
        <w:rPr>
          <w:color w:val="auto"/>
          <w:sz w:val="24"/>
          <w:szCs w:val="24"/>
        </w:rPr>
        <w:t xml:space="preserve">). However, Ariel, Weinborn and Sherman (2016) goes on to suggest that using CSOs in these areas is considered ‘soft’ policing. However, in the example incident, I would consider it to be </w:t>
      </w:r>
      <w:r w:rsidR="00471ADA" w:rsidRPr="00BA7D99">
        <w:rPr>
          <w:color w:val="auto"/>
          <w:sz w:val="24"/>
          <w:szCs w:val="24"/>
        </w:rPr>
        <w:t xml:space="preserve">effective </w:t>
      </w:r>
      <w:r w:rsidR="00E8624A" w:rsidRPr="00BA7D99">
        <w:rPr>
          <w:color w:val="auto"/>
          <w:sz w:val="24"/>
          <w:szCs w:val="24"/>
        </w:rPr>
        <w:t xml:space="preserve">due to the CSOs having a </w:t>
      </w:r>
      <w:r w:rsidR="00A565D0" w:rsidRPr="00BA7D99">
        <w:rPr>
          <w:color w:val="auto"/>
          <w:sz w:val="24"/>
          <w:szCs w:val="24"/>
        </w:rPr>
        <w:t>positive</w:t>
      </w:r>
      <w:r w:rsidR="00E8624A" w:rsidRPr="00BA7D99">
        <w:rPr>
          <w:color w:val="auto"/>
          <w:sz w:val="24"/>
          <w:szCs w:val="24"/>
        </w:rPr>
        <w:t xml:space="preserve"> relationship with the community and children as they are more hands on and readily available compared to police officers needing to respond to calls and emergencies. </w:t>
      </w:r>
      <w:r w:rsidR="00471ADA" w:rsidRPr="00BA7D99">
        <w:rPr>
          <w:color w:val="auto"/>
          <w:sz w:val="24"/>
          <w:szCs w:val="24"/>
        </w:rPr>
        <w:t xml:space="preserve">In addition, if the community sees the same CSOs patrolling their community, they become acquainted to these officers and this can build a rapport through this familiarity, leading to improved relationships between the community and the police. </w:t>
      </w:r>
    </w:p>
    <w:p w14:paraId="3BBFF629" w14:textId="4812BA8D" w:rsidR="009B2C8F" w:rsidRPr="00BA7D99" w:rsidRDefault="009B2C8F" w:rsidP="00B1458C">
      <w:pPr>
        <w:ind w:right="237"/>
        <w:rPr>
          <w:rFonts w:eastAsia="Arial"/>
          <w:color w:val="CC0099"/>
          <w:sz w:val="24"/>
          <w:szCs w:val="24"/>
        </w:rPr>
      </w:pPr>
    </w:p>
    <w:p w14:paraId="6AEEE6EA" w14:textId="6435B79C" w:rsidR="0061062A" w:rsidRPr="00BA7D99" w:rsidRDefault="00BE6FB2" w:rsidP="00B1458C">
      <w:pPr>
        <w:ind w:right="237"/>
        <w:rPr>
          <w:rFonts w:eastAsia="Arial"/>
          <w:color w:val="auto"/>
          <w:sz w:val="24"/>
          <w:szCs w:val="24"/>
        </w:rPr>
      </w:pPr>
      <w:r w:rsidRPr="00BA7D99">
        <w:rPr>
          <w:rFonts w:eastAsia="Arial"/>
          <w:color w:val="auto"/>
          <w:sz w:val="24"/>
          <w:szCs w:val="24"/>
        </w:rPr>
        <w:t xml:space="preserve">On speaking with the victim, it became apparent that he was a repeat victim as the children had subjected him to similar treatment in the past few weeks. </w:t>
      </w:r>
      <w:r w:rsidR="00866054" w:rsidRPr="00BA7D99">
        <w:rPr>
          <w:rFonts w:eastAsia="Arial"/>
          <w:color w:val="auto"/>
          <w:sz w:val="24"/>
          <w:szCs w:val="24"/>
        </w:rPr>
        <w:t>College of Policing (2024) describes r</w:t>
      </w:r>
      <w:r w:rsidRPr="00BA7D99">
        <w:rPr>
          <w:rFonts w:eastAsia="Arial"/>
          <w:color w:val="auto"/>
          <w:sz w:val="24"/>
          <w:szCs w:val="24"/>
        </w:rPr>
        <w:t xml:space="preserve">epeat victimisation </w:t>
      </w:r>
      <w:r w:rsidR="00866054" w:rsidRPr="00BA7D99">
        <w:rPr>
          <w:rFonts w:eastAsia="Arial"/>
          <w:color w:val="auto"/>
          <w:sz w:val="24"/>
          <w:szCs w:val="24"/>
        </w:rPr>
        <w:t xml:space="preserve">as when an individual is a victim for </w:t>
      </w:r>
      <w:r w:rsidR="00866054" w:rsidRPr="00BA7D99">
        <w:rPr>
          <w:rFonts w:eastAsia="Arial"/>
          <w:color w:val="auto"/>
          <w:sz w:val="24"/>
          <w:szCs w:val="24"/>
        </w:rPr>
        <w:lastRenderedPageBreak/>
        <w:t xml:space="preserve">the same offence or type of offence in the last 12 months on more than one occasion. The label of being a repeat victim brings about </w:t>
      </w:r>
      <w:r w:rsidR="00FB176A" w:rsidRPr="00BA7D99">
        <w:rPr>
          <w:rFonts w:eastAsia="Arial"/>
          <w:color w:val="auto"/>
          <w:sz w:val="24"/>
          <w:szCs w:val="24"/>
        </w:rPr>
        <w:t xml:space="preserve">a negative connotation, especially where those committing the offence are repeat offenders. This was relevant as the victim </w:t>
      </w:r>
      <w:r w:rsidR="00471ADA" w:rsidRPr="00BA7D99">
        <w:rPr>
          <w:rFonts w:eastAsia="Arial"/>
          <w:color w:val="auto"/>
          <w:sz w:val="24"/>
          <w:szCs w:val="24"/>
        </w:rPr>
        <w:t>stated</w:t>
      </w:r>
      <w:r w:rsidR="00FB176A" w:rsidRPr="00BA7D99">
        <w:rPr>
          <w:rFonts w:eastAsia="Arial"/>
          <w:color w:val="auto"/>
          <w:sz w:val="24"/>
          <w:szCs w:val="24"/>
        </w:rPr>
        <w:t xml:space="preserve"> it was the same children. One way to curb the repeat offending was to go to the parents of the children and talk with them about the severity of the situation and how the language used by the children were not acceptable. Both highlighting this and emphasising the point that if the children were older then they would have been arrested and prosecuted made the parents realise that more had to be done on their part to educate their children on what is right and wrong, and the consequences of using the type of language they were using. Speaking with the children also brought gravity to the situation, and explaining the consequences to them made them realise that they </w:t>
      </w:r>
      <w:r w:rsidR="00471ADA" w:rsidRPr="00BA7D99">
        <w:rPr>
          <w:rFonts w:eastAsia="Arial"/>
          <w:color w:val="auto"/>
          <w:sz w:val="24"/>
          <w:szCs w:val="24"/>
        </w:rPr>
        <w:t>could face</w:t>
      </w:r>
      <w:r w:rsidR="00FB176A" w:rsidRPr="00BA7D99">
        <w:rPr>
          <w:rFonts w:eastAsia="Arial"/>
          <w:color w:val="auto"/>
          <w:sz w:val="24"/>
          <w:szCs w:val="24"/>
        </w:rPr>
        <w:t xml:space="preserve"> a more severe punishment in 1 years’ time when they are the age of criminal responsibility. </w:t>
      </w:r>
      <w:r w:rsidR="0061062A" w:rsidRPr="00BA7D99">
        <w:rPr>
          <w:rFonts w:eastAsia="Arial"/>
          <w:color w:val="auto"/>
          <w:sz w:val="24"/>
          <w:szCs w:val="24"/>
        </w:rPr>
        <w:t xml:space="preserve">Shorrock, McManus and Kirby (2020) </w:t>
      </w:r>
      <w:r w:rsidR="00EF04A5" w:rsidRPr="00BA7D99">
        <w:rPr>
          <w:rFonts w:eastAsia="Arial"/>
          <w:color w:val="auto"/>
          <w:sz w:val="24"/>
          <w:szCs w:val="24"/>
        </w:rPr>
        <w:t>imply</w:t>
      </w:r>
      <w:r w:rsidR="0061062A" w:rsidRPr="00BA7D99">
        <w:rPr>
          <w:rFonts w:eastAsia="Arial"/>
          <w:color w:val="auto"/>
          <w:sz w:val="24"/>
          <w:szCs w:val="24"/>
        </w:rPr>
        <w:t xml:space="preserve"> that the use of multi-agency referrals can be a factor in preventing repeat victimisation due to safeguarding implementations and managing vulnerability early on. (</w:t>
      </w:r>
      <w:r w:rsidR="00712D55" w:rsidRPr="00BA7D99">
        <w:rPr>
          <w:rFonts w:eastAsia="Arial"/>
          <w:color w:val="auto"/>
          <w:sz w:val="24"/>
          <w:szCs w:val="24"/>
        </w:rPr>
        <w:t xml:space="preserve">Grove, et al. 2014, </w:t>
      </w:r>
      <w:r w:rsidR="008120F5" w:rsidRPr="00BA7D99">
        <w:rPr>
          <w:rFonts w:eastAsia="Arial"/>
          <w:color w:val="auto"/>
          <w:sz w:val="24"/>
          <w:szCs w:val="24"/>
        </w:rPr>
        <w:t>p. 38</w:t>
      </w:r>
      <w:r w:rsidR="0061062A" w:rsidRPr="00BA7D99">
        <w:rPr>
          <w:rFonts w:eastAsia="Arial"/>
          <w:color w:val="auto"/>
          <w:sz w:val="24"/>
          <w:szCs w:val="24"/>
        </w:rPr>
        <w:t xml:space="preserve">) supports this by denoting that </w:t>
      </w:r>
      <w:r w:rsidR="008120F5" w:rsidRPr="00BA7D99">
        <w:rPr>
          <w:rFonts w:eastAsia="Arial"/>
          <w:color w:val="auto"/>
          <w:sz w:val="24"/>
          <w:szCs w:val="24"/>
        </w:rPr>
        <w:t>preventions need to be relevant to the offences to be an effective measure, as well as the preventions needing to be consistently implemented, a</w:t>
      </w:r>
      <w:r w:rsidR="00471ADA" w:rsidRPr="00BA7D99">
        <w:rPr>
          <w:rFonts w:eastAsia="Arial"/>
          <w:color w:val="auto"/>
          <w:sz w:val="24"/>
          <w:szCs w:val="24"/>
        </w:rPr>
        <w:t xml:space="preserve">nd </w:t>
      </w:r>
      <w:r w:rsidR="008120F5" w:rsidRPr="00BA7D99">
        <w:rPr>
          <w:rFonts w:eastAsia="Arial"/>
          <w:color w:val="auto"/>
          <w:sz w:val="24"/>
          <w:szCs w:val="24"/>
        </w:rPr>
        <w:t>a</w:t>
      </w:r>
      <w:r w:rsidR="00471ADA" w:rsidRPr="00BA7D99">
        <w:rPr>
          <w:rFonts w:eastAsia="Arial"/>
          <w:color w:val="auto"/>
          <w:sz w:val="24"/>
          <w:szCs w:val="24"/>
        </w:rPr>
        <w:t>l</w:t>
      </w:r>
      <w:r w:rsidR="008120F5" w:rsidRPr="00BA7D99">
        <w:rPr>
          <w:rFonts w:eastAsia="Arial"/>
          <w:color w:val="auto"/>
          <w:sz w:val="24"/>
          <w:szCs w:val="24"/>
        </w:rPr>
        <w:t>s</w:t>
      </w:r>
      <w:r w:rsidR="00471ADA" w:rsidRPr="00BA7D99">
        <w:rPr>
          <w:rFonts w:eastAsia="Arial"/>
          <w:color w:val="auto"/>
          <w:sz w:val="24"/>
          <w:szCs w:val="24"/>
        </w:rPr>
        <w:t>o</w:t>
      </w:r>
      <w:r w:rsidR="008120F5" w:rsidRPr="00BA7D99">
        <w:rPr>
          <w:rFonts w:eastAsia="Arial"/>
          <w:color w:val="auto"/>
          <w:sz w:val="24"/>
          <w:szCs w:val="24"/>
        </w:rPr>
        <w:t xml:space="preserve"> research and development of such preventions needing to be continued to </w:t>
      </w:r>
      <w:r w:rsidR="00471ADA" w:rsidRPr="00BA7D99">
        <w:rPr>
          <w:rFonts w:eastAsia="Arial"/>
          <w:color w:val="auto"/>
          <w:sz w:val="24"/>
          <w:szCs w:val="24"/>
        </w:rPr>
        <w:t>monitor</w:t>
      </w:r>
      <w:r w:rsidR="008120F5" w:rsidRPr="00BA7D99">
        <w:rPr>
          <w:rFonts w:eastAsia="Arial"/>
          <w:color w:val="auto"/>
          <w:sz w:val="24"/>
          <w:szCs w:val="24"/>
        </w:rPr>
        <w:t xml:space="preserve"> their impact. </w:t>
      </w:r>
      <w:r w:rsidR="0061062A" w:rsidRPr="00BA7D99">
        <w:rPr>
          <w:rFonts w:eastAsia="Arial"/>
          <w:color w:val="auto"/>
          <w:sz w:val="24"/>
          <w:szCs w:val="24"/>
        </w:rPr>
        <w:t xml:space="preserve">This is relevant </w:t>
      </w:r>
      <w:r w:rsidR="00EF04A5" w:rsidRPr="00BA7D99">
        <w:rPr>
          <w:rFonts w:eastAsia="Arial"/>
          <w:color w:val="auto"/>
          <w:sz w:val="24"/>
          <w:szCs w:val="24"/>
        </w:rPr>
        <w:t xml:space="preserve">due to the referrals that were made on the victim’s </w:t>
      </w:r>
      <w:r w:rsidR="008120F5" w:rsidRPr="00BA7D99">
        <w:rPr>
          <w:rFonts w:eastAsia="Arial"/>
          <w:color w:val="auto"/>
          <w:sz w:val="24"/>
          <w:szCs w:val="24"/>
        </w:rPr>
        <w:t>behalf and</w:t>
      </w:r>
      <w:r w:rsidR="00EF04A5" w:rsidRPr="00BA7D99">
        <w:rPr>
          <w:rFonts w:eastAsia="Arial"/>
          <w:color w:val="auto"/>
          <w:sz w:val="24"/>
          <w:szCs w:val="24"/>
        </w:rPr>
        <w:t xml:space="preserve"> using these referrals to access as much support as possible for the victim</w:t>
      </w:r>
      <w:r w:rsidR="008120F5" w:rsidRPr="00BA7D99">
        <w:rPr>
          <w:rFonts w:eastAsia="Arial"/>
          <w:color w:val="auto"/>
          <w:sz w:val="24"/>
          <w:szCs w:val="24"/>
        </w:rPr>
        <w:t xml:space="preserve">, in addition to consistent intervention by partner agencies needing to continue. </w:t>
      </w:r>
    </w:p>
    <w:p w14:paraId="71497E6F" w14:textId="77777777" w:rsidR="00B1458C" w:rsidRPr="00BA7D99" w:rsidRDefault="00B1458C" w:rsidP="00B1458C">
      <w:pPr>
        <w:rPr>
          <w:b/>
          <w:bCs/>
          <w:color w:val="auto"/>
          <w:sz w:val="24"/>
          <w:szCs w:val="24"/>
        </w:rPr>
      </w:pPr>
    </w:p>
    <w:p w14:paraId="69E5D313" w14:textId="0115C7A7" w:rsidR="008108F6" w:rsidRPr="002D7B45" w:rsidRDefault="008108F6" w:rsidP="00B1458C">
      <w:pPr>
        <w:rPr>
          <w:color w:val="auto"/>
          <w:sz w:val="24"/>
          <w:szCs w:val="24"/>
        </w:rPr>
      </w:pPr>
      <w:r w:rsidRPr="00BA7D99">
        <w:rPr>
          <w:color w:val="auto"/>
          <w:sz w:val="24"/>
          <w:szCs w:val="24"/>
        </w:rPr>
        <w:lastRenderedPageBreak/>
        <w:t xml:space="preserve">Taking the above into consideration, hate crime is an offence that has been prevalent in recent years, and is an offence the police service is not tolerant of in the modern century. </w:t>
      </w:r>
      <w:r w:rsidR="003C002B" w:rsidRPr="00BA7D99">
        <w:rPr>
          <w:color w:val="auto"/>
          <w:sz w:val="24"/>
          <w:szCs w:val="24"/>
        </w:rPr>
        <w:t>The use of the appropriate approaches, such as the submission of a PPN and a YOS referral, in conjunction to explaining the processes to the victim thoroughly, proved to be effective. This is in the sense of repairing the dismantled trust that the victim ha</w:t>
      </w:r>
      <w:r w:rsidR="00471ADA" w:rsidRPr="00BA7D99">
        <w:rPr>
          <w:color w:val="auto"/>
          <w:sz w:val="24"/>
          <w:szCs w:val="24"/>
        </w:rPr>
        <w:t>d</w:t>
      </w:r>
      <w:r w:rsidR="003C002B" w:rsidRPr="00BA7D99">
        <w:rPr>
          <w:color w:val="auto"/>
          <w:sz w:val="24"/>
          <w:szCs w:val="24"/>
        </w:rPr>
        <w:t xml:space="preserve"> in the police due to previous experiences, as well as requesting support for him that he was not aware was available</w:t>
      </w:r>
      <w:r w:rsidR="0061062A" w:rsidRPr="00BA7D99">
        <w:rPr>
          <w:color w:val="auto"/>
          <w:sz w:val="24"/>
          <w:szCs w:val="24"/>
        </w:rPr>
        <w:t>. This included</w:t>
      </w:r>
      <w:r w:rsidR="003C002B" w:rsidRPr="00BA7D99">
        <w:rPr>
          <w:color w:val="auto"/>
          <w:sz w:val="24"/>
          <w:szCs w:val="24"/>
        </w:rPr>
        <w:t xml:space="preserve"> making his son’s school aware of the situation in case he exhibited behaviour out of the norm, </w:t>
      </w:r>
      <w:r w:rsidR="00471ADA" w:rsidRPr="00BA7D99">
        <w:rPr>
          <w:color w:val="auto"/>
          <w:sz w:val="24"/>
          <w:szCs w:val="24"/>
        </w:rPr>
        <w:t>and</w:t>
      </w:r>
      <w:r w:rsidR="003C002B" w:rsidRPr="00BA7D99">
        <w:rPr>
          <w:color w:val="auto"/>
          <w:sz w:val="24"/>
          <w:szCs w:val="24"/>
        </w:rPr>
        <w:t xml:space="preserve"> notifying the housing </w:t>
      </w:r>
      <w:r w:rsidR="0061062A" w:rsidRPr="00BA7D99">
        <w:rPr>
          <w:color w:val="auto"/>
          <w:sz w:val="24"/>
          <w:szCs w:val="24"/>
        </w:rPr>
        <w:t>association</w:t>
      </w:r>
      <w:r w:rsidR="003C002B" w:rsidRPr="00BA7D99">
        <w:rPr>
          <w:color w:val="auto"/>
          <w:sz w:val="24"/>
          <w:szCs w:val="24"/>
        </w:rPr>
        <w:t xml:space="preserve"> of the incident to accelerate moving the victim out of the area due to </w:t>
      </w:r>
      <w:r w:rsidR="0061062A" w:rsidRPr="00BA7D99">
        <w:rPr>
          <w:color w:val="auto"/>
          <w:sz w:val="24"/>
          <w:szCs w:val="24"/>
        </w:rPr>
        <w:t xml:space="preserve">his discomfort of being placed within that community. Support was also provided for the offenders through the YOS </w:t>
      </w:r>
      <w:r w:rsidR="00937655" w:rsidRPr="00BA7D99">
        <w:rPr>
          <w:color w:val="auto"/>
          <w:sz w:val="24"/>
          <w:szCs w:val="24"/>
        </w:rPr>
        <w:t>referral,</w:t>
      </w:r>
      <w:r w:rsidR="0061062A" w:rsidRPr="00BA7D99">
        <w:rPr>
          <w:color w:val="auto"/>
          <w:sz w:val="24"/>
          <w:szCs w:val="24"/>
        </w:rPr>
        <w:t xml:space="preserve"> so interventions were implemented early on </w:t>
      </w:r>
      <w:r w:rsidR="00AB0157" w:rsidRPr="00BA7D99">
        <w:rPr>
          <w:color w:val="auto"/>
          <w:sz w:val="24"/>
          <w:szCs w:val="24"/>
        </w:rPr>
        <w:t xml:space="preserve">and </w:t>
      </w:r>
      <w:r w:rsidR="0061062A" w:rsidRPr="00BA7D99">
        <w:rPr>
          <w:color w:val="auto"/>
          <w:sz w:val="24"/>
          <w:szCs w:val="24"/>
        </w:rPr>
        <w:t xml:space="preserve">their offending behaviour was addressed, and future offences prevented, especially against the victim. Rebuilding the trust of the victim for the police service was also a welcome outcome, especially where the victim voiced his frustration of being let down </w:t>
      </w:r>
      <w:r w:rsidR="00AB0157" w:rsidRPr="00BA7D99">
        <w:rPr>
          <w:color w:val="auto"/>
          <w:sz w:val="24"/>
          <w:szCs w:val="24"/>
        </w:rPr>
        <w:t>previously</w:t>
      </w:r>
      <w:r w:rsidR="0061062A" w:rsidRPr="00BA7D99">
        <w:rPr>
          <w:color w:val="auto"/>
          <w:sz w:val="24"/>
          <w:szCs w:val="24"/>
        </w:rPr>
        <w:t>. By explaining the process and the police service’s role, the victim was able to understand what would happen going forward, and what was available to him to support him and his child.</w:t>
      </w:r>
      <w:r w:rsidR="0061062A" w:rsidRPr="002D7B45">
        <w:rPr>
          <w:color w:val="auto"/>
          <w:sz w:val="24"/>
          <w:szCs w:val="24"/>
        </w:rPr>
        <w:t xml:space="preserve"> </w:t>
      </w:r>
    </w:p>
    <w:p w14:paraId="1DF2A5B4" w14:textId="77777777" w:rsidR="00495709" w:rsidRPr="002D7B45" w:rsidRDefault="00495709" w:rsidP="008108F6">
      <w:pPr>
        <w:rPr>
          <w:b/>
          <w:bCs/>
          <w:color w:val="auto"/>
          <w:sz w:val="24"/>
          <w:szCs w:val="24"/>
        </w:rPr>
      </w:pPr>
    </w:p>
    <w:p w14:paraId="06491356" w14:textId="7F3348E2" w:rsidR="00A221AB" w:rsidRPr="00937655" w:rsidRDefault="00495709" w:rsidP="00937655">
      <w:pPr>
        <w:rPr>
          <w:b/>
          <w:bCs/>
          <w:color w:val="auto"/>
          <w:sz w:val="24"/>
          <w:szCs w:val="24"/>
        </w:rPr>
      </w:pPr>
      <w:r w:rsidRPr="002D7B45">
        <w:rPr>
          <w:b/>
          <w:bCs/>
          <w:color w:val="auto"/>
          <w:sz w:val="24"/>
          <w:szCs w:val="24"/>
        </w:rPr>
        <w:t>Word count: 2,</w:t>
      </w:r>
      <w:r w:rsidR="00723266">
        <w:rPr>
          <w:b/>
          <w:bCs/>
          <w:color w:val="auto"/>
          <w:sz w:val="24"/>
          <w:szCs w:val="24"/>
        </w:rPr>
        <w:t>200</w:t>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59FA59F1" w14:textId="77777777" w:rsidR="00BA7D99" w:rsidRDefault="00BA7D99" w:rsidP="69F7424F">
      <w:pPr>
        <w:ind w:right="237"/>
        <w:jc w:val="center"/>
        <w:rPr>
          <w:b/>
          <w:bCs/>
          <w:sz w:val="24"/>
          <w:szCs w:val="24"/>
        </w:rPr>
      </w:pPr>
    </w:p>
    <w:p w14:paraId="23D9A737" w14:textId="77777777" w:rsidR="00BA7D99" w:rsidRDefault="00BA7D99" w:rsidP="69F7424F">
      <w:pPr>
        <w:ind w:right="237"/>
        <w:jc w:val="center"/>
        <w:rPr>
          <w:b/>
          <w:bCs/>
          <w:sz w:val="24"/>
          <w:szCs w:val="24"/>
        </w:rPr>
      </w:pPr>
    </w:p>
    <w:p w14:paraId="0EDF7B70" w14:textId="77777777" w:rsidR="00BA7D99" w:rsidRDefault="00BA7D99" w:rsidP="69F7424F">
      <w:pPr>
        <w:ind w:right="237"/>
        <w:jc w:val="center"/>
        <w:rPr>
          <w:b/>
          <w:bCs/>
          <w:sz w:val="24"/>
          <w:szCs w:val="24"/>
        </w:rPr>
      </w:pPr>
    </w:p>
    <w:p w14:paraId="005E1525" w14:textId="77777777" w:rsidR="00BA7D99" w:rsidRDefault="00BA7D99" w:rsidP="69F7424F">
      <w:pPr>
        <w:ind w:right="237"/>
        <w:jc w:val="center"/>
        <w:rPr>
          <w:b/>
          <w:bCs/>
          <w:sz w:val="24"/>
          <w:szCs w:val="24"/>
        </w:rPr>
      </w:pPr>
    </w:p>
    <w:p w14:paraId="0D4D8F9D" w14:textId="77777777" w:rsidR="00BA7D99" w:rsidRDefault="00BA7D99" w:rsidP="69F7424F">
      <w:pPr>
        <w:ind w:right="237"/>
        <w:jc w:val="center"/>
        <w:rPr>
          <w:b/>
          <w:bCs/>
          <w:sz w:val="24"/>
          <w:szCs w:val="24"/>
        </w:rPr>
      </w:pPr>
    </w:p>
    <w:p w14:paraId="3CD0F299" w14:textId="77777777" w:rsidR="00BA7D99" w:rsidRDefault="00BA7D99"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58D3FD18" w14:textId="77777777" w:rsidR="00BA7D99" w:rsidRDefault="00BA7D99" w:rsidP="5CE196A1">
      <w:pPr>
        <w:ind w:right="237"/>
        <w:jc w:val="both"/>
        <w:rPr>
          <w:color w:val="000000" w:themeColor="text1"/>
          <w:sz w:val="24"/>
          <w:szCs w:val="24"/>
        </w:rPr>
      </w:pPr>
    </w:p>
    <w:p w14:paraId="6464CD11" w14:textId="77777777" w:rsidR="00BA7D99" w:rsidRDefault="00BA7D99" w:rsidP="5CE196A1">
      <w:pPr>
        <w:ind w:right="237"/>
        <w:jc w:val="both"/>
        <w:rPr>
          <w:color w:val="000000" w:themeColor="text1"/>
          <w:sz w:val="24"/>
          <w:szCs w:val="24"/>
        </w:rPr>
      </w:pPr>
    </w:p>
    <w:p w14:paraId="6E4C7FD3" w14:textId="77777777" w:rsidR="00BA7D99" w:rsidRDefault="00BA7D99"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lastRenderedPageBreak/>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229E1A4C" w14:textId="7096AE5E"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Default="00025650" w:rsidP="0FF883D4">
      <w:pPr>
        <w:ind w:right="237"/>
        <w:jc w:val="both"/>
        <w:rPr>
          <w:color w:val="000000" w:themeColor="text1"/>
          <w:sz w:val="24"/>
          <w:szCs w:val="24"/>
          <w:u w:val="single"/>
        </w:rPr>
      </w:pPr>
    </w:p>
    <w:p w14:paraId="6ED4B7A1" w14:textId="77777777" w:rsidR="00284924" w:rsidRPr="00E676F7" w:rsidRDefault="00284924"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0284924">
      <w:pPr>
        <w:ind w:right="237"/>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4648FDD9" w14:textId="7CA8525E" w:rsidR="0FF883D4" w:rsidRDefault="0FF883D4" w:rsidP="00284924">
      <w:pPr>
        <w:ind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143D7E92" w14:textId="77777777" w:rsidR="00284924" w:rsidRDefault="00284924" w:rsidP="0FF883D4">
      <w:pPr>
        <w:ind w:right="237"/>
        <w:jc w:val="both"/>
        <w:rPr>
          <w:color w:val="000000" w:themeColor="text1"/>
          <w:sz w:val="24"/>
          <w:szCs w:val="24"/>
        </w:rPr>
      </w:pPr>
    </w:p>
    <w:p w14:paraId="6501CB1B" w14:textId="77777777" w:rsidR="00284924" w:rsidRDefault="00284924" w:rsidP="0FF883D4">
      <w:pPr>
        <w:ind w:right="237"/>
        <w:jc w:val="both"/>
        <w:rPr>
          <w:color w:val="000000" w:themeColor="text1"/>
          <w:sz w:val="24"/>
          <w:szCs w:val="24"/>
        </w:rPr>
      </w:pPr>
    </w:p>
    <w:p w14:paraId="0BC460FE" w14:textId="77777777" w:rsidR="00284924" w:rsidRDefault="0028492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297EA770" w14:textId="07C9ADF1"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4F00E6B5" w14:textId="7A47A8A1" w:rsidR="13AD8C62" w:rsidRPr="00284924"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0299086C" w14:textId="77777777" w:rsidR="00117F43" w:rsidRDefault="00117F43" w:rsidP="00117F43">
      <w:pPr>
        <w:ind w:right="237"/>
        <w:jc w:val="both"/>
        <w:rPr>
          <w:color w:val="CC0099"/>
          <w:sz w:val="24"/>
          <w:szCs w:val="24"/>
        </w:rPr>
      </w:pPr>
    </w:p>
    <w:p w14:paraId="6D94BAB0" w14:textId="635F9F2E" w:rsidR="009C2ADD" w:rsidRPr="00BA7D99" w:rsidRDefault="009C2ADD" w:rsidP="009C2ADD">
      <w:pPr>
        <w:rPr>
          <w:sz w:val="24"/>
          <w:szCs w:val="24"/>
        </w:rPr>
      </w:pPr>
      <w:r w:rsidRPr="00BA7D99">
        <w:rPr>
          <w:sz w:val="24"/>
          <w:szCs w:val="24"/>
        </w:rPr>
        <w:t>As a response officer, there are many different types of offences investigated that are uncomplicated</w:t>
      </w:r>
      <w:r w:rsidR="00234705" w:rsidRPr="00BA7D99">
        <w:rPr>
          <w:sz w:val="24"/>
          <w:szCs w:val="24"/>
        </w:rPr>
        <w:t xml:space="preserve"> in</w:t>
      </w:r>
      <w:r w:rsidRPr="00BA7D99">
        <w:rPr>
          <w:sz w:val="24"/>
          <w:szCs w:val="24"/>
        </w:rPr>
        <w:t xml:space="preserve"> nature and disposals </w:t>
      </w:r>
      <w:r w:rsidR="00234705" w:rsidRPr="00BA7D99">
        <w:rPr>
          <w:sz w:val="24"/>
          <w:szCs w:val="24"/>
        </w:rPr>
        <w:t>are</w:t>
      </w:r>
      <w:r w:rsidRPr="00BA7D99">
        <w:rPr>
          <w:sz w:val="24"/>
          <w:szCs w:val="24"/>
        </w:rPr>
        <w:t xml:space="preserve"> readily available. </w:t>
      </w:r>
      <w:r w:rsidR="00234705" w:rsidRPr="00BA7D99">
        <w:rPr>
          <w:sz w:val="24"/>
          <w:szCs w:val="24"/>
        </w:rPr>
        <w:t xml:space="preserve">As </w:t>
      </w:r>
      <w:r w:rsidRPr="00BA7D99">
        <w:rPr>
          <w:sz w:val="24"/>
          <w:szCs w:val="24"/>
        </w:rPr>
        <w:t xml:space="preserve">response officers </w:t>
      </w:r>
      <w:r w:rsidR="00234705" w:rsidRPr="00BA7D99">
        <w:rPr>
          <w:sz w:val="24"/>
          <w:szCs w:val="24"/>
        </w:rPr>
        <w:t>have</w:t>
      </w:r>
      <w:r w:rsidRPr="00BA7D99">
        <w:rPr>
          <w:sz w:val="24"/>
          <w:szCs w:val="24"/>
        </w:rPr>
        <w:t xml:space="preserve"> to be available for any call, with certain time periods facing emergency after emergency, these types of investigations are ideal due to enquiries being conducted in a slow time fashion without being in conflict with threat, harm and risk factors. However, where complex investigations are concerned, the above cannot be implemented, and these sorts of cases dictate that time and effort needs to be allocated, which is oftentimes difficult for a response officer. In saying this, one example that I have experienced involved a sexual offence that occurred </w:t>
      </w:r>
      <w:r w:rsidR="00723266">
        <w:rPr>
          <w:sz w:val="24"/>
          <w:szCs w:val="24"/>
        </w:rPr>
        <w:t xml:space="preserve">four </w:t>
      </w:r>
      <w:r w:rsidRPr="00BA7D99">
        <w:rPr>
          <w:sz w:val="24"/>
          <w:szCs w:val="24"/>
        </w:rPr>
        <w:t>decades ago, making the investigation difficult and prolonged due to the circumstances of both the alleged offence and the state of the police service at present.  In this essay, I will critically evaluate the way in which I conducted a complex investigation with the resources and time available to me, and how these processes had an impact on the investigation. I will also evaluate the support that was utilised in dealing with</w:t>
      </w:r>
      <w:r w:rsidR="00234705" w:rsidRPr="00BA7D99">
        <w:rPr>
          <w:sz w:val="24"/>
          <w:szCs w:val="24"/>
        </w:rPr>
        <w:t xml:space="preserve"> the</w:t>
      </w:r>
      <w:r w:rsidRPr="00BA7D99">
        <w:rPr>
          <w:sz w:val="24"/>
          <w:szCs w:val="24"/>
        </w:rPr>
        <w:t xml:space="preserve"> victim</w:t>
      </w:r>
      <w:r w:rsidR="00234705" w:rsidRPr="00BA7D99">
        <w:rPr>
          <w:sz w:val="24"/>
          <w:szCs w:val="24"/>
        </w:rPr>
        <w:t xml:space="preserve"> </w:t>
      </w:r>
      <w:r w:rsidRPr="00BA7D99">
        <w:rPr>
          <w:sz w:val="24"/>
          <w:szCs w:val="24"/>
        </w:rPr>
        <w:t xml:space="preserve">and subject, with regard being made to the </w:t>
      </w:r>
      <w:r w:rsidR="00234705" w:rsidRPr="00BA7D99">
        <w:rPr>
          <w:sz w:val="24"/>
          <w:szCs w:val="24"/>
        </w:rPr>
        <w:t>inevitable setbacks</w:t>
      </w:r>
      <w:r w:rsidRPr="00BA7D99">
        <w:rPr>
          <w:sz w:val="24"/>
          <w:szCs w:val="24"/>
        </w:rPr>
        <w:t xml:space="preserve">. </w:t>
      </w:r>
      <w:r w:rsidR="00234705" w:rsidRPr="00BA7D99">
        <w:rPr>
          <w:sz w:val="24"/>
          <w:szCs w:val="24"/>
        </w:rPr>
        <w:t>The impact this complex investigation had on myself will be briefly outlined.</w:t>
      </w:r>
      <w:r w:rsidRPr="00BA7D99">
        <w:rPr>
          <w:sz w:val="24"/>
          <w:szCs w:val="24"/>
        </w:rPr>
        <w:t xml:space="preserve"> </w:t>
      </w:r>
    </w:p>
    <w:p w14:paraId="3058BA51" w14:textId="77777777" w:rsidR="009C2ADD" w:rsidRPr="00BA7D99" w:rsidRDefault="009C2ADD" w:rsidP="009C2ADD">
      <w:pPr>
        <w:rPr>
          <w:sz w:val="24"/>
          <w:szCs w:val="24"/>
        </w:rPr>
      </w:pPr>
    </w:p>
    <w:p w14:paraId="24203489" w14:textId="77777777" w:rsidR="00723266" w:rsidRDefault="009C2ADD" w:rsidP="009C2ADD">
      <w:pPr>
        <w:rPr>
          <w:sz w:val="24"/>
          <w:szCs w:val="24"/>
        </w:rPr>
      </w:pPr>
      <w:r w:rsidRPr="00BA7D99">
        <w:rPr>
          <w:sz w:val="24"/>
          <w:szCs w:val="24"/>
        </w:rPr>
        <w:t xml:space="preserve">Despite the College of Policing (2018, p. 11) outlining that there is no concrete definition of what comprises a complex investigation, </w:t>
      </w:r>
      <w:r w:rsidR="00234705" w:rsidRPr="00BA7D99">
        <w:rPr>
          <w:sz w:val="24"/>
          <w:szCs w:val="24"/>
        </w:rPr>
        <w:t>characteristics are provided</w:t>
      </w:r>
      <w:r w:rsidRPr="00BA7D99">
        <w:rPr>
          <w:sz w:val="24"/>
          <w:szCs w:val="24"/>
        </w:rPr>
        <w:t xml:space="preserve">, such as victim vulnerability, series of offences etc., is taken into consideration when deeming an investigation as complex. Within my investigation, I deemed it as a </w:t>
      </w:r>
      <w:r w:rsidRPr="00BA7D99">
        <w:rPr>
          <w:sz w:val="24"/>
          <w:szCs w:val="24"/>
        </w:rPr>
        <w:lastRenderedPageBreak/>
        <w:t xml:space="preserve">complex investigation due to the report outlining allegations of a series of sexual assaults that happened against the victim </w:t>
      </w:r>
      <w:r w:rsidR="00234705" w:rsidRPr="00BA7D99">
        <w:rPr>
          <w:sz w:val="24"/>
          <w:szCs w:val="24"/>
        </w:rPr>
        <w:t>as a</w:t>
      </w:r>
      <w:r w:rsidRPr="00BA7D99">
        <w:rPr>
          <w:sz w:val="24"/>
          <w:szCs w:val="24"/>
        </w:rPr>
        <w:t xml:space="preserve"> child, as well as the victim and subject having a familial connection, and the victim being vulnerable due to the nature of the offence and her mental </w:t>
      </w:r>
      <w:r w:rsidR="00234705" w:rsidRPr="00BA7D99">
        <w:rPr>
          <w:sz w:val="24"/>
          <w:szCs w:val="24"/>
        </w:rPr>
        <w:t>health</w:t>
      </w:r>
      <w:r w:rsidRPr="00BA7D99">
        <w:rPr>
          <w:sz w:val="24"/>
          <w:szCs w:val="24"/>
        </w:rPr>
        <w:t xml:space="preserve"> impacting the way she remembered the </w:t>
      </w:r>
      <w:r w:rsidR="00234705" w:rsidRPr="00BA7D99">
        <w:rPr>
          <w:sz w:val="24"/>
          <w:szCs w:val="24"/>
        </w:rPr>
        <w:t>offences</w:t>
      </w:r>
      <w:r w:rsidRPr="00BA7D99">
        <w:rPr>
          <w:sz w:val="24"/>
          <w:szCs w:val="24"/>
        </w:rPr>
        <w:t xml:space="preserve">. </w:t>
      </w:r>
    </w:p>
    <w:p w14:paraId="56F07018" w14:textId="666AA3F1" w:rsidR="009C2ADD" w:rsidRPr="00BA7D99" w:rsidRDefault="009C2ADD" w:rsidP="009C2ADD">
      <w:pPr>
        <w:rPr>
          <w:sz w:val="24"/>
          <w:szCs w:val="24"/>
        </w:rPr>
      </w:pPr>
      <w:r w:rsidRPr="00BA7D99">
        <w:rPr>
          <w:sz w:val="24"/>
          <w:szCs w:val="24"/>
        </w:rPr>
        <w:t>I conferred with a detective sergeant about the case being allocated to the Criminal Investigation Department (CID), however there were uncertainties as to the offence committed, therefore I recognised that an ‘achieving best evidence’ (ABE) interview had to be conducted with the victim to identify t</w:t>
      </w:r>
      <w:r w:rsidR="00234705" w:rsidRPr="00BA7D99">
        <w:rPr>
          <w:sz w:val="24"/>
          <w:szCs w:val="24"/>
        </w:rPr>
        <w:t>he offence</w:t>
      </w:r>
      <w:r w:rsidRPr="00BA7D99">
        <w:rPr>
          <w:sz w:val="24"/>
          <w:szCs w:val="24"/>
        </w:rPr>
        <w:t>. An ABE interview is described by Wood (et al. 2021, p. 608) as an interview that is conducted with a victim or witness that has been deemed as requiring that particular approach due to their vulnerabilities. The victim initially described being sexually assaulted by touching, which is outlined under section 3 of the Sexual Offences Act 2003 which is described as un-consensual touching of the victim that is sexual in nature with the subject not having reasonable belief that the victim consented. As the offence occurred 4 decades ago, making the investigation one of a historical sexual assault, there was no evidence of the offence having been committed due to there being no forensic window, and no potential witnesses</w:t>
      </w:r>
      <w:r w:rsidR="00234705" w:rsidRPr="00BA7D99">
        <w:rPr>
          <w:sz w:val="24"/>
          <w:szCs w:val="24"/>
        </w:rPr>
        <w:t xml:space="preserve">. </w:t>
      </w:r>
      <w:r w:rsidRPr="00BA7D99">
        <w:rPr>
          <w:sz w:val="24"/>
          <w:szCs w:val="24"/>
        </w:rPr>
        <w:t xml:space="preserve">Murphy-Oikonen (et al. 2022) shows this makes the already complex investigation that more difficult as this absence of reliable evidence makes investigating challenging, which </w:t>
      </w:r>
      <w:r w:rsidR="00234705" w:rsidRPr="00BA7D99">
        <w:rPr>
          <w:sz w:val="24"/>
          <w:szCs w:val="24"/>
        </w:rPr>
        <w:t>then</w:t>
      </w:r>
      <w:r w:rsidRPr="00BA7D99">
        <w:rPr>
          <w:sz w:val="24"/>
          <w:szCs w:val="24"/>
        </w:rPr>
        <w:t xml:space="preserve"> make</w:t>
      </w:r>
      <w:r w:rsidR="00234705" w:rsidRPr="00BA7D99">
        <w:rPr>
          <w:sz w:val="24"/>
          <w:szCs w:val="24"/>
        </w:rPr>
        <w:t>s</w:t>
      </w:r>
      <w:r w:rsidRPr="00BA7D99">
        <w:rPr>
          <w:sz w:val="24"/>
          <w:szCs w:val="24"/>
        </w:rPr>
        <w:t xml:space="preserve"> it difficult for the Crown Prosecution Service to charge the subject. This made an ABE interview crucial to extracting important information from the victim so that the investigation could progress. </w:t>
      </w:r>
    </w:p>
    <w:p w14:paraId="274487A1" w14:textId="77777777" w:rsidR="00234705" w:rsidRPr="00BA7D99" w:rsidRDefault="00234705" w:rsidP="009C2ADD">
      <w:pPr>
        <w:rPr>
          <w:sz w:val="24"/>
          <w:szCs w:val="24"/>
        </w:rPr>
      </w:pPr>
    </w:p>
    <w:p w14:paraId="37CA2AC0" w14:textId="6575D5D7" w:rsidR="009C2ADD" w:rsidRPr="00BA7D99" w:rsidRDefault="00234705" w:rsidP="009C2ADD">
      <w:pPr>
        <w:rPr>
          <w:sz w:val="24"/>
          <w:szCs w:val="24"/>
        </w:rPr>
      </w:pPr>
      <w:r w:rsidRPr="00BA7D99">
        <w:rPr>
          <w:sz w:val="24"/>
          <w:szCs w:val="24"/>
        </w:rPr>
        <w:lastRenderedPageBreak/>
        <w:t xml:space="preserve">As CID did not take the case, </w:t>
      </w:r>
      <w:r w:rsidR="009C2ADD" w:rsidRPr="00BA7D99">
        <w:rPr>
          <w:sz w:val="24"/>
          <w:szCs w:val="24"/>
        </w:rPr>
        <w:t>this made investigating the offence difficult</w:t>
      </w:r>
      <w:r w:rsidRPr="00BA7D99">
        <w:rPr>
          <w:sz w:val="24"/>
          <w:szCs w:val="24"/>
        </w:rPr>
        <w:t xml:space="preserve"> due to resourcing issues</w:t>
      </w:r>
      <w:r w:rsidR="009C2ADD" w:rsidRPr="00BA7D99">
        <w:rPr>
          <w:sz w:val="24"/>
          <w:szCs w:val="24"/>
        </w:rPr>
        <w:t>. Wood (et al. 2021, pp. 608-609) makes clear</w:t>
      </w:r>
      <w:r w:rsidRPr="00BA7D99">
        <w:rPr>
          <w:sz w:val="24"/>
          <w:szCs w:val="24"/>
        </w:rPr>
        <w:t xml:space="preserve"> </w:t>
      </w:r>
      <w:r w:rsidR="009C2ADD" w:rsidRPr="00BA7D99">
        <w:rPr>
          <w:sz w:val="24"/>
          <w:szCs w:val="24"/>
        </w:rPr>
        <w:t xml:space="preserve">an ABE interview requires specialist interviewers trained to conduct the interviews. As I have not had the </w:t>
      </w:r>
      <w:r w:rsidRPr="00BA7D99">
        <w:rPr>
          <w:sz w:val="24"/>
          <w:szCs w:val="24"/>
        </w:rPr>
        <w:t>necessary training</w:t>
      </w:r>
      <w:r w:rsidR="009C2ADD" w:rsidRPr="00BA7D99">
        <w:rPr>
          <w:sz w:val="24"/>
          <w:szCs w:val="24"/>
        </w:rPr>
        <w:t>, I was not able to conduct</w:t>
      </w:r>
      <w:r w:rsidRPr="00BA7D99">
        <w:rPr>
          <w:sz w:val="24"/>
          <w:szCs w:val="24"/>
        </w:rPr>
        <w:t xml:space="preserve"> the interview. This meant the investigation did not progress </w:t>
      </w:r>
      <w:r w:rsidR="008E522A" w:rsidRPr="00BA7D99">
        <w:rPr>
          <w:sz w:val="24"/>
          <w:szCs w:val="24"/>
        </w:rPr>
        <w:t>in a timely manner</w:t>
      </w:r>
      <w:r w:rsidR="009C2ADD" w:rsidRPr="00BA7D99">
        <w:rPr>
          <w:sz w:val="24"/>
          <w:szCs w:val="24"/>
        </w:rPr>
        <w:t xml:space="preserve">, nor was it conducted early enough to appease the victim.  Ministry of Justice (2022, p. 76) shows rapport building is crucial prior to the ABE being conducted as it </w:t>
      </w:r>
      <w:r w:rsidR="008E522A" w:rsidRPr="00BA7D99">
        <w:rPr>
          <w:sz w:val="24"/>
          <w:szCs w:val="24"/>
        </w:rPr>
        <w:t>gains the victim’s confidence</w:t>
      </w:r>
      <w:r w:rsidR="009C2ADD" w:rsidRPr="00BA7D99">
        <w:rPr>
          <w:sz w:val="24"/>
          <w:szCs w:val="24"/>
        </w:rPr>
        <w:t xml:space="preserve"> for the police; this may be due to the trauma the victim has experienced, as Jones and Cook (2008) describe victims as being susceptible to a lifelong impact if they endure a sexual assault, therefore the victim requires this trust for the police so they continue to be cooperative and engaging. Leggett (2016, p. 2) outline</w:t>
      </w:r>
      <w:r w:rsidR="008E522A" w:rsidRPr="00BA7D99">
        <w:rPr>
          <w:sz w:val="24"/>
          <w:szCs w:val="24"/>
        </w:rPr>
        <w:t>s</w:t>
      </w:r>
      <w:r w:rsidR="009C2ADD" w:rsidRPr="00BA7D99">
        <w:rPr>
          <w:sz w:val="24"/>
          <w:szCs w:val="24"/>
        </w:rPr>
        <w:t xml:space="preserve"> preliminaries need</w:t>
      </w:r>
      <w:r w:rsidR="008E522A" w:rsidRPr="00BA7D99">
        <w:rPr>
          <w:sz w:val="24"/>
          <w:szCs w:val="24"/>
        </w:rPr>
        <w:t>ing</w:t>
      </w:r>
      <w:r w:rsidR="009C2ADD" w:rsidRPr="00BA7D99">
        <w:rPr>
          <w:sz w:val="24"/>
          <w:szCs w:val="24"/>
        </w:rPr>
        <w:t xml:space="preserve"> to take place prior to the interview to establish the necessities of the interview, such as time, date, and why the interview is being conducted </w:t>
      </w:r>
      <w:r w:rsidR="008E522A" w:rsidRPr="00BA7D99">
        <w:rPr>
          <w:sz w:val="24"/>
          <w:szCs w:val="24"/>
        </w:rPr>
        <w:t>so rapport develops</w:t>
      </w:r>
      <w:r w:rsidR="009C2ADD" w:rsidRPr="00BA7D99">
        <w:rPr>
          <w:sz w:val="24"/>
          <w:szCs w:val="24"/>
        </w:rPr>
        <w:t>. I referred the investigation to the ABE team for trained officers to conduct the interview.</w:t>
      </w:r>
      <w:r w:rsidR="008E522A" w:rsidRPr="00BA7D99">
        <w:rPr>
          <w:sz w:val="24"/>
          <w:szCs w:val="24"/>
        </w:rPr>
        <w:t xml:space="preserve"> However, there was a backlog of ABE interviews due to high demand; </w:t>
      </w:r>
      <w:r w:rsidR="009C2ADD" w:rsidRPr="00BA7D99">
        <w:rPr>
          <w:sz w:val="24"/>
          <w:szCs w:val="24"/>
        </w:rPr>
        <w:t xml:space="preserve">resources </w:t>
      </w:r>
      <w:r w:rsidR="008E522A" w:rsidRPr="00BA7D99">
        <w:rPr>
          <w:sz w:val="24"/>
          <w:szCs w:val="24"/>
        </w:rPr>
        <w:t>were</w:t>
      </w:r>
      <w:r w:rsidR="009C2ADD" w:rsidRPr="00BA7D99">
        <w:rPr>
          <w:sz w:val="24"/>
          <w:szCs w:val="24"/>
        </w:rPr>
        <w:t xml:space="preserve"> not been available </w:t>
      </w:r>
      <w:r w:rsidR="008E522A" w:rsidRPr="00BA7D99">
        <w:rPr>
          <w:sz w:val="24"/>
          <w:szCs w:val="24"/>
        </w:rPr>
        <w:t>for the interview to be conducted</w:t>
      </w:r>
      <w:r w:rsidR="009C2ADD" w:rsidRPr="00BA7D99">
        <w:rPr>
          <w:sz w:val="24"/>
          <w:szCs w:val="24"/>
        </w:rPr>
        <w:t>, therefore I had to continually inform the victim that there was not an ABE booked. The victim became increasingly distrusting of myself, which led to a decrease in victim confidenc</w:t>
      </w:r>
      <w:r w:rsidR="008E522A" w:rsidRPr="00BA7D99">
        <w:rPr>
          <w:sz w:val="24"/>
          <w:szCs w:val="24"/>
        </w:rPr>
        <w:t>e</w:t>
      </w:r>
      <w:r w:rsidR="009C2ADD" w:rsidRPr="00BA7D99">
        <w:rPr>
          <w:sz w:val="24"/>
          <w:szCs w:val="24"/>
        </w:rPr>
        <w:t>, which also led to the victim not wanting</w:t>
      </w:r>
      <w:r w:rsidR="008E522A" w:rsidRPr="00BA7D99">
        <w:rPr>
          <w:sz w:val="24"/>
          <w:szCs w:val="24"/>
        </w:rPr>
        <w:t xml:space="preserve"> contact from me </w:t>
      </w:r>
      <w:r w:rsidR="009C2ADD" w:rsidRPr="00BA7D99">
        <w:rPr>
          <w:sz w:val="24"/>
          <w:szCs w:val="24"/>
        </w:rPr>
        <w:t xml:space="preserve">until an ABE </w:t>
      </w:r>
      <w:r w:rsidR="008E522A" w:rsidRPr="00BA7D99">
        <w:rPr>
          <w:sz w:val="24"/>
          <w:szCs w:val="24"/>
        </w:rPr>
        <w:t xml:space="preserve">was </w:t>
      </w:r>
      <w:r w:rsidR="009C2ADD" w:rsidRPr="00BA7D99">
        <w:rPr>
          <w:sz w:val="24"/>
          <w:szCs w:val="24"/>
        </w:rPr>
        <w:t xml:space="preserve">booked. This also led to a complaint made by the victim due to the time period it took for an ABE to be conducted, resulting in myself receiving the backlash for this, despite the </w:t>
      </w:r>
      <w:r w:rsidR="008E522A" w:rsidRPr="00BA7D99">
        <w:rPr>
          <w:sz w:val="24"/>
          <w:szCs w:val="24"/>
        </w:rPr>
        <w:t>circumstances</w:t>
      </w:r>
      <w:r w:rsidR="009C2ADD" w:rsidRPr="00BA7D99">
        <w:rPr>
          <w:sz w:val="24"/>
          <w:szCs w:val="24"/>
        </w:rPr>
        <w:t xml:space="preserve"> being out of my hands</w:t>
      </w:r>
      <w:r w:rsidR="008E522A" w:rsidRPr="00BA7D99">
        <w:rPr>
          <w:sz w:val="24"/>
          <w:szCs w:val="24"/>
        </w:rPr>
        <w:t xml:space="preserve">. </w:t>
      </w:r>
    </w:p>
    <w:p w14:paraId="61D6D393" w14:textId="77777777" w:rsidR="009C2ADD" w:rsidRPr="00BA7D99" w:rsidRDefault="009C2ADD" w:rsidP="009C2ADD">
      <w:pPr>
        <w:rPr>
          <w:sz w:val="24"/>
          <w:szCs w:val="24"/>
        </w:rPr>
      </w:pPr>
    </w:p>
    <w:p w14:paraId="3A5405A2" w14:textId="01537A26" w:rsidR="009C2ADD" w:rsidRPr="00BA7D99" w:rsidRDefault="009C2ADD" w:rsidP="009C2ADD">
      <w:pPr>
        <w:rPr>
          <w:sz w:val="24"/>
          <w:szCs w:val="24"/>
        </w:rPr>
      </w:pPr>
      <w:r w:rsidRPr="00BA7D99">
        <w:rPr>
          <w:sz w:val="24"/>
          <w:szCs w:val="24"/>
        </w:rPr>
        <w:lastRenderedPageBreak/>
        <w:t>There is a ad hoc system currently in place due to the backlog of ABE interviews.</w:t>
      </w:r>
      <w:r w:rsidR="008E522A" w:rsidRPr="00BA7D99">
        <w:rPr>
          <w:sz w:val="24"/>
          <w:szCs w:val="24"/>
        </w:rPr>
        <w:t xml:space="preserve"> </w:t>
      </w:r>
      <w:r w:rsidRPr="00BA7D99">
        <w:rPr>
          <w:sz w:val="24"/>
          <w:szCs w:val="24"/>
        </w:rPr>
        <w:t xml:space="preserve">Bunting (et al. 2015, p. 13) highlights the lack of resources available </w:t>
      </w:r>
      <w:r w:rsidR="008E522A" w:rsidRPr="00BA7D99">
        <w:rPr>
          <w:sz w:val="24"/>
          <w:szCs w:val="24"/>
        </w:rPr>
        <w:t xml:space="preserve">as </w:t>
      </w:r>
      <w:r w:rsidRPr="00BA7D99">
        <w:rPr>
          <w:sz w:val="24"/>
          <w:szCs w:val="24"/>
        </w:rPr>
        <w:t xml:space="preserve">ABE trained officers </w:t>
      </w:r>
      <w:r w:rsidR="008E522A" w:rsidRPr="00BA7D99">
        <w:rPr>
          <w:sz w:val="24"/>
          <w:szCs w:val="24"/>
        </w:rPr>
        <w:t>are</w:t>
      </w:r>
      <w:r w:rsidRPr="00BA7D99">
        <w:rPr>
          <w:sz w:val="24"/>
          <w:szCs w:val="24"/>
        </w:rPr>
        <w:t xml:space="preserve"> scarce</w:t>
      </w:r>
      <w:r w:rsidR="008E522A" w:rsidRPr="00BA7D99">
        <w:rPr>
          <w:sz w:val="24"/>
          <w:szCs w:val="24"/>
        </w:rPr>
        <w:t>;</w:t>
      </w:r>
      <w:r w:rsidRPr="00BA7D99">
        <w:rPr>
          <w:sz w:val="24"/>
          <w:szCs w:val="24"/>
        </w:rPr>
        <w:t xml:space="preserve"> this elevates the need for the process to be improved. This has caused confusion and a lack of consistency as to what investigations are prioritised according to the seriousness of the offence taken place, a</w:t>
      </w:r>
      <w:r w:rsidR="008E522A" w:rsidRPr="00BA7D99">
        <w:rPr>
          <w:sz w:val="24"/>
          <w:szCs w:val="24"/>
        </w:rPr>
        <w:t xml:space="preserve">nd also </w:t>
      </w:r>
      <w:r w:rsidRPr="00BA7D99">
        <w:rPr>
          <w:sz w:val="24"/>
          <w:szCs w:val="24"/>
        </w:rPr>
        <w:t xml:space="preserve">causing many vulnerable victims to wait to be interviewed when they may have already waited a long time to feel confidence enough to </w:t>
      </w:r>
      <w:r w:rsidR="008E522A" w:rsidRPr="00BA7D99">
        <w:rPr>
          <w:sz w:val="24"/>
          <w:szCs w:val="24"/>
        </w:rPr>
        <w:t xml:space="preserve">vocalise </w:t>
      </w:r>
      <w:r w:rsidRPr="00BA7D99">
        <w:rPr>
          <w:sz w:val="24"/>
          <w:szCs w:val="24"/>
        </w:rPr>
        <w:t xml:space="preserve">what they have </w:t>
      </w:r>
      <w:r w:rsidR="008E522A" w:rsidRPr="00BA7D99">
        <w:rPr>
          <w:sz w:val="24"/>
          <w:szCs w:val="24"/>
        </w:rPr>
        <w:t>experienced.</w:t>
      </w:r>
      <w:r w:rsidRPr="00BA7D99">
        <w:rPr>
          <w:sz w:val="24"/>
          <w:szCs w:val="24"/>
        </w:rPr>
        <w:t xml:space="preserve"> It is important for an ABE interview to be conducted so the investigation </w:t>
      </w:r>
      <w:r w:rsidR="008E522A" w:rsidRPr="00BA7D99">
        <w:rPr>
          <w:sz w:val="24"/>
          <w:szCs w:val="24"/>
        </w:rPr>
        <w:t xml:space="preserve">can </w:t>
      </w:r>
      <w:r w:rsidRPr="00BA7D99">
        <w:rPr>
          <w:sz w:val="24"/>
          <w:szCs w:val="24"/>
        </w:rPr>
        <w:t>progress, especially if there is little evidence than the victim’s account, with Horvath and Brown (2013, pp. 259-260) highlighting this as a crucial factor within the investigation. This was a significant factor within the complex investigation I conducted due to</w:t>
      </w:r>
      <w:r w:rsidR="008E522A" w:rsidRPr="00BA7D99">
        <w:rPr>
          <w:sz w:val="24"/>
          <w:szCs w:val="24"/>
        </w:rPr>
        <w:t xml:space="preserve"> </w:t>
      </w:r>
      <w:r w:rsidRPr="00BA7D99">
        <w:rPr>
          <w:sz w:val="24"/>
          <w:szCs w:val="24"/>
        </w:rPr>
        <w:t xml:space="preserve">the length of time elapsed since the alleged offence, lack of evidence and witnesses, etc. At this point, there was a lack of direction within the investigation as a significant amount of time had elapsed since the victim reported the offence, </w:t>
      </w:r>
      <w:r w:rsidR="008E522A" w:rsidRPr="00BA7D99">
        <w:rPr>
          <w:sz w:val="24"/>
          <w:szCs w:val="24"/>
        </w:rPr>
        <w:t xml:space="preserve">and </w:t>
      </w:r>
      <w:r w:rsidRPr="00BA7D99">
        <w:rPr>
          <w:sz w:val="24"/>
          <w:szCs w:val="24"/>
        </w:rPr>
        <w:t>this being the first complex case I had investigated since joining the police service</w:t>
      </w:r>
      <w:r w:rsidR="008E522A" w:rsidRPr="00BA7D99">
        <w:rPr>
          <w:sz w:val="24"/>
          <w:szCs w:val="24"/>
        </w:rPr>
        <w:t xml:space="preserve">. </w:t>
      </w:r>
      <w:r w:rsidRPr="00BA7D99">
        <w:rPr>
          <w:sz w:val="24"/>
          <w:szCs w:val="24"/>
        </w:rPr>
        <w:t>Horvath and Brown (2013, p. 260) demonstrate</w:t>
      </w:r>
      <w:r w:rsidR="008E522A" w:rsidRPr="00BA7D99">
        <w:rPr>
          <w:sz w:val="24"/>
          <w:szCs w:val="24"/>
        </w:rPr>
        <w:t>s</w:t>
      </w:r>
      <w:r w:rsidRPr="00BA7D99">
        <w:rPr>
          <w:sz w:val="24"/>
          <w:szCs w:val="24"/>
        </w:rPr>
        <w:t xml:space="preserve"> the information provided by the victim in the ABE interview </w:t>
      </w:r>
      <w:r w:rsidR="008E522A" w:rsidRPr="00BA7D99">
        <w:rPr>
          <w:sz w:val="24"/>
          <w:szCs w:val="24"/>
        </w:rPr>
        <w:t xml:space="preserve">as </w:t>
      </w:r>
      <w:r w:rsidRPr="00BA7D99">
        <w:rPr>
          <w:sz w:val="24"/>
          <w:szCs w:val="24"/>
        </w:rPr>
        <w:t>necessary for an informed approach to be taken to identify relevant strategies for progressio</w:t>
      </w:r>
      <w:r w:rsidR="008E522A" w:rsidRPr="00BA7D99">
        <w:rPr>
          <w:sz w:val="24"/>
          <w:szCs w:val="24"/>
        </w:rPr>
        <w:t>n</w:t>
      </w:r>
      <w:r w:rsidRPr="00BA7D99">
        <w:rPr>
          <w:sz w:val="24"/>
          <w:szCs w:val="24"/>
        </w:rPr>
        <w:t>. This was lacking within the investigation I conducted and acted as a catalyst for a number of issues. One issue being the subject thinking he was no longer being investigated and believ</w:t>
      </w:r>
      <w:r w:rsidR="008E522A" w:rsidRPr="00BA7D99">
        <w:rPr>
          <w:sz w:val="24"/>
          <w:szCs w:val="24"/>
        </w:rPr>
        <w:t xml:space="preserve">ed </w:t>
      </w:r>
      <w:r w:rsidRPr="00BA7D99">
        <w:rPr>
          <w:sz w:val="24"/>
          <w:szCs w:val="24"/>
        </w:rPr>
        <w:t xml:space="preserve">the case had been dropped. Therefore, the above clearly illustrates that conducting an ABE interview early </w:t>
      </w:r>
      <w:r w:rsidR="008E522A" w:rsidRPr="00BA7D99">
        <w:rPr>
          <w:sz w:val="24"/>
          <w:szCs w:val="24"/>
        </w:rPr>
        <w:t xml:space="preserve">on </w:t>
      </w:r>
      <w:r w:rsidRPr="00BA7D99">
        <w:rPr>
          <w:sz w:val="24"/>
          <w:szCs w:val="24"/>
        </w:rPr>
        <w:t xml:space="preserve">is crucial for victim confidence and trust in the police, obtaining a detailed account from the victim where their initial account may lack details important to classifying the offence, and clarifying the direction </w:t>
      </w:r>
      <w:r w:rsidR="008E522A" w:rsidRPr="00BA7D99">
        <w:rPr>
          <w:sz w:val="24"/>
          <w:szCs w:val="24"/>
        </w:rPr>
        <w:t xml:space="preserve">of </w:t>
      </w:r>
      <w:r w:rsidRPr="00BA7D99">
        <w:rPr>
          <w:sz w:val="24"/>
          <w:szCs w:val="24"/>
        </w:rPr>
        <w:t>the investigation</w:t>
      </w:r>
      <w:r w:rsidR="008E522A" w:rsidRPr="00BA7D99">
        <w:rPr>
          <w:sz w:val="24"/>
          <w:szCs w:val="24"/>
        </w:rPr>
        <w:t xml:space="preserve">. </w:t>
      </w:r>
      <w:r w:rsidRPr="00BA7D99">
        <w:rPr>
          <w:sz w:val="24"/>
          <w:szCs w:val="24"/>
        </w:rPr>
        <w:t xml:space="preserve">This is </w:t>
      </w:r>
      <w:r w:rsidR="00263278" w:rsidRPr="00BA7D99">
        <w:rPr>
          <w:sz w:val="24"/>
          <w:szCs w:val="24"/>
        </w:rPr>
        <w:t xml:space="preserve">relevant </w:t>
      </w:r>
      <w:r w:rsidRPr="00BA7D99">
        <w:rPr>
          <w:sz w:val="24"/>
          <w:szCs w:val="24"/>
        </w:rPr>
        <w:t xml:space="preserve">where the </w:t>
      </w:r>
      <w:r w:rsidRPr="00BA7D99">
        <w:rPr>
          <w:sz w:val="24"/>
          <w:szCs w:val="24"/>
        </w:rPr>
        <w:lastRenderedPageBreak/>
        <w:t>offence was upgraded to a section 2 of the Sexual Offences Act 2003 (assault by penetration) which is outlined as the victim’s vagina or anus being sexually penetrated</w:t>
      </w:r>
      <w:r w:rsidR="00263278" w:rsidRPr="00BA7D99">
        <w:rPr>
          <w:sz w:val="24"/>
          <w:szCs w:val="24"/>
        </w:rPr>
        <w:t>,</w:t>
      </w:r>
      <w:r w:rsidRPr="00BA7D99">
        <w:rPr>
          <w:sz w:val="24"/>
          <w:szCs w:val="24"/>
        </w:rPr>
        <w:t xml:space="preserve"> without consent</w:t>
      </w:r>
      <w:r w:rsidR="00263278" w:rsidRPr="00BA7D99">
        <w:rPr>
          <w:sz w:val="24"/>
          <w:szCs w:val="24"/>
        </w:rPr>
        <w:t>,</w:t>
      </w:r>
      <w:r w:rsidRPr="00BA7D99">
        <w:rPr>
          <w:sz w:val="24"/>
          <w:szCs w:val="24"/>
        </w:rPr>
        <w:t xml:space="preserve"> by the subject’s body or anything else without the subject’s reasonable belief that the victim has consented. This </w:t>
      </w:r>
      <w:r w:rsidR="00263278" w:rsidRPr="00BA7D99">
        <w:rPr>
          <w:sz w:val="24"/>
          <w:szCs w:val="24"/>
        </w:rPr>
        <w:t>detail</w:t>
      </w:r>
      <w:r w:rsidRPr="00BA7D99">
        <w:rPr>
          <w:sz w:val="24"/>
          <w:szCs w:val="24"/>
        </w:rPr>
        <w:t xml:space="preserve"> was crucial, and thus changed the direction of the investigation as it was then passed to CID due to the seriousness of the offence. This also shows that the time and resources that need to be put into complex investigations do not align with that of what response officers are able to provide due to the demanding nature of the job</w:t>
      </w:r>
      <w:r w:rsidR="00263278" w:rsidRPr="00BA7D99">
        <w:rPr>
          <w:sz w:val="24"/>
          <w:szCs w:val="24"/>
        </w:rPr>
        <w:t xml:space="preserve"> and the disparity in training. </w:t>
      </w:r>
    </w:p>
    <w:p w14:paraId="4468E9F9" w14:textId="77777777" w:rsidR="009C2ADD" w:rsidRPr="00BA7D99" w:rsidRDefault="009C2ADD" w:rsidP="009C2ADD">
      <w:pPr>
        <w:rPr>
          <w:sz w:val="24"/>
          <w:szCs w:val="24"/>
        </w:rPr>
      </w:pPr>
    </w:p>
    <w:p w14:paraId="07E4DDC3" w14:textId="7DFEDFE6" w:rsidR="009C2ADD" w:rsidRPr="00BA7D99" w:rsidRDefault="009C2ADD" w:rsidP="009C2ADD">
      <w:pPr>
        <w:rPr>
          <w:sz w:val="24"/>
          <w:szCs w:val="24"/>
        </w:rPr>
      </w:pPr>
      <w:r w:rsidRPr="00BA7D99">
        <w:rPr>
          <w:sz w:val="24"/>
          <w:szCs w:val="24"/>
        </w:rPr>
        <w:t xml:space="preserve">Due to the serious nature of the offence disclosed, as well as the investigation being complex, this would inevitably have a toll on the victim due to the trauma they have already endured. Murphy-Oikonen (et al. 2022) highlights cases of sexual assault </w:t>
      </w:r>
      <w:r w:rsidR="00263278" w:rsidRPr="00BA7D99">
        <w:rPr>
          <w:sz w:val="24"/>
          <w:szCs w:val="24"/>
        </w:rPr>
        <w:t xml:space="preserve">as </w:t>
      </w:r>
      <w:r w:rsidRPr="00BA7D99">
        <w:rPr>
          <w:sz w:val="24"/>
          <w:szCs w:val="24"/>
        </w:rPr>
        <w:t>inherently complex and oftentimes involve victims having negative experiences within the criminal justice system</w:t>
      </w:r>
      <w:r w:rsidR="00263278" w:rsidRPr="00BA7D99">
        <w:rPr>
          <w:sz w:val="24"/>
          <w:szCs w:val="24"/>
        </w:rPr>
        <w:t>. T</w:t>
      </w:r>
      <w:r w:rsidRPr="00BA7D99">
        <w:rPr>
          <w:sz w:val="24"/>
          <w:szCs w:val="24"/>
        </w:rPr>
        <w:t xml:space="preserve">his shows a clear need for victims to be supported throughout and are provided with the </w:t>
      </w:r>
      <w:r w:rsidR="00263278" w:rsidRPr="00BA7D99">
        <w:rPr>
          <w:sz w:val="24"/>
          <w:szCs w:val="24"/>
        </w:rPr>
        <w:t xml:space="preserve">necessary </w:t>
      </w:r>
      <w:r w:rsidRPr="00BA7D99">
        <w:rPr>
          <w:sz w:val="24"/>
          <w:szCs w:val="24"/>
        </w:rPr>
        <w:t xml:space="preserve">service to ensure they feel confident </w:t>
      </w:r>
      <w:r w:rsidR="00263278" w:rsidRPr="00BA7D99">
        <w:rPr>
          <w:sz w:val="24"/>
          <w:szCs w:val="24"/>
        </w:rPr>
        <w:t>to continue their engagement</w:t>
      </w:r>
      <w:r w:rsidRPr="00BA7D99">
        <w:rPr>
          <w:sz w:val="24"/>
          <w:szCs w:val="24"/>
        </w:rPr>
        <w:t xml:space="preserve">. King and Bostaph (2023) outlines how a case is handled early on determines how the case will progress. This is relevant in the context of sexual assault cases as victims are considered vulnerable as per section 17(4)(a) of the Youth Justice and Criminal Evidence Act 1999, which also makes victims eligible for ‘Special Measures’ under section 18 of the aforementioned Act. Special Measures are described by Majeed-Ariss (et al. 2019) as being provisions that alleviates the worry and stress intimidated and vulnerable victims and witnesses harbour towards providing evidence in court as the source goes on to </w:t>
      </w:r>
      <w:r w:rsidRPr="00BA7D99">
        <w:rPr>
          <w:sz w:val="24"/>
          <w:szCs w:val="24"/>
        </w:rPr>
        <w:lastRenderedPageBreak/>
        <w:t xml:space="preserve">highlight that this </w:t>
      </w:r>
      <w:r w:rsidR="00263278" w:rsidRPr="00BA7D99">
        <w:rPr>
          <w:sz w:val="24"/>
          <w:szCs w:val="24"/>
        </w:rPr>
        <w:t>s</w:t>
      </w:r>
      <w:r w:rsidRPr="00BA7D99">
        <w:rPr>
          <w:sz w:val="24"/>
          <w:szCs w:val="24"/>
        </w:rPr>
        <w:t>tress would have a negative impact on the quality of the evidence the victims provide. Therefore, these provisions were introduced by the above 1999 Act to eliminate this setback and allow individuals to provide the</w:t>
      </w:r>
      <w:r w:rsidR="00263278" w:rsidRPr="00BA7D99">
        <w:rPr>
          <w:sz w:val="24"/>
          <w:szCs w:val="24"/>
        </w:rPr>
        <w:t>ir</w:t>
      </w:r>
      <w:r w:rsidRPr="00BA7D99">
        <w:rPr>
          <w:sz w:val="24"/>
          <w:szCs w:val="24"/>
        </w:rPr>
        <w:t xml:space="preserve"> best evidence, and they include: live links (so that the victim does not have to be in the same courtroom as the subject), screens between the victim and subject in the courtroom, recorded evidence, etc. If these measures are explained to the victim, as they were to the victim of the case I investigated, this puts them at ease early on so the thought of going to court is not </w:t>
      </w:r>
      <w:r w:rsidR="00263278" w:rsidRPr="00BA7D99">
        <w:rPr>
          <w:sz w:val="24"/>
          <w:szCs w:val="24"/>
        </w:rPr>
        <w:t xml:space="preserve">as </w:t>
      </w:r>
      <w:r w:rsidRPr="00BA7D99">
        <w:rPr>
          <w:sz w:val="24"/>
          <w:szCs w:val="24"/>
        </w:rPr>
        <w:t xml:space="preserve">foreboding and a factor that would make them reluctant to continue with the complaint they made to the police. It also makes the victim comfortable with </w:t>
      </w:r>
      <w:r w:rsidR="00263278" w:rsidRPr="00BA7D99">
        <w:rPr>
          <w:sz w:val="24"/>
          <w:szCs w:val="24"/>
        </w:rPr>
        <w:t>the process</w:t>
      </w:r>
      <w:r w:rsidRPr="00BA7D99">
        <w:rPr>
          <w:sz w:val="24"/>
          <w:szCs w:val="24"/>
        </w:rPr>
        <w:t xml:space="preserve"> and what support is available. </w:t>
      </w:r>
    </w:p>
    <w:p w14:paraId="721C2F52" w14:textId="77777777" w:rsidR="009C2ADD" w:rsidRPr="00BA7D99" w:rsidRDefault="009C2ADD" w:rsidP="009C2ADD">
      <w:pPr>
        <w:rPr>
          <w:sz w:val="24"/>
          <w:szCs w:val="24"/>
        </w:rPr>
      </w:pPr>
    </w:p>
    <w:p w14:paraId="27C51F5F" w14:textId="73930286" w:rsidR="009C2ADD" w:rsidRPr="00BA7D99" w:rsidRDefault="009C2ADD" w:rsidP="009C2ADD">
      <w:pPr>
        <w:rPr>
          <w:sz w:val="24"/>
          <w:szCs w:val="24"/>
        </w:rPr>
      </w:pPr>
      <w:r w:rsidRPr="00BA7D99">
        <w:rPr>
          <w:sz w:val="24"/>
          <w:szCs w:val="24"/>
        </w:rPr>
        <w:t>There are also more immediate safeguarding methods for victims whose trauma has an impact on their everyday lives, such as public protection notification</w:t>
      </w:r>
      <w:r w:rsidR="00263278" w:rsidRPr="00BA7D99">
        <w:rPr>
          <w:sz w:val="24"/>
          <w:szCs w:val="24"/>
        </w:rPr>
        <w:t>s</w:t>
      </w:r>
      <w:r w:rsidRPr="00BA7D99">
        <w:rPr>
          <w:sz w:val="24"/>
          <w:szCs w:val="24"/>
        </w:rPr>
        <w:t xml:space="preserve"> (PPN) which is a referral made by the police to social services </w:t>
      </w:r>
      <w:r w:rsidR="00245153" w:rsidRPr="00BA7D99">
        <w:rPr>
          <w:sz w:val="24"/>
          <w:szCs w:val="24"/>
        </w:rPr>
        <w:t xml:space="preserve">by sharing information </w:t>
      </w:r>
      <w:r w:rsidRPr="00BA7D99">
        <w:rPr>
          <w:sz w:val="24"/>
          <w:szCs w:val="24"/>
        </w:rPr>
        <w:t>for the victim to be assessed and considered for the support that is relevant to their situation (</w:t>
      </w:r>
      <w:r w:rsidR="00245153" w:rsidRPr="00BA7D99">
        <w:rPr>
          <w:sz w:val="24"/>
          <w:szCs w:val="24"/>
        </w:rPr>
        <w:t>HMICFRS, 2023</w:t>
      </w:r>
      <w:r w:rsidRPr="00BA7D99">
        <w:rPr>
          <w:sz w:val="24"/>
          <w:szCs w:val="24"/>
        </w:rPr>
        <w:t xml:space="preserve">). Ford (et al. 2019) illustrates the need for referrals to be made for individuals who are vulnerable with safeguarding being vital to ensure their welfare is regulated. This was done early on so the victim would </w:t>
      </w:r>
      <w:r w:rsidR="00245153" w:rsidRPr="00BA7D99">
        <w:rPr>
          <w:sz w:val="24"/>
          <w:szCs w:val="24"/>
        </w:rPr>
        <w:t>have support to face the long investigation. A referral to New Pathways was also made on her behalf, which is an organisation provid</w:t>
      </w:r>
      <w:r w:rsidR="00263278" w:rsidRPr="00BA7D99">
        <w:rPr>
          <w:sz w:val="24"/>
          <w:szCs w:val="24"/>
        </w:rPr>
        <w:t>ing</w:t>
      </w:r>
      <w:r w:rsidR="00245153" w:rsidRPr="00BA7D99">
        <w:rPr>
          <w:sz w:val="24"/>
          <w:szCs w:val="24"/>
        </w:rPr>
        <w:t xml:space="preserve"> specialist support </w:t>
      </w:r>
      <w:r w:rsidR="00263278" w:rsidRPr="00BA7D99">
        <w:rPr>
          <w:sz w:val="24"/>
          <w:szCs w:val="24"/>
        </w:rPr>
        <w:t>for</w:t>
      </w:r>
      <w:r w:rsidR="00245153" w:rsidRPr="00BA7D99">
        <w:rPr>
          <w:sz w:val="24"/>
          <w:szCs w:val="24"/>
        </w:rPr>
        <w:t xml:space="preserve"> victims of offences of a sexual nature (New Pathways, 2024). </w:t>
      </w:r>
      <w:r w:rsidR="005729D5" w:rsidRPr="00BA7D99">
        <w:rPr>
          <w:sz w:val="24"/>
          <w:szCs w:val="24"/>
        </w:rPr>
        <w:t xml:space="preserve">Franklin and Garza (2018) portray the need for the awareness of referral </w:t>
      </w:r>
      <w:r w:rsidR="00313693" w:rsidRPr="00BA7D99">
        <w:rPr>
          <w:sz w:val="24"/>
          <w:szCs w:val="24"/>
        </w:rPr>
        <w:t>services;</w:t>
      </w:r>
      <w:r w:rsidR="005729D5" w:rsidRPr="00BA7D99">
        <w:rPr>
          <w:sz w:val="24"/>
          <w:szCs w:val="24"/>
        </w:rPr>
        <w:t xml:space="preserve"> therefore</w:t>
      </w:r>
      <w:r w:rsidR="00313693" w:rsidRPr="00BA7D99">
        <w:rPr>
          <w:sz w:val="24"/>
          <w:szCs w:val="24"/>
        </w:rPr>
        <w:t>,</w:t>
      </w:r>
      <w:r w:rsidR="005729D5" w:rsidRPr="00BA7D99">
        <w:rPr>
          <w:sz w:val="24"/>
          <w:szCs w:val="24"/>
        </w:rPr>
        <w:t xml:space="preserve"> this shows the</w:t>
      </w:r>
      <w:r w:rsidR="00313693" w:rsidRPr="00BA7D99">
        <w:rPr>
          <w:sz w:val="24"/>
          <w:szCs w:val="24"/>
        </w:rPr>
        <w:t xml:space="preserve"> </w:t>
      </w:r>
      <w:r w:rsidR="005729D5" w:rsidRPr="00BA7D99">
        <w:rPr>
          <w:sz w:val="24"/>
          <w:szCs w:val="24"/>
        </w:rPr>
        <w:t xml:space="preserve">importance the police </w:t>
      </w:r>
      <w:r w:rsidR="00313693" w:rsidRPr="00BA7D99">
        <w:rPr>
          <w:sz w:val="24"/>
          <w:szCs w:val="24"/>
        </w:rPr>
        <w:t>ne</w:t>
      </w:r>
      <w:r w:rsidR="005729D5" w:rsidRPr="00BA7D99">
        <w:rPr>
          <w:sz w:val="24"/>
          <w:szCs w:val="24"/>
        </w:rPr>
        <w:t xml:space="preserve">ed to be aware of the services available for </w:t>
      </w:r>
      <w:r w:rsidR="00263278" w:rsidRPr="00BA7D99">
        <w:rPr>
          <w:sz w:val="24"/>
          <w:szCs w:val="24"/>
        </w:rPr>
        <w:t>victims,</w:t>
      </w:r>
      <w:r w:rsidR="005729D5" w:rsidRPr="00BA7D99">
        <w:rPr>
          <w:sz w:val="24"/>
          <w:szCs w:val="24"/>
        </w:rPr>
        <w:t xml:space="preserve"> so they receive the most suitable support. </w:t>
      </w:r>
      <w:r w:rsidR="000A7B89" w:rsidRPr="00BA7D99">
        <w:rPr>
          <w:sz w:val="24"/>
          <w:szCs w:val="24"/>
        </w:rPr>
        <w:t>Fitzgerald (</w:t>
      </w:r>
      <w:r w:rsidR="000A7B89" w:rsidRPr="00BA7D99">
        <w:rPr>
          <w:i/>
          <w:iCs/>
          <w:sz w:val="24"/>
          <w:szCs w:val="24"/>
        </w:rPr>
        <w:t xml:space="preserve">et al. </w:t>
      </w:r>
      <w:r w:rsidR="000A7B89" w:rsidRPr="00BA7D99">
        <w:rPr>
          <w:sz w:val="24"/>
          <w:szCs w:val="24"/>
        </w:rPr>
        <w:t xml:space="preserve">2017, p. 4) </w:t>
      </w:r>
      <w:r w:rsidR="00313693" w:rsidRPr="00BA7D99">
        <w:rPr>
          <w:sz w:val="24"/>
          <w:szCs w:val="24"/>
        </w:rPr>
        <w:t xml:space="preserve">shows a lack of awareness of these referrals </w:t>
      </w:r>
      <w:r w:rsidR="00313693" w:rsidRPr="00BA7D99">
        <w:rPr>
          <w:sz w:val="24"/>
          <w:szCs w:val="24"/>
        </w:rPr>
        <w:lastRenderedPageBreak/>
        <w:t xml:space="preserve">will disadvantage the victim and give them more trauma by entering the criminal justice system unequipped. </w:t>
      </w:r>
      <w:r w:rsidR="007A6093" w:rsidRPr="00BA7D99">
        <w:rPr>
          <w:sz w:val="24"/>
          <w:szCs w:val="24"/>
        </w:rPr>
        <w:t xml:space="preserve">Therefore, </w:t>
      </w:r>
      <w:r w:rsidR="00263278" w:rsidRPr="00BA7D99">
        <w:rPr>
          <w:sz w:val="24"/>
          <w:szCs w:val="24"/>
        </w:rPr>
        <w:t xml:space="preserve">the victim was provided with support and referrals during the process. </w:t>
      </w:r>
      <w:r w:rsidR="007A6093" w:rsidRPr="00BA7D99">
        <w:rPr>
          <w:sz w:val="24"/>
          <w:szCs w:val="24"/>
        </w:rPr>
        <w:t xml:space="preserve"> </w:t>
      </w:r>
    </w:p>
    <w:p w14:paraId="55C7BFA5" w14:textId="77777777" w:rsidR="007A6093" w:rsidRPr="00BA7D99" w:rsidRDefault="007A6093" w:rsidP="009C2ADD">
      <w:pPr>
        <w:rPr>
          <w:sz w:val="24"/>
          <w:szCs w:val="24"/>
        </w:rPr>
      </w:pPr>
    </w:p>
    <w:p w14:paraId="605852DC" w14:textId="77777777" w:rsidR="007A6093" w:rsidRPr="00BA7D99" w:rsidRDefault="007A6093" w:rsidP="009C2ADD">
      <w:pPr>
        <w:rPr>
          <w:sz w:val="24"/>
          <w:szCs w:val="24"/>
        </w:rPr>
      </w:pPr>
    </w:p>
    <w:p w14:paraId="6AA0D70E" w14:textId="4423ABB3" w:rsidR="003C3E70" w:rsidRPr="00BA7D99" w:rsidRDefault="007A6093" w:rsidP="009C2ADD">
      <w:pPr>
        <w:rPr>
          <w:sz w:val="24"/>
          <w:szCs w:val="24"/>
        </w:rPr>
      </w:pPr>
      <w:r w:rsidRPr="00BA7D99">
        <w:rPr>
          <w:sz w:val="24"/>
          <w:szCs w:val="24"/>
        </w:rPr>
        <w:t>It is inevitabl</w:t>
      </w:r>
      <w:r w:rsidR="00263278" w:rsidRPr="00BA7D99">
        <w:rPr>
          <w:sz w:val="24"/>
          <w:szCs w:val="24"/>
        </w:rPr>
        <w:t>e</w:t>
      </w:r>
      <w:r w:rsidRPr="00BA7D99">
        <w:rPr>
          <w:sz w:val="24"/>
          <w:szCs w:val="24"/>
        </w:rPr>
        <w:t xml:space="preserve"> that investigations of this nature will have an impact on the </w:t>
      </w:r>
      <w:r w:rsidR="00263278" w:rsidRPr="00BA7D99">
        <w:rPr>
          <w:sz w:val="24"/>
          <w:szCs w:val="24"/>
        </w:rPr>
        <w:t xml:space="preserve">investigating officer, in both </w:t>
      </w:r>
      <w:r w:rsidRPr="00BA7D99">
        <w:rPr>
          <w:sz w:val="24"/>
          <w:szCs w:val="24"/>
        </w:rPr>
        <w:t>being exposed to the details of the sexual offence, confidence as a police officer, and own attitudes as an individual. Despite not allowing my own attitudes to permeate into the investigation and disrupt the neutrality a police officer possesses, Anderson and Overby (2021) challenges the biased approaches some officers bring to investigations</w:t>
      </w:r>
      <w:r w:rsidR="00263278" w:rsidRPr="00BA7D99">
        <w:rPr>
          <w:sz w:val="24"/>
          <w:szCs w:val="24"/>
        </w:rPr>
        <w:t>;</w:t>
      </w:r>
      <w:r w:rsidRPr="00BA7D99">
        <w:rPr>
          <w:sz w:val="24"/>
          <w:szCs w:val="24"/>
        </w:rPr>
        <w:t xml:space="preserve"> </w:t>
      </w:r>
      <w:r w:rsidR="00080A06" w:rsidRPr="00BA7D99">
        <w:rPr>
          <w:sz w:val="24"/>
          <w:szCs w:val="24"/>
        </w:rPr>
        <w:t xml:space="preserve">such investigations still have an impact on police officers and their welfare, </w:t>
      </w:r>
      <w:r w:rsidR="00263278" w:rsidRPr="00BA7D99">
        <w:rPr>
          <w:sz w:val="24"/>
          <w:szCs w:val="24"/>
        </w:rPr>
        <w:t>through</w:t>
      </w:r>
      <w:r w:rsidR="00080A06" w:rsidRPr="00BA7D99">
        <w:rPr>
          <w:sz w:val="24"/>
          <w:szCs w:val="24"/>
        </w:rPr>
        <w:t xml:space="preserve"> emotional impact and the expectations </w:t>
      </w:r>
      <w:r w:rsidR="00263278" w:rsidRPr="00BA7D99">
        <w:rPr>
          <w:sz w:val="24"/>
          <w:szCs w:val="24"/>
        </w:rPr>
        <w:t xml:space="preserve">of </w:t>
      </w:r>
      <w:r w:rsidR="00080A06" w:rsidRPr="00BA7D99">
        <w:rPr>
          <w:sz w:val="24"/>
          <w:szCs w:val="24"/>
        </w:rPr>
        <w:t>the police officer during the investigation. Murphy-Oikonen (2022) highlights that officers are often exhausted from other unrelated calls, and the busy nature of the job sometimes results in delays during the investigation, which would ultimately result in the victim having a negative perception of both the investigating officer and the police service. This is particularly relevant as</w:t>
      </w:r>
      <w:r w:rsidR="00263278" w:rsidRPr="00BA7D99">
        <w:rPr>
          <w:sz w:val="24"/>
          <w:szCs w:val="24"/>
        </w:rPr>
        <w:t xml:space="preserve"> </w:t>
      </w:r>
      <w:r w:rsidR="00080A06" w:rsidRPr="00BA7D99">
        <w:rPr>
          <w:sz w:val="24"/>
          <w:szCs w:val="24"/>
        </w:rPr>
        <w:t>the backlog of ABE</w:t>
      </w:r>
      <w:r w:rsidR="00263278" w:rsidRPr="00BA7D99">
        <w:rPr>
          <w:sz w:val="24"/>
          <w:szCs w:val="24"/>
        </w:rPr>
        <w:t xml:space="preserve">s </w:t>
      </w:r>
      <w:r w:rsidR="00080A06" w:rsidRPr="00BA7D99">
        <w:rPr>
          <w:sz w:val="24"/>
          <w:szCs w:val="24"/>
        </w:rPr>
        <w:t>and my initial naivety to this process resulted in the victim becoming decreasingly trusting of my ability as an officer due to the process not going as quick as she had thought, which led to myself becoming less confident in my own abilities.</w:t>
      </w:r>
      <w:r w:rsidR="003C3E70" w:rsidRPr="00BA7D99">
        <w:rPr>
          <w:sz w:val="24"/>
          <w:szCs w:val="24"/>
        </w:rPr>
        <w:t xml:space="preserve"> When viewing this holistically, it brings understanding as to why the police service is viewed negatively at times by sexual assault victims, and why officers are oftentimes treated with a lack of trust by victims during an investigation. </w:t>
      </w:r>
    </w:p>
    <w:p w14:paraId="34800AC1" w14:textId="77777777" w:rsidR="00B5521D" w:rsidRPr="00BA7D99" w:rsidRDefault="00B5521D" w:rsidP="009C2ADD">
      <w:pPr>
        <w:rPr>
          <w:b/>
          <w:bCs/>
          <w:sz w:val="24"/>
          <w:szCs w:val="24"/>
        </w:rPr>
      </w:pPr>
    </w:p>
    <w:p w14:paraId="21D8E595" w14:textId="13939D4A" w:rsidR="003C3E70" w:rsidRDefault="00B5521D" w:rsidP="009C2ADD">
      <w:pPr>
        <w:rPr>
          <w:sz w:val="24"/>
          <w:szCs w:val="24"/>
        </w:rPr>
      </w:pPr>
      <w:r w:rsidRPr="00BA7D99">
        <w:rPr>
          <w:sz w:val="24"/>
          <w:szCs w:val="24"/>
        </w:rPr>
        <w:t xml:space="preserve">In this essay, I have critically evaluated the process of the complex investigation that I have undertaken during my role as a police officer. This came with inevitable difficulties in the form of a backlog of ABEs, lack of trust from the victim, and the emotional and operational difficulties. </w:t>
      </w:r>
      <w:r w:rsidR="008D1F41" w:rsidRPr="00BA7D99">
        <w:rPr>
          <w:sz w:val="24"/>
          <w:szCs w:val="24"/>
        </w:rPr>
        <w:t>P</w:t>
      </w:r>
      <w:r w:rsidRPr="00BA7D99">
        <w:rPr>
          <w:sz w:val="24"/>
          <w:szCs w:val="24"/>
        </w:rPr>
        <w:t>ositives include the experience I have gained, the support services that the victim was offered and used, and commencing the investigation which was handed to CID</w:t>
      </w:r>
      <w:r w:rsidR="008D1F41" w:rsidRPr="00BA7D99">
        <w:rPr>
          <w:sz w:val="24"/>
          <w:szCs w:val="24"/>
        </w:rPr>
        <w:t xml:space="preserve">. </w:t>
      </w:r>
      <w:r w:rsidRPr="00BA7D99">
        <w:rPr>
          <w:sz w:val="24"/>
          <w:szCs w:val="24"/>
        </w:rPr>
        <w:t>Despite the above, the takeaway from this investigation was, despite the challenges and the perceptions of myself as a police officer, the important thing was to ensure the victim felt heard, and that she was offered the best support available to safeguard her and anyone else affected by the offence that was alleged to have taken place all those years ago.</w:t>
      </w:r>
      <w:r w:rsidRPr="00B5521D">
        <w:rPr>
          <w:sz w:val="24"/>
          <w:szCs w:val="24"/>
        </w:rPr>
        <w:t xml:space="preserve"> </w:t>
      </w:r>
    </w:p>
    <w:p w14:paraId="7A366350" w14:textId="77777777" w:rsidR="00BA7D99" w:rsidRDefault="00BA7D99" w:rsidP="009C2ADD">
      <w:pPr>
        <w:rPr>
          <w:sz w:val="24"/>
          <w:szCs w:val="24"/>
        </w:rPr>
      </w:pPr>
    </w:p>
    <w:p w14:paraId="301234B8" w14:textId="15616649" w:rsidR="009C2ADD" w:rsidRPr="00020D58" w:rsidRDefault="00B5521D" w:rsidP="009C2ADD">
      <w:pPr>
        <w:rPr>
          <w:b/>
          <w:bCs/>
          <w:sz w:val="24"/>
          <w:szCs w:val="24"/>
        </w:rPr>
      </w:pPr>
      <w:r w:rsidRPr="00020D58">
        <w:rPr>
          <w:b/>
          <w:bCs/>
          <w:sz w:val="24"/>
          <w:szCs w:val="24"/>
        </w:rPr>
        <w:t xml:space="preserve">Word count: </w:t>
      </w:r>
      <w:r w:rsidR="00020D58" w:rsidRPr="00020D58">
        <w:rPr>
          <w:b/>
          <w:bCs/>
          <w:sz w:val="24"/>
          <w:szCs w:val="24"/>
        </w:rPr>
        <w:t>2,</w:t>
      </w:r>
      <w:r w:rsidR="008D1F41">
        <w:rPr>
          <w:b/>
          <w:bCs/>
          <w:sz w:val="24"/>
          <w:szCs w:val="24"/>
        </w:rPr>
        <w:t>187</w:t>
      </w:r>
    </w:p>
    <w:p w14:paraId="785AF5CE" w14:textId="77777777" w:rsidR="009C2ADD" w:rsidRDefault="009C2ADD" w:rsidP="00117F43">
      <w:pPr>
        <w:ind w:right="237"/>
        <w:jc w:val="both"/>
        <w:rPr>
          <w:color w:val="CC0099"/>
          <w:sz w:val="24"/>
          <w:szCs w:val="24"/>
        </w:rPr>
      </w:pPr>
    </w:p>
    <w:p w14:paraId="550E30AF" w14:textId="50FB2254"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563192E7" w14:textId="39561B27" w:rsidR="0FF883D4" w:rsidRPr="006A3F70" w:rsidRDefault="5CE196A1" w:rsidP="5CE196A1">
      <w:r w:rsidRPr="5CE196A1">
        <w:rPr>
          <w:rFonts w:eastAsia="Arial"/>
          <w:b/>
          <w:bCs/>
          <w:color w:val="000000" w:themeColor="text1"/>
          <w:sz w:val="24"/>
          <w:szCs w:val="24"/>
        </w:rPr>
        <w:t xml:space="preserve">Signed: </w:t>
      </w:r>
      <w:r w:rsidR="006A3F70" w:rsidRPr="006A3F70">
        <w:rPr>
          <w:rFonts w:eastAsia="Arial"/>
          <w:color w:val="000000" w:themeColor="text1"/>
          <w:sz w:val="24"/>
          <w:szCs w:val="24"/>
        </w:rPr>
        <w:t xml:space="preserve">Miyah Greenslade </w:t>
      </w:r>
    </w:p>
    <w:p w14:paraId="482B2B3A" w14:textId="505C596F" w:rsidR="0FF883D4" w:rsidRPr="00A240A3" w:rsidRDefault="5CE196A1" w:rsidP="00A240A3">
      <w:pPr>
        <w:sectPr w:rsidR="0FF883D4" w:rsidRPr="00A240A3" w:rsidSect="0022001B">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A240A3">
        <w:t xml:space="preserve"> </w:t>
      </w:r>
      <w:r w:rsidR="00950BFA">
        <w:rPr>
          <w:sz w:val="24"/>
          <w:szCs w:val="24"/>
          <w:lang w:eastAsia="zh-TW"/>
        </w:rPr>
        <w:t>25</w:t>
      </w:r>
      <w:r w:rsidR="00A240A3" w:rsidRPr="00A240A3">
        <w:rPr>
          <w:sz w:val="24"/>
          <w:szCs w:val="24"/>
          <w:lang w:eastAsia="zh-TW"/>
        </w:rPr>
        <w:t>/04/2024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7371739" w14:textId="77777777" w:rsidR="009C2ADD" w:rsidRDefault="009C2ADD" w:rsidP="00EA28F1">
      <w:pPr>
        <w:keepNext/>
        <w:spacing w:before="240" w:after="60"/>
        <w:ind w:right="237"/>
        <w:jc w:val="both"/>
        <w:rPr>
          <w:sz w:val="24"/>
          <w:szCs w:val="24"/>
        </w:rPr>
      </w:pPr>
    </w:p>
    <w:p w14:paraId="416B875E" w14:textId="53C90EEC" w:rsidR="00080A06" w:rsidRDefault="00080A06" w:rsidP="00EA28F1">
      <w:pPr>
        <w:keepNext/>
        <w:spacing w:before="240" w:after="60"/>
        <w:ind w:right="237"/>
        <w:jc w:val="both"/>
        <w:rPr>
          <w:sz w:val="24"/>
          <w:szCs w:val="24"/>
        </w:rPr>
      </w:pPr>
      <w:r>
        <w:rPr>
          <w:sz w:val="24"/>
          <w:szCs w:val="24"/>
        </w:rPr>
        <w:t xml:space="preserve">Anderson, G. and Overby, R. (2021) ‘The impact of rape myths and current events on the well being of sexual violence survivors’, </w:t>
      </w:r>
      <w:r>
        <w:rPr>
          <w:i/>
          <w:iCs/>
          <w:sz w:val="24"/>
          <w:szCs w:val="24"/>
        </w:rPr>
        <w:t>Violence Against Women</w:t>
      </w:r>
      <w:r>
        <w:rPr>
          <w:sz w:val="24"/>
          <w:szCs w:val="24"/>
        </w:rPr>
        <w:t xml:space="preserve">, 27(9), pp. 1379-1401. DOI: 10.1177/1077801220937782. </w:t>
      </w:r>
    </w:p>
    <w:p w14:paraId="7526B735" w14:textId="52F74A7C" w:rsidR="0007025E" w:rsidRPr="0007025E" w:rsidRDefault="0007025E" w:rsidP="00EA28F1">
      <w:pPr>
        <w:keepNext/>
        <w:spacing w:before="240" w:after="60"/>
        <w:ind w:right="237"/>
        <w:jc w:val="both"/>
        <w:rPr>
          <w:sz w:val="24"/>
          <w:szCs w:val="24"/>
        </w:rPr>
      </w:pPr>
      <w:r>
        <w:rPr>
          <w:sz w:val="24"/>
          <w:szCs w:val="24"/>
        </w:rPr>
        <w:t xml:space="preserve">Ariel, B., Weinborn, C. and Sherman, L. W. (2016) ‘”Soft” policing at hot spots – do police community support officers work? A randomized controlled trial’, </w:t>
      </w:r>
      <w:r>
        <w:rPr>
          <w:i/>
          <w:iCs/>
          <w:sz w:val="24"/>
          <w:szCs w:val="24"/>
        </w:rPr>
        <w:t xml:space="preserve">Journal of Experimental Criminology, </w:t>
      </w:r>
      <w:r>
        <w:rPr>
          <w:sz w:val="24"/>
          <w:szCs w:val="24"/>
        </w:rPr>
        <w:t xml:space="preserve">12(3), pp. 277-317. DOI: 10.1007/s11292-016-9260-4. </w:t>
      </w:r>
    </w:p>
    <w:p w14:paraId="31416073" w14:textId="34750238" w:rsidR="00BE6FB2" w:rsidRPr="00BE6FB2" w:rsidRDefault="00BE6FB2" w:rsidP="00BE6FB2">
      <w:pPr>
        <w:keepNext/>
        <w:spacing w:before="240" w:after="60"/>
        <w:ind w:right="237"/>
        <w:rPr>
          <w:sz w:val="24"/>
          <w:szCs w:val="24"/>
        </w:rPr>
      </w:pPr>
      <w:r w:rsidRPr="00BE6FB2">
        <w:rPr>
          <w:sz w:val="24"/>
          <w:szCs w:val="24"/>
        </w:rPr>
        <w:t xml:space="preserve">BCP (2024) </w:t>
      </w:r>
      <w:r w:rsidRPr="00BE6FB2">
        <w:rPr>
          <w:i/>
          <w:iCs/>
          <w:sz w:val="24"/>
          <w:szCs w:val="24"/>
        </w:rPr>
        <w:t>Early years</w:t>
      </w:r>
      <w:r>
        <w:rPr>
          <w:i/>
          <w:iCs/>
          <w:sz w:val="24"/>
          <w:szCs w:val="24"/>
        </w:rPr>
        <w:t xml:space="preserve"> </w:t>
      </w:r>
      <w:r w:rsidRPr="00BE6FB2">
        <w:rPr>
          <w:i/>
          <w:iCs/>
          <w:sz w:val="24"/>
          <w:szCs w:val="24"/>
        </w:rPr>
        <w:t xml:space="preserve">safeguarding. </w:t>
      </w:r>
      <w:r w:rsidRPr="00BE6FB2">
        <w:rPr>
          <w:sz w:val="24"/>
          <w:szCs w:val="24"/>
        </w:rPr>
        <w:t xml:space="preserve">Available at: https://www.bcpcouncil.gov.uk/children-young-people-and-families/working-in-childcare/early-years-safeguarding/multi-agency-risk-assessment-conference-and-public-protection-notice-forms (Accessed: 4th April 2024). </w:t>
      </w:r>
    </w:p>
    <w:p w14:paraId="3A27C4AB" w14:textId="77777777" w:rsidR="009C2ADD" w:rsidRDefault="009C2ADD" w:rsidP="009C2ADD">
      <w:pPr>
        <w:rPr>
          <w:sz w:val="24"/>
          <w:szCs w:val="24"/>
        </w:rPr>
      </w:pPr>
    </w:p>
    <w:p w14:paraId="22B0AE1D" w14:textId="77777777" w:rsidR="009C2ADD" w:rsidRDefault="009C2ADD" w:rsidP="009C2ADD">
      <w:pPr>
        <w:rPr>
          <w:sz w:val="24"/>
          <w:szCs w:val="24"/>
        </w:rPr>
      </w:pPr>
      <w:r w:rsidRPr="007E0EDB">
        <w:rPr>
          <w:sz w:val="24"/>
          <w:szCs w:val="24"/>
        </w:rPr>
        <w:t xml:space="preserve">Bunting, L. et al. (2015) </w:t>
      </w:r>
      <w:r w:rsidRPr="007E0EDB">
        <w:rPr>
          <w:i/>
          <w:iCs/>
          <w:sz w:val="24"/>
          <w:szCs w:val="24"/>
        </w:rPr>
        <w:t xml:space="preserve">Good Practice In Achieving Best Evidence Interview With Child Witnesses In Northern Ireland – Criminal Justice Perspectives. </w:t>
      </w:r>
      <w:r w:rsidRPr="007E0EDB">
        <w:rPr>
          <w:sz w:val="24"/>
          <w:szCs w:val="24"/>
        </w:rPr>
        <w:t xml:space="preserve">Available at: </w:t>
      </w:r>
      <w:r w:rsidRPr="007E0EDB">
        <w:rPr>
          <w:sz w:val="24"/>
          <w:szCs w:val="24"/>
        </w:rPr>
        <w:lastRenderedPageBreak/>
        <w:t xml:space="preserve">https://niopa.qub.ac.uk/bitstream/NIOPA/2674/1/ABE%20final%20report%2028-04-15.pdf (Accessed: 5th March 2024). </w:t>
      </w:r>
    </w:p>
    <w:p w14:paraId="738D4C31" w14:textId="77777777" w:rsidR="00A434BF" w:rsidRDefault="00A434BF" w:rsidP="009C2ADD">
      <w:pPr>
        <w:rPr>
          <w:sz w:val="24"/>
          <w:szCs w:val="24"/>
        </w:rPr>
      </w:pPr>
    </w:p>
    <w:p w14:paraId="33EFAEBC" w14:textId="154AB195" w:rsidR="00A434BF" w:rsidRPr="00A434BF" w:rsidRDefault="00A434BF" w:rsidP="009C2ADD">
      <w:pPr>
        <w:rPr>
          <w:sz w:val="24"/>
          <w:szCs w:val="24"/>
        </w:rPr>
      </w:pPr>
      <w:r w:rsidRPr="00A434BF">
        <w:rPr>
          <w:sz w:val="24"/>
          <w:szCs w:val="24"/>
        </w:rPr>
        <w:t xml:space="preserve">Caerphilly County Borough Council (2024) </w:t>
      </w:r>
      <w:r w:rsidRPr="00A434BF">
        <w:rPr>
          <w:i/>
          <w:iCs/>
          <w:sz w:val="24"/>
          <w:szCs w:val="24"/>
        </w:rPr>
        <w:t xml:space="preserve">Youth Offending Service. </w:t>
      </w:r>
      <w:r w:rsidRPr="00A434BF">
        <w:rPr>
          <w:sz w:val="24"/>
          <w:szCs w:val="24"/>
        </w:rPr>
        <w:t xml:space="preserve">Available at: https://www.caerphilly.gov.uk/services/children-and-families/services-for-young-people/youth-offending (Accessed: 4th April 2024). </w:t>
      </w:r>
    </w:p>
    <w:p w14:paraId="6F1447C7" w14:textId="77777777" w:rsidR="009C2ADD" w:rsidRDefault="009C2ADD" w:rsidP="009C2ADD">
      <w:pPr>
        <w:rPr>
          <w:sz w:val="24"/>
          <w:szCs w:val="24"/>
        </w:rPr>
      </w:pPr>
    </w:p>
    <w:p w14:paraId="781294CD" w14:textId="77777777" w:rsidR="009C2ADD" w:rsidRDefault="009C2ADD" w:rsidP="009C2ADD">
      <w:pPr>
        <w:rPr>
          <w:sz w:val="24"/>
          <w:szCs w:val="24"/>
        </w:rPr>
      </w:pPr>
      <w:r w:rsidRPr="00012054">
        <w:rPr>
          <w:sz w:val="24"/>
          <w:szCs w:val="24"/>
        </w:rPr>
        <w:t xml:space="preserve">College of Policing (2018) </w:t>
      </w:r>
      <w:r w:rsidRPr="00012054">
        <w:rPr>
          <w:i/>
          <w:iCs/>
          <w:sz w:val="24"/>
          <w:szCs w:val="24"/>
        </w:rPr>
        <w:t>Professionalising Investigations Programme: Programme policy 2018</w:t>
      </w:r>
      <w:r w:rsidRPr="00012054">
        <w:rPr>
          <w:sz w:val="24"/>
          <w:szCs w:val="24"/>
        </w:rPr>
        <w:t xml:space="preserve">. Available at: https://assets.college.police.uk/s3fs-public/2020-11/Professionalising-Investigations-Progamme.pdf (Accessed: 24th January 2024). </w:t>
      </w:r>
    </w:p>
    <w:p w14:paraId="12DFBEA5" w14:textId="77777777" w:rsidR="00866054" w:rsidRDefault="00866054" w:rsidP="009C2ADD">
      <w:pPr>
        <w:rPr>
          <w:sz w:val="24"/>
          <w:szCs w:val="24"/>
        </w:rPr>
      </w:pPr>
    </w:p>
    <w:p w14:paraId="4BA72115" w14:textId="15EA2824" w:rsidR="00866054" w:rsidRDefault="00866054" w:rsidP="009C2ADD">
      <w:pPr>
        <w:rPr>
          <w:sz w:val="24"/>
          <w:szCs w:val="24"/>
        </w:rPr>
      </w:pPr>
      <w:r w:rsidRPr="00866054">
        <w:rPr>
          <w:sz w:val="24"/>
          <w:szCs w:val="24"/>
        </w:rPr>
        <w:t xml:space="preserve">College of Policing (2024) </w:t>
      </w:r>
      <w:r w:rsidRPr="00866054">
        <w:rPr>
          <w:i/>
          <w:iCs/>
          <w:sz w:val="24"/>
          <w:szCs w:val="24"/>
        </w:rPr>
        <w:t xml:space="preserve">Responding to hate. </w:t>
      </w:r>
      <w:r w:rsidRPr="00866054">
        <w:rPr>
          <w:sz w:val="24"/>
          <w:szCs w:val="24"/>
        </w:rPr>
        <w:t xml:space="preserve">Available at: https://www.college.police.uk/app/major-investigation-and-public-protection/hate-crime/responding-hate#repeat-victimisation (Accessed: 4th April 2024). </w:t>
      </w:r>
    </w:p>
    <w:p w14:paraId="4501CE7B" w14:textId="77777777" w:rsidR="008108F6" w:rsidRDefault="008108F6" w:rsidP="009C2ADD">
      <w:pPr>
        <w:rPr>
          <w:sz w:val="24"/>
          <w:szCs w:val="24"/>
        </w:rPr>
      </w:pPr>
    </w:p>
    <w:p w14:paraId="50DC9EC6" w14:textId="42BADDE5" w:rsidR="008108F6" w:rsidRPr="008108F6" w:rsidRDefault="008108F6" w:rsidP="009C2ADD">
      <w:pPr>
        <w:rPr>
          <w:sz w:val="24"/>
          <w:szCs w:val="24"/>
        </w:rPr>
      </w:pPr>
      <w:r w:rsidRPr="008108F6">
        <w:rPr>
          <w:sz w:val="24"/>
          <w:szCs w:val="24"/>
        </w:rPr>
        <w:t xml:space="preserve">CPS (2022) </w:t>
      </w:r>
      <w:r w:rsidRPr="008108F6">
        <w:rPr>
          <w:i/>
          <w:iCs/>
          <w:sz w:val="24"/>
          <w:szCs w:val="24"/>
        </w:rPr>
        <w:t xml:space="preserve">Hate crime. </w:t>
      </w:r>
      <w:r w:rsidRPr="008108F6">
        <w:rPr>
          <w:sz w:val="24"/>
          <w:szCs w:val="24"/>
        </w:rPr>
        <w:t xml:space="preserve">Available at: https://www.cps.gov.uk/crime-info/hate-crime (Accessed: 4th April 2024). </w:t>
      </w:r>
    </w:p>
    <w:p w14:paraId="09E7B029" w14:textId="77777777" w:rsidR="00A434BF" w:rsidRDefault="00A434BF" w:rsidP="009C2ADD">
      <w:pPr>
        <w:rPr>
          <w:sz w:val="24"/>
          <w:szCs w:val="24"/>
        </w:rPr>
      </w:pPr>
    </w:p>
    <w:p w14:paraId="5F10CAE0" w14:textId="5D2631EB" w:rsidR="00A434BF" w:rsidRPr="00A434BF" w:rsidRDefault="00A434BF" w:rsidP="009C2ADD">
      <w:pPr>
        <w:rPr>
          <w:sz w:val="24"/>
          <w:szCs w:val="24"/>
        </w:rPr>
      </w:pPr>
      <w:r w:rsidRPr="00A434BF">
        <w:rPr>
          <w:sz w:val="24"/>
          <w:szCs w:val="24"/>
        </w:rPr>
        <w:t xml:space="preserve">CPS (2022) </w:t>
      </w:r>
      <w:r w:rsidRPr="00A434BF">
        <w:rPr>
          <w:i/>
          <w:iCs/>
          <w:sz w:val="24"/>
          <w:szCs w:val="24"/>
        </w:rPr>
        <w:t xml:space="preserve">Youth crime. </w:t>
      </w:r>
      <w:r w:rsidRPr="00A434BF">
        <w:rPr>
          <w:sz w:val="24"/>
          <w:szCs w:val="24"/>
        </w:rPr>
        <w:t xml:space="preserve">Available at: https://www.cps.gov.uk/crime-info/youth-crime (Accessed: 4th April 2024). </w:t>
      </w:r>
    </w:p>
    <w:p w14:paraId="3591A822" w14:textId="77777777" w:rsidR="0089759B" w:rsidRDefault="0089759B" w:rsidP="009C2ADD">
      <w:pPr>
        <w:rPr>
          <w:sz w:val="24"/>
          <w:szCs w:val="24"/>
        </w:rPr>
      </w:pPr>
    </w:p>
    <w:p w14:paraId="0AE43BBC" w14:textId="7DD6F293" w:rsidR="0089759B" w:rsidRPr="0089759B" w:rsidRDefault="0089759B" w:rsidP="009C2ADD">
      <w:pPr>
        <w:rPr>
          <w:sz w:val="24"/>
          <w:szCs w:val="24"/>
        </w:rPr>
      </w:pPr>
      <w:r w:rsidRPr="0089759B">
        <w:rPr>
          <w:sz w:val="24"/>
          <w:szCs w:val="24"/>
        </w:rPr>
        <w:lastRenderedPageBreak/>
        <w:t xml:space="preserve">Crime and Disorder Act 1998, s. 28. Available at: https://www.legislation.gov.uk/ukpga/1998/37/section/28 (Accessed: 4th April 2024). </w:t>
      </w:r>
    </w:p>
    <w:p w14:paraId="7A1374C3" w14:textId="77777777" w:rsidR="0089759B" w:rsidRPr="0089759B" w:rsidRDefault="0089759B" w:rsidP="009C2ADD">
      <w:pPr>
        <w:rPr>
          <w:sz w:val="24"/>
          <w:szCs w:val="24"/>
        </w:rPr>
      </w:pPr>
    </w:p>
    <w:p w14:paraId="7F666515" w14:textId="0FB5F2B6" w:rsidR="0089759B" w:rsidRDefault="0089759B" w:rsidP="009C2ADD">
      <w:pPr>
        <w:rPr>
          <w:sz w:val="24"/>
          <w:szCs w:val="24"/>
        </w:rPr>
      </w:pPr>
      <w:r w:rsidRPr="0089759B">
        <w:rPr>
          <w:sz w:val="24"/>
          <w:szCs w:val="24"/>
        </w:rPr>
        <w:t xml:space="preserve">Crime and Disorder Act 1998, s. 31. Available at: https://www.legislation.gov.uk/ukpga/1998/37/section/31 (Accessed: 4th April 2024). </w:t>
      </w:r>
    </w:p>
    <w:p w14:paraId="07CC83EA" w14:textId="77777777" w:rsidR="005E31FB" w:rsidRDefault="005E31FB" w:rsidP="009C2ADD">
      <w:pPr>
        <w:rPr>
          <w:sz w:val="24"/>
          <w:szCs w:val="24"/>
        </w:rPr>
      </w:pPr>
    </w:p>
    <w:p w14:paraId="69A24F53" w14:textId="044C38E4" w:rsidR="005E31FB" w:rsidRPr="005E31FB" w:rsidRDefault="005E31FB" w:rsidP="009C2ADD">
      <w:pPr>
        <w:rPr>
          <w:sz w:val="24"/>
          <w:szCs w:val="24"/>
        </w:rPr>
      </w:pPr>
      <w:r w:rsidRPr="005E31FB">
        <w:rPr>
          <w:sz w:val="24"/>
          <w:szCs w:val="24"/>
        </w:rPr>
        <w:t xml:space="preserve">Criminal Damage Act 1971, s. 1. Available at: https://www.legislation.gov.uk/ukpga/1971/48/section/1 (Accessed: 4th April 2024). </w:t>
      </w:r>
    </w:p>
    <w:p w14:paraId="2617AD4A" w14:textId="77777777" w:rsidR="000A7B89" w:rsidRDefault="000A7B89" w:rsidP="009C2ADD">
      <w:pPr>
        <w:rPr>
          <w:sz w:val="24"/>
          <w:szCs w:val="24"/>
        </w:rPr>
      </w:pPr>
    </w:p>
    <w:p w14:paraId="749CE8F7" w14:textId="39578F08" w:rsidR="000A7B89" w:rsidRPr="000A7B89" w:rsidRDefault="000A7B89" w:rsidP="009C2ADD">
      <w:pPr>
        <w:rPr>
          <w:sz w:val="24"/>
          <w:szCs w:val="24"/>
        </w:rPr>
      </w:pPr>
      <w:r>
        <w:rPr>
          <w:sz w:val="24"/>
          <w:szCs w:val="24"/>
        </w:rPr>
        <w:t xml:space="preserve">Fitzgerald, K. et al. (2017) ‘Barriers to Engagement in Acute and Post-Acute Sexual Assault Response Services: A Practice-Based Scoping Review’, </w:t>
      </w:r>
      <w:r>
        <w:rPr>
          <w:i/>
          <w:iCs/>
          <w:sz w:val="24"/>
          <w:szCs w:val="24"/>
        </w:rPr>
        <w:t>International Journal of Emergency Mental Health and Human Resilience</w:t>
      </w:r>
      <w:r>
        <w:rPr>
          <w:sz w:val="24"/>
          <w:szCs w:val="24"/>
        </w:rPr>
        <w:t xml:space="preserve">, 19(2), pp. 1-7. </w:t>
      </w:r>
      <w:r w:rsidR="00080A06">
        <w:rPr>
          <w:sz w:val="24"/>
          <w:szCs w:val="24"/>
        </w:rPr>
        <w:t xml:space="preserve">DOI: 10.4172/1522-4821.1000361. </w:t>
      </w:r>
    </w:p>
    <w:p w14:paraId="7BE371E2" w14:textId="77777777" w:rsidR="009C2ADD" w:rsidRDefault="009C2ADD" w:rsidP="009C2ADD">
      <w:pPr>
        <w:rPr>
          <w:sz w:val="24"/>
          <w:szCs w:val="24"/>
        </w:rPr>
      </w:pPr>
    </w:p>
    <w:p w14:paraId="5F94DD37" w14:textId="77777777" w:rsidR="009C2ADD" w:rsidRDefault="009C2ADD" w:rsidP="009C2ADD">
      <w:pPr>
        <w:rPr>
          <w:sz w:val="24"/>
          <w:szCs w:val="24"/>
        </w:rPr>
      </w:pPr>
      <w:r>
        <w:rPr>
          <w:sz w:val="24"/>
          <w:szCs w:val="24"/>
        </w:rPr>
        <w:t xml:space="preserve">Ford, K. et al. (2019) ‘Understanding the outcome of police safeguarding notifications to social services in South Wales’, </w:t>
      </w:r>
      <w:r>
        <w:rPr>
          <w:i/>
          <w:iCs/>
          <w:sz w:val="24"/>
          <w:szCs w:val="24"/>
        </w:rPr>
        <w:t xml:space="preserve">The Police Journal: Theory, Practice and Principles, </w:t>
      </w:r>
      <w:r>
        <w:rPr>
          <w:sz w:val="24"/>
          <w:szCs w:val="24"/>
        </w:rPr>
        <w:t xml:space="preserve">93(2), pp. 87-108. DOI: 10.1177/0032258X19836144. </w:t>
      </w:r>
    </w:p>
    <w:p w14:paraId="6DDBB36B" w14:textId="77777777" w:rsidR="00313693" w:rsidRDefault="00313693" w:rsidP="009C2ADD">
      <w:pPr>
        <w:rPr>
          <w:sz w:val="24"/>
          <w:szCs w:val="24"/>
        </w:rPr>
      </w:pPr>
    </w:p>
    <w:p w14:paraId="43ACF0B0" w14:textId="1FA2CB5F" w:rsidR="00313693" w:rsidRDefault="00313693" w:rsidP="009C2ADD">
      <w:pPr>
        <w:rPr>
          <w:color w:val="auto"/>
          <w:sz w:val="24"/>
          <w:szCs w:val="24"/>
          <w:shd w:val="clear" w:color="auto" w:fill="FFFFFF"/>
        </w:rPr>
      </w:pPr>
      <w:r>
        <w:rPr>
          <w:sz w:val="24"/>
          <w:szCs w:val="24"/>
        </w:rPr>
        <w:t xml:space="preserve">Franklin, C. A. and Garza, A. D. (2018) ‘Sexual Assault Disclosure: The Effect of Victim Race and Perpetrator Type on Empathy, Culpability, and Service Referral for </w:t>
      </w:r>
      <w:r>
        <w:rPr>
          <w:sz w:val="24"/>
          <w:szCs w:val="24"/>
        </w:rPr>
        <w:lastRenderedPageBreak/>
        <w:t xml:space="preserve">Survivors in a Hypothetical Scenario’, </w:t>
      </w:r>
      <w:r>
        <w:rPr>
          <w:i/>
          <w:iCs/>
          <w:sz w:val="24"/>
          <w:szCs w:val="24"/>
        </w:rPr>
        <w:t>Journal of Interpersonal Violence</w:t>
      </w:r>
      <w:r>
        <w:rPr>
          <w:sz w:val="24"/>
          <w:szCs w:val="24"/>
        </w:rPr>
        <w:t>, 36(5-6), pp. 2327-2352. DOI</w:t>
      </w:r>
      <w:r>
        <w:rPr>
          <w:color w:val="auto"/>
          <w:sz w:val="24"/>
          <w:szCs w:val="24"/>
        </w:rPr>
        <w:t>: 10</w:t>
      </w:r>
      <w:r w:rsidRPr="00313693">
        <w:rPr>
          <w:color w:val="auto"/>
          <w:sz w:val="24"/>
          <w:szCs w:val="24"/>
          <w:shd w:val="clear" w:color="auto" w:fill="FFFFFF"/>
        </w:rPr>
        <w:t>.1177/0886260518759656</w:t>
      </w:r>
      <w:r>
        <w:rPr>
          <w:color w:val="auto"/>
          <w:sz w:val="24"/>
          <w:szCs w:val="24"/>
          <w:shd w:val="clear" w:color="auto" w:fill="FFFFFF"/>
        </w:rPr>
        <w:t xml:space="preserve">. </w:t>
      </w:r>
    </w:p>
    <w:p w14:paraId="49703136" w14:textId="77777777" w:rsidR="00712D55" w:rsidRDefault="00712D55" w:rsidP="009C2ADD">
      <w:pPr>
        <w:rPr>
          <w:color w:val="auto"/>
          <w:sz w:val="24"/>
          <w:szCs w:val="24"/>
          <w:shd w:val="clear" w:color="auto" w:fill="FFFFFF"/>
        </w:rPr>
      </w:pPr>
    </w:p>
    <w:p w14:paraId="1A0B3CF2" w14:textId="7DB33F3E" w:rsidR="00712D55" w:rsidRPr="00712D55" w:rsidRDefault="00712D55" w:rsidP="009C2ADD">
      <w:pPr>
        <w:rPr>
          <w:sz w:val="24"/>
          <w:szCs w:val="24"/>
        </w:rPr>
      </w:pPr>
      <w:r>
        <w:rPr>
          <w:color w:val="auto"/>
          <w:sz w:val="24"/>
          <w:szCs w:val="24"/>
          <w:shd w:val="clear" w:color="auto" w:fill="FFFFFF"/>
        </w:rPr>
        <w:t xml:space="preserve">Grove, L. et al. (2014) </w:t>
      </w:r>
      <w:r>
        <w:rPr>
          <w:i/>
          <w:iCs/>
          <w:color w:val="auto"/>
          <w:sz w:val="24"/>
          <w:szCs w:val="24"/>
          <w:shd w:val="clear" w:color="auto" w:fill="FFFFFF"/>
        </w:rPr>
        <w:t xml:space="preserve">Preventing Repeat Victimization: A Systematic Review. </w:t>
      </w:r>
      <w:r w:rsidRPr="00712D55">
        <w:rPr>
          <w:color w:val="auto"/>
          <w:sz w:val="24"/>
          <w:szCs w:val="24"/>
          <w:shd w:val="clear" w:color="auto" w:fill="FFFFFF"/>
        </w:rPr>
        <w:t>Sweden:</w:t>
      </w:r>
      <w:r>
        <w:rPr>
          <w:i/>
          <w:iCs/>
          <w:color w:val="auto"/>
          <w:sz w:val="24"/>
          <w:szCs w:val="24"/>
          <w:shd w:val="clear" w:color="auto" w:fill="FFFFFF"/>
        </w:rPr>
        <w:t xml:space="preserve"> </w:t>
      </w:r>
      <w:r>
        <w:rPr>
          <w:color w:val="auto"/>
          <w:sz w:val="24"/>
          <w:szCs w:val="24"/>
          <w:shd w:val="clear" w:color="auto" w:fill="FFFFFF"/>
        </w:rPr>
        <w:t xml:space="preserve">The Swedish National Council for Crime Prevention. </w:t>
      </w:r>
    </w:p>
    <w:p w14:paraId="30378AB5" w14:textId="77777777" w:rsidR="00245153" w:rsidRDefault="00245153" w:rsidP="009C2ADD">
      <w:pPr>
        <w:rPr>
          <w:sz w:val="24"/>
          <w:szCs w:val="24"/>
        </w:rPr>
      </w:pPr>
    </w:p>
    <w:p w14:paraId="35CC998D" w14:textId="1E3417E2" w:rsidR="00245153" w:rsidRPr="00245153" w:rsidRDefault="00245153" w:rsidP="009C2ADD">
      <w:pPr>
        <w:rPr>
          <w:sz w:val="24"/>
          <w:szCs w:val="24"/>
        </w:rPr>
      </w:pPr>
      <w:r w:rsidRPr="00245153">
        <w:rPr>
          <w:sz w:val="24"/>
          <w:szCs w:val="24"/>
        </w:rPr>
        <w:t xml:space="preserve">HMICFRS (2023) </w:t>
      </w:r>
      <w:r w:rsidRPr="00245153">
        <w:rPr>
          <w:i/>
          <w:iCs/>
          <w:sz w:val="24"/>
          <w:szCs w:val="24"/>
        </w:rPr>
        <w:t>Public protection notice (PPN)</w:t>
      </w:r>
      <w:r w:rsidRPr="00245153">
        <w:rPr>
          <w:sz w:val="24"/>
          <w:szCs w:val="24"/>
        </w:rPr>
        <w:t xml:space="preserve">. Available at: https://hmicfrs.justiceinspectorates.gov.uk/glossary/public-protection-notice/ (Accessed: 4th April 2024). </w:t>
      </w:r>
    </w:p>
    <w:p w14:paraId="6CF77965" w14:textId="77777777" w:rsidR="009C2ADD" w:rsidRDefault="009C2ADD" w:rsidP="009C2ADD">
      <w:pPr>
        <w:rPr>
          <w:sz w:val="24"/>
          <w:szCs w:val="24"/>
        </w:rPr>
      </w:pPr>
    </w:p>
    <w:p w14:paraId="6CF8FF8A" w14:textId="77777777" w:rsidR="009C2ADD" w:rsidRDefault="009C2ADD" w:rsidP="009C2ADD">
      <w:pPr>
        <w:rPr>
          <w:sz w:val="24"/>
          <w:szCs w:val="24"/>
        </w:rPr>
      </w:pPr>
      <w:r>
        <w:rPr>
          <w:sz w:val="24"/>
          <w:szCs w:val="24"/>
        </w:rPr>
        <w:t xml:space="preserve">Horvath, M. and Brown, J. (2013) </w:t>
      </w:r>
      <w:r>
        <w:rPr>
          <w:i/>
          <w:iCs/>
          <w:sz w:val="24"/>
          <w:szCs w:val="24"/>
        </w:rPr>
        <w:t xml:space="preserve">Rape: Challenging Contemporary Thinking. </w:t>
      </w:r>
      <w:r>
        <w:rPr>
          <w:sz w:val="24"/>
          <w:szCs w:val="24"/>
        </w:rPr>
        <w:t xml:space="preserve">London: Routledge. </w:t>
      </w:r>
    </w:p>
    <w:p w14:paraId="2770480C" w14:textId="77777777" w:rsidR="009C2ADD" w:rsidRDefault="009C2ADD" w:rsidP="009C2ADD">
      <w:pPr>
        <w:rPr>
          <w:sz w:val="24"/>
          <w:szCs w:val="24"/>
        </w:rPr>
      </w:pPr>
    </w:p>
    <w:p w14:paraId="1988B207" w14:textId="77777777" w:rsidR="009C2ADD" w:rsidRPr="00BF24E9" w:rsidRDefault="009C2ADD" w:rsidP="009C2ADD">
      <w:pPr>
        <w:rPr>
          <w:sz w:val="24"/>
          <w:szCs w:val="24"/>
        </w:rPr>
      </w:pPr>
      <w:r>
        <w:rPr>
          <w:sz w:val="24"/>
          <w:szCs w:val="24"/>
        </w:rPr>
        <w:t xml:space="preserve">Jones, H. and Cook, K. (2008) </w:t>
      </w:r>
      <w:r>
        <w:rPr>
          <w:i/>
          <w:iCs/>
          <w:sz w:val="24"/>
          <w:szCs w:val="24"/>
        </w:rPr>
        <w:t xml:space="preserve">Rape crisis: responding to sexual violence. </w:t>
      </w:r>
      <w:r>
        <w:rPr>
          <w:sz w:val="24"/>
          <w:szCs w:val="24"/>
        </w:rPr>
        <w:t xml:space="preserve">Lyme Regis: Russell House Publishing. </w:t>
      </w:r>
    </w:p>
    <w:p w14:paraId="2C227CD4" w14:textId="77777777" w:rsidR="009C2ADD" w:rsidRDefault="009C2ADD" w:rsidP="009C2ADD">
      <w:pPr>
        <w:rPr>
          <w:sz w:val="24"/>
          <w:szCs w:val="24"/>
        </w:rPr>
      </w:pPr>
    </w:p>
    <w:p w14:paraId="421B9307" w14:textId="77777777" w:rsidR="009C2ADD" w:rsidRDefault="009C2ADD" w:rsidP="009C2ADD">
      <w:pPr>
        <w:rPr>
          <w:sz w:val="24"/>
          <w:szCs w:val="24"/>
        </w:rPr>
      </w:pPr>
      <w:r>
        <w:rPr>
          <w:sz w:val="24"/>
          <w:szCs w:val="24"/>
        </w:rPr>
        <w:t xml:space="preserve">King, L. and Bostaph, L. (2023) ‘“That is Not Behavior Consistent With a Rape Victim”: The Effects of Officer Displays of Doubt on Sexual Assault Case Processing and Victim Participation’, </w:t>
      </w:r>
      <w:r>
        <w:rPr>
          <w:i/>
          <w:iCs/>
          <w:sz w:val="24"/>
          <w:szCs w:val="24"/>
        </w:rPr>
        <w:t xml:space="preserve">Journal of interpersonal violence, </w:t>
      </w:r>
      <w:r>
        <w:rPr>
          <w:sz w:val="24"/>
          <w:szCs w:val="24"/>
        </w:rPr>
        <w:t xml:space="preserve">39(5-6), pp. 973-995. DOI: 10.1177/08862605231200252. </w:t>
      </w:r>
    </w:p>
    <w:p w14:paraId="3BF4C959" w14:textId="77777777" w:rsidR="009B2C8F" w:rsidRDefault="009B2C8F" w:rsidP="009C2ADD">
      <w:pPr>
        <w:rPr>
          <w:sz w:val="24"/>
          <w:szCs w:val="24"/>
        </w:rPr>
      </w:pPr>
    </w:p>
    <w:p w14:paraId="55486BB1" w14:textId="4942F800" w:rsidR="001028CE" w:rsidRPr="001028CE" w:rsidRDefault="009B2C8F" w:rsidP="009C2ADD">
      <w:pPr>
        <w:rPr>
          <w:sz w:val="24"/>
          <w:szCs w:val="24"/>
        </w:rPr>
      </w:pPr>
      <w:r>
        <w:rPr>
          <w:sz w:val="24"/>
          <w:szCs w:val="24"/>
        </w:rPr>
        <w:t>Leese, M. and Ru</w:t>
      </w:r>
      <w:r w:rsidR="001028CE">
        <w:rPr>
          <w:sz w:val="24"/>
          <w:szCs w:val="24"/>
        </w:rPr>
        <w:t xml:space="preserve">ssell, S. (2017) ‘Mental health, vulnerability and risk in police custody’, </w:t>
      </w:r>
      <w:r w:rsidR="001028CE">
        <w:rPr>
          <w:i/>
          <w:iCs/>
          <w:sz w:val="24"/>
          <w:szCs w:val="24"/>
        </w:rPr>
        <w:t>The Journal of Adult Protection</w:t>
      </w:r>
      <w:r w:rsidR="001028CE">
        <w:rPr>
          <w:sz w:val="24"/>
          <w:szCs w:val="24"/>
        </w:rPr>
        <w:t xml:space="preserve">, 19(5), pp, 274-328. DOI: 10.1108/JAP-03-2017-0006. </w:t>
      </w:r>
    </w:p>
    <w:p w14:paraId="36E44E5B" w14:textId="77777777" w:rsidR="009C2ADD" w:rsidRDefault="009C2ADD" w:rsidP="009C2ADD">
      <w:pPr>
        <w:rPr>
          <w:sz w:val="24"/>
          <w:szCs w:val="24"/>
        </w:rPr>
      </w:pPr>
    </w:p>
    <w:p w14:paraId="256BB7C6" w14:textId="50CB6BC8" w:rsidR="00712D55" w:rsidRDefault="009C2ADD" w:rsidP="009C2ADD">
      <w:pPr>
        <w:rPr>
          <w:sz w:val="24"/>
          <w:szCs w:val="24"/>
        </w:rPr>
      </w:pPr>
      <w:r>
        <w:rPr>
          <w:sz w:val="24"/>
          <w:szCs w:val="24"/>
        </w:rPr>
        <w:t xml:space="preserve">Leggett, Z. (2016) ‘The process for ABE interviews and Re W Applications in child sexual abuse cases’, </w:t>
      </w:r>
      <w:r>
        <w:rPr>
          <w:i/>
          <w:iCs/>
          <w:sz w:val="24"/>
          <w:szCs w:val="24"/>
        </w:rPr>
        <w:t xml:space="preserve">Journal of criminal law, </w:t>
      </w:r>
      <w:r>
        <w:rPr>
          <w:sz w:val="24"/>
          <w:szCs w:val="24"/>
        </w:rPr>
        <w:t xml:space="preserve">80(5), pp. 285-290. DOI: 10.1177/0022018316667116. </w:t>
      </w:r>
    </w:p>
    <w:p w14:paraId="3BE80966" w14:textId="77777777" w:rsidR="009C2ADD" w:rsidRDefault="009C2ADD" w:rsidP="009C2ADD">
      <w:pPr>
        <w:rPr>
          <w:sz w:val="24"/>
          <w:szCs w:val="24"/>
        </w:rPr>
      </w:pPr>
    </w:p>
    <w:p w14:paraId="4FBD614D" w14:textId="77777777" w:rsidR="009C2ADD" w:rsidRPr="001255D0" w:rsidRDefault="009C2ADD" w:rsidP="009C2ADD">
      <w:pPr>
        <w:rPr>
          <w:rFonts w:ascii="Source Sans Pro" w:hAnsi="Source Sans Pro"/>
          <w:color w:val="3A3A3A"/>
          <w:sz w:val="23"/>
          <w:szCs w:val="23"/>
          <w:shd w:val="clear" w:color="auto" w:fill="FFFFFF"/>
        </w:rPr>
      </w:pPr>
      <w:r>
        <w:rPr>
          <w:sz w:val="24"/>
          <w:szCs w:val="24"/>
        </w:rPr>
        <w:t xml:space="preserve">Majeed-Ariss, R. et al. (2019) ‘‘Could do better’: Report on the use of special measures in sexual offences cases’, </w:t>
      </w:r>
      <w:r>
        <w:rPr>
          <w:i/>
          <w:iCs/>
          <w:sz w:val="24"/>
          <w:szCs w:val="24"/>
        </w:rPr>
        <w:t xml:space="preserve">Criminology &amp; Criminal Justice, </w:t>
      </w:r>
      <w:r>
        <w:rPr>
          <w:sz w:val="24"/>
          <w:szCs w:val="24"/>
        </w:rPr>
        <w:t xml:space="preserve">21(1), pp. 89-106. DOI: 10.1177/1748895819840396. </w:t>
      </w:r>
    </w:p>
    <w:p w14:paraId="2F4A993F" w14:textId="77777777" w:rsidR="009C2ADD" w:rsidRDefault="009C2ADD" w:rsidP="009C2ADD">
      <w:pPr>
        <w:rPr>
          <w:sz w:val="24"/>
          <w:szCs w:val="24"/>
        </w:rPr>
      </w:pPr>
    </w:p>
    <w:p w14:paraId="5BE5CA4B" w14:textId="77777777" w:rsidR="009C2ADD" w:rsidRDefault="009C2ADD" w:rsidP="009C2ADD">
      <w:pPr>
        <w:rPr>
          <w:sz w:val="24"/>
          <w:szCs w:val="24"/>
        </w:rPr>
      </w:pPr>
      <w:r w:rsidRPr="00D932A7">
        <w:rPr>
          <w:sz w:val="24"/>
          <w:szCs w:val="24"/>
        </w:rPr>
        <w:t xml:space="preserve">Ministry of Justice (2022) </w:t>
      </w:r>
      <w:r w:rsidRPr="00D932A7">
        <w:rPr>
          <w:i/>
          <w:iCs/>
          <w:sz w:val="24"/>
          <w:szCs w:val="24"/>
        </w:rPr>
        <w:t xml:space="preserve">Achieving Best Evidence in Criminal Proceedings: Guidance on Interviewing Victims and Witnesses, and Guidance on Using Special Measures. </w:t>
      </w:r>
      <w:r w:rsidRPr="00D932A7">
        <w:rPr>
          <w:sz w:val="24"/>
          <w:szCs w:val="24"/>
        </w:rPr>
        <w:t xml:space="preserve">Available at: https://assets.publishing.service.gov.uk/media/6492e26c103ca6001303a331/achieving-best-evidence-criminal-proceedings-2023.pdf (Accessed: 5th March 2024). </w:t>
      </w:r>
    </w:p>
    <w:p w14:paraId="198E993B" w14:textId="77777777" w:rsidR="009C2ADD" w:rsidRDefault="009C2ADD" w:rsidP="009C2ADD">
      <w:pPr>
        <w:rPr>
          <w:sz w:val="24"/>
          <w:szCs w:val="24"/>
        </w:rPr>
      </w:pPr>
    </w:p>
    <w:p w14:paraId="0E993B30" w14:textId="77777777" w:rsidR="009C2ADD" w:rsidRDefault="009C2ADD" w:rsidP="009C2ADD">
      <w:pPr>
        <w:rPr>
          <w:sz w:val="24"/>
          <w:szCs w:val="24"/>
        </w:rPr>
      </w:pPr>
      <w:r>
        <w:rPr>
          <w:sz w:val="24"/>
          <w:szCs w:val="24"/>
        </w:rPr>
        <w:t xml:space="preserve">Murphy-Oikonen, J. et al. (2022) ‘Police officer perspectives on the challenging of investigating sexual assault’, </w:t>
      </w:r>
      <w:r>
        <w:rPr>
          <w:i/>
          <w:iCs/>
          <w:sz w:val="24"/>
          <w:szCs w:val="24"/>
        </w:rPr>
        <w:t xml:space="preserve">Police practice &amp; research, </w:t>
      </w:r>
      <w:r>
        <w:rPr>
          <w:sz w:val="24"/>
          <w:szCs w:val="24"/>
        </w:rPr>
        <w:t xml:space="preserve">24(6), pp. 677-693. DOI: 10.1080/15614263.2022.2154210. </w:t>
      </w:r>
    </w:p>
    <w:p w14:paraId="098A3BDD" w14:textId="77777777" w:rsidR="00245153" w:rsidRDefault="00245153" w:rsidP="009C2ADD">
      <w:pPr>
        <w:rPr>
          <w:sz w:val="24"/>
          <w:szCs w:val="24"/>
        </w:rPr>
      </w:pPr>
    </w:p>
    <w:p w14:paraId="421D57C0" w14:textId="7ABC368A" w:rsidR="0089759B" w:rsidRDefault="00245153" w:rsidP="009C2ADD">
      <w:pPr>
        <w:rPr>
          <w:sz w:val="24"/>
          <w:szCs w:val="24"/>
        </w:rPr>
      </w:pPr>
      <w:r w:rsidRPr="005729D5">
        <w:rPr>
          <w:sz w:val="24"/>
          <w:szCs w:val="24"/>
        </w:rPr>
        <w:t xml:space="preserve">New Pathways (2024) </w:t>
      </w:r>
      <w:r w:rsidRPr="005729D5">
        <w:rPr>
          <w:i/>
          <w:iCs/>
          <w:sz w:val="24"/>
          <w:szCs w:val="24"/>
        </w:rPr>
        <w:t xml:space="preserve">New Pathways Rape crisis and sexual abuse support services. </w:t>
      </w:r>
      <w:r w:rsidRPr="005729D5">
        <w:rPr>
          <w:sz w:val="24"/>
          <w:szCs w:val="24"/>
        </w:rPr>
        <w:t xml:space="preserve">Available at: https://www.newpathways.org.uk/ (Accessed: 4th April 2024). </w:t>
      </w:r>
    </w:p>
    <w:p w14:paraId="649AC242" w14:textId="77777777" w:rsidR="00495709" w:rsidRDefault="00495709" w:rsidP="009C2ADD">
      <w:pPr>
        <w:rPr>
          <w:sz w:val="24"/>
          <w:szCs w:val="24"/>
        </w:rPr>
      </w:pPr>
    </w:p>
    <w:p w14:paraId="523E5BCF" w14:textId="6717ECB6" w:rsidR="00495709" w:rsidRPr="00495709" w:rsidRDefault="00495709" w:rsidP="009C2ADD">
      <w:pPr>
        <w:rPr>
          <w:sz w:val="24"/>
          <w:szCs w:val="24"/>
        </w:rPr>
      </w:pPr>
      <w:r>
        <w:rPr>
          <w:sz w:val="24"/>
          <w:szCs w:val="24"/>
        </w:rPr>
        <w:t xml:space="preserve">O’Neill, M. (2015) ‘The Case for the Acceptable ‘Other’: The Impact of Partnerships, PCSOs, and Neighbourhood Policing on Diversity in Policing’, </w:t>
      </w:r>
      <w:r>
        <w:rPr>
          <w:i/>
          <w:iCs/>
          <w:sz w:val="24"/>
          <w:szCs w:val="24"/>
        </w:rPr>
        <w:t xml:space="preserve">Policing: a journal of policy and practice, </w:t>
      </w:r>
      <w:r>
        <w:rPr>
          <w:sz w:val="24"/>
          <w:szCs w:val="24"/>
        </w:rPr>
        <w:t xml:space="preserve">9(1), pp. 77-88. DOI: 10.1093/police/pau026. </w:t>
      </w:r>
    </w:p>
    <w:p w14:paraId="11AEB257" w14:textId="77777777" w:rsidR="0089759B" w:rsidRDefault="0089759B" w:rsidP="009C2ADD">
      <w:pPr>
        <w:rPr>
          <w:sz w:val="24"/>
          <w:szCs w:val="24"/>
        </w:rPr>
      </w:pPr>
    </w:p>
    <w:p w14:paraId="7005770C" w14:textId="229C3A1A" w:rsidR="0089759B" w:rsidRDefault="0089759B" w:rsidP="009C2ADD">
      <w:pPr>
        <w:rPr>
          <w:sz w:val="24"/>
          <w:szCs w:val="24"/>
        </w:rPr>
      </w:pPr>
      <w:r w:rsidRPr="0089759B">
        <w:rPr>
          <w:sz w:val="24"/>
          <w:szCs w:val="24"/>
        </w:rPr>
        <w:t xml:space="preserve">Public Order Act 1986, s. 4A. Available at: https://www.legislation.gov.uk/ukpga/1986/64/section/4A (Accessed: 4th April 2024). </w:t>
      </w:r>
    </w:p>
    <w:p w14:paraId="5D705CE0" w14:textId="77777777" w:rsidR="0017516E" w:rsidRDefault="0017516E" w:rsidP="009C2ADD">
      <w:pPr>
        <w:rPr>
          <w:sz w:val="24"/>
          <w:szCs w:val="24"/>
        </w:rPr>
      </w:pPr>
    </w:p>
    <w:p w14:paraId="6BB98174" w14:textId="46A82C03" w:rsidR="0061062A" w:rsidRPr="0017516E" w:rsidRDefault="0017516E" w:rsidP="009C2ADD">
      <w:pPr>
        <w:rPr>
          <w:sz w:val="24"/>
          <w:szCs w:val="24"/>
        </w:rPr>
      </w:pPr>
      <w:r>
        <w:rPr>
          <w:sz w:val="24"/>
          <w:szCs w:val="24"/>
        </w:rPr>
        <w:t xml:space="preserve">Salway, S. et al. (2020) ‘Reducing loneliness among migrant and ethnic minority people: a participatory evidence synthesis’, </w:t>
      </w:r>
      <w:r>
        <w:rPr>
          <w:i/>
          <w:iCs/>
          <w:sz w:val="24"/>
          <w:szCs w:val="24"/>
        </w:rPr>
        <w:t>Public Health Research</w:t>
      </w:r>
      <w:r>
        <w:rPr>
          <w:sz w:val="24"/>
          <w:szCs w:val="24"/>
        </w:rPr>
        <w:t>, 8(10)</w:t>
      </w:r>
      <w:r w:rsidR="009B2C8F">
        <w:rPr>
          <w:sz w:val="24"/>
          <w:szCs w:val="24"/>
        </w:rPr>
        <w:t>, pp. 1-246</w:t>
      </w:r>
      <w:r w:rsidR="00CE06A3">
        <w:rPr>
          <w:sz w:val="24"/>
          <w:szCs w:val="24"/>
        </w:rPr>
        <w:t>. DOI: 10.3310/phr08100.</w:t>
      </w:r>
    </w:p>
    <w:p w14:paraId="2780503E" w14:textId="77777777" w:rsidR="009C2ADD" w:rsidRPr="0071696E" w:rsidRDefault="009C2ADD" w:rsidP="009C2ADD">
      <w:pPr>
        <w:rPr>
          <w:sz w:val="24"/>
          <w:szCs w:val="24"/>
        </w:rPr>
      </w:pPr>
    </w:p>
    <w:p w14:paraId="00933005" w14:textId="77777777" w:rsidR="009C2ADD" w:rsidRPr="0071696E" w:rsidRDefault="009C2ADD" w:rsidP="009C2ADD">
      <w:pPr>
        <w:rPr>
          <w:sz w:val="24"/>
          <w:szCs w:val="24"/>
        </w:rPr>
      </w:pPr>
      <w:r w:rsidRPr="0071696E">
        <w:rPr>
          <w:sz w:val="24"/>
          <w:szCs w:val="24"/>
        </w:rPr>
        <w:t xml:space="preserve">Sexual Offences Act 2003, s. 2. Available at: https://www.legislation.gov.uk/ukpga/2003/42/section/2 (Accessed: 5th March 2024). </w:t>
      </w:r>
    </w:p>
    <w:p w14:paraId="29A5ECF6" w14:textId="77777777" w:rsidR="009C2ADD" w:rsidRDefault="009C2ADD" w:rsidP="009C2ADD">
      <w:pPr>
        <w:rPr>
          <w:sz w:val="24"/>
          <w:szCs w:val="24"/>
        </w:rPr>
      </w:pPr>
    </w:p>
    <w:p w14:paraId="5D80553C" w14:textId="77777777" w:rsidR="009C2ADD" w:rsidRDefault="009C2ADD" w:rsidP="009C2ADD">
      <w:pPr>
        <w:rPr>
          <w:sz w:val="24"/>
          <w:szCs w:val="24"/>
        </w:rPr>
      </w:pPr>
      <w:r w:rsidRPr="00020E1B">
        <w:rPr>
          <w:sz w:val="24"/>
          <w:szCs w:val="24"/>
        </w:rPr>
        <w:t xml:space="preserve">Sexual Offences Act 2003, s. 3. Available at: https://www.legislation.gov.uk/ukpga/2003/42/section/3 (Accessed: 24th January 2024). </w:t>
      </w:r>
    </w:p>
    <w:p w14:paraId="5E66690C" w14:textId="77777777" w:rsidR="0061062A" w:rsidRDefault="0061062A" w:rsidP="009C2ADD">
      <w:pPr>
        <w:rPr>
          <w:sz w:val="24"/>
          <w:szCs w:val="24"/>
        </w:rPr>
      </w:pPr>
    </w:p>
    <w:p w14:paraId="0BED52E6" w14:textId="5240D714" w:rsidR="0061062A" w:rsidRPr="0061062A" w:rsidRDefault="0061062A" w:rsidP="009C2ADD">
      <w:pPr>
        <w:rPr>
          <w:sz w:val="24"/>
          <w:szCs w:val="24"/>
        </w:rPr>
      </w:pPr>
      <w:r>
        <w:rPr>
          <w:sz w:val="24"/>
          <w:szCs w:val="24"/>
        </w:rPr>
        <w:t xml:space="preserve">Shorrok, S., McManus, M. A. and Kirby, S. (2020) ‘Profile of repeat victimisation within multi-agency referrals’, </w:t>
      </w:r>
      <w:r>
        <w:rPr>
          <w:i/>
          <w:iCs/>
          <w:sz w:val="24"/>
          <w:szCs w:val="24"/>
        </w:rPr>
        <w:t xml:space="preserve">International Review of Victimology, </w:t>
      </w:r>
      <w:r>
        <w:rPr>
          <w:sz w:val="24"/>
          <w:szCs w:val="24"/>
        </w:rPr>
        <w:t xml:space="preserve">26(3), pp. </w:t>
      </w:r>
      <w:r w:rsidR="00EF04A5">
        <w:rPr>
          <w:sz w:val="24"/>
          <w:szCs w:val="24"/>
        </w:rPr>
        <w:t xml:space="preserve">332-343. DOI: 10.1177/0269758020902890. </w:t>
      </w:r>
    </w:p>
    <w:p w14:paraId="2D5FB08B" w14:textId="77777777" w:rsidR="0061062A" w:rsidRDefault="0061062A" w:rsidP="009C2ADD">
      <w:pPr>
        <w:rPr>
          <w:sz w:val="24"/>
          <w:szCs w:val="24"/>
        </w:rPr>
      </w:pPr>
    </w:p>
    <w:p w14:paraId="6CC2EE75" w14:textId="1749D040" w:rsidR="001028CE" w:rsidRDefault="001028CE" w:rsidP="009C2ADD">
      <w:pPr>
        <w:rPr>
          <w:sz w:val="24"/>
          <w:szCs w:val="24"/>
        </w:rPr>
      </w:pPr>
      <w:r>
        <w:rPr>
          <w:sz w:val="24"/>
          <w:szCs w:val="24"/>
        </w:rPr>
        <w:t xml:space="preserve">Stanley, N. et al. (2011) ‘Children’s experiences of domestic violence: Developing an integrated response from police and child protection Services’, </w:t>
      </w:r>
      <w:r>
        <w:rPr>
          <w:i/>
          <w:iCs/>
          <w:sz w:val="24"/>
          <w:szCs w:val="24"/>
        </w:rPr>
        <w:t xml:space="preserve">Journal of Interpersonal Violence, </w:t>
      </w:r>
      <w:r>
        <w:rPr>
          <w:sz w:val="24"/>
          <w:szCs w:val="24"/>
        </w:rPr>
        <w:t xml:space="preserve">26(11), pp. 2372-2391. DOI: 10.1177/0886260510383030. </w:t>
      </w:r>
    </w:p>
    <w:p w14:paraId="1253C375" w14:textId="77777777" w:rsidR="003C002B" w:rsidRDefault="003C002B" w:rsidP="009C2ADD">
      <w:pPr>
        <w:rPr>
          <w:sz w:val="24"/>
          <w:szCs w:val="24"/>
        </w:rPr>
      </w:pPr>
    </w:p>
    <w:p w14:paraId="2C4B9A98" w14:textId="01641286" w:rsidR="003C002B" w:rsidRPr="003C002B" w:rsidRDefault="003C002B" w:rsidP="009C2ADD">
      <w:pPr>
        <w:rPr>
          <w:sz w:val="24"/>
          <w:szCs w:val="24"/>
        </w:rPr>
      </w:pPr>
      <w:r>
        <w:rPr>
          <w:sz w:val="24"/>
          <w:szCs w:val="24"/>
        </w:rPr>
        <w:t xml:space="preserve">Williams, M. L. and Tregidga, J. (2014) ‘Hate Crime Victimization in Wales: Psychological and Physical Impacts Across Seven Hate Crime Victim Types’, </w:t>
      </w:r>
      <w:r>
        <w:rPr>
          <w:i/>
          <w:iCs/>
          <w:sz w:val="24"/>
          <w:szCs w:val="24"/>
        </w:rPr>
        <w:t xml:space="preserve">The British Journal of Criminology, </w:t>
      </w:r>
      <w:r>
        <w:rPr>
          <w:sz w:val="24"/>
          <w:szCs w:val="24"/>
        </w:rPr>
        <w:t xml:space="preserve">54(5), pp. 946-967. DOI: 10.1093/bjc/azu043. </w:t>
      </w:r>
    </w:p>
    <w:p w14:paraId="008DA432" w14:textId="77777777" w:rsidR="00690E21" w:rsidRDefault="00690E21" w:rsidP="009C2ADD">
      <w:pPr>
        <w:rPr>
          <w:sz w:val="24"/>
          <w:szCs w:val="24"/>
        </w:rPr>
      </w:pPr>
    </w:p>
    <w:p w14:paraId="4C504A2B" w14:textId="632714C1" w:rsidR="00690E21" w:rsidRPr="00FB176A" w:rsidRDefault="00690E21" w:rsidP="009C2ADD">
      <w:pPr>
        <w:rPr>
          <w:sz w:val="24"/>
          <w:szCs w:val="24"/>
        </w:rPr>
      </w:pPr>
      <w:r>
        <w:rPr>
          <w:sz w:val="24"/>
          <w:szCs w:val="24"/>
        </w:rPr>
        <w:t xml:space="preserve">Williamson, H. (2009) ‘Integrated or targeted youth support services: an essay on ‘prevention’’, </w:t>
      </w:r>
      <w:r w:rsidR="00FB176A">
        <w:rPr>
          <w:sz w:val="24"/>
          <w:szCs w:val="24"/>
        </w:rPr>
        <w:t xml:space="preserve">in Blyth, M. and Solomon, E. (ed. 1) </w:t>
      </w:r>
      <w:r w:rsidR="00FB176A">
        <w:rPr>
          <w:i/>
          <w:iCs/>
          <w:sz w:val="24"/>
          <w:szCs w:val="24"/>
        </w:rPr>
        <w:t xml:space="preserve">Prevention and youth crime: Is early intervention working? </w:t>
      </w:r>
      <w:r w:rsidR="00FB176A">
        <w:rPr>
          <w:sz w:val="24"/>
          <w:szCs w:val="24"/>
        </w:rPr>
        <w:t xml:space="preserve">Bristol: Policy Press. </w:t>
      </w:r>
    </w:p>
    <w:p w14:paraId="1F52C929" w14:textId="77777777" w:rsidR="009C2ADD" w:rsidRDefault="009C2ADD" w:rsidP="009C2ADD">
      <w:pPr>
        <w:rPr>
          <w:sz w:val="24"/>
          <w:szCs w:val="24"/>
        </w:rPr>
      </w:pPr>
    </w:p>
    <w:p w14:paraId="45FBEA55" w14:textId="77777777" w:rsidR="009C2ADD" w:rsidRDefault="009C2ADD" w:rsidP="009C2ADD">
      <w:pPr>
        <w:rPr>
          <w:sz w:val="24"/>
          <w:szCs w:val="24"/>
        </w:rPr>
      </w:pPr>
      <w:r>
        <w:rPr>
          <w:sz w:val="24"/>
          <w:szCs w:val="24"/>
        </w:rPr>
        <w:t xml:space="preserve">Wood, D. et al. (2021) </w:t>
      </w:r>
      <w:r>
        <w:rPr>
          <w:i/>
          <w:iCs/>
          <w:sz w:val="24"/>
          <w:szCs w:val="24"/>
        </w:rPr>
        <w:t xml:space="preserve">Blackstone’s Handbook for Policing Students. </w:t>
      </w:r>
      <w:r>
        <w:rPr>
          <w:sz w:val="24"/>
          <w:szCs w:val="24"/>
        </w:rPr>
        <w:t xml:space="preserve">16th ed. Oxford: Oxford University Press. </w:t>
      </w:r>
    </w:p>
    <w:p w14:paraId="6C59A0CF" w14:textId="77777777" w:rsidR="009C2ADD" w:rsidRPr="008328DF" w:rsidRDefault="009C2ADD" w:rsidP="009C2ADD">
      <w:pPr>
        <w:rPr>
          <w:sz w:val="24"/>
          <w:szCs w:val="24"/>
        </w:rPr>
      </w:pPr>
    </w:p>
    <w:p w14:paraId="457B0E8C" w14:textId="77777777" w:rsidR="009C2ADD" w:rsidRPr="008328DF" w:rsidRDefault="009C2ADD" w:rsidP="009C2ADD">
      <w:pPr>
        <w:rPr>
          <w:sz w:val="24"/>
          <w:szCs w:val="24"/>
        </w:rPr>
      </w:pPr>
      <w:r w:rsidRPr="008328DF">
        <w:rPr>
          <w:sz w:val="24"/>
          <w:szCs w:val="24"/>
        </w:rPr>
        <w:t xml:space="preserve">Youth Justice and Criminal Evidence Act 1999, s. 17(4)(a). Available at: https://www.legislation.gov.uk/ukpga/1999/23/section/17 (Accessed: 5th March 2024). </w:t>
      </w:r>
    </w:p>
    <w:p w14:paraId="1CE9F9B0" w14:textId="77777777" w:rsidR="009C2ADD" w:rsidRPr="008328DF" w:rsidRDefault="009C2ADD" w:rsidP="009C2ADD">
      <w:pPr>
        <w:rPr>
          <w:sz w:val="24"/>
          <w:szCs w:val="24"/>
        </w:rPr>
      </w:pPr>
    </w:p>
    <w:p w14:paraId="4B1E3082" w14:textId="330E2AE7" w:rsidR="009C2ADD" w:rsidRPr="00FB176A" w:rsidRDefault="009C2ADD" w:rsidP="00FB176A">
      <w:pPr>
        <w:rPr>
          <w:sz w:val="24"/>
          <w:szCs w:val="24"/>
        </w:rPr>
      </w:pPr>
      <w:r w:rsidRPr="008328DF">
        <w:rPr>
          <w:sz w:val="24"/>
          <w:szCs w:val="24"/>
        </w:rPr>
        <w:t xml:space="preserve">Youth Justice and Criminal Evidence Act 1999, s 18. Available at: https://www.legislation.gov.uk/ukpga/1999/23/section/18 (Accessed: 5th March 2024). </w:t>
      </w:r>
    </w:p>
    <w:sectPr w:rsidR="009C2ADD" w:rsidRPr="00FB176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C61907" w14:textId="77777777" w:rsidR="006E6D13" w:rsidRDefault="006E6D13">
      <w:r>
        <w:separator/>
      </w:r>
    </w:p>
  </w:endnote>
  <w:endnote w:type="continuationSeparator" w:id="0">
    <w:p w14:paraId="788608A5" w14:textId="77777777" w:rsidR="006E6D13" w:rsidRDefault="006E6D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50F88A" w14:textId="77777777" w:rsidR="006E6D13" w:rsidRDefault="006E6D13">
      <w:r>
        <w:separator/>
      </w:r>
    </w:p>
  </w:footnote>
  <w:footnote w:type="continuationSeparator" w:id="0">
    <w:p w14:paraId="7745976B" w14:textId="77777777" w:rsidR="006E6D13" w:rsidRDefault="006E6D13">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4027537"/>
    <w:multiLevelType w:val="hybridMultilevel"/>
    <w:tmpl w:val="9B0A3590"/>
    <w:lvl w:ilvl="0" w:tplc="F9025D3E">
      <w:start w:val="2000"/>
      <w:numFmt w:val="bullet"/>
      <w:lvlText w:val="-"/>
      <w:lvlJc w:val="left"/>
      <w:pPr>
        <w:ind w:left="720" w:hanging="360"/>
      </w:pPr>
      <w:rPr>
        <w:rFonts w:ascii="Arial" w:eastAsia="Arial"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0F266D"/>
    <w:multiLevelType w:val="hybridMultilevel"/>
    <w:tmpl w:val="335CBD6A"/>
    <w:lvl w:ilvl="0" w:tplc="2C0C1F3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CF67F4"/>
    <w:multiLevelType w:val="hybridMultilevel"/>
    <w:tmpl w:val="8BBA0AC0"/>
    <w:lvl w:ilvl="0" w:tplc="A50425EE">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EB181C"/>
    <w:multiLevelType w:val="hybridMultilevel"/>
    <w:tmpl w:val="D38A166A"/>
    <w:lvl w:ilvl="0" w:tplc="A3C087EC">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992A21"/>
    <w:multiLevelType w:val="hybridMultilevel"/>
    <w:tmpl w:val="C39E3FA4"/>
    <w:lvl w:ilvl="0" w:tplc="5BE26D04">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9"/>
  </w:num>
  <w:num w:numId="2" w16cid:durableId="1470124959">
    <w:abstractNumId w:val="0"/>
    <w:lvlOverride w:ilvl="0">
      <w:lvl w:ilvl="0">
        <w:start w:val="1"/>
        <w:numFmt w:val="bullet"/>
        <w:lvlText w:val=""/>
        <w:lvlJc w:val="left"/>
        <w:pPr>
          <w:ind w:left="720" w:hanging="360"/>
        </w:pPr>
        <w:rPr>
          <w:rFonts w:ascii="Symbol" w:hAnsi="Symbol" w:hint="default"/>
        </w:rPr>
      </w:lvl>
    </w:lvlOverride>
  </w:num>
  <w:num w:numId="3" w16cid:durableId="688720080">
    <w:abstractNumId w:val="4"/>
  </w:num>
  <w:num w:numId="4" w16cid:durableId="797259064">
    <w:abstractNumId w:val="8"/>
  </w:num>
  <w:num w:numId="5" w16cid:durableId="1722634903">
    <w:abstractNumId w:val="7"/>
  </w:num>
  <w:num w:numId="6" w16cid:durableId="339695764">
    <w:abstractNumId w:val="10"/>
  </w:num>
  <w:num w:numId="7" w16cid:durableId="1790010642">
    <w:abstractNumId w:val="6"/>
  </w:num>
  <w:num w:numId="8" w16cid:durableId="573248378">
    <w:abstractNumId w:val="5"/>
  </w:num>
  <w:num w:numId="9" w16cid:durableId="747386382">
    <w:abstractNumId w:val="1"/>
  </w:num>
  <w:num w:numId="10" w16cid:durableId="1753046394">
    <w:abstractNumId w:val="3"/>
  </w:num>
  <w:num w:numId="11" w16cid:durableId="1741633689">
    <w:abstractNumId w:val="2"/>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494"/>
    <w:rsid w:val="00003990"/>
    <w:rsid w:val="000045B8"/>
    <w:rsid w:val="00013B54"/>
    <w:rsid w:val="00020D5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30F9"/>
    <w:rsid w:val="0006580E"/>
    <w:rsid w:val="0007025E"/>
    <w:rsid w:val="00080A06"/>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7B89"/>
    <w:rsid w:val="000B1E96"/>
    <w:rsid w:val="000C0357"/>
    <w:rsid w:val="000C378F"/>
    <w:rsid w:val="000C6892"/>
    <w:rsid w:val="000C6FFE"/>
    <w:rsid w:val="000D0BB6"/>
    <w:rsid w:val="000D25D4"/>
    <w:rsid w:val="000E0805"/>
    <w:rsid w:val="000E26B0"/>
    <w:rsid w:val="000F1599"/>
    <w:rsid w:val="000F1769"/>
    <w:rsid w:val="000F1F77"/>
    <w:rsid w:val="000F6196"/>
    <w:rsid w:val="000F7ECD"/>
    <w:rsid w:val="001028CE"/>
    <w:rsid w:val="00102E64"/>
    <w:rsid w:val="0010312C"/>
    <w:rsid w:val="00106DC7"/>
    <w:rsid w:val="00107F59"/>
    <w:rsid w:val="00112391"/>
    <w:rsid w:val="00114F52"/>
    <w:rsid w:val="00117F43"/>
    <w:rsid w:val="0012135C"/>
    <w:rsid w:val="00124576"/>
    <w:rsid w:val="00130E83"/>
    <w:rsid w:val="001347F8"/>
    <w:rsid w:val="001378A7"/>
    <w:rsid w:val="00137BB5"/>
    <w:rsid w:val="00137E05"/>
    <w:rsid w:val="001447F6"/>
    <w:rsid w:val="00147DE3"/>
    <w:rsid w:val="00150794"/>
    <w:rsid w:val="001608C4"/>
    <w:rsid w:val="00171418"/>
    <w:rsid w:val="0017516E"/>
    <w:rsid w:val="00190913"/>
    <w:rsid w:val="001961CF"/>
    <w:rsid w:val="001A59BB"/>
    <w:rsid w:val="001A6A51"/>
    <w:rsid w:val="001A79C4"/>
    <w:rsid w:val="001B331A"/>
    <w:rsid w:val="001C0E74"/>
    <w:rsid w:val="001C376E"/>
    <w:rsid w:val="001C6CEC"/>
    <w:rsid w:val="001D229F"/>
    <w:rsid w:val="001D6162"/>
    <w:rsid w:val="001D7226"/>
    <w:rsid w:val="001D7A87"/>
    <w:rsid w:val="001E6FAD"/>
    <w:rsid w:val="001E7592"/>
    <w:rsid w:val="001F3878"/>
    <w:rsid w:val="001F4552"/>
    <w:rsid w:val="002019EB"/>
    <w:rsid w:val="002030F2"/>
    <w:rsid w:val="00205051"/>
    <w:rsid w:val="0021066D"/>
    <w:rsid w:val="00211F65"/>
    <w:rsid w:val="00213A97"/>
    <w:rsid w:val="00214940"/>
    <w:rsid w:val="0022001B"/>
    <w:rsid w:val="00220D06"/>
    <w:rsid w:val="002219BA"/>
    <w:rsid w:val="002246A0"/>
    <w:rsid w:val="00224AF9"/>
    <w:rsid w:val="00230439"/>
    <w:rsid w:val="00234705"/>
    <w:rsid w:val="00235176"/>
    <w:rsid w:val="00236061"/>
    <w:rsid w:val="0024100E"/>
    <w:rsid w:val="00241C1B"/>
    <w:rsid w:val="002423B2"/>
    <w:rsid w:val="0024288B"/>
    <w:rsid w:val="00245153"/>
    <w:rsid w:val="00245CBA"/>
    <w:rsid w:val="00255D8E"/>
    <w:rsid w:val="00263278"/>
    <w:rsid w:val="002657E9"/>
    <w:rsid w:val="0026665E"/>
    <w:rsid w:val="00270EEB"/>
    <w:rsid w:val="0027147E"/>
    <w:rsid w:val="00274DE8"/>
    <w:rsid w:val="00275D54"/>
    <w:rsid w:val="002761F4"/>
    <w:rsid w:val="002775E1"/>
    <w:rsid w:val="00277979"/>
    <w:rsid w:val="002808EB"/>
    <w:rsid w:val="0028095D"/>
    <w:rsid w:val="00284924"/>
    <w:rsid w:val="002855E7"/>
    <w:rsid w:val="002919E5"/>
    <w:rsid w:val="00291ADD"/>
    <w:rsid w:val="00294868"/>
    <w:rsid w:val="00295CA1"/>
    <w:rsid w:val="002A291A"/>
    <w:rsid w:val="002A5604"/>
    <w:rsid w:val="002B1701"/>
    <w:rsid w:val="002B23C3"/>
    <w:rsid w:val="002B443A"/>
    <w:rsid w:val="002B5B35"/>
    <w:rsid w:val="002C256A"/>
    <w:rsid w:val="002C496D"/>
    <w:rsid w:val="002C4F59"/>
    <w:rsid w:val="002D05EB"/>
    <w:rsid w:val="002D2F29"/>
    <w:rsid w:val="002D2FD3"/>
    <w:rsid w:val="002D7B45"/>
    <w:rsid w:val="002E7017"/>
    <w:rsid w:val="002F4F6E"/>
    <w:rsid w:val="003015C3"/>
    <w:rsid w:val="0030698D"/>
    <w:rsid w:val="0031350A"/>
    <w:rsid w:val="00313693"/>
    <w:rsid w:val="00316815"/>
    <w:rsid w:val="003168CA"/>
    <w:rsid w:val="00321255"/>
    <w:rsid w:val="0032230D"/>
    <w:rsid w:val="00322A0B"/>
    <w:rsid w:val="00332F54"/>
    <w:rsid w:val="00335FC5"/>
    <w:rsid w:val="00340E9A"/>
    <w:rsid w:val="003516C0"/>
    <w:rsid w:val="00352E59"/>
    <w:rsid w:val="00354DBE"/>
    <w:rsid w:val="00355210"/>
    <w:rsid w:val="003555D5"/>
    <w:rsid w:val="003606AD"/>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B7A15"/>
    <w:rsid w:val="003C002B"/>
    <w:rsid w:val="003C19F1"/>
    <w:rsid w:val="003C3E70"/>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9AF"/>
    <w:rsid w:val="00460ADB"/>
    <w:rsid w:val="00465947"/>
    <w:rsid w:val="004672C1"/>
    <w:rsid w:val="00470BB1"/>
    <w:rsid w:val="004718F7"/>
    <w:rsid w:val="00471ADA"/>
    <w:rsid w:val="00473153"/>
    <w:rsid w:val="004743AF"/>
    <w:rsid w:val="00482C17"/>
    <w:rsid w:val="004911B4"/>
    <w:rsid w:val="0049196A"/>
    <w:rsid w:val="004923DA"/>
    <w:rsid w:val="00493434"/>
    <w:rsid w:val="00495709"/>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61F"/>
    <w:rsid w:val="005076FE"/>
    <w:rsid w:val="00510D6A"/>
    <w:rsid w:val="00513C7D"/>
    <w:rsid w:val="005169D1"/>
    <w:rsid w:val="00521123"/>
    <w:rsid w:val="00521221"/>
    <w:rsid w:val="00527677"/>
    <w:rsid w:val="00536FA9"/>
    <w:rsid w:val="005414F4"/>
    <w:rsid w:val="00546187"/>
    <w:rsid w:val="005463F1"/>
    <w:rsid w:val="00550614"/>
    <w:rsid w:val="00557D77"/>
    <w:rsid w:val="00562EAA"/>
    <w:rsid w:val="00563B58"/>
    <w:rsid w:val="005640C4"/>
    <w:rsid w:val="0056417F"/>
    <w:rsid w:val="00564C53"/>
    <w:rsid w:val="00565C46"/>
    <w:rsid w:val="0056684C"/>
    <w:rsid w:val="005729D5"/>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31FB"/>
    <w:rsid w:val="005E53BD"/>
    <w:rsid w:val="005F2100"/>
    <w:rsid w:val="00606E27"/>
    <w:rsid w:val="0061062A"/>
    <w:rsid w:val="006108C9"/>
    <w:rsid w:val="00615C7E"/>
    <w:rsid w:val="0062158D"/>
    <w:rsid w:val="00630F39"/>
    <w:rsid w:val="006326D1"/>
    <w:rsid w:val="00632E0A"/>
    <w:rsid w:val="00633165"/>
    <w:rsid w:val="00636B6C"/>
    <w:rsid w:val="006447DE"/>
    <w:rsid w:val="00647AD7"/>
    <w:rsid w:val="006510F5"/>
    <w:rsid w:val="0065276E"/>
    <w:rsid w:val="00654329"/>
    <w:rsid w:val="00654CEC"/>
    <w:rsid w:val="00655507"/>
    <w:rsid w:val="00661A26"/>
    <w:rsid w:val="006712A7"/>
    <w:rsid w:val="00672166"/>
    <w:rsid w:val="006733CC"/>
    <w:rsid w:val="00674FC2"/>
    <w:rsid w:val="00677E42"/>
    <w:rsid w:val="00682334"/>
    <w:rsid w:val="00684B16"/>
    <w:rsid w:val="00690E21"/>
    <w:rsid w:val="00694C00"/>
    <w:rsid w:val="00696F65"/>
    <w:rsid w:val="006A3F70"/>
    <w:rsid w:val="006A7A6D"/>
    <w:rsid w:val="006B5E67"/>
    <w:rsid w:val="006C2EB5"/>
    <w:rsid w:val="006D18A3"/>
    <w:rsid w:val="006D1E37"/>
    <w:rsid w:val="006D5970"/>
    <w:rsid w:val="006E481E"/>
    <w:rsid w:val="006E5AB0"/>
    <w:rsid w:val="006E6D13"/>
    <w:rsid w:val="006E795F"/>
    <w:rsid w:val="006F3127"/>
    <w:rsid w:val="00700249"/>
    <w:rsid w:val="0070604C"/>
    <w:rsid w:val="007069CD"/>
    <w:rsid w:val="00710989"/>
    <w:rsid w:val="00710D69"/>
    <w:rsid w:val="007110E6"/>
    <w:rsid w:val="00711A70"/>
    <w:rsid w:val="00712D55"/>
    <w:rsid w:val="00712E6F"/>
    <w:rsid w:val="00712E90"/>
    <w:rsid w:val="00713B7E"/>
    <w:rsid w:val="00713E38"/>
    <w:rsid w:val="0071499F"/>
    <w:rsid w:val="007203DA"/>
    <w:rsid w:val="007204AE"/>
    <w:rsid w:val="00723266"/>
    <w:rsid w:val="0072678F"/>
    <w:rsid w:val="00727C4C"/>
    <w:rsid w:val="00734809"/>
    <w:rsid w:val="0073644B"/>
    <w:rsid w:val="007406E1"/>
    <w:rsid w:val="00742EE7"/>
    <w:rsid w:val="00743E40"/>
    <w:rsid w:val="00751263"/>
    <w:rsid w:val="0075704F"/>
    <w:rsid w:val="00763B2D"/>
    <w:rsid w:val="00772924"/>
    <w:rsid w:val="00784EC4"/>
    <w:rsid w:val="007872F2"/>
    <w:rsid w:val="007874BC"/>
    <w:rsid w:val="007901FC"/>
    <w:rsid w:val="007908E0"/>
    <w:rsid w:val="00793EB3"/>
    <w:rsid w:val="00794205"/>
    <w:rsid w:val="00797012"/>
    <w:rsid w:val="00797259"/>
    <w:rsid w:val="007A1F6A"/>
    <w:rsid w:val="007A28BB"/>
    <w:rsid w:val="007A6093"/>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07506"/>
    <w:rsid w:val="008108F6"/>
    <w:rsid w:val="008120F5"/>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37647"/>
    <w:rsid w:val="00841F9D"/>
    <w:rsid w:val="008420E1"/>
    <w:rsid w:val="00843D58"/>
    <w:rsid w:val="00843EBA"/>
    <w:rsid w:val="00844D98"/>
    <w:rsid w:val="00846D84"/>
    <w:rsid w:val="0085230E"/>
    <w:rsid w:val="0085355E"/>
    <w:rsid w:val="008550A1"/>
    <w:rsid w:val="00861035"/>
    <w:rsid w:val="00861038"/>
    <w:rsid w:val="00865008"/>
    <w:rsid w:val="00866054"/>
    <w:rsid w:val="00866B50"/>
    <w:rsid w:val="008708F1"/>
    <w:rsid w:val="00880539"/>
    <w:rsid w:val="008859E8"/>
    <w:rsid w:val="0088737B"/>
    <w:rsid w:val="00892716"/>
    <w:rsid w:val="00893067"/>
    <w:rsid w:val="008933DE"/>
    <w:rsid w:val="00895FCE"/>
    <w:rsid w:val="0089759B"/>
    <w:rsid w:val="00897F3E"/>
    <w:rsid w:val="008A1BA8"/>
    <w:rsid w:val="008A21B4"/>
    <w:rsid w:val="008A4576"/>
    <w:rsid w:val="008A67E5"/>
    <w:rsid w:val="008B07DE"/>
    <w:rsid w:val="008B28E7"/>
    <w:rsid w:val="008C14C7"/>
    <w:rsid w:val="008C2FFB"/>
    <w:rsid w:val="008C6EEA"/>
    <w:rsid w:val="008D1F41"/>
    <w:rsid w:val="008D2A31"/>
    <w:rsid w:val="008D5813"/>
    <w:rsid w:val="008D634E"/>
    <w:rsid w:val="008D778A"/>
    <w:rsid w:val="008E522A"/>
    <w:rsid w:val="008F22BD"/>
    <w:rsid w:val="009079BD"/>
    <w:rsid w:val="00912BD9"/>
    <w:rsid w:val="00913C80"/>
    <w:rsid w:val="00916CFB"/>
    <w:rsid w:val="00920E5B"/>
    <w:rsid w:val="009249F8"/>
    <w:rsid w:val="00926436"/>
    <w:rsid w:val="0093018C"/>
    <w:rsid w:val="00932CCA"/>
    <w:rsid w:val="0093514C"/>
    <w:rsid w:val="00937655"/>
    <w:rsid w:val="0094250D"/>
    <w:rsid w:val="00950BFA"/>
    <w:rsid w:val="009544C0"/>
    <w:rsid w:val="00954FA4"/>
    <w:rsid w:val="00956AE9"/>
    <w:rsid w:val="00964CC6"/>
    <w:rsid w:val="00983CF7"/>
    <w:rsid w:val="00991FDA"/>
    <w:rsid w:val="009927A1"/>
    <w:rsid w:val="0099774D"/>
    <w:rsid w:val="009A310E"/>
    <w:rsid w:val="009A5F3B"/>
    <w:rsid w:val="009B0B61"/>
    <w:rsid w:val="009B28C0"/>
    <w:rsid w:val="009B2C8F"/>
    <w:rsid w:val="009B395A"/>
    <w:rsid w:val="009B7136"/>
    <w:rsid w:val="009B7806"/>
    <w:rsid w:val="009C2ADD"/>
    <w:rsid w:val="009C3AC2"/>
    <w:rsid w:val="009D4365"/>
    <w:rsid w:val="009D4E3B"/>
    <w:rsid w:val="009D7BC9"/>
    <w:rsid w:val="009E0C5A"/>
    <w:rsid w:val="009E1982"/>
    <w:rsid w:val="009E4D2C"/>
    <w:rsid w:val="009F0978"/>
    <w:rsid w:val="009F3AEC"/>
    <w:rsid w:val="00A00081"/>
    <w:rsid w:val="00A015F7"/>
    <w:rsid w:val="00A02B60"/>
    <w:rsid w:val="00A038CD"/>
    <w:rsid w:val="00A10D56"/>
    <w:rsid w:val="00A12AAE"/>
    <w:rsid w:val="00A16DD1"/>
    <w:rsid w:val="00A221AB"/>
    <w:rsid w:val="00A22441"/>
    <w:rsid w:val="00A23F3B"/>
    <w:rsid w:val="00A240A3"/>
    <w:rsid w:val="00A24406"/>
    <w:rsid w:val="00A25F64"/>
    <w:rsid w:val="00A27CC2"/>
    <w:rsid w:val="00A3273B"/>
    <w:rsid w:val="00A34117"/>
    <w:rsid w:val="00A40ED6"/>
    <w:rsid w:val="00A434BF"/>
    <w:rsid w:val="00A470EE"/>
    <w:rsid w:val="00A47621"/>
    <w:rsid w:val="00A479CD"/>
    <w:rsid w:val="00A50CFC"/>
    <w:rsid w:val="00A53B64"/>
    <w:rsid w:val="00A54D67"/>
    <w:rsid w:val="00A55A3F"/>
    <w:rsid w:val="00A565D0"/>
    <w:rsid w:val="00A56BC4"/>
    <w:rsid w:val="00A56E75"/>
    <w:rsid w:val="00A652F6"/>
    <w:rsid w:val="00A70D58"/>
    <w:rsid w:val="00A732EA"/>
    <w:rsid w:val="00A7489E"/>
    <w:rsid w:val="00A8015F"/>
    <w:rsid w:val="00A80BD2"/>
    <w:rsid w:val="00A85039"/>
    <w:rsid w:val="00A851F7"/>
    <w:rsid w:val="00A87321"/>
    <w:rsid w:val="00A906AA"/>
    <w:rsid w:val="00A94C5E"/>
    <w:rsid w:val="00AA241A"/>
    <w:rsid w:val="00AA252C"/>
    <w:rsid w:val="00AA666E"/>
    <w:rsid w:val="00AB0157"/>
    <w:rsid w:val="00AB5518"/>
    <w:rsid w:val="00AB64DA"/>
    <w:rsid w:val="00AC01D4"/>
    <w:rsid w:val="00AC4A04"/>
    <w:rsid w:val="00AD336F"/>
    <w:rsid w:val="00AD3550"/>
    <w:rsid w:val="00AE2564"/>
    <w:rsid w:val="00AE301F"/>
    <w:rsid w:val="00AE3302"/>
    <w:rsid w:val="00AE7077"/>
    <w:rsid w:val="00AF61C2"/>
    <w:rsid w:val="00AF6CC6"/>
    <w:rsid w:val="00AF7BA9"/>
    <w:rsid w:val="00B011CD"/>
    <w:rsid w:val="00B0296A"/>
    <w:rsid w:val="00B12295"/>
    <w:rsid w:val="00B137BE"/>
    <w:rsid w:val="00B1458C"/>
    <w:rsid w:val="00B17FA0"/>
    <w:rsid w:val="00B24344"/>
    <w:rsid w:val="00B24492"/>
    <w:rsid w:val="00B26769"/>
    <w:rsid w:val="00B31C91"/>
    <w:rsid w:val="00B344E8"/>
    <w:rsid w:val="00B35016"/>
    <w:rsid w:val="00B3747F"/>
    <w:rsid w:val="00B43194"/>
    <w:rsid w:val="00B47734"/>
    <w:rsid w:val="00B50FBA"/>
    <w:rsid w:val="00B5521D"/>
    <w:rsid w:val="00B558EB"/>
    <w:rsid w:val="00B577D3"/>
    <w:rsid w:val="00B60466"/>
    <w:rsid w:val="00B6548F"/>
    <w:rsid w:val="00B7502A"/>
    <w:rsid w:val="00B77305"/>
    <w:rsid w:val="00B82CC2"/>
    <w:rsid w:val="00B836E7"/>
    <w:rsid w:val="00B84A89"/>
    <w:rsid w:val="00B86250"/>
    <w:rsid w:val="00B92BEF"/>
    <w:rsid w:val="00B9689A"/>
    <w:rsid w:val="00BA074B"/>
    <w:rsid w:val="00BA1FFA"/>
    <w:rsid w:val="00BA2666"/>
    <w:rsid w:val="00BA7D99"/>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6FB2"/>
    <w:rsid w:val="00C01D14"/>
    <w:rsid w:val="00C025B4"/>
    <w:rsid w:val="00C0275F"/>
    <w:rsid w:val="00C11F61"/>
    <w:rsid w:val="00C13212"/>
    <w:rsid w:val="00C161FD"/>
    <w:rsid w:val="00C23F17"/>
    <w:rsid w:val="00C26A95"/>
    <w:rsid w:val="00C26D0D"/>
    <w:rsid w:val="00C27C95"/>
    <w:rsid w:val="00C300D2"/>
    <w:rsid w:val="00C30F4B"/>
    <w:rsid w:val="00C3270F"/>
    <w:rsid w:val="00C3278B"/>
    <w:rsid w:val="00C32F2E"/>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1D5"/>
    <w:rsid w:val="00CA7F4F"/>
    <w:rsid w:val="00CB258E"/>
    <w:rsid w:val="00CB3C8F"/>
    <w:rsid w:val="00CB4EB0"/>
    <w:rsid w:val="00CB75CE"/>
    <w:rsid w:val="00CC02F1"/>
    <w:rsid w:val="00CC11A6"/>
    <w:rsid w:val="00CC135E"/>
    <w:rsid w:val="00CD5D3F"/>
    <w:rsid w:val="00CE06A3"/>
    <w:rsid w:val="00CF1E90"/>
    <w:rsid w:val="00CF3DB3"/>
    <w:rsid w:val="00CF6B5F"/>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21DD1"/>
    <w:rsid w:val="00E35BEC"/>
    <w:rsid w:val="00E44BF8"/>
    <w:rsid w:val="00E50821"/>
    <w:rsid w:val="00E50EF8"/>
    <w:rsid w:val="00E51F91"/>
    <w:rsid w:val="00E676F7"/>
    <w:rsid w:val="00E7086E"/>
    <w:rsid w:val="00E71320"/>
    <w:rsid w:val="00E7374A"/>
    <w:rsid w:val="00E73C41"/>
    <w:rsid w:val="00E7598F"/>
    <w:rsid w:val="00E76F60"/>
    <w:rsid w:val="00E83D90"/>
    <w:rsid w:val="00E83F28"/>
    <w:rsid w:val="00E83F91"/>
    <w:rsid w:val="00E8624A"/>
    <w:rsid w:val="00E9107A"/>
    <w:rsid w:val="00E91F62"/>
    <w:rsid w:val="00E929FD"/>
    <w:rsid w:val="00E93240"/>
    <w:rsid w:val="00E9479B"/>
    <w:rsid w:val="00E95DB3"/>
    <w:rsid w:val="00EA28F1"/>
    <w:rsid w:val="00EA2F5F"/>
    <w:rsid w:val="00EA4D48"/>
    <w:rsid w:val="00EB0869"/>
    <w:rsid w:val="00EB2173"/>
    <w:rsid w:val="00EB62E6"/>
    <w:rsid w:val="00ED1B30"/>
    <w:rsid w:val="00ED250E"/>
    <w:rsid w:val="00ED3F90"/>
    <w:rsid w:val="00ED4652"/>
    <w:rsid w:val="00ED6535"/>
    <w:rsid w:val="00EE1A49"/>
    <w:rsid w:val="00EE1AC1"/>
    <w:rsid w:val="00EE39D6"/>
    <w:rsid w:val="00EE413C"/>
    <w:rsid w:val="00EE52AD"/>
    <w:rsid w:val="00EF04A5"/>
    <w:rsid w:val="00F01F92"/>
    <w:rsid w:val="00F10A08"/>
    <w:rsid w:val="00F139CF"/>
    <w:rsid w:val="00F155D5"/>
    <w:rsid w:val="00F22AC5"/>
    <w:rsid w:val="00F23563"/>
    <w:rsid w:val="00F254D1"/>
    <w:rsid w:val="00F25785"/>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176A"/>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7DE"/>
    <w:rsid w:val="00FE1F6A"/>
    <w:rsid w:val="00FE287E"/>
    <w:rsid w:val="00FE6EF4"/>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42</Pages>
  <Words>6829</Words>
  <Characters>38931</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Greenslade, Miyah</cp:lastModifiedBy>
  <cp:revision>2</cp:revision>
  <cp:lastPrinted>2014-08-26T08:55:00Z</cp:lastPrinted>
  <dcterms:created xsi:type="dcterms:W3CDTF">2024-04-26T15:09:00Z</dcterms:created>
  <dcterms:modified xsi:type="dcterms:W3CDTF">2024-04-26T15:09:00Z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2023-10-30T14:02:32Z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fed85b6d-835d-4909-92bb-8fcfbc379479</vt:lpwstr>
  </property>
  <property fmtid="{D5CDD505-2E9C-101B-9397-08002B2CF9AE}" pid="9" name="MSIP_Label_f2acd28b-79a3-4a0f-b0ff-4b75658b1549_ContentBits">
    <vt:lpwstr>0</vt:lpwstr>
  </property>
</Properties>
</file>