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C2F2D" w14:textId="0282E616" w:rsidR="00CD4E0E" w:rsidRDefault="00E6470C">
      <w:r>
        <w:t xml:space="preserve">The significance of </w:t>
      </w:r>
      <w:r w:rsidR="00997A1A">
        <w:t>death</w:t>
      </w:r>
      <w:r>
        <w:t xml:space="preserve"> during the neolithic period</w:t>
      </w:r>
      <w:r w:rsidR="00997A1A">
        <w:t xml:space="preserve"> and whether any meaning can be inferred from burial</w:t>
      </w:r>
      <w:r>
        <w:t xml:space="preserve">. </w:t>
      </w:r>
    </w:p>
    <w:p w14:paraId="22B53957" w14:textId="327C2C20" w:rsidR="005241E2" w:rsidRDefault="00CD4E0E">
      <w:r>
        <w:t xml:space="preserve">The essay will explore how archaeological discoveries have shaped the way in which people during the neolithic period are believed to have perceived </w:t>
      </w:r>
      <w:r w:rsidR="00E6470C">
        <w:t>the significance of death and burial of human remains</w:t>
      </w:r>
      <w:r>
        <w:t xml:space="preserve">. </w:t>
      </w:r>
      <w:r w:rsidR="005241E2">
        <w:t xml:space="preserve">Our own understanding of death and burial will somewhat impact our discoveries </w:t>
      </w:r>
      <w:r w:rsidR="00C026BC">
        <w:t xml:space="preserve">from archaeological examination of sites. The essay will first examine the evidence, and decipher what if any inference can be made as a result of our discoveries. </w:t>
      </w:r>
    </w:p>
    <w:p w14:paraId="6AE9CAF9" w14:textId="1B8D9C63" w:rsidR="00CD4E0E" w:rsidRDefault="00CD4E0E">
      <w:r>
        <w:t xml:space="preserve">Due the vast nature of timeframe and geographical locations </w:t>
      </w:r>
      <w:r w:rsidR="00DD4B64">
        <w:t>when examining resources, the sources will focus on burial practises within Britain, predominantly in the Peak district, whilst also evaluating other locations to gather understanding</w:t>
      </w:r>
      <w:r w:rsidR="00E6470C">
        <w:t xml:space="preserve"> of practises</w:t>
      </w:r>
      <w:r w:rsidR="00DD4B64">
        <w:t xml:space="preserve">. </w:t>
      </w:r>
    </w:p>
    <w:p w14:paraId="1942DF38" w14:textId="1C3E547C" w:rsidR="00DD4B64" w:rsidRDefault="00DD4B64">
      <w:r>
        <w:t xml:space="preserve">Discussions surrounding the </w:t>
      </w:r>
      <w:r w:rsidR="00E6470C">
        <w:t>practises</w:t>
      </w:r>
      <w:r>
        <w:t xml:space="preserve"> of burial </w:t>
      </w:r>
      <w:r w:rsidR="009719F3">
        <w:t xml:space="preserve">during the neolithic period have become more prevalent through the discovery of artefacts </w:t>
      </w:r>
      <w:r w:rsidR="00E6470C">
        <w:t xml:space="preserve">from other time periods such as the roman empire </w:t>
      </w:r>
      <w:r w:rsidR="009719F3">
        <w:t>being located at neolithic burial sites</w:t>
      </w:r>
      <w:r w:rsidR="009719F3">
        <w:rPr>
          <w:rStyle w:val="FootnoteReference"/>
        </w:rPr>
        <w:footnoteReference w:id="1"/>
      </w:r>
      <w:r w:rsidR="009719F3">
        <w:t xml:space="preserve">. The essay </w:t>
      </w:r>
      <w:r w:rsidR="00E6470C">
        <w:t>will</w:t>
      </w:r>
      <w:r w:rsidR="009719F3">
        <w:t xml:space="preserve"> explore </w:t>
      </w:r>
      <w:r w:rsidR="00E6470C">
        <w:t>the significance of the</w:t>
      </w:r>
      <w:r w:rsidR="009719F3">
        <w:t xml:space="preserve"> reuse of burial sites</w:t>
      </w:r>
      <w:r w:rsidR="009719F3">
        <w:rPr>
          <w:rStyle w:val="FootnoteReference"/>
        </w:rPr>
        <w:footnoteReference w:id="2"/>
      </w:r>
      <w:r w:rsidR="009719F3">
        <w:t xml:space="preserve">. </w:t>
      </w:r>
      <w:r w:rsidR="005241E2">
        <w:t>The reuse of burial sites also provides its own problems when determining practises regarding burial. In examining the burial practise, consideration will be given to the usage of the sites and potential impact on developing our understanding</w:t>
      </w:r>
      <w:r w:rsidR="005241E2">
        <w:rPr>
          <w:rStyle w:val="FootnoteReference"/>
        </w:rPr>
        <w:footnoteReference w:id="3"/>
      </w:r>
      <w:r w:rsidR="005241E2">
        <w:t xml:space="preserve">. </w:t>
      </w:r>
    </w:p>
    <w:p w14:paraId="3F7CB05F" w14:textId="27FC8E30" w:rsidR="009719F3" w:rsidRDefault="009719F3">
      <w:r>
        <w:t>From establishing the importance of a burial site, working backwards the essay will explore how others</w:t>
      </w:r>
      <w:r w:rsidR="005241E2">
        <w:t xml:space="preserve"> living at that time period</w:t>
      </w:r>
      <w:r>
        <w:t xml:space="preserve"> may</w:t>
      </w:r>
      <w:r w:rsidR="005241E2">
        <w:t xml:space="preserve"> have</w:t>
      </w:r>
      <w:r>
        <w:t xml:space="preserve"> interact</w:t>
      </w:r>
      <w:r w:rsidR="005241E2">
        <w:t>ed</w:t>
      </w:r>
      <w:r>
        <w:t xml:space="preserve"> with the site</w:t>
      </w:r>
      <w:r>
        <w:rPr>
          <w:rStyle w:val="FootnoteReference"/>
        </w:rPr>
        <w:footnoteReference w:id="4"/>
      </w:r>
      <w:r>
        <w:t xml:space="preserve">. </w:t>
      </w:r>
      <w:r w:rsidR="00CB5DE2">
        <w:t>By reviewing data from the barrows and their construction the essay seeks to establish how barrows impacted daily life within the community</w:t>
      </w:r>
      <w:r w:rsidR="00CB5DE2">
        <w:rPr>
          <w:rStyle w:val="FootnoteReference"/>
        </w:rPr>
        <w:footnoteReference w:id="5"/>
      </w:r>
      <w:r w:rsidR="00CB5DE2">
        <w:t>.</w:t>
      </w:r>
    </w:p>
    <w:p w14:paraId="13A3D79A" w14:textId="0F92E8CB" w:rsidR="005241E2" w:rsidRDefault="009719F3">
      <w:r>
        <w:t>F</w:t>
      </w:r>
      <w:r w:rsidR="005241E2">
        <w:t>inally taking into consideration earlier topics, the essay will fo</w:t>
      </w:r>
      <w:r>
        <w:t>cus</w:t>
      </w:r>
      <w:r w:rsidR="005241E2">
        <w:t xml:space="preserve"> </w:t>
      </w:r>
      <w:r>
        <w:t xml:space="preserve">on the peak district </w:t>
      </w:r>
      <w:r w:rsidR="005241E2">
        <w:t xml:space="preserve">and </w:t>
      </w:r>
      <w:r>
        <w:t xml:space="preserve">inference </w:t>
      </w:r>
      <w:r w:rsidR="00E6470C">
        <w:t>will be made from the examination of the structure, setting, and direction in which barrows were made</w:t>
      </w:r>
      <w:r w:rsidR="00E6470C">
        <w:rPr>
          <w:rStyle w:val="FootnoteReference"/>
        </w:rPr>
        <w:footnoteReference w:id="6"/>
      </w:r>
      <w:r w:rsidR="00E6470C">
        <w:t>.</w:t>
      </w:r>
    </w:p>
    <w:p w14:paraId="29473861" w14:textId="0086458E" w:rsidR="005241E2" w:rsidRDefault="00C026BC">
      <w:r>
        <w:t xml:space="preserve">Evaluating all the evidence a conclusion will be made as to whether we can establish that humans during the neolithic period ascribed significance to death, and any significance to what happens to the body after death. </w:t>
      </w:r>
    </w:p>
    <w:p w14:paraId="57C978D8" w14:textId="052D95AE" w:rsidR="008D0616" w:rsidRDefault="008D0616">
      <w:r>
        <w:tab/>
      </w:r>
      <w:r>
        <w:tab/>
      </w:r>
      <w:r>
        <w:tab/>
      </w:r>
      <w:r>
        <w:tab/>
      </w:r>
      <w:r>
        <w:tab/>
      </w:r>
      <w:r>
        <w:tab/>
      </w:r>
      <w:r>
        <w:tab/>
      </w:r>
      <w:r>
        <w:tab/>
      </w:r>
      <w:r>
        <w:tab/>
      </w:r>
      <w:r>
        <w:tab/>
        <w:t xml:space="preserve">Word count 463. </w:t>
      </w:r>
    </w:p>
    <w:p w14:paraId="6885D47C" w14:textId="77777777" w:rsidR="00057048" w:rsidRDefault="00057048"/>
    <w:p w14:paraId="19210280" w14:textId="77777777" w:rsidR="006E1645" w:rsidRDefault="006E1645"/>
    <w:p w14:paraId="5981DBF1" w14:textId="3FE5A8B4" w:rsidR="00CB5DE2" w:rsidRDefault="00CB5DE2">
      <w:r>
        <w:t>Bibliography:</w:t>
      </w:r>
    </w:p>
    <w:p w14:paraId="54388A6A" w14:textId="77777777" w:rsidR="00057048" w:rsidRDefault="00057048"/>
    <w:p w14:paraId="5B5D4367" w14:textId="1935A322" w:rsidR="00057048" w:rsidRPr="005241E2" w:rsidRDefault="00057048" w:rsidP="00057048">
      <w:pPr>
        <w:pStyle w:val="FootnoteText"/>
      </w:pPr>
      <w:proofErr w:type="spellStart"/>
      <w:r w:rsidRPr="005241E2">
        <w:t>Barnatt</w:t>
      </w:r>
      <w:proofErr w:type="spellEnd"/>
      <w:r w:rsidRPr="005241E2">
        <w:t>,</w:t>
      </w:r>
      <w:r>
        <w:t xml:space="preserve"> John,</w:t>
      </w:r>
      <w:r w:rsidRPr="005241E2">
        <w:t xml:space="preserve"> and Mark Edmonds, ‘Places Apart? Caves and Monuments in Neolithic and Earlier Bronze Age Britain’, </w:t>
      </w:r>
      <w:r w:rsidRPr="005241E2">
        <w:rPr>
          <w:i/>
          <w:iCs/>
        </w:rPr>
        <w:t>Cambridge Archaeological Journal</w:t>
      </w:r>
      <w:r w:rsidRPr="005241E2">
        <w:t>, 12.1 (2002), pp. 113–29, doi:10.1017/S0959774302000069</w:t>
      </w:r>
    </w:p>
    <w:p w14:paraId="21F01A8D" w14:textId="3651C812" w:rsidR="00CB5DE2" w:rsidRDefault="00CB5DE2" w:rsidP="00057048">
      <w:pPr>
        <w:pStyle w:val="FootnoteText"/>
      </w:pPr>
    </w:p>
    <w:p w14:paraId="4DD90D95" w14:textId="288A106B" w:rsidR="00CB5DE2" w:rsidRDefault="00057048">
      <w:r w:rsidRPr="00CB5DE2">
        <w:t xml:space="preserve">Carlin, Neil, ‘A Grave Matter of Ancient Kinship in Neolithic Britain’, </w:t>
      </w:r>
      <w:r w:rsidRPr="00CB5DE2">
        <w:rPr>
          <w:i/>
          <w:iCs/>
        </w:rPr>
        <w:t>Nature (London)</w:t>
      </w:r>
      <w:r w:rsidRPr="00CB5DE2">
        <w:t>, 601.7894 (2022), pp. 510–12, doi:10.1038/d41586-021-03799-3</w:t>
      </w:r>
    </w:p>
    <w:p w14:paraId="31F10AA4" w14:textId="1CC44C9C" w:rsidR="00CB5DE2" w:rsidRPr="00CB5DE2" w:rsidRDefault="00CB5DE2" w:rsidP="00CB5DE2">
      <w:r w:rsidRPr="00CB5DE2">
        <w:t xml:space="preserve">Edmonds, M. R, </w:t>
      </w:r>
      <w:r w:rsidRPr="00CB5DE2">
        <w:rPr>
          <w:i/>
          <w:iCs/>
        </w:rPr>
        <w:t>Ancestral Geographies of the Neolithi</w:t>
      </w:r>
      <w:r w:rsidR="00BE6309">
        <w:rPr>
          <w:i/>
          <w:iCs/>
        </w:rPr>
        <w:t>c</w:t>
      </w:r>
      <w:r w:rsidRPr="00CB5DE2">
        <w:rPr>
          <w:i/>
          <w:iCs/>
        </w:rPr>
        <w:t>: Landscapes, Monuments and Memory</w:t>
      </w:r>
      <w:r w:rsidRPr="00CB5DE2">
        <w:t>, 1st ed. (Routledge, 1999), doi:10.4324/9780203020197</w:t>
      </w:r>
    </w:p>
    <w:p w14:paraId="41945F4A" w14:textId="16A7BA62" w:rsidR="00CB5DE2" w:rsidRDefault="00057048">
      <w:r w:rsidRPr="009719F3">
        <w:t xml:space="preserve">Hutton, </w:t>
      </w:r>
      <w:r>
        <w:t xml:space="preserve">Ronald, </w:t>
      </w:r>
      <w:r w:rsidRPr="009719F3">
        <w:t>‘Romano-British Reuse of Prehistoric Ritual Sites’, </w:t>
      </w:r>
      <w:r w:rsidRPr="009719F3">
        <w:rPr>
          <w:i/>
          <w:iCs/>
        </w:rPr>
        <w:t>Britannia (Society for the Promotion of Roman Studies)</w:t>
      </w:r>
      <w:r w:rsidRPr="009719F3">
        <w:t>, 42 (2011), pp. 1–22, doi:10.1017/S0068113X1100002X</w:t>
      </w:r>
      <w:r>
        <w:t xml:space="preserve"> </w:t>
      </w:r>
    </w:p>
    <w:p w14:paraId="28F2B2C7" w14:textId="1698C6AB" w:rsidR="00057048" w:rsidRDefault="00057048">
      <w:r w:rsidRPr="00E6470C">
        <w:rPr>
          <w:sz w:val="20"/>
          <w:szCs w:val="20"/>
        </w:rPr>
        <w:t>Rogers,</w:t>
      </w:r>
      <w:r>
        <w:rPr>
          <w:sz w:val="20"/>
          <w:szCs w:val="20"/>
        </w:rPr>
        <w:t xml:space="preserve"> Alice J,</w:t>
      </w:r>
      <w:r w:rsidRPr="00E6470C">
        <w:rPr>
          <w:sz w:val="20"/>
          <w:szCs w:val="20"/>
        </w:rPr>
        <w:t xml:space="preserve"> ‘The Afterlife of Monuments in the English Peak District: The Evidence of Early Bronze Age Burials’, </w:t>
      </w:r>
      <w:r w:rsidRPr="00E6470C">
        <w:rPr>
          <w:i/>
          <w:iCs/>
          <w:sz w:val="20"/>
          <w:szCs w:val="20"/>
        </w:rPr>
        <w:t>Oxford Journal of Archaeology</w:t>
      </w:r>
      <w:r w:rsidRPr="00E6470C">
        <w:rPr>
          <w:sz w:val="20"/>
          <w:szCs w:val="20"/>
        </w:rPr>
        <w:t>, 32.1 (2013), pp. 39–51, doi:10.1111/ojoa.12001</w:t>
      </w:r>
    </w:p>
    <w:sectPr w:rsidR="00057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85E5C" w14:textId="77777777" w:rsidR="009719F3" w:rsidRDefault="009719F3" w:rsidP="009719F3">
      <w:pPr>
        <w:spacing w:after="0" w:line="240" w:lineRule="auto"/>
      </w:pPr>
      <w:r>
        <w:separator/>
      </w:r>
    </w:p>
  </w:endnote>
  <w:endnote w:type="continuationSeparator" w:id="0">
    <w:p w14:paraId="7C803135" w14:textId="77777777" w:rsidR="009719F3" w:rsidRDefault="009719F3" w:rsidP="0097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25BF0" w14:textId="77777777" w:rsidR="009719F3" w:rsidRDefault="009719F3" w:rsidP="009719F3">
      <w:pPr>
        <w:spacing w:after="0" w:line="240" w:lineRule="auto"/>
      </w:pPr>
      <w:r>
        <w:separator/>
      </w:r>
    </w:p>
  </w:footnote>
  <w:footnote w:type="continuationSeparator" w:id="0">
    <w:p w14:paraId="24CDD619" w14:textId="77777777" w:rsidR="009719F3" w:rsidRDefault="009719F3" w:rsidP="009719F3">
      <w:pPr>
        <w:spacing w:after="0" w:line="240" w:lineRule="auto"/>
      </w:pPr>
      <w:r>
        <w:continuationSeparator/>
      </w:r>
    </w:p>
  </w:footnote>
  <w:footnote w:id="1">
    <w:p w14:paraId="0E8DEE36" w14:textId="08CD75C0" w:rsidR="009719F3" w:rsidRDefault="009719F3">
      <w:pPr>
        <w:pStyle w:val="FootnoteText"/>
      </w:pPr>
      <w:r>
        <w:rPr>
          <w:rStyle w:val="FootnoteReference"/>
        </w:rPr>
        <w:footnoteRef/>
      </w:r>
      <w:r>
        <w:t xml:space="preserve"> </w:t>
      </w:r>
      <w:r w:rsidR="00F05260">
        <w:t xml:space="preserve">Ronald </w:t>
      </w:r>
      <w:r w:rsidRPr="009719F3">
        <w:t>Hutton, ‘Romano-British Reuse of Prehistoric Ritual Sites’, </w:t>
      </w:r>
      <w:r w:rsidRPr="009719F3">
        <w:rPr>
          <w:i/>
          <w:iCs/>
        </w:rPr>
        <w:t>Britannia (Society for the Promotion of Roman Studies)</w:t>
      </w:r>
      <w:r w:rsidRPr="009719F3">
        <w:t xml:space="preserve">, 42 (2011), pp. 1–22, </w:t>
      </w:r>
      <w:r>
        <w:t>p.1</w:t>
      </w:r>
      <w:r w:rsidR="00C27AAD">
        <w:t>.</w:t>
      </w:r>
      <w:r>
        <w:t xml:space="preserve"> </w:t>
      </w:r>
    </w:p>
    <w:p w14:paraId="301F0DB4" w14:textId="77777777" w:rsidR="002159F1" w:rsidRDefault="002159F1">
      <w:pPr>
        <w:pStyle w:val="FootnoteText"/>
      </w:pPr>
    </w:p>
  </w:footnote>
  <w:footnote w:id="2">
    <w:p w14:paraId="3715081E" w14:textId="2F13358F" w:rsidR="009719F3" w:rsidRDefault="009719F3">
      <w:pPr>
        <w:pStyle w:val="FootnoteText"/>
      </w:pPr>
      <w:r>
        <w:rPr>
          <w:rStyle w:val="FootnoteReference"/>
        </w:rPr>
        <w:footnoteRef/>
      </w:r>
      <w:r>
        <w:t xml:space="preserve"> </w:t>
      </w:r>
      <w:r w:rsidR="00F05260">
        <w:t>Ronald H</w:t>
      </w:r>
      <w:r w:rsidRPr="009719F3">
        <w:t>utton, ‘Romano-British Reuse of Prehistoric Ritual Sites’, </w:t>
      </w:r>
      <w:r w:rsidRPr="009719F3">
        <w:rPr>
          <w:i/>
          <w:iCs/>
        </w:rPr>
        <w:t>Britannia (Society for the Promotion of Roman Studies)</w:t>
      </w:r>
      <w:r w:rsidRPr="009719F3">
        <w:t>, 42 (2011), pp. 1–22,</w:t>
      </w:r>
      <w:r>
        <w:t xml:space="preserve"> p. 2</w:t>
      </w:r>
      <w:r w:rsidR="00C27AAD">
        <w:t>.</w:t>
      </w:r>
    </w:p>
    <w:p w14:paraId="4544B9DF" w14:textId="77777777" w:rsidR="002159F1" w:rsidRDefault="002159F1">
      <w:pPr>
        <w:pStyle w:val="FootnoteText"/>
      </w:pPr>
    </w:p>
  </w:footnote>
  <w:footnote w:id="3">
    <w:p w14:paraId="6091B6A7" w14:textId="1F7F35AA" w:rsidR="005241E2" w:rsidRDefault="005241E2">
      <w:pPr>
        <w:pStyle w:val="FootnoteText"/>
      </w:pPr>
      <w:r>
        <w:rPr>
          <w:rStyle w:val="FootnoteReference"/>
        </w:rPr>
        <w:footnoteRef/>
      </w:r>
      <w:r>
        <w:t xml:space="preserve"> </w:t>
      </w:r>
      <w:r w:rsidR="00F05260">
        <w:t xml:space="preserve">John </w:t>
      </w:r>
      <w:proofErr w:type="spellStart"/>
      <w:r w:rsidRPr="005241E2">
        <w:t>Barnatt</w:t>
      </w:r>
      <w:proofErr w:type="spellEnd"/>
      <w:r w:rsidRPr="005241E2">
        <w:t xml:space="preserve">, and Mark Edmonds, ‘Places Apart? Caves and Monuments in Neolithic and Earlier Bronze Age Britain’, </w:t>
      </w:r>
      <w:r w:rsidRPr="005241E2">
        <w:rPr>
          <w:i/>
          <w:iCs/>
        </w:rPr>
        <w:t>Cambridge Archaeological Journal</w:t>
      </w:r>
      <w:r w:rsidRPr="005241E2">
        <w:t xml:space="preserve">, 12.1 (2002), pp. 113–29, </w:t>
      </w:r>
      <w:r>
        <w:t xml:space="preserve">p. 124. </w:t>
      </w:r>
    </w:p>
    <w:p w14:paraId="7E903E05" w14:textId="77777777" w:rsidR="002159F1" w:rsidRDefault="002159F1">
      <w:pPr>
        <w:pStyle w:val="FootnoteText"/>
      </w:pPr>
    </w:p>
  </w:footnote>
  <w:footnote w:id="4">
    <w:p w14:paraId="564D0B78" w14:textId="1AABE865" w:rsidR="009719F3" w:rsidRPr="009719F3" w:rsidRDefault="009719F3" w:rsidP="009719F3">
      <w:pPr>
        <w:pStyle w:val="FootnoteText"/>
      </w:pPr>
      <w:r>
        <w:rPr>
          <w:rStyle w:val="FootnoteReference"/>
        </w:rPr>
        <w:footnoteRef/>
      </w:r>
      <w:r>
        <w:t xml:space="preserve"> </w:t>
      </w:r>
      <w:r w:rsidR="00F05260">
        <w:t xml:space="preserve">John </w:t>
      </w:r>
      <w:proofErr w:type="spellStart"/>
      <w:r w:rsidRPr="009719F3">
        <w:t>Barnatt</w:t>
      </w:r>
      <w:proofErr w:type="spellEnd"/>
      <w:r w:rsidRPr="009719F3">
        <w:t xml:space="preserve">, and Mark Edmonds, ‘Places Apart? Caves and Monuments in Neolithic and Earlier Bronze Age Britain’, </w:t>
      </w:r>
      <w:r w:rsidRPr="009719F3">
        <w:rPr>
          <w:i/>
          <w:iCs/>
        </w:rPr>
        <w:t>Cambridge Archaeological Journal</w:t>
      </w:r>
      <w:r w:rsidRPr="009719F3">
        <w:t>, 12.1 (2002), pp. 113–29,</w:t>
      </w:r>
      <w:r>
        <w:t xml:space="preserve"> p. 1</w:t>
      </w:r>
      <w:r w:rsidR="00727DA0">
        <w:t>24</w:t>
      </w:r>
      <w:r>
        <w:t xml:space="preserve"> -</w:t>
      </w:r>
      <w:r w:rsidR="00727DA0">
        <w:t>1</w:t>
      </w:r>
      <w:r>
        <w:t>2</w:t>
      </w:r>
      <w:r w:rsidR="00727DA0">
        <w:t>6.</w:t>
      </w:r>
    </w:p>
    <w:p w14:paraId="4DF3B0C7" w14:textId="64BDE8BD" w:rsidR="009719F3" w:rsidRDefault="009719F3">
      <w:pPr>
        <w:pStyle w:val="FootnoteText"/>
      </w:pPr>
    </w:p>
  </w:footnote>
  <w:footnote w:id="5">
    <w:p w14:paraId="1E8158F6" w14:textId="0D5419D5" w:rsidR="00CB5DE2" w:rsidRDefault="00CB5DE2" w:rsidP="00CB5DE2">
      <w:r>
        <w:rPr>
          <w:rStyle w:val="FootnoteReference"/>
        </w:rPr>
        <w:footnoteRef/>
      </w:r>
      <w:r>
        <w:t xml:space="preserve"> </w:t>
      </w:r>
      <w:r w:rsidR="00F05260">
        <w:t xml:space="preserve">M. R </w:t>
      </w:r>
      <w:r w:rsidRPr="00CB5DE2">
        <w:t xml:space="preserve">Edmonds, </w:t>
      </w:r>
      <w:r w:rsidRPr="00CB5DE2">
        <w:rPr>
          <w:i/>
          <w:iCs/>
        </w:rPr>
        <w:t>Ancestral Geographies of the Neolithic: Landscapes, Monuments and Memory</w:t>
      </w:r>
      <w:r w:rsidRPr="00CB5DE2">
        <w:t xml:space="preserve">, 1st ed. (Routledge, 1999), </w:t>
      </w:r>
      <w:r w:rsidR="002159F1">
        <w:t>chapter</w:t>
      </w:r>
      <w:r>
        <w:t xml:space="preserve"> 7</w:t>
      </w:r>
      <w:r w:rsidR="00727DA0">
        <w:t>.</w:t>
      </w:r>
    </w:p>
  </w:footnote>
  <w:footnote w:id="6">
    <w:p w14:paraId="1820218A" w14:textId="519264DB" w:rsidR="00E6470C" w:rsidRPr="00E6470C" w:rsidRDefault="00E6470C" w:rsidP="00E6470C">
      <w:pPr>
        <w:pStyle w:val="FootnoteText"/>
      </w:pPr>
      <w:r>
        <w:rPr>
          <w:rStyle w:val="FootnoteReference"/>
        </w:rPr>
        <w:footnoteRef/>
      </w:r>
      <w:r>
        <w:t xml:space="preserve"> </w:t>
      </w:r>
      <w:r w:rsidR="00F05260">
        <w:t xml:space="preserve">Alice J </w:t>
      </w:r>
      <w:r w:rsidRPr="00E6470C">
        <w:t xml:space="preserve">Rogers, ‘The Afterlife of Monuments in the English Peak District: The Evidence of Early Bronze Age Burials’, </w:t>
      </w:r>
      <w:r w:rsidRPr="00E6470C">
        <w:rPr>
          <w:i/>
          <w:iCs/>
        </w:rPr>
        <w:t>Oxford Journal of Archaeology</w:t>
      </w:r>
      <w:r w:rsidRPr="00E6470C">
        <w:t>, 32.1 (2013), pp. 39–51,</w:t>
      </w:r>
      <w:r w:rsidR="00727DA0">
        <w:t xml:space="preserve"> </w:t>
      </w:r>
      <w:r w:rsidR="00E23028">
        <w:t xml:space="preserve">p. 41 – 43. </w:t>
      </w:r>
    </w:p>
    <w:p w14:paraId="5573AC5E" w14:textId="77777777" w:rsidR="00CB5DE2" w:rsidRDefault="00CB5DE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E0E"/>
    <w:rsid w:val="00025620"/>
    <w:rsid w:val="00057048"/>
    <w:rsid w:val="00141ADB"/>
    <w:rsid w:val="002159F1"/>
    <w:rsid w:val="00352495"/>
    <w:rsid w:val="005241E2"/>
    <w:rsid w:val="006E1645"/>
    <w:rsid w:val="00727DA0"/>
    <w:rsid w:val="0075112B"/>
    <w:rsid w:val="008D0616"/>
    <w:rsid w:val="009719F3"/>
    <w:rsid w:val="00997A1A"/>
    <w:rsid w:val="00A15060"/>
    <w:rsid w:val="00BE6309"/>
    <w:rsid w:val="00C026BC"/>
    <w:rsid w:val="00C27AAD"/>
    <w:rsid w:val="00C37E35"/>
    <w:rsid w:val="00CB5DE2"/>
    <w:rsid w:val="00CD4E0E"/>
    <w:rsid w:val="00D42596"/>
    <w:rsid w:val="00DD4B64"/>
    <w:rsid w:val="00E23028"/>
    <w:rsid w:val="00E6470C"/>
    <w:rsid w:val="00F05260"/>
    <w:rsid w:val="00F10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10703"/>
  <w15:chartTrackingRefBased/>
  <w15:docId w15:val="{17BD860D-5A02-4762-BCF9-E0E0E844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E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4E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4E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4E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4E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4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E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4E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4E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4E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4E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4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E0E"/>
    <w:rPr>
      <w:rFonts w:eastAsiaTheme="majorEastAsia" w:cstheme="majorBidi"/>
      <w:color w:val="272727" w:themeColor="text1" w:themeTint="D8"/>
    </w:rPr>
  </w:style>
  <w:style w:type="paragraph" w:styleId="Title">
    <w:name w:val="Title"/>
    <w:basedOn w:val="Normal"/>
    <w:next w:val="Normal"/>
    <w:link w:val="TitleChar"/>
    <w:uiPriority w:val="10"/>
    <w:qFormat/>
    <w:rsid w:val="00CD4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E0E"/>
    <w:pPr>
      <w:spacing w:before="160"/>
      <w:jc w:val="center"/>
    </w:pPr>
    <w:rPr>
      <w:i/>
      <w:iCs/>
      <w:color w:val="404040" w:themeColor="text1" w:themeTint="BF"/>
    </w:rPr>
  </w:style>
  <w:style w:type="character" w:customStyle="1" w:styleId="QuoteChar">
    <w:name w:val="Quote Char"/>
    <w:basedOn w:val="DefaultParagraphFont"/>
    <w:link w:val="Quote"/>
    <w:uiPriority w:val="29"/>
    <w:rsid w:val="00CD4E0E"/>
    <w:rPr>
      <w:i/>
      <w:iCs/>
      <w:color w:val="404040" w:themeColor="text1" w:themeTint="BF"/>
    </w:rPr>
  </w:style>
  <w:style w:type="paragraph" w:styleId="ListParagraph">
    <w:name w:val="List Paragraph"/>
    <w:basedOn w:val="Normal"/>
    <w:uiPriority w:val="34"/>
    <w:qFormat/>
    <w:rsid w:val="00CD4E0E"/>
    <w:pPr>
      <w:ind w:left="720"/>
      <w:contextualSpacing/>
    </w:pPr>
  </w:style>
  <w:style w:type="character" w:styleId="IntenseEmphasis">
    <w:name w:val="Intense Emphasis"/>
    <w:basedOn w:val="DefaultParagraphFont"/>
    <w:uiPriority w:val="21"/>
    <w:qFormat/>
    <w:rsid w:val="00CD4E0E"/>
    <w:rPr>
      <w:i/>
      <w:iCs/>
      <w:color w:val="2F5496" w:themeColor="accent1" w:themeShade="BF"/>
    </w:rPr>
  </w:style>
  <w:style w:type="paragraph" w:styleId="IntenseQuote">
    <w:name w:val="Intense Quote"/>
    <w:basedOn w:val="Normal"/>
    <w:next w:val="Normal"/>
    <w:link w:val="IntenseQuoteChar"/>
    <w:uiPriority w:val="30"/>
    <w:qFormat/>
    <w:rsid w:val="00CD4E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4E0E"/>
    <w:rPr>
      <w:i/>
      <w:iCs/>
      <w:color w:val="2F5496" w:themeColor="accent1" w:themeShade="BF"/>
    </w:rPr>
  </w:style>
  <w:style w:type="character" w:styleId="IntenseReference">
    <w:name w:val="Intense Reference"/>
    <w:basedOn w:val="DefaultParagraphFont"/>
    <w:uiPriority w:val="32"/>
    <w:qFormat/>
    <w:rsid w:val="00CD4E0E"/>
    <w:rPr>
      <w:b/>
      <w:bCs/>
      <w:smallCaps/>
      <w:color w:val="2F5496" w:themeColor="accent1" w:themeShade="BF"/>
      <w:spacing w:val="5"/>
    </w:rPr>
  </w:style>
  <w:style w:type="paragraph" w:styleId="FootnoteText">
    <w:name w:val="footnote text"/>
    <w:basedOn w:val="Normal"/>
    <w:link w:val="FootnoteTextChar"/>
    <w:uiPriority w:val="99"/>
    <w:unhideWhenUsed/>
    <w:rsid w:val="009719F3"/>
    <w:pPr>
      <w:spacing w:after="0" w:line="240" w:lineRule="auto"/>
    </w:pPr>
    <w:rPr>
      <w:sz w:val="20"/>
      <w:szCs w:val="20"/>
    </w:rPr>
  </w:style>
  <w:style w:type="character" w:customStyle="1" w:styleId="FootnoteTextChar">
    <w:name w:val="Footnote Text Char"/>
    <w:basedOn w:val="DefaultParagraphFont"/>
    <w:link w:val="FootnoteText"/>
    <w:uiPriority w:val="99"/>
    <w:rsid w:val="009719F3"/>
    <w:rPr>
      <w:sz w:val="20"/>
      <w:szCs w:val="20"/>
    </w:rPr>
  </w:style>
  <w:style w:type="character" w:styleId="FootnoteReference">
    <w:name w:val="footnote reference"/>
    <w:basedOn w:val="DefaultParagraphFont"/>
    <w:uiPriority w:val="99"/>
    <w:semiHidden/>
    <w:unhideWhenUsed/>
    <w:rsid w:val="009719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8270">
      <w:bodyDiv w:val="1"/>
      <w:marLeft w:val="0"/>
      <w:marRight w:val="0"/>
      <w:marTop w:val="0"/>
      <w:marBottom w:val="0"/>
      <w:divBdr>
        <w:top w:val="none" w:sz="0" w:space="0" w:color="auto"/>
        <w:left w:val="none" w:sz="0" w:space="0" w:color="auto"/>
        <w:bottom w:val="none" w:sz="0" w:space="0" w:color="auto"/>
        <w:right w:val="none" w:sz="0" w:space="0" w:color="auto"/>
      </w:divBdr>
      <w:divsChild>
        <w:div w:id="422534011">
          <w:marLeft w:val="0"/>
          <w:marRight w:val="0"/>
          <w:marTop w:val="0"/>
          <w:marBottom w:val="0"/>
          <w:divBdr>
            <w:top w:val="none" w:sz="0" w:space="0" w:color="auto"/>
            <w:left w:val="none" w:sz="0" w:space="0" w:color="auto"/>
            <w:bottom w:val="none" w:sz="0" w:space="0" w:color="auto"/>
            <w:right w:val="none" w:sz="0" w:space="0" w:color="auto"/>
          </w:divBdr>
          <w:divsChild>
            <w:div w:id="42238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559540">
      <w:bodyDiv w:val="1"/>
      <w:marLeft w:val="0"/>
      <w:marRight w:val="0"/>
      <w:marTop w:val="0"/>
      <w:marBottom w:val="0"/>
      <w:divBdr>
        <w:top w:val="none" w:sz="0" w:space="0" w:color="auto"/>
        <w:left w:val="none" w:sz="0" w:space="0" w:color="auto"/>
        <w:bottom w:val="none" w:sz="0" w:space="0" w:color="auto"/>
        <w:right w:val="none" w:sz="0" w:space="0" w:color="auto"/>
      </w:divBdr>
      <w:divsChild>
        <w:div w:id="1364553379">
          <w:marLeft w:val="0"/>
          <w:marRight w:val="0"/>
          <w:marTop w:val="0"/>
          <w:marBottom w:val="0"/>
          <w:divBdr>
            <w:top w:val="none" w:sz="0" w:space="0" w:color="auto"/>
            <w:left w:val="none" w:sz="0" w:space="0" w:color="auto"/>
            <w:bottom w:val="none" w:sz="0" w:space="0" w:color="auto"/>
            <w:right w:val="none" w:sz="0" w:space="0" w:color="auto"/>
          </w:divBdr>
          <w:divsChild>
            <w:div w:id="19234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78030">
      <w:bodyDiv w:val="1"/>
      <w:marLeft w:val="0"/>
      <w:marRight w:val="0"/>
      <w:marTop w:val="0"/>
      <w:marBottom w:val="0"/>
      <w:divBdr>
        <w:top w:val="none" w:sz="0" w:space="0" w:color="auto"/>
        <w:left w:val="none" w:sz="0" w:space="0" w:color="auto"/>
        <w:bottom w:val="none" w:sz="0" w:space="0" w:color="auto"/>
        <w:right w:val="none" w:sz="0" w:space="0" w:color="auto"/>
      </w:divBdr>
      <w:divsChild>
        <w:div w:id="656081854">
          <w:marLeft w:val="0"/>
          <w:marRight w:val="0"/>
          <w:marTop w:val="0"/>
          <w:marBottom w:val="0"/>
          <w:divBdr>
            <w:top w:val="none" w:sz="0" w:space="0" w:color="auto"/>
            <w:left w:val="none" w:sz="0" w:space="0" w:color="auto"/>
            <w:bottom w:val="none" w:sz="0" w:space="0" w:color="auto"/>
            <w:right w:val="none" w:sz="0" w:space="0" w:color="auto"/>
          </w:divBdr>
          <w:divsChild>
            <w:div w:id="13576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9795">
      <w:bodyDiv w:val="1"/>
      <w:marLeft w:val="0"/>
      <w:marRight w:val="0"/>
      <w:marTop w:val="0"/>
      <w:marBottom w:val="0"/>
      <w:divBdr>
        <w:top w:val="none" w:sz="0" w:space="0" w:color="auto"/>
        <w:left w:val="none" w:sz="0" w:space="0" w:color="auto"/>
        <w:bottom w:val="none" w:sz="0" w:space="0" w:color="auto"/>
        <w:right w:val="none" w:sz="0" w:space="0" w:color="auto"/>
      </w:divBdr>
      <w:divsChild>
        <w:div w:id="1198273114">
          <w:marLeft w:val="0"/>
          <w:marRight w:val="0"/>
          <w:marTop w:val="0"/>
          <w:marBottom w:val="0"/>
          <w:divBdr>
            <w:top w:val="none" w:sz="0" w:space="0" w:color="auto"/>
            <w:left w:val="none" w:sz="0" w:space="0" w:color="auto"/>
            <w:bottom w:val="none" w:sz="0" w:space="0" w:color="auto"/>
            <w:right w:val="none" w:sz="0" w:space="0" w:color="auto"/>
          </w:divBdr>
          <w:divsChild>
            <w:div w:id="73990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90242">
      <w:bodyDiv w:val="1"/>
      <w:marLeft w:val="0"/>
      <w:marRight w:val="0"/>
      <w:marTop w:val="0"/>
      <w:marBottom w:val="0"/>
      <w:divBdr>
        <w:top w:val="none" w:sz="0" w:space="0" w:color="auto"/>
        <w:left w:val="none" w:sz="0" w:space="0" w:color="auto"/>
        <w:bottom w:val="none" w:sz="0" w:space="0" w:color="auto"/>
        <w:right w:val="none" w:sz="0" w:space="0" w:color="auto"/>
      </w:divBdr>
      <w:divsChild>
        <w:div w:id="524563995">
          <w:marLeft w:val="0"/>
          <w:marRight w:val="0"/>
          <w:marTop w:val="0"/>
          <w:marBottom w:val="0"/>
          <w:divBdr>
            <w:top w:val="none" w:sz="0" w:space="0" w:color="auto"/>
            <w:left w:val="none" w:sz="0" w:space="0" w:color="auto"/>
            <w:bottom w:val="none" w:sz="0" w:space="0" w:color="auto"/>
            <w:right w:val="none" w:sz="0" w:space="0" w:color="auto"/>
          </w:divBdr>
          <w:divsChild>
            <w:div w:id="74071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6113">
      <w:bodyDiv w:val="1"/>
      <w:marLeft w:val="0"/>
      <w:marRight w:val="0"/>
      <w:marTop w:val="0"/>
      <w:marBottom w:val="0"/>
      <w:divBdr>
        <w:top w:val="none" w:sz="0" w:space="0" w:color="auto"/>
        <w:left w:val="none" w:sz="0" w:space="0" w:color="auto"/>
        <w:bottom w:val="none" w:sz="0" w:space="0" w:color="auto"/>
        <w:right w:val="none" w:sz="0" w:space="0" w:color="auto"/>
      </w:divBdr>
      <w:divsChild>
        <w:div w:id="1756514444">
          <w:marLeft w:val="0"/>
          <w:marRight w:val="0"/>
          <w:marTop w:val="0"/>
          <w:marBottom w:val="0"/>
          <w:divBdr>
            <w:top w:val="none" w:sz="0" w:space="0" w:color="auto"/>
            <w:left w:val="none" w:sz="0" w:space="0" w:color="auto"/>
            <w:bottom w:val="none" w:sz="0" w:space="0" w:color="auto"/>
            <w:right w:val="none" w:sz="0" w:space="0" w:color="auto"/>
          </w:divBdr>
          <w:divsChild>
            <w:div w:id="130897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73082">
      <w:bodyDiv w:val="1"/>
      <w:marLeft w:val="0"/>
      <w:marRight w:val="0"/>
      <w:marTop w:val="0"/>
      <w:marBottom w:val="0"/>
      <w:divBdr>
        <w:top w:val="none" w:sz="0" w:space="0" w:color="auto"/>
        <w:left w:val="none" w:sz="0" w:space="0" w:color="auto"/>
        <w:bottom w:val="none" w:sz="0" w:space="0" w:color="auto"/>
        <w:right w:val="none" w:sz="0" w:space="0" w:color="auto"/>
      </w:divBdr>
      <w:divsChild>
        <w:div w:id="846754476">
          <w:marLeft w:val="0"/>
          <w:marRight w:val="0"/>
          <w:marTop w:val="0"/>
          <w:marBottom w:val="0"/>
          <w:divBdr>
            <w:top w:val="none" w:sz="0" w:space="0" w:color="auto"/>
            <w:left w:val="none" w:sz="0" w:space="0" w:color="auto"/>
            <w:bottom w:val="none" w:sz="0" w:space="0" w:color="auto"/>
            <w:right w:val="none" w:sz="0" w:space="0" w:color="auto"/>
          </w:divBdr>
          <w:divsChild>
            <w:div w:id="196962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13592">
      <w:bodyDiv w:val="1"/>
      <w:marLeft w:val="0"/>
      <w:marRight w:val="0"/>
      <w:marTop w:val="0"/>
      <w:marBottom w:val="0"/>
      <w:divBdr>
        <w:top w:val="none" w:sz="0" w:space="0" w:color="auto"/>
        <w:left w:val="none" w:sz="0" w:space="0" w:color="auto"/>
        <w:bottom w:val="none" w:sz="0" w:space="0" w:color="auto"/>
        <w:right w:val="none" w:sz="0" w:space="0" w:color="auto"/>
      </w:divBdr>
      <w:divsChild>
        <w:div w:id="1639450840">
          <w:marLeft w:val="0"/>
          <w:marRight w:val="0"/>
          <w:marTop w:val="0"/>
          <w:marBottom w:val="0"/>
          <w:divBdr>
            <w:top w:val="none" w:sz="0" w:space="0" w:color="auto"/>
            <w:left w:val="none" w:sz="0" w:space="0" w:color="auto"/>
            <w:bottom w:val="none" w:sz="0" w:space="0" w:color="auto"/>
            <w:right w:val="none" w:sz="0" w:space="0" w:color="auto"/>
          </w:divBdr>
          <w:divsChild>
            <w:div w:id="56144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163687">
      <w:bodyDiv w:val="1"/>
      <w:marLeft w:val="0"/>
      <w:marRight w:val="0"/>
      <w:marTop w:val="0"/>
      <w:marBottom w:val="0"/>
      <w:divBdr>
        <w:top w:val="none" w:sz="0" w:space="0" w:color="auto"/>
        <w:left w:val="none" w:sz="0" w:space="0" w:color="auto"/>
        <w:bottom w:val="none" w:sz="0" w:space="0" w:color="auto"/>
        <w:right w:val="none" w:sz="0" w:space="0" w:color="auto"/>
      </w:divBdr>
      <w:divsChild>
        <w:div w:id="278682747">
          <w:marLeft w:val="0"/>
          <w:marRight w:val="0"/>
          <w:marTop w:val="0"/>
          <w:marBottom w:val="0"/>
          <w:divBdr>
            <w:top w:val="none" w:sz="0" w:space="0" w:color="auto"/>
            <w:left w:val="none" w:sz="0" w:space="0" w:color="auto"/>
            <w:bottom w:val="none" w:sz="0" w:space="0" w:color="auto"/>
            <w:right w:val="none" w:sz="0" w:space="0" w:color="auto"/>
          </w:divBdr>
          <w:divsChild>
            <w:div w:id="4199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254645">
      <w:bodyDiv w:val="1"/>
      <w:marLeft w:val="0"/>
      <w:marRight w:val="0"/>
      <w:marTop w:val="0"/>
      <w:marBottom w:val="0"/>
      <w:divBdr>
        <w:top w:val="none" w:sz="0" w:space="0" w:color="auto"/>
        <w:left w:val="none" w:sz="0" w:space="0" w:color="auto"/>
        <w:bottom w:val="none" w:sz="0" w:space="0" w:color="auto"/>
        <w:right w:val="none" w:sz="0" w:space="0" w:color="auto"/>
      </w:divBdr>
      <w:divsChild>
        <w:div w:id="1571770920">
          <w:marLeft w:val="0"/>
          <w:marRight w:val="0"/>
          <w:marTop w:val="0"/>
          <w:marBottom w:val="0"/>
          <w:divBdr>
            <w:top w:val="none" w:sz="0" w:space="0" w:color="auto"/>
            <w:left w:val="none" w:sz="0" w:space="0" w:color="auto"/>
            <w:bottom w:val="none" w:sz="0" w:space="0" w:color="auto"/>
            <w:right w:val="none" w:sz="0" w:space="0" w:color="auto"/>
          </w:divBdr>
          <w:divsChild>
            <w:div w:id="58380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1239</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14</cp:revision>
  <dcterms:created xsi:type="dcterms:W3CDTF">2025-07-03T16:18:00Z</dcterms:created>
  <dcterms:modified xsi:type="dcterms:W3CDTF">2025-07-04T13:56:00Z</dcterms:modified>
</cp:coreProperties>
</file>