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EA0EB9A" w14:textId="77777777" w:rsidR="008E253C" w:rsidRDefault="008E253C" w:rsidP="002A069C">
      <w:pPr>
        <w:jc w:val="center"/>
        <w:rPr>
          <w:rFonts w:ascii="Calibri" w:hAnsi="Calibri" w:cs="Calibri"/>
          <w:sz w:val="24"/>
          <w:szCs w:val="24"/>
        </w:rPr>
      </w:pPr>
    </w:p>
    <w:p w14:paraId="3C1522FE" w14:textId="77777777" w:rsidR="008E253C" w:rsidRDefault="008E253C" w:rsidP="002A069C">
      <w:pPr>
        <w:jc w:val="center"/>
        <w:rPr>
          <w:rFonts w:ascii="Calibri" w:hAnsi="Calibri" w:cs="Calibri"/>
          <w:sz w:val="24"/>
          <w:szCs w:val="24"/>
        </w:rPr>
      </w:pPr>
    </w:p>
    <w:p w14:paraId="2F9942BC" w14:textId="77777777" w:rsidR="008E253C" w:rsidRDefault="008E253C" w:rsidP="002A069C">
      <w:pPr>
        <w:jc w:val="center"/>
        <w:rPr>
          <w:rFonts w:ascii="Calibri" w:hAnsi="Calibri" w:cs="Calibri"/>
          <w:sz w:val="24"/>
          <w:szCs w:val="24"/>
        </w:rPr>
      </w:pPr>
    </w:p>
    <w:p w14:paraId="47DEDA32" w14:textId="77777777" w:rsidR="008E253C" w:rsidRDefault="008E253C" w:rsidP="00DE6306">
      <w:pPr>
        <w:rPr>
          <w:rFonts w:ascii="Calibri" w:hAnsi="Calibri" w:cs="Calibri"/>
          <w:sz w:val="24"/>
          <w:szCs w:val="24"/>
        </w:rPr>
      </w:pPr>
    </w:p>
    <w:p w14:paraId="134C2471" w14:textId="77777777" w:rsidR="008E253C" w:rsidRDefault="008E253C" w:rsidP="002A069C">
      <w:pPr>
        <w:jc w:val="center"/>
        <w:rPr>
          <w:rFonts w:ascii="Calibri" w:hAnsi="Calibri" w:cs="Calibri"/>
          <w:sz w:val="24"/>
          <w:szCs w:val="24"/>
        </w:rPr>
      </w:pPr>
    </w:p>
    <w:p w14:paraId="1495077C" w14:textId="77777777" w:rsidR="008E253C" w:rsidRPr="008E253C" w:rsidRDefault="008E253C" w:rsidP="002A069C">
      <w:pPr>
        <w:jc w:val="center"/>
        <w:rPr>
          <w:rFonts w:ascii="Calibri" w:hAnsi="Calibri" w:cs="Calibri"/>
          <w:sz w:val="48"/>
          <w:szCs w:val="48"/>
        </w:rPr>
      </w:pPr>
    </w:p>
    <w:p w14:paraId="62389D69" w14:textId="6B1EB866" w:rsidR="002A069C" w:rsidRPr="008E253C" w:rsidRDefault="002A069C" w:rsidP="002A069C">
      <w:pPr>
        <w:jc w:val="center"/>
        <w:rPr>
          <w:rFonts w:ascii="Calibri" w:hAnsi="Calibri" w:cs="Calibri"/>
          <w:sz w:val="48"/>
          <w:szCs w:val="48"/>
        </w:rPr>
      </w:pPr>
      <w:r w:rsidRPr="008E253C">
        <w:rPr>
          <w:rFonts w:ascii="Calibri" w:hAnsi="Calibri" w:cs="Calibri"/>
          <w:sz w:val="48"/>
          <w:szCs w:val="48"/>
        </w:rPr>
        <w:t>Programme: BSc Psychology</w:t>
      </w:r>
    </w:p>
    <w:p w14:paraId="30FB9D7C" w14:textId="77777777" w:rsidR="002A069C" w:rsidRPr="008E253C" w:rsidRDefault="002A069C" w:rsidP="002A069C">
      <w:pPr>
        <w:jc w:val="center"/>
        <w:rPr>
          <w:rFonts w:ascii="Calibri" w:hAnsi="Calibri" w:cs="Calibri"/>
          <w:sz w:val="48"/>
          <w:szCs w:val="48"/>
        </w:rPr>
      </w:pPr>
      <w:r w:rsidRPr="008E253C">
        <w:rPr>
          <w:rFonts w:ascii="Calibri" w:hAnsi="Calibri" w:cs="Calibri"/>
          <w:sz w:val="48"/>
          <w:szCs w:val="48"/>
        </w:rPr>
        <w:t>BSc Psychology and Counselling</w:t>
      </w:r>
    </w:p>
    <w:p w14:paraId="3FD57DCE" w14:textId="77777777" w:rsidR="002A069C" w:rsidRPr="008E253C" w:rsidRDefault="002A069C" w:rsidP="002A069C">
      <w:pPr>
        <w:jc w:val="center"/>
        <w:rPr>
          <w:rFonts w:ascii="Calibri" w:hAnsi="Calibri" w:cs="Calibri"/>
          <w:sz w:val="48"/>
          <w:szCs w:val="48"/>
        </w:rPr>
      </w:pPr>
      <w:r w:rsidRPr="008E253C">
        <w:rPr>
          <w:rFonts w:ascii="Calibri" w:hAnsi="Calibri" w:cs="Calibri"/>
          <w:sz w:val="48"/>
          <w:szCs w:val="48"/>
        </w:rPr>
        <w:t>Module: CBT and the New Cognitive Therapies</w:t>
      </w:r>
    </w:p>
    <w:p w14:paraId="7C4826EB" w14:textId="77777777" w:rsidR="00E8115D" w:rsidRPr="008E253C" w:rsidRDefault="002A069C" w:rsidP="002A069C">
      <w:pPr>
        <w:jc w:val="center"/>
        <w:rPr>
          <w:rFonts w:ascii="Calibri" w:hAnsi="Calibri" w:cs="Calibri"/>
          <w:sz w:val="48"/>
          <w:szCs w:val="48"/>
        </w:rPr>
      </w:pPr>
      <w:r w:rsidRPr="008E253C">
        <w:rPr>
          <w:rFonts w:ascii="Calibri" w:hAnsi="Calibri" w:cs="Calibri"/>
          <w:sz w:val="48"/>
          <w:szCs w:val="48"/>
        </w:rPr>
        <w:t>Module code: ECPS6007</w:t>
      </w:r>
    </w:p>
    <w:p w14:paraId="7709F277" w14:textId="77777777" w:rsidR="002A069C" w:rsidRPr="008E253C" w:rsidRDefault="002A069C" w:rsidP="002A069C">
      <w:pPr>
        <w:jc w:val="center"/>
        <w:rPr>
          <w:rFonts w:ascii="Calibri" w:hAnsi="Calibri" w:cs="Calibri"/>
          <w:sz w:val="48"/>
          <w:szCs w:val="48"/>
        </w:rPr>
      </w:pPr>
    </w:p>
    <w:p w14:paraId="53A7AB0D" w14:textId="77777777" w:rsidR="002A069C" w:rsidRPr="008E253C" w:rsidRDefault="002A069C" w:rsidP="002A069C">
      <w:pPr>
        <w:jc w:val="center"/>
        <w:rPr>
          <w:rFonts w:ascii="Calibri" w:hAnsi="Calibri" w:cs="Calibri"/>
          <w:sz w:val="48"/>
          <w:szCs w:val="48"/>
        </w:rPr>
      </w:pPr>
      <w:r w:rsidRPr="008E253C">
        <w:rPr>
          <w:rFonts w:ascii="Calibri" w:hAnsi="Calibri" w:cs="Calibri"/>
          <w:sz w:val="48"/>
          <w:szCs w:val="48"/>
        </w:rPr>
        <w:t>Component 1: Critical</w:t>
      </w:r>
    </w:p>
    <w:p w14:paraId="6259FA3F" w14:textId="77777777" w:rsidR="002A069C" w:rsidRPr="008E253C" w:rsidRDefault="002A069C" w:rsidP="002A069C">
      <w:pPr>
        <w:jc w:val="center"/>
        <w:rPr>
          <w:rFonts w:ascii="Calibri" w:hAnsi="Calibri" w:cs="Calibri"/>
          <w:sz w:val="48"/>
          <w:szCs w:val="48"/>
        </w:rPr>
      </w:pPr>
      <w:r w:rsidRPr="008E253C">
        <w:rPr>
          <w:rFonts w:ascii="Calibri" w:hAnsi="Calibri" w:cs="Calibri"/>
          <w:sz w:val="48"/>
          <w:szCs w:val="48"/>
        </w:rPr>
        <w:t>Journal Review</w:t>
      </w:r>
    </w:p>
    <w:p w14:paraId="06CF524E" w14:textId="77777777" w:rsidR="002A069C" w:rsidRDefault="002A069C" w:rsidP="002A069C">
      <w:pPr>
        <w:jc w:val="center"/>
        <w:rPr>
          <w:rFonts w:ascii="Calibri" w:hAnsi="Calibri" w:cs="Calibri"/>
          <w:sz w:val="24"/>
          <w:szCs w:val="24"/>
        </w:rPr>
      </w:pPr>
    </w:p>
    <w:p w14:paraId="2AD71609" w14:textId="77777777" w:rsidR="002A069C" w:rsidRDefault="002A069C" w:rsidP="002A069C">
      <w:pPr>
        <w:jc w:val="center"/>
        <w:rPr>
          <w:rFonts w:ascii="Calibri" w:hAnsi="Calibri" w:cs="Calibri"/>
          <w:sz w:val="24"/>
          <w:szCs w:val="24"/>
        </w:rPr>
      </w:pPr>
    </w:p>
    <w:p w14:paraId="5E8BA326" w14:textId="77777777" w:rsidR="002A069C" w:rsidRDefault="002A069C" w:rsidP="002A069C">
      <w:pPr>
        <w:jc w:val="center"/>
        <w:rPr>
          <w:rFonts w:ascii="Calibri" w:hAnsi="Calibri" w:cs="Calibri"/>
          <w:sz w:val="24"/>
          <w:szCs w:val="24"/>
        </w:rPr>
      </w:pPr>
    </w:p>
    <w:p w14:paraId="25F33246" w14:textId="77777777" w:rsidR="002A069C" w:rsidRDefault="002A069C" w:rsidP="002A069C">
      <w:pPr>
        <w:jc w:val="center"/>
        <w:rPr>
          <w:rFonts w:ascii="Calibri" w:hAnsi="Calibri" w:cs="Calibri"/>
          <w:sz w:val="24"/>
          <w:szCs w:val="24"/>
        </w:rPr>
      </w:pPr>
    </w:p>
    <w:p w14:paraId="0B8F5153" w14:textId="77777777" w:rsidR="002A069C" w:rsidRDefault="002A069C" w:rsidP="002A069C">
      <w:pPr>
        <w:jc w:val="center"/>
        <w:rPr>
          <w:rFonts w:ascii="Calibri" w:hAnsi="Calibri" w:cs="Calibri"/>
          <w:sz w:val="24"/>
          <w:szCs w:val="24"/>
        </w:rPr>
      </w:pPr>
    </w:p>
    <w:p w14:paraId="00E5F57E" w14:textId="77777777" w:rsidR="002A069C" w:rsidRDefault="002A069C" w:rsidP="002A069C">
      <w:pPr>
        <w:jc w:val="center"/>
        <w:rPr>
          <w:rFonts w:ascii="Calibri" w:hAnsi="Calibri" w:cs="Calibri"/>
          <w:sz w:val="24"/>
          <w:szCs w:val="24"/>
        </w:rPr>
      </w:pPr>
    </w:p>
    <w:p w14:paraId="68028A9D" w14:textId="77777777" w:rsidR="002A069C" w:rsidRDefault="002A069C" w:rsidP="002A069C">
      <w:pPr>
        <w:jc w:val="center"/>
        <w:rPr>
          <w:rFonts w:ascii="Calibri" w:hAnsi="Calibri" w:cs="Calibri"/>
          <w:sz w:val="24"/>
          <w:szCs w:val="24"/>
        </w:rPr>
      </w:pPr>
    </w:p>
    <w:p w14:paraId="487BBB31" w14:textId="77777777" w:rsidR="00DE6306" w:rsidRDefault="00DE6306" w:rsidP="002A069C">
      <w:pPr>
        <w:jc w:val="center"/>
        <w:rPr>
          <w:rFonts w:ascii="Calibri" w:hAnsi="Calibri" w:cs="Calibri"/>
          <w:sz w:val="24"/>
          <w:szCs w:val="24"/>
        </w:rPr>
      </w:pPr>
    </w:p>
    <w:p w14:paraId="39EA2EBF" w14:textId="77777777" w:rsidR="00DE6306" w:rsidRDefault="00DE6306" w:rsidP="002A069C">
      <w:pPr>
        <w:jc w:val="center"/>
        <w:rPr>
          <w:rFonts w:ascii="Calibri" w:hAnsi="Calibri" w:cs="Calibri"/>
          <w:sz w:val="24"/>
          <w:szCs w:val="24"/>
        </w:rPr>
      </w:pPr>
    </w:p>
    <w:p w14:paraId="51A58215" w14:textId="77777777" w:rsidR="00DE6306" w:rsidRDefault="00DE6306" w:rsidP="002A069C">
      <w:pPr>
        <w:jc w:val="center"/>
        <w:rPr>
          <w:rFonts w:ascii="Calibri" w:hAnsi="Calibri" w:cs="Calibri"/>
          <w:sz w:val="24"/>
          <w:szCs w:val="24"/>
        </w:rPr>
      </w:pPr>
    </w:p>
    <w:p w14:paraId="592B48EE" w14:textId="516811A0" w:rsidR="00DE6306" w:rsidRPr="00DE6306" w:rsidRDefault="00DE6306" w:rsidP="00DE6306">
      <w:pPr>
        <w:spacing w:line="480" w:lineRule="auto"/>
        <w:ind w:firstLine="720"/>
        <w:rPr>
          <w:rFonts w:ascii="Calibri" w:hAnsi="Calibri" w:cs="Calibri"/>
          <w:b/>
          <w:bCs/>
          <w:sz w:val="24"/>
          <w:szCs w:val="24"/>
        </w:rPr>
      </w:pPr>
      <w:r w:rsidRPr="00DE6306">
        <w:rPr>
          <w:rFonts w:ascii="Calibri" w:hAnsi="Calibri" w:cs="Calibri"/>
          <w:b/>
          <w:bCs/>
          <w:sz w:val="24"/>
          <w:szCs w:val="24"/>
        </w:rPr>
        <w:lastRenderedPageBreak/>
        <w:t>Introduction</w:t>
      </w:r>
    </w:p>
    <w:p w14:paraId="496E276A" w14:textId="1E4D60F1" w:rsidR="00A17F22" w:rsidRDefault="00A17F22" w:rsidP="00DE6306">
      <w:pPr>
        <w:spacing w:line="480" w:lineRule="auto"/>
        <w:ind w:firstLine="720"/>
        <w:rPr>
          <w:rFonts w:ascii="Calibri" w:hAnsi="Calibri" w:cs="Calibri"/>
          <w:sz w:val="24"/>
          <w:szCs w:val="24"/>
        </w:rPr>
      </w:pPr>
      <w:r w:rsidRPr="00A17F22">
        <w:rPr>
          <w:rFonts w:ascii="Calibri" w:hAnsi="Calibri" w:cs="Calibri"/>
          <w:sz w:val="24"/>
          <w:szCs w:val="24"/>
        </w:rPr>
        <w:t xml:space="preserve">In a study by </w:t>
      </w:r>
      <w:proofErr w:type="spellStart"/>
      <w:r w:rsidRPr="00A17F22">
        <w:rPr>
          <w:rFonts w:ascii="Calibri" w:hAnsi="Calibri" w:cs="Calibri"/>
          <w:sz w:val="24"/>
          <w:szCs w:val="24"/>
        </w:rPr>
        <w:t>Pachankis</w:t>
      </w:r>
      <w:proofErr w:type="spellEnd"/>
      <w:r w:rsidRPr="00A17F22">
        <w:rPr>
          <w:rFonts w:ascii="Calibri" w:hAnsi="Calibri" w:cs="Calibri"/>
          <w:sz w:val="24"/>
          <w:szCs w:val="24"/>
        </w:rPr>
        <w:t xml:space="preserve"> et al.</w:t>
      </w:r>
      <w:r w:rsidR="00593A49">
        <w:rPr>
          <w:rFonts w:ascii="Calibri" w:hAnsi="Calibri" w:cs="Calibri"/>
          <w:sz w:val="24"/>
          <w:szCs w:val="24"/>
        </w:rPr>
        <w:t xml:space="preserve">, </w:t>
      </w:r>
      <w:r w:rsidRPr="00A17F22">
        <w:rPr>
          <w:rFonts w:ascii="Calibri" w:hAnsi="Calibri" w:cs="Calibri"/>
          <w:sz w:val="24"/>
          <w:szCs w:val="24"/>
        </w:rPr>
        <w:t xml:space="preserve">(2023) examined the effectiveness of guided  LGBTQ affirmative cognitive behavioural therapy (CBT) on the mental health of sexual minority youth, intending to understand the impact of minority stress on psychological distress. The study is notable in that it addresses growing concerns about mental health disparities among LGBTQ people due to systematic discrimination, social stigma and negative group ideologies towards their identities. Using a randomised controlled trial, the authors aimed to understand whether a cognitive-behavioural intervention treatment model, with the experiences of sexual minority youth, may be more effective compared to traditional cognitive-behavioural interventions. The results of the study indicate that affirmative online CBT for LGBTQ people reduces significant levels of depression and anxiety, supporting the hypothesis of identity affirming mental health interventions for marginalised populations. While the study provides concrete evidence for affirmative treatment, there are important factors of accessibility, cultural generalisability and treatment sustainability. </w:t>
      </w:r>
      <w:r w:rsidR="00DF6F6A" w:rsidRPr="00DF6F6A">
        <w:rPr>
          <w:rFonts w:ascii="Calibri" w:hAnsi="Calibri" w:cs="Calibri"/>
          <w:sz w:val="24"/>
          <w:szCs w:val="24"/>
        </w:rPr>
        <w:t>With the development of internet-based mental health care interventions, this study has significant implications for clinical practice as evidenced by an overview of the research design, contributions of theory and larger community implications.</w:t>
      </w:r>
    </w:p>
    <w:p w14:paraId="75D9EB7E" w14:textId="77777777" w:rsidR="00AD2BA3" w:rsidRDefault="00AD2BA3" w:rsidP="00A17F22">
      <w:pPr>
        <w:rPr>
          <w:rFonts w:ascii="Calibri" w:hAnsi="Calibri" w:cs="Calibri"/>
          <w:sz w:val="24"/>
          <w:szCs w:val="24"/>
        </w:rPr>
      </w:pPr>
    </w:p>
    <w:p w14:paraId="6DE5A9AC" w14:textId="261F5492" w:rsidR="00AD2BA3" w:rsidRDefault="00AD2BA3" w:rsidP="00A17F22">
      <w:pPr>
        <w:rPr>
          <w:rFonts w:ascii="Calibri" w:hAnsi="Calibri" w:cs="Calibri"/>
          <w:b/>
          <w:bCs/>
          <w:sz w:val="24"/>
          <w:szCs w:val="24"/>
        </w:rPr>
      </w:pPr>
      <w:r w:rsidRPr="00AD2BA3">
        <w:rPr>
          <w:rFonts w:ascii="Calibri" w:hAnsi="Calibri" w:cs="Calibri"/>
          <w:b/>
          <w:bCs/>
          <w:sz w:val="24"/>
          <w:szCs w:val="24"/>
        </w:rPr>
        <w:t>Summary</w:t>
      </w:r>
    </w:p>
    <w:p w14:paraId="57DBB84E" w14:textId="2E415625" w:rsidR="00AD2BA3" w:rsidRPr="004D1CD2" w:rsidRDefault="004D1CD2" w:rsidP="00DE6306">
      <w:pPr>
        <w:spacing w:line="480" w:lineRule="auto"/>
        <w:ind w:firstLine="720"/>
        <w:rPr>
          <w:rFonts w:ascii="Calibri" w:hAnsi="Calibri" w:cs="Calibri"/>
          <w:sz w:val="24"/>
          <w:szCs w:val="24"/>
        </w:rPr>
      </w:pPr>
      <w:proofErr w:type="spellStart"/>
      <w:r w:rsidRPr="004D1CD2">
        <w:rPr>
          <w:rFonts w:ascii="Calibri" w:hAnsi="Calibri" w:cs="Calibri"/>
          <w:sz w:val="24"/>
          <w:szCs w:val="24"/>
        </w:rPr>
        <w:t>Pachankis</w:t>
      </w:r>
      <w:proofErr w:type="spellEnd"/>
      <w:r w:rsidRPr="004D1CD2">
        <w:rPr>
          <w:rFonts w:ascii="Calibri" w:hAnsi="Calibri" w:cs="Calibri"/>
          <w:sz w:val="24"/>
          <w:szCs w:val="24"/>
        </w:rPr>
        <w:t xml:space="preserve"> et al</w:t>
      </w:r>
      <w:r>
        <w:rPr>
          <w:rFonts w:ascii="Calibri" w:hAnsi="Calibri" w:cs="Calibri"/>
          <w:sz w:val="24"/>
          <w:szCs w:val="24"/>
        </w:rPr>
        <w:t>.</w:t>
      </w:r>
      <w:r w:rsidR="008E253C">
        <w:rPr>
          <w:rFonts w:ascii="Calibri" w:hAnsi="Calibri" w:cs="Calibri"/>
          <w:sz w:val="24"/>
          <w:szCs w:val="24"/>
        </w:rPr>
        <w:t>,</w:t>
      </w:r>
      <w:r w:rsidRPr="004D1CD2">
        <w:rPr>
          <w:rFonts w:ascii="Calibri" w:hAnsi="Calibri" w:cs="Calibri"/>
          <w:sz w:val="24"/>
          <w:szCs w:val="24"/>
        </w:rPr>
        <w:t xml:space="preserve"> (2023) tried to discover whether LGBTQ-affirming online cognitive-behavioural therapy could reduce minority stress, anxiety and depressive signs among sexual minority youth whose psychological difficulties are compounded by stigma and discrimination. The authors argue that even though traditional cognitive-behavioural treatment has been widely practised in the treatment of mental illness, its effectiveness may </w:t>
      </w:r>
      <w:r w:rsidRPr="004D1CD2">
        <w:rPr>
          <w:rFonts w:ascii="Calibri" w:hAnsi="Calibri" w:cs="Calibri"/>
          <w:sz w:val="24"/>
          <w:szCs w:val="24"/>
        </w:rPr>
        <w:lastRenderedPageBreak/>
        <w:t>not fully address the individual sources of stress associated with being LGBTQ, including homophobia, rejection and conformity. To test their hypothesis, they conducted a randomised controlled trial (</w:t>
      </w:r>
      <w:proofErr w:type="spellStart"/>
      <w:r w:rsidRPr="004D1CD2">
        <w:rPr>
          <w:rFonts w:ascii="Calibri" w:hAnsi="Calibri" w:cs="Calibri"/>
          <w:sz w:val="24"/>
          <w:szCs w:val="24"/>
        </w:rPr>
        <w:t>Pachankis</w:t>
      </w:r>
      <w:proofErr w:type="spellEnd"/>
      <w:r w:rsidRPr="004D1CD2">
        <w:rPr>
          <w:rFonts w:ascii="Calibri" w:hAnsi="Calibri" w:cs="Calibri"/>
          <w:sz w:val="24"/>
          <w:szCs w:val="24"/>
        </w:rPr>
        <w:t xml:space="preserve"> et al., 2023). Participants were assigned to two categories: those who received online CBT with LGBTQ affirmation and those who were on a waiting list for the control group. Treatment was structured using cognitive-behavioural methods combined with minority stress factors treated with specific coping skills and identity acceptance materials. At the end of treatment, results indicated that participants receiving CBT with LGBTQ affirmation had improved mental health compared to the control group, suggesting that treatment reduces minority-related stress </w:t>
      </w:r>
      <w:proofErr w:type="spellStart"/>
      <w:r w:rsidRPr="004D1CD2">
        <w:rPr>
          <w:rFonts w:ascii="Calibri" w:hAnsi="Calibri" w:cs="Calibri"/>
          <w:sz w:val="24"/>
          <w:szCs w:val="24"/>
        </w:rPr>
        <w:t>Pachankis</w:t>
      </w:r>
      <w:proofErr w:type="spellEnd"/>
      <w:r w:rsidRPr="004D1CD2">
        <w:rPr>
          <w:rFonts w:ascii="Calibri" w:hAnsi="Calibri" w:cs="Calibri"/>
          <w:sz w:val="24"/>
          <w:szCs w:val="24"/>
        </w:rPr>
        <w:t xml:space="preserve"> et al., </w:t>
      </w:r>
      <w:r w:rsidR="008E253C">
        <w:rPr>
          <w:rFonts w:ascii="Calibri" w:hAnsi="Calibri" w:cs="Calibri"/>
          <w:sz w:val="24"/>
          <w:szCs w:val="24"/>
        </w:rPr>
        <w:t>(</w:t>
      </w:r>
      <w:r w:rsidRPr="004D1CD2">
        <w:rPr>
          <w:rFonts w:ascii="Calibri" w:hAnsi="Calibri" w:cs="Calibri"/>
          <w:sz w:val="24"/>
          <w:szCs w:val="24"/>
        </w:rPr>
        <w:t>2023).</w:t>
      </w:r>
    </w:p>
    <w:p w14:paraId="3A601408" w14:textId="77777777" w:rsidR="00DE6306" w:rsidRPr="00DE6306" w:rsidRDefault="00DE6306" w:rsidP="00DE6306">
      <w:pPr>
        <w:spacing w:after="0" w:line="480" w:lineRule="auto"/>
        <w:ind w:firstLine="720"/>
        <w:rPr>
          <w:rFonts w:ascii="Calibri" w:eastAsia="Times New Roman" w:hAnsi="Calibri" w:cs="Calibri"/>
          <w:kern w:val="0"/>
          <w:sz w:val="24"/>
          <w:szCs w:val="24"/>
          <w14:ligatures w14:val="none"/>
        </w:rPr>
      </w:pPr>
      <w:r w:rsidRPr="00DE6306">
        <w:rPr>
          <w:rFonts w:ascii="Calibri" w:eastAsia="Times New Roman" w:hAnsi="Calibri" w:cs="Calibri"/>
          <w:kern w:val="0"/>
          <w:sz w:val="24"/>
          <w:szCs w:val="24"/>
          <w14:ligatures w14:val="none"/>
        </w:rPr>
        <w:t>The authors point out that such improvements were statistically significant and clinically significant, affirming the importance of more identity-acceptance mental treatment. The study admits, however, that there are some shortcomings, including the use of self-report data and lack of assessments after a period of time. These factors may affect the generalizability of the research.</w:t>
      </w:r>
    </w:p>
    <w:p w14:paraId="12ED535F" w14:textId="77777777" w:rsidR="00DE6306" w:rsidRPr="00DE6306" w:rsidRDefault="00DE6306" w:rsidP="00DE6306">
      <w:pPr>
        <w:spacing w:after="0" w:line="480" w:lineRule="auto"/>
        <w:ind w:firstLine="720"/>
        <w:rPr>
          <w:rFonts w:ascii="Calibri" w:eastAsia="Times New Roman" w:hAnsi="Calibri" w:cs="Calibri"/>
          <w:kern w:val="0"/>
          <w:sz w:val="24"/>
          <w:szCs w:val="24"/>
          <w14:ligatures w14:val="none"/>
        </w:rPr>
      </w:pPr>
      <w:r w:rsidRPr="00DE6306">
        <w:rPr>
          <w:rFonts w:ascii="Calibri" w:eastAsia="Times New Roman" w:hAnsi="Calibri" w:cs="Calibri"/>
          <w:kern w:val="0"/>
          <w:sz w:val="24"/>
          <w:szCs w:val="24"/>
          <w14:ligatures w14:val="none"/>
        </w:rPr>
        <w:t>A key observation of the study's findings is the status of minority stress both as a target and source of mental health intervention and the psychological toll of systematic discrimination and societal stigma on LGBTQ individuals. The authors point out that unlike traditional CBT, where cognitive distortions and maladaptive behaviours are prioritized, the LGBTQ-affirmative intervention adds skills for individuals to cope with outside sources of sexuality-related stress, such as being ostracized from society, experiences of prejudices, and internalized doubts. In directly addressing these, the intervention equips participants with skills for addressing outside and inside sources of minority stress (</w:t>
      </w:r>
      <w:proofErr w:type="spellStart"/>
      <w:r w:rsidRPr="00DE6306">
        <w:rPr>
          <w:rFonts w:ascii="Calibri" w:eastAsia="Times New Roman" w:hAnsi="Calibri" w:cs="Calibri"/>
          <w:kern w:val="0"/>
          <w:sz w:val="24"/>
          <w:szCs w:val="24"/>
          <w14:ligatures w14:val="none"/>
        </w:rPr>
        <w:t>Pachankis</w:t>
      </w:r>
      <w:proofErr w:type="spellEnd"/>
      <w:r w:rsidRPr="00DE6306">
        <w:rPr>
          <w:rFonts w:ascii="Calibri" w:eastAsia="Times New Roman" w:hAnsi="Calibri" w:cs="Calibri"/>
          <w:kern w:val="0"/>
          <w:sz w:val="24"/>
          <w:szCs w:val="24"/>
          <w14:ligatures w14:val="none"/>
        </w:rPr>
        <w:t xml:space="preserve"> </w:t>
      </w:r>
      <w:r w:rsidRPr="00DE6306">
        <w:rPr>
          <w:rFonts w:ascii="Calibri" w:eastAsia="Times New Roman" w:hAnsi="Calibri" w:cs="Calibri"/>
          <w:iCs/>
          <w:kern w:val="0"/>
          <w:sz w:val="24"/>
          <w:szCs w:val="24"/>
          <w14:ligatures w14:val="none"/>
        </w:rPr>
        <w:t>et al.,</w:t>
      </w:r>
      <w:r w:rsidRPr="00DE6306">
        <w:rPr>
          <w:rFonts w:ascii="Calibri" w:eastAsia="Times New Roman" w:hAnsi="Calibri" w:cs="Calibri"/>
          <w:kern w:val="0"/>
          <w:sz w:val="24"/>
          <w:szCs w:val="24"/>
          <w14:ligatures w14:val="none"/>
        </w:rPr>
        <w:t xml:space="preserve"> 2023). It enables them to redefine negative perceptions of the self and promote psychological resilience. The authors made use of a range of measurement methods, </w:t>
      </w:r>
      <w:r w:rsidRPr="00DE6306">
        <w:rPr>
          <w:rFonts w:ascii="Calibri" w:eastAsia="Times New Roman" w:hAnsi="Calibri" w:cs="Calibri"/>
          <w:kern w:val="0"/>
          <w:sz w:val="24"/>
          <w:szCs w:val="24"/>
          <w14:ligatures w14:val="none"/>
        </w:rPr>
        <w:lastRenderedPageBreak/>
        <w:t>including standardized self-report surveys and clinical ratings, for measuring improvements in depressive symptoms, levels of anxiety, and perceptions of minority stress pre-and post-intervention (</w:t>
      </w:r>
      <w:proofErr w:type="spellStart"/>
      <w:r w:rsidRPr="00DE6306">
        <w:rPr>
          <w:rFonts w:ascii="Calibri" w:eastAsia="Times New Roman" w:hAnsi="Calibri" w:cs="Calibri"/>
          <w:kern w:val="0"/>
          <w:sz w:val="24"/>
          <w:szCs w:val="24"/>
          <w14:ligatures w14:val="none"/>
        </w:rPr>
        <w:t>Pachankis</w:t>
      </w:r>
      <w:proofErr w:type="spellEnd"/>
      <w:r w:rsidRPr="00DE6306">
        <w:rPr>
          <w:rFonts w:ascii="Calibri" w:eastAsia="Times New Roman" w:hAnsi="Calibri" w:cs="Calibri"/>
          <w:kern w:val="0"/>
          <w:sz w:val="24"/>
          <w:szCs w:val="24"/>
          <w14:ligatures w14:val="none"/>
        </w:rPr>
        <w:t xml:space="preserve"> </w:t>
      </w:r>
      <w:r w:rsidRPr="00DE6306">
        <w:rPr>
          <w:rFonts w:ascii="Calibri" w:eastAsia="Times New Roman" w:hAnsi="Calibri" w:cs="Calibri"/>
          <w:iCs/>
          <w:kern w:val="0"/>
          <w:sz w:val="24"/>
          <w:szCs w:val="24"/>
          <w14:ligatures w14:val="none"/>
        </w:rPr>
        <w:t>et al.,</w:t>
      </w:r>
      <w:r w:rsidRPr="00DE6306">
        <w:rPr>
          <w:rFonts w:ascii="Calibri" w:eastAsia="Times New Roman" w:hAnsi="Calibri" w:cs="Calibri"/>
          <w:kern w:val="0"/>
          <w:sz w:val="24"/>
          <w:szCs w:val="24"/>
          <w14:ligatures w14:val="none"/>
        </w:rPr>
        <w:t xml:space="preserve"> 2023). The findings established not only short-term improvements in levels of stress but also improvements in participants' perceptions of efficacy and competence in responding to stigma, and this lends weight to the study's main observation of affirmative therapy's significance in LGBTQ mental health treatment. However, even with the positive outcomes indicated, the authors point out factors such as networks of supportive networks and regional variations in levels of LGBTQ acceptance and pose questions on its general applicability.</w:t>
      </w:r>
    </w:p>
    <w:p w14:paraId="35A41C88" w14:textId="4106FB38" w:rsidR="00DE6306" w:rsidRPr="00DE6306" w:rsidRDefault="00DE6306" w:rsidP="00DE6306">
      <w:pPr>
        <w:spacing w:after="0" w:line="480" w:lineRule="auto"/>
        <w:ind w:firstLine="720"/>
        <w:rPr>
          <w:rFonts w:ascii="Calibri" w:eastAsia="Times New Roman" w:hAnsi="Calibri" w:cs="Calibri"/>
          <w:kern w:val="0"/>
          <w:sz w:val="24"/>
          <w:szCs w:val="24"/>
          <w14:ligatures w14:val="none"/>
        </w:rPr>
      </w:pPr>
      <w:r w:rsidRPr="00DE6306">
        <w:rPr>
          <w:rFonts w:ascii="Calibri" w:eastAsia="Times New Roman" w:hAnsi="Calibri" w:cs="Calibri"/>
          <w:kern w:val="0"/>
          <w:sz w:val="24"/>
          <w:szCs w:val="24"/>
          <w14:ligatures w14:val="none"/>
        </w:rPr>
        <w:t>Regarding methodology, this study appears to have a high-quality research design because the focus is placed on a randomized control trial, which is usually regarded as the most appropriate for evaluating the efficacy of any psychological intervention. The participants were recruited from different online sites to achieve a heterogeneous sample, including varying gender identities, sex, and cultural backgrounds. The intervention process was also carefully designed, where participants were provided CBT in a simplified manner while receiving assistance and guidance from therapists (</w:t>
      </w:r>
      <w:proofErr w:type="spellStart"/>
      <w:r w:rsidRPr="00DE6306">
        <w:rPr>
          <w:rFonts w:ascii="Calibri" w:eastAsia="Times New Roman" w:hAnsi="Calibri" w:cs="Calibri"/>
          <w:kern w:val="0"/>
          <w:sz w:val="24"/>
          <w:szCs w:val="24"/>
          <w14:ligatures w14:val="none"/>
        </w:rPr>
        <w:t>Pachankis</w:t>
      </w:r>
      <w:proofErr w:type="spellEnd"/>
      <w:r w:rsidRPr="00DE6306">
        <w:rPr>
          <w:rFonts w:ascii="Calibri" w:eastAsia="Times New Roman" w:hAnsi="Calibri" w:cs="Calibri"/>
          <w:kern w:val="0"/>
          <w:sz w:val="24"/>
          <w:szCs w:val="24"/>
          <w14:ligatures w14:val="none"/>
        </w:rPr>
        <w:t xml:space="preserve"> et al., 2023). The data collection process of this study utilized analytic techniques for measuring the degree of improvement in mental health outcomes of the subjects of treatment as opposed to the control group, with the results of the study demonstrating improvement in mental health problems, particularly depression and anxiety, by providing CBT to LGBTQ patients. There are, however, separate problems for each case that remain unsolved, especially one related to providing self-reported assessments of mental health. Scholars such as Durmaz et al.</w:t>
      </w:r>
      <w:r w:rsidRPr="00DE6306">
        <w:rPr>
          <w:rFonts w:ascii="Calibri" w:eastAsia="Times New Roman" w:hAnsi="Calibri" w:cs="Calibri"/>
          <w:kern w:val="0"/>
          <w:sz w:val="24"/>
          <w:szCs w:val="24"/>
          <w14:ligatures w14:val="none"/>
        </w:rPr>
        <w:t xml:space="preserve">, </w:t>
      </w:r>
      <w:r w:rsidRPr="00DE6306">
        <w:rPr>
          <w:rFonts w:ascii="Calibri" w:eastAsia="Times New Roman" w:hAnsi="Calibri" w:cs="Calibri"/>
          <w:kern w:val="0"/>
          <w:sz w:val="24"/>
          <w:szCs w:val="24"/>
          <w14:ligatures w14:val="none"/>
        </w:rPr>
        <w:t xml:space="preserve">(2020) note that self-reporting is subjected to bias and inaccuracies in participants' answers. The findings also suggest that the study is not longitudinal, which in turn means that the </w:t>
      </w:r>
      <w:r w:rsidRPr="00DE6306">
        <w:rPr>
          <w:rFonts w:ascii="Calibri" w:eastAsia="Times New Roman" w:hAnsi="Calibri" w:cs="Calibri"/>
          <w:kern w:val="0"/>
          <w:sz w:val="24"/>
          <w:szCs w:val="24"/>
          <w14:ligatures w14:val="none"/>
        </w:rPr>
        <w:lastRenderedPageBreak/>
        <w:t>long-term effects of the intervention are unknown, and future studies are needed to establish mental health. The analysis, despite its flaws, provides commendable proof of the necessity of personalized facilitations for sex-minority youths to fill the gap in mental health differences throughout the population.</w:t>
      </w:r>
    </w:p>
    <w:p w14:paraId="73E77002" w14:textId="77777777" w:rsidR="00DE6306" w:rsidRPr="00DE6306" w:rsidRDefault="00DE6306" w:rsidP="00DE6306">
      <w:pPr>
        <w:spacing w:after="0" w:line="480" w:lineRule="auto"/>
        <w:rPr>
          <w:rFonts w:ascii="Calibri" w:eastAsia="Times New Roman" w:hAnsi="Calibri" w:cs="Calibri"/>
          <w:kern w:val="0"/>
          <w:sz w:val="24"/>
          <w:szCs w:val="24"/>
          <w14:ligatures w14:val="none"/>
        </w:rPr>
      </w:pPr>
      <w:r w:rsidRPr="00DE6306">
        <w:rPr>
          <w:rFonts w:ascii="Calibri" w:eastAsia="Times New Roman" w:hAnsi="Calibri" w:cs="Calibri"/>
          <w:b/>
          <w:kern w:val="0"/>
          <w:sz w:val="24"/>
          <w:szCs w:val="24"/>
          <w14:ligatures w14:val="none"/>
        </w:rPr>
        <w:t>Critique</w:t>
      </w:r>
    </w:p>
    <w:p w14:paraId="10C0FE6E" w14:textId="77777777" w:rsidR="00DE6306" w:rsidRPr="00DE6306" w:rsidRDefault="00DE6306" w:rsidP="00DE6306">
      <w:pPr>
        <w:spacing w:after="0" w:line="480" w:lineRule="auto"/>
        <w:ind w:firstLine="720"/>
        <w:rPr>
          <w:rFonts w:ascii="Calibri" w:eastAsia="Times New Roman" w:hAnsi="Calibri" w:cs="Calibri"/>
          <w:kern w:val="0"/>
          <w:sz w:val="24"/>
          <w:szCs w:val="24"/>
          <w14:ligatures w14:val="none"/>
        </w:rPr>
      </w:pPr>
      <w:r w:rsidRPr="00DE6306">
        <w:rPr>
          <w:rFonts w:ascii="Calibri" w:eastAsia="Times New Roman" w:hAnsi="Calibri" w:cs="Calibri"/>
          <w:kern w:val="0"/>
          <w:sz w:val="24"/>
          <w:szCs w:val="24"/>
          <w14:ligatures w14:val="none"/>
        </w:rPr>
        <w:t>The study has several strengths, including its pairing of minority stressors with a proven intervention identity affirmative treatment and the demonstration of its effectiveness in reducing the psychological effects of discrimination as an exercise of its context. In contrast with traditional cognitive-behavioural therapy (CBT), which targets primarily internal cognitive distortions and maladaptive behaviours, this treatment targets directly outside sources of stress such as societal stigma, rejection, and internalized homophobia. With its employment of a randomized controlled design, the study lends credence, guaranteeing improvements cited are not a result of placebo response, pre-experiment mental health trends, or other extraneous factors (</w:t>
      </w:r>
      <w:proofErr w:type="spellStart"/>
      <w:r w:rsidRPr="00DE6306">
        <w:rPr>
          <w:rFonts w:ascii="Calibri" w:eastAsia="Times New Roman" w:hAnsi="Calibri" w:cs="Calibri"/>
          <w:kern w:val="0"/>
          <w:sz w:val="24"/>
          <w:szCs w:val="24"/>
          <w14:ligatures w14:val="none"/>
        </w:rPr>
        <w:t>Pachankis</w:t>
      </w:r>
      <w:proofErr w:type="spellEnd"/>
      <w:r w:rsidRPr="00DE6306">
        <w:rPr>
          <w:rFonts w:ascii="Calibri" w:eastAsia="Times New Roman" w:hAnsi="Calibri" w:cs="Calibri"/>
          <w:kern w:val="0"/>
          <w:sz w:val="24"/>
          <w:szCs w:val="24"/>
          <w14:ligatures w14:val="none"/>
        </w:rPr>
        <w:t xml:space="preserve"> </w:t>
      </w:r>
      <w:r w:rsidRPr="00DE6306">
        <w:rPr>
          <w:rFonts w:ascii="Calibri" w:eastAsia="Times New Roman" w:hAnsi="Calibri" w:cs="Calibri"/>
          <w:iCs/>
          <w:kern w:val="0"/>
          <w:sz w:val="24"/>
          <w:szCs w:val="24"/>
          <w14:ligatures w14:val="none"/>
        </w:rPr>
        <w:t>et al.,</w:t>
      </w:r>
      <w:r w:rsidRPr="00DE6306">
        <w:rPr>
          <w:rFonts w:ascii="Calibri" w:eastAsia="Times New Roman" w:hAnsi="Calibri" w:cs="Calibri"/>
          <w:kern w:val="0"/>
          <w:sz w:val="24"/>
          <w:szCs w:val="24"/>
          <w14:ligatures w14:val="none"/>
        </w:rPr>
        <w:t xml:space="preserve"> 2023). However, the employment of self-report data has limitations. Underhill &amp; Foulkes (2024) confirm that participants' responses may be biased towards what society finds desirable and what people expect. Though the employment of self-report data is standard of psychological research, this data has less physiological data, such as cortisol levels. It also lacked behavioural data, such as sleep monitors, implying more of the researcher's interpretation (</w:t>
      </w:r>
      <w:proofErr w:type="spellStart"/>
      <w:r w:rsidRPr="00DE6306">
        <w:rPr>
          <w:rFonts w:ascii="Calibri" w:eastAsia="Times New Roman" w:hAnsi="Calibri" w:cs="Calibri"/>
          <w:kern w:val="0"/>
          <w:sz w:val="24"/>
          <w:szCs w:val="24"/>
          <w14:ligatures w14:val="none"/>
        </w:rPr>
        <w:t>Pachankis</w:t>
      </w:r>
      <w:proofErr w:type="spellEnd"/>
      <w:r w:rsidRPr="00DE6306">
        <w:rPr>
          <w:rFonts w:ascii="Calibri" w:eastAsia="Times New Roman" w:hAnsi="Calibri" w:cs="Calibri"/>
          <w:kern w:val="0"/>
          <w:sz w:val="24"/>
          <w:szCs w:val="24"/>
          <w14:ligatures w14:val="none"/>
        </w:rPr>
        <w:t xml:space="preserve"> </w:t>
      </w:r>
      <w:r w:rsidRPr="00DE6306">
        <w:rPr>
          <w:rFonts w:ascii="Calibri" w:eastAsia="Times New Roman" w:hAnsi="Calibri" w:cs="Calibri"/>
          <w:iCs/>
          <w:kern w:val="0"/>
          <w:sz w:val="24"/>
          <w:szCs w:val="24"/>
          <w14:ligatures w14:val="none"/>
        </w:rPr>
        <w:t>et al.,</w:t>
      </w:r>
      <w:r w:rsidRPr="00DE6306">
        <w:rPr>
          <w:rFonts w:ascii="Calibri" w:eastAsia="Times New Roman" w:hAnsi="Calibri" w:cs="Calibri"/>
          <w:kern w:val="0"/>
          <w:sz w:val="24"/>
          <w:szCs w:val="24"/>
          <w14:ligatures w14:val="none"/>
        </w:rPr>
        <w:t xml:space="preserve"> 2023). Therefore, a more valid strategy would be employing multi-method assessments, combining self-reports with clinical ratings and possibly biometric data for higher validity. Barring this limitation, the study provides solid evidence of the efficacy of LGBTQ-affirmative treatment, affirming the need for identity-cantered mental health </w:t>
      </w:r>
      <w:r w:rsidRPr="00DE6306">
        <w:rPr>
          <w:rFonts w:ascii="Calibri" w:eastAsia="Times New Roman" w:hAnsi="Calibri" w:cs="Calibri"/>
          <w:kern w:val="0"/>
          <w:sz w:val="24"/>
          <w:szCs w:val="24"/>
          <w14:ligatures w14:val="none"/>
        </w:rPr>
        <w:lastRenderedPageBreak/>
        <w:t>interventions. The study supports the general point that mental health treatment needs to take into consideration the specific sources of stress for LGBTQ individuals.</w:t>
      </w:r>
    </w:p>
    <w:p w14:paraId="56ED859F" w14:textId="77777777" w:rsidR="00DE6306" w:rsidRPr="00DE6306" w:rsidRDefault="00DE6306" w:rsidP="00DE6306">
      <w:pPr>
        <w:spacing w:after="0" w:line="480" w:lineRule="auto"/>
        <w:ind w:firstLine="720"/>
        <w:rPr>
          <w:rFonts w:ascii="Calibri" w:eastAsia="Times New Roman" w:hAnsi="Calibri" w:cs="Calibri"/>
          <w:kern w:val="0"/>
          <w:sz w:val="24"/>
          <w:szCs w:val="24"/>
          <w14:ligatures w14:val="none"/>
        </w:rPr>
      </w:pPr>
      <w:r w:rsidRPr="00DE6306">
        <w:rPr>
          <w:rFonts w:ascii="Calibri" w:eastAsia="Times New Roman" w:hAnsi="Calibri" w:cs="Calibri"/>
          <w:kern w:val="0"/>
          <w:sz w:val="24"/>
          <w:szCs w:val="24"/>
          <w14:ligatures w14:val="none"/>
        </w:rPr>
        <w:t xml:space="preserve">Another significant strength of the study is its accessibility, particularly in providing a web-based mental health intervention with greater access to LGBTQ-affirmative counselling. Sexual minority individuals, and even more so individuals from more conservative or rural environments, may lack access locally to such culturally competent mental health treatment. With its internet-based approach, Harkness et al. (2024) agree with </w:t>
      </w:r>
      <w:proofErr w:type="spellStart"/>
      <w:r w:rsidRPr="00DE6306">
        <w:rPr>
          <w:rFonts w:ascii="Calibri" w:eastAsia="Times New Roman" w:hAnsi="Calibri" w:cs="Calibri"/>
          <w:kern w:val="0"/>
          <w:sz w:val="24"/>
          <w:szCs w:val="24"/>
          <w14:ligatures w14:val="none"/>
        </w:rPr>
        <w:t>Pachankis</w:t>
      </w:r>
      <w:proofErr w:type="spellEnd"/>
      <w:r w:rsidRPr="00DE6306">
        <w:rPr>
          <w:rFonts w:ascii="Calibri" w:eastAsia="Times New Roman" w:hAnsi="Calibri" w:cs="Calibri"/>
          <w:kern w:val="0"/>
          <w:sz w:val="24"/>
          <w:szCs w:val="24"/>
          <w14:ligatures w14:val="none"/>
        </w:rPr>
        <w:t xml:space="preserve"> et al. (2023) that the intervention ensures individuals from regions with low numbers of LGBTQ-affirmative mental health counsellors can access needed treatment. However, a significant limitation of this strength is the substantial challenge of digital accessibility disparities. Not everyone can access stable internet, computer competence, and the technology needed to make the most of an online counselling program. Liu </w:t>
      </w:r>
      <w:r w:rsidRPr="00DE6306">
        <w:rPr>
          <w:rFonts w:ascii="Calibri" w:eastAsia="Times New Roman" w:hAnsi="Calibri" w:cs="Calibri"/>
          <w:i/>
          <w:kern w:val="0"/>
          <w:sz w:val="24"/>
          <w:szCs w:val="24"/>
          <w14:ligatures w14:val="none"/>
        </w:rPr>
        <w:t>et al</w:t>
      </w:r>
      <w:r w:rsidRPr="00DE6306">
        <w:rPr>
          <w:rFonts w:ascii="Calibri" w:eastAsia="Times New Roman" w:hAnsi="Calibri" w:cs="Calibri"/>
          <w:kern w:val="0"/>
          <w:sz w:val="24"/>
          <w:szCs w:val="24"/>
          <w14:ligatures w14:val="none"/>
        </w:rPr>
        <w:t xml:space="preserve">. (2023) confirm that the result of this limitation brings into question whether online interventions are delivered to the least-resourced populations. The concern relates to low-income and marginalized LGBTQ youths. To reduce the limitation, Berardi </w:t>
      </w:r>
      <w:r w:rsidRPr="00DE6306">
        <w:rPr>
          <w:rFonts w:ascii="Calibri" w:eastAsia="Times New Roman" w:hAnsi="Calibri" w:cs="Calibri"/>
          <w:i/>
          <w:kern w:val="0"/>
          <w:sz w:val="24"/>
          <w:szCs w:val="24"/>
          <w14:ligatures w14:val="none"/>
        </w:rPr>
        <w:t>et al</w:t>
      </w:r>
      <w:r w:rsidRPr="00DE6306">
        <w:rPr>
          <w:rFonts w:ascii="Calibri" w:eastAsia="Times New Roman" w:hAnsi="Calibri" w:cs="Calibri"/>
          <w:kern w:val="0"/>
          <w:sz w:val="24"/>
          <w:szCs w:val="24"/>
          <w14:ligatures w14:val="none"/>
        </w:rPr>
        <w:t>. (2024) suggest that future research must explore hybrid methods of integrating online interventions with in-office sessions so that online disparities do not exacerbate preexisting disparities. A second strategy could be researching collaborations with nongovernmental and governmental agencies to provide access and training on Internet use. Though the study suggests the advantages of web-based counselling, addressing accessibility barriers can be key to achieving maximum inclusivity and efficacy of identity-affirmative interventions.</w:t>
      </w:r>
    </w:p>
    <w:p w14:paraId="712BFF6C" w14:textId="77777777" w:rsidR="00DE6306" w:rsidRPr="00DE6306" w:rsidRDefault="00DE6306" w:rsidP="00DE6306">
      <w:pPr>
        <w:spacing w:after="0" w:line="480" w:lineRule="auto"/>
        <w:ind w:firstLine="720"/>
        <w:rPr>
          <w:rFonts w:ascii="Calibri" w:eastAsia="Times New Roman" w:hAnsi="Calibri" w:cs="Calibri"/>
          <w:kern w:val="0"/>
          <w:sz w:val="24"/>
          <w:szCs w:val="24"/>
          <w14:ligatures w14:val="none"/>
        </w:rPr>
      </w:pPr>
      <w:r w:rsidRPr="00DE6306">
        <w:rPr>
          <w:rFonts w:ascii="Calibri" w:eastAsia="Times New Roman" w:hAnsi="Calibri" w:cs="Calibri"/>
          <w:kern w:val="0"/>
          <w:sz w:val="24"/>
          <w:szCs w:val="24"/>
          <w14:ligatures w14:val="none"/>
        </w:rPr>
        <w:t xml:space="preserve">The study represents a valuable contribution to cognitive-behavioural therapy (CBT) for integrating identity-affirmative concepts into a systematic online treatment. Traditional CBT has been widely used for treating depression and anxiety, and its application has been </w:t>
      </w:r>
      <w:r w:rsidRPr="00DE6306">
        <w:rPr>
          <w:rFonts w:ascii="Calibri" w:eastAsia="Times New Roman" w:hAnsi="Calibri" w:cs="Calibri"/>
          <w:kern w:val="0"/>
          <w:sz w:val="24"/>
          <w:szCs w:val="24"/>
          <w14:ligatures w14:val="none"/>
        </w:rPr>
        <w:lastRenderedPageBreak/>
        <w:t>limited to altering individual thought processes without directly treating extrinsic sources of stress in society. The employment of minority stress theory in this treatment accounts for the possibility of much of what afflicts LGBTQ individuals being caused by discrimination, societal rejection, and systematic disparities rather than intrinsic cognitive distortions (</w:t>
      </w:r>
      <w:proofErr w:type="spellStart"/>
      <w:r w:rsidRPr="00DE6306">
        <w:rPr>
          <w:rFonts w:ascii="Calibri" w:eastAsia="Times New Roman" w:hAnsi="Calibri" w:cs="Calibri"/>
          <w:kern w:val="0"/>
          <w:sz w:val="24"/>
          <w:szCs w:val="24"/>
          <w14:ligatures w14:val="none"/>
        </w:rPr>
        <w:t>Pachankis</w:t>
      </w:r>
      <w:proofErr w:type="spellEnd"/>
      <w:r w:rsidRPr="00DE6306">
        <w:rPr>
          <w:rFonts w:ascii="Calibri" w:eastAsia="Times New Roman" w:hAnsi="Calibri" w:cs="Calibri"/>
          <w:kern w:val="0"/>
          <w:sz w:val="24"/>
          <w:szCs w:val="24"/>
          <w14:ligatures w14:val="none"/>
        </w:rPr>
        <w:t xml:space="preserve"> </w:t>
      </w:r>
      <w:r w:rsidRPr="00DE6306">
        <w:rPr>
          <w:rFonts w:ascii="Calibri" w:eastAsia="Times New Roman" w:hAnsi="Calibri" w:cs="Calibri"/>
          <w:i/>
          <w:kern w:val="0"/>
          <w:sz w:val="24"/>
          <w:szCs w:val="24"/>
          <w14:ligatures w14:val="none"/>
        </w:rPr>
        <w:t>et al</w:t>
      </w:r>
      <w:r w:rsidRPr="00DE6306">
        <w:rPr>
          <w:rFonts w:ascii="Calibri" w:eastAsia="Times New Roman" w:hAnsi="Calibri" w:cs="Calibri"/>
          <w:kern w:val="0"/>
          <w:sz w:val="24"/>
          <w:szCs w:val="24"/>
          <w14:ligatures w14:val="none"/>
        </w:rPr>
        <w:t>., 2023). The study adds value to developing CBT for proving identity-specific, target-oriented adaptations can broaden the applicability and efficacy of the treatment for marginalized populations. The study's employment of online means of delivery also represents a step towards greater access to mental therapy, particularly for individuals in regions where there may not be access to LGBTQ-affirmative treatment (</w:t>
      </w:r>
      <w:proofErr w:type="spellStart"/>
      <w:r w:rsidRPr="00DE6306">
        <w:rPr>
          <w:rFonts w:ascii="Calibri" w:eastAsia="Times New Roman" w:hAnsi="Calibri" w:cs="Calibri"/>
          <w:kern w:val="0"/>
          <w:sz w:val="24"/>
          <w:szCs w:val="24"/>
          <w14:ligatures w14:val="none"/>
        </w:rPr>
        <w:t>Adinkrah</w:t>
      </w:r>
      <w:proofErr w:type="spellEnd"/>
      <w:r w:rsidRPr="00DE6306">
        <w:rPr>
          <w:rFonts w:ascii="Calibri" w:eastAsia="Times New Roman" w:hAnsi="Calibri" w:cs="Calibri"/>
          <w:kern w:val="0"/>
          <w:sz w:val="24"/>
          <w:szCs w:val="24"/>
          <w14:ligatures w14:val="none"/>
        </w:rPr>
        <w:t xml:space="preserve"> </w:t>
      </w:r>
      <w:r w:rsidRPr="00DE6306">
        <w:rPr>
          <w:rFonts w:ascii="Calibri" w:eastAsia="Times New Roman" w:hAnsi="Calibri" w:cs="Calibri"/>
          <w:iCs/>
          <w:kern w:val="0"/>
          <w:sz w:val="24"/>
          <w:szCs w:val="24"/>
          <w14:ligatures w14:val="none"/>
        </w:rPr>
        <w:t>et al., 2024</w:t>
      </w:r>
      <w:r w:rsidRPr="00DE6306">
        <w:rPr>
          <w:rFonts w:ascii="Calibri" w:eastAsia="Times New Roman" w:hAnsi="Calibri" w:cs="Calibri"/>
          <w:kern w:val="0"/>
          <w:sz w:val="24"/>
          <w:szCs w:val="24"/>
          <w14:ligatures w14:val="none"/>
        </w:rPr>
        <w:t xml:space="preserve">). The treatment, however, does not revolutionize beyond the adaptation of established treatment frameworks for use with LGBTQ-specific problems. This study could be developed further by examining more progressional measures, like applying social support systems or utilizing culturally derived strategies for the broad scope of experiences in the LGBTQ group. </w:t>
      </w:r>
    </w:p>
    <w:p w14:paraId="3FF2CA32" w14:textId="77777777" w:rsidR="00DE6306" w:rsidRPr="00DE6306" w:rsidRDefault="00DE6306" w:rsidP="00DE6306">
      <w:pPr>
        <w:spacing w:after="0" w:line="480" w:lineRule="auto"/>
        <w:ind w:firstLine="720"/>
        <w:rPr>
          <w:rFonts w:ascii="Calibri" w:eastAsia="Times New Roman" w:hAnsi="Calibri" w:cs="Calibri"/>
          <w:kern w:val="0"/>
          <w:sz w:val="24"/>
          <w:szCs w:val="24"/>
          <w14:ligatures w14:val="none"/>
        </w:rPr>
      </w:pPr>
      <w:r w:rsidRPr="00DE6306">
        <w:rPr>
          <w:rFonts w:ascii="Calibri" w:eastAsia="Times New Roman" w:hAnsi="Calibri" w:cs="Calibri"/>
          <w:kern w:val="0"/>
          <w:sz w:val="24"/>
          <w:szCs w:val="24"/>
          <w14:ligatures w14:val="none"/>
        </w:rPr>
        <w:t>Another remarkable limitation of the study is insufficient data concerning the long-term effects of the interventions undertaken. It is known in the short run that symptoms can be mitigated, but participants may not fully integrate the approach into their lives in the coming months and years, thus making sustaining such measures a challenge. Lacking longitudinal tracking, the study cannot tell us anything about rates of relapse or the sustained effects of LGBTQ-affirmative CBT (</w:t>
      </w:r>
      <w:proofErr w:type="spellStart"/>
      <w:r w:rsidRPr="00DE6306">
        <w:rPr>
          <w:rFonts w:ascii="Calibri" w:eastAsia="Times New Roman" w:hAnsi="Calibri" w:cs="Calibri"/>
          <w:kern w:val="0"/>
          <w:sz w:val="24"/>
          <w:szCs w:val="24"/>
          <w14:ligatures w14:val="none"/>
        </w:rPr>
        <w:t>Pachankis</w:t>
      </w:r>
      <w:proofErr w:type="spellEnd"/>
      <w:r w:rsidRPr="00DE6306">
        <w:rPr>
          <w:rFonts w:ascii="Calibri" w:eastAsia="Times New Roman" w:hAnsi="Calibri" w:cs="Calibri"/>
          <w:kern w:val="0"/>
          <w:sz w:val="24"/>
          <w:szCs w:val="24"/>
          <w14:ligatures w14:val="none"/>
        </w:rPr>
        <w:t xml:space="preserve"> </w:t>
      </w:r>
      <w:r w:rsidRPr="00DE6306">
        <w:rPr>
          <w:rFonts w:ascii="Calibri" w:eastAsia="Times New Roman" w:hAnsi="Calibri" w:cs="Calibri"/>
          <w:iCs/>
          <w:kern w:val="0"/>
          <w:sz w:val="24"/>
          <w:szCs w:val="24"/>
          <w14:ligatures w14:val="none"/>
        </w:rPr>
        <w:t>et</w:t>
      </w:r>
      <w:r w:rsidRPr="00DE6306">
        <w:rPr>
          <w:rFonts w:ascii="Calibri" w:eastAsia="Times New Roman" w:hAnsi="Calibri" w:cs="Calibri"/>
          <w:i/>
          <w:kern w:val="0"/>
          <w:sz w:val="24"/>
          <w:szCs w:val="24"/>
          <w14:ligatures w14:val="none"/>
        </w:rPr>
        <w:t xml:space="preserve"> </w:t>
      </w:r>
      <w:r w:rsidRPr="00DE6306">
        <w:rPr>
          <w:rFonts w:ascii="Calibri" w:eastAsia="Times New Roman" w:hAnsi="Calibri" w:cs="Calibri"/>
          <w:iCs/>
          <w:kern w:val="0"/>
          <w:sz w:val="24"/>
          <w:szCs w:val="24"/>
          <w14:ligatures w14:val="none"/>
        </w:rPr>
        <w:t>al.,</w:t>
      </w:r>
      <w:r w:rsidRPr="00DE6306">
        <w:rPr>
          <w:rFonts w:ascii="Calibri" w:eastAsia="Times New Roman" w:hAnsi="Calibri" w:cs="Calibri"/>
          <w:kern w:val="0"/>
          <w:sz w:val="24"/>
          <w:szCs w:val="24"/>
          <w14:ligatures w14:val="none"/>
        </w:rPr>
        <w:t xml:space="preserve"> 2023). The lack of data on what happens years down the road undercuts the study's capacity for drawing firm conclusions on the persistence of the therapy's efficacy. Future research must use longitudinal study designs to track participants for years to learn if and why improvements persist. The research can tell them if participants need regular booster sessions to continue their gains. </w:t>
      </w:r>
      <w:r w:rsidRPr="00DE6306">
        <w:rPr>
          <w:rFonts w:ascii="Calibri" w:eastAsia="Times New Roman" w:hAnsi="Calibri" w:cs="Calibri"/>
          <w:kern w:val="0"/>
          <w:sz w:val="24"/>
          <w:szCs w:val="24"/>
          <w14:ligatures w14:val="none"/>
        </w:rPr>
        <w:lastRenderedPageBreak/>
        <w:t>Examining if and how factors outside of individuals, such as shifts in levels of social support or outside discrimination, influence long-term outcomes could also be very useful. Though the study's contribution to knowledge of short-term gains cannot be discounted, its inability to tell us anything about sustained efficacy remains a significant limitation. Closing this gap in future research could tell a more complete and more durable story on the mental health impacts of LGBTQ-affirmative treatment.</w:t>
      </w:r>
    </w:p>
    <w:p w14:paraId="6043B2A9" w14:textId="77777777" w:rsidR="00DE6306" w:rsidRPr="00DE6306" w:rsidRDefault="00DE6306" w:rsidP="00DE6306">
      <w:pPr>
        <w:spacing w:after="0" w:line="480" w:lineRule="auto"/>
        <w:ind w:firstLine="720"/>
        <w:rPr>
          <w:rFonts w:ascii="Calibri" w:eastAsia="Times New Roman" w:hAnsi="Calibri" w:cs="Calibri"/>
          <w:kern w:val="0"/>
          <w:sz w:val="24"/>
          <w:szCs w:val="24"/>
          <w14:ligatures w14:val="none"/>
        </w:rPr>
      </w:pPr>
      <w:r w:rsidRPr="00DE6306">
        <w:rPr>
          <w:rFonts w:ascii="Calibri" w:eastAsia="Times New Roman" w:hAnsi="Calibri" w:cs="Calibri"/>
          <w:kern w:val="0"/>
          <w:sz w:val="24"/>
          <w:szCs w:val="24"/>
          <w14:ligatures w14:val="none"/>
        </w:rPr>
        <w:t>On a larger scale, the study completely ignores the aspects of the culture’s impact as it relates to treating LGBTQ individuals, as well as the validity of the data within other contexts. Even if there is diversity in the sample, the study appears to lack the depth to address the cultural nuances that would dictate the experiences of minority stress (</w:t>
      </w:r>
      <w:proofErr w:type="spellStart"/>
      <w:r w:rsidRPr="00DE6306">
        <w:rPr>
          <w:rFonts w:ascii="Calibri" w:eastAsia="Times New Roman" w:hAnsi="Calibri" w:cs="Calibri"/>
          <w:kern w:val="0"/>
          <w:sz w:val="24"/>
          <w:szCs w:val="24"/>
          <w14:ligatures w14:val="none"/>
        </w:rPr>
        <w:t>Pachankis</w:t>
      </w:r>
      <w:proofErr w:type="spellEnd"/>
      <w:r w:rsidRPr="00DE6306">
        <w:rPr>
          <w:rFonts w:ascii="Calibri" w:eastAsia="Times New Roman" w:hAnsi="Calibri" w:cs="Calibri"/>
          <w:kern w:val="0"/>
          <w:sz w:val="24"/>
          <w:szCs w:val="24"/>
          <w14:ligatures w14:val="none"/>
        </w:rPr>
        <w:t xml:space="preserve"> </w:t>
      </w:r>
      <w:r w:rsidRPr="00DE6306">
        <w:rPr>
          <w:rFonts w:ascii="Calibri" w:eastAsia="Times New Roman" w:hAnsi="Calibri" w:cs="Calibri"/>
          <w:iCs/>
          <w:kern w:val="0"/>
          <w:sz w:val="24"/>
          <w:szCs w:val="24"/>
          <w14:ligatures w14:val="none"/>
        </w:rPr>
        <w:t>et al.,</w:t>
      </w:r>
      <w:r w:rsidRPr="00DE6306">
        <w:rPr>
          <w:rFonts w:ascii="Calibri" w:eastAsia="Times New Roman" w:hAnsi="Calibri" w:cs="Calibri"/>
          <w:kern w:val="0"/>
          <w:sz w:val="24"/>
          <w:szCs w:val="24"/>
          <w14:ligatures w14:val="none"/>
        </w:rPr>
        <w:t xml:space="preserve"> 2023). Collectivist cultures, for instance, show various types of familial and societal constraints different from those of individualistic cultures, which will have diverse implications for their treatment. Moreover, the intervention’s approach is one of the many reasons its applicability and validity are pondered outside the Western context, as culture is not considered. Further studies should be done on culturally adapted interventions of LGBTQ-sensitive CBT concerning different sociocultural contexts. Comparing research across cultures may help understand how identity-concordant treatment can be more effective globally. In addition, the involvement of participants from other cultures may assist in this adaptation. With this limitation, the study contributes valuable knowledge to the extant research on interventions for LGBTQ mental health, and this can be a springboard for future research on culturally competent treatment approaches.</w:t>
      </w:r>
    </w:p>
    <w:p w14:paraId="2029D6B6" w14:textId="77777777" w:rsidR="00DE6306" w:rsidRPr="00DE6306" w:rsidRDefault="00DE6306" w:rsidP="00DE6306">
      <w:pPr>
        <w:spacing w:after="0" w:line="480" w:lineRule="auto"/>
        <w:ind w:firstLine="720"/>
        <w:rPr>
          <w:rFonts w:ascii="Calibri" w:eastAsia="Times New Roman" w:hAnsi="Calibri" w:cs="Calibri"/>
          <w:kern w:val="0"/>
          <w:sz w:val="24"/>
          <w:szCs w:val="24"/>
          <w14:ligatures w14:val="none"/>
        </w:rPr>
      </w:pPr>
      <w:r w:rsidRPr="00DE6306">
        <w:rPr>
          <w:rFonts w:ascii="Calibri" w:eastAsia="Times New Roman" w:hAnsi="Calibri" w:cs="Calibri"/>
          <w:kern w:val="0"/>
          <w:sz w:val="24"/>
          <w:szCs w:val="24"/>
          <w14:ligatures w14:val="none"/>
        </w:rPr>
        <w:t xml:space="preserve">Moreover, the study does not fully take into consideration the contribution of social networks of support towards influencing mental health outcomes for LGBTQ individuals. The study provides individual strategies for coping with stressors. However, the authors did </w:t>
      </w:r>
      <w:r w:rsidRPr="00DE6306">
        <w:rPr>
          <w:rFonts w:ascii="Calibri" w:eastAsia="Times New Roman" w:hAnsi="Calibri" w:cs="Calibri"/>
          <w:kern w:val="0"/>
          <w:sz w:val="24"/>
          <w:szCs w:val="24"/>
          <w14:ligatures w14:val="none"/>
        </w:rPr>
        <w:lastRenderedPageBreak/>
        <w:t>not examine the broader context of peer pressure, parental acceptance, and community integration (</w:t>
      </w:r>
      <w:proofErr w:type="spellStart"/>
      <w:r w:rsidRPr="00DE6306">
        <w:rPr>
          <w:rFonts w:ascii="Calibri" w:eastAsia="Times New Roman" w:hAnsi="Calibri" w:cs="Calibri"/>
          <w:kern w:val="0"/>
          <w:sz w:val="24"/>
          <w:szCs w:val="24"/>
          <w14:ligatures w14:val="none"/>
        </w:rPr>
        <w:t>Pachankis</w:t>
      </w:r>
      <w:proofErr w:type="spellEnd"/>
      <w:r w:rsidRPr="00DE6306">
        <w:rPr>
          <w:rFonts w:ascii="Calibri" w:eastAsia="Times New Roman" w:hAnsi="Calibri" w:cs="Calibri"/>
          <w:kern w:val="0"/>
          <w:sz w:val="24"/>
          <w:szCs w:val="24"/>
          <w14:ligatures w14:val="none"/>
        </w:rPr>
        <w:t xml:space="preserve"> </w:t>
      </w:r>
      <w:r w:rsidRPr="00DE6306">
        <w:rPr>
          <w:rFonts w:ascii="Calibri" w:eastAsia="Times New Roman" w:hAnsi="Calibri" w:cs="Calibri"/>
          <w:iCs/>
          <w:kern w:val="0"/>
          <w:sz w:val="24"/>
          <w:szCs w:val="24"/>
          <w14:ligatures w14:val="none"/>
        </w:rPr>
        <w:t>et al.,</w:t>
      </w:r>
      <w:r w:rsidRPr="00DE6306">
        <w:rPr>
          <w:rFonts w:ascii="Calibri" w:eastAsia="Times New Roman" w:hAnsi="Calibri" w:cs="Calibri"/>
          <w:kern w:val="0"/>
          <w:sz w:val="24"/>
          <w:szCs w:val="24"/>
          <w14:ligatures w14:val="none"/>
        </w:rPr>
        <w:t xml:space="preserve"> 2023). It is held that supportive peer networks reduce minority stress and help overcome challenges, so they are one of the key factors for LGBTQ mental well-being. The assertion requires looking further into a more comprehensive intervention model, considering group therapies where participants can actively share and strengthen their identity as part of a supportive group. Inviting family education programs into treatment could facilitate familial acceptance and decrease familial conflicts. The future adaptations of LGBTQ-affirmative CBT must consider the integration of individual and collective methods of support to achieve maximum benefits. Though the study's individualistic approach towards individual coping mechanisms has value, its broadening into other social influence factors will increase its overall efficacy. Understanding the contribution of supportive networks of peers toward mental well-being can facilitate the development of holistic mental interventions addressing the complex needs of LGBTQ individuals.</w:t>
      </w:r>
    </w:p>
    <w:p w14:paraId="001ECB61" w14:textId="77777777" w:rsidR="00DE6306" w:rsidRPr="00DE6306" w:rsidRDefault="00DE6306" w:rsidP="00DE6306">
      <w:pPr>
        <w:spacing w:after="0" w:line="480" w:lineRule="auto"/>
        <w:ind w:firstLine="720"/>
        <w:rPr>
          <w:rFonts w:ascii="Calibri" w:eastAsia="Times New Roman" w:hAnsi="Calibri" w:cs="Calibri"/>
          <w:kern w:val="0"/>
          <w:sz w:val="24"/>
          <w:szCs w:val="24"/>
          <w14:ligatures w14:val="none"/>
        </w:rPr>
      </w:pPr>
      <w:r w:rsidRPr="00DE6306">
        <w:rPr>
          <w:rFonts w:ascii="Calibri" w:eastAsia="Times New Roman" w:hAnsi="Calibri" w:cs="Calibri"/>
          <w:kern w:val="0"/>
          <w:sz w:val="24"/>
          <w:szCs w:val="24"/>
          <w14:ligatures w14:val="none"/>
        </w:rPr>
        <w:t>While the study provides valuable insights, it does not present concrete recommendations for closing gaps in mental treatment for LGBTQ youths, such as policy- and systems-level interventions. The study supports the efficacy of LGBTQ-affirmative CBT, and the paper does not engage with more general solutions, such as greater access to trained LGBTQ-affirmative therapists and mainstream clinical settings' adoption of identity-affirmative mental practices (</w:t>
      </w:r>
      <w:proofErr w:type="spellStart"/>
      <w:r w:rsidRPr="00DE6306">
        <w:rPr>
          <w:rFonts w:ascii="Calibri" w:eastAsia="Times New Roman" w:hAnsi="Calibri" w:cs="Calibri"/>
          <w:kern w:val="0"/>
          <w:sz w:val="24"/>
          <w:szCs w:val="24"/>
          <w14:ligatures w14:val="none"/>
        </w:rPr>
        <w:t>Pachankis</w:t>
      </w:r>
      <w:proofErr w:type="spellEnd"/>
      <w:r w:rsidRPr="00DE6306">
        <w:rPr>
          <w:rFonts w:ascii="Calibri" w:eastAsia="Times New Roman" w:hAnsi="Calibri" w:cs="Calibri"/>
          <w:kern w:val="0"/>
          <w:sz w:val="24"/>
          <w:szCs w:val="24"/>
          <w14:ligatures w14:val="none"/>
        </w:rPr>
        <w:t xml:space="preserve"> </w:t>
      </w:r>
      <w:r w:rsidRPr="00DE6306">
        <w:rPr>
          <w:rFonts w:ascii="Calibri" w:eastAsia="Times New Roman" w:hAnsi="Calibri" w:cs="Calibri"/>
          <w:iCs/>
          <w:kern w:val="0"/>
          <w:sz w:val="24"/>
          <w:szCs w:val="24"/>
          <w14:ligatures w14:val="none"/>
        </w:rPr>
        <w:t>et al.,</w:t>
      </w:r>
      <w:r w:rsidRPr="00DE6306">
        <w:rPr>
          <w:rFonts w:ascii="Calibri" w:eastAsia="Times New Roman" w:hAnsi="Calibri" w:cs="Calibri"/>
          <w:kern w:val="0"/>
          <w:sz w:val="24"/>
          <w:szCs w:val="24"/>
          <w14:ligatures w14:val="none"/>
        </w:rPr>
        <w:t xml:space="preserve"> 2023). The study also does not present concrete solutions for reducing accessibility barriers related to the use of online mental interventions for economically disenfranchised LGBTQ youths. A significant gap in the study is the lack of data on long-term follow-ups, which limits the capacity for measuring treatment impacts' longevity (</w:t>
      </w:r>
      <w:proofErr w:type="spellStart"/>
      <w:r w:rsidRPr="00DE6306">
        <w:rPr>
          <w:rFonts w:ascii="Calibri" w:eastAsia="Times New Roman" w:hAnsi="Calibri" w:cs="Calibri"/>
          <w:kern w:val="0"/>
          <w:sz w:val="24"/>
          <w:szCs w:val="24"/>
          <w14:ligatures w14:val="none"/>
        </w:rPr>
        <w:t>Pachankis</w:t>
      </w:r>
      <w:proofErr w:type="spellEnd"/>
      <w:r w:rsidRPr="00DE6306">
        <w:rPr>
          <w:rFonts w:ascii="Calibri" w:eastAsia="Times New Roman" w:hAnsi="Calibri" w:cs="Calibri"/>
          <w:kern w:val="0"/>
          <w:sz w:val="24"/>
          <w:szCs w:val="24"/>
          <w14:ligatures w14:val="none"/>
        </w:rPr>
        <w:t xml:space="preserve"> </w:t>
      </w:r>
      <w:r w:rsidRPr="00DE6306">
        <w:rPr>
          <w:rFonts w:ascii="Calibri" w:eastAsia="Times New Roman" w:hAnsi="Calibri" w:cs="Calibri"/>
          <w:iCs/>
          <w:kern w:val="0"/>
          <w:sz w:val="24"/>
          <w:szCs w:val="24"/>
          <w14:ligatures w14:val="none"/>
        </w:rPr>
        <w:t>et al.,</w:t>
      </w:r>
      <w:r w:rsidRPr="00DE6306">
        <w:rPr>
          <w:rFonts w:ascii="Calibri" w:eastAsia="Times New Roman" w:hAnsi="Calibri" w:cs="Calibri"/>
          <w:kern w:val="0"/>
          <w:sz w:val="24"/>
          <w:szCs w:val="24"/>
          <w14:ligatures w14:val="none"/>
        </w:rPr>
        <w:t xml:space="preserve"> 2023). The gaps can be addressed in future </w:t>
      </w:r>
      <w:r w:rsidRPr="00DE6306">
        <w:rPr>
          <w:rFonts w:ascii="Calibri" w:eastAsia="Times New Roman" w:hAnsi="Calibri" w:cs="Calibri"/>
          <w:kern w:val="0"/>
          <w:sz w:val="24"/>
          <w:szCs w:val="24"/>
          <w14:ligatures w14:val="none"/>
        </w:rPr>
        <w:lastRenderedPageBreak/>
        <w:t>studies with research on ways policy reforms, more significant financing for mental treatment for LGBTQ youths, and mainstreaming with systems of support can be expanded for maximizing affirmative treatment. Though the paper can ascertain the value of identity-cantered CBT, more extensive research on concrete recommendations and solutions with longevity can solidify its contribution because it will provide a foundation for understanding the impacts and effectiveness.</w:t>
      </w:r>
    </w:p>
    <w:p w14:paraId="386CF1C0" w14:textId="4CF0ACF4" w:rsidR="00DE6306" w:rsidRDefault="00DE6306" w:rsidP="00DE6306">
      <w:pPr>
        <w:spacing w:after="0" w:line="480" w:lineRule="auto"/>
        <w:ind w:firstLine="720"/>
        <w:rPr>
          <w:rFonts w:ascii="Calibri" w:eastAsia="Times New Roman" w:hAnsi="Calibri" w:cs="Calibri"/>
          <w:kern w:val="0"/>
          <w:sz w:val="24"/>
          <w:szCs w:val="24"/>
          <w14:ligatures w14:val="none"/>
        </w:rPr>
      </w:pPr>
      <w:r w:rsidRPr="00DE6306">
        <w:rPr>
          <w:rFonts w:ascii="Calibri" w:eastAsia="Times New Roman" w:hAnsi="Calibri" w:cs="Calibri"/>
          <w:kern w:val="0"/>
          <w:sz w:val="24"/>
          <w:szCs w:val="24"/>
          <w14:ligatures w14:val="none"/>
        </w:rPr>
        <w:t xml:space="preserve">Finally, whereas </w:t>
      </w:r>
      <w:proofErr w:type="spellStart"/>
      <w:r w:rsidRPr="00DE6306">
        <w:rPr>
          <w:rFonts w:ascii="Calibri" w:eastAsia="Times New Roman" w:hAnsi="Calibri" w:cs="Calibri"/>
          <w:kern w:val="0"/>
          <w:sz w:val="24"/>
          <w:szCs w:val="24"/>
          <w14:ligatures w14:val="none"/>
        </w:rPr>
        <w:t>Pachankis</w:t>
      </w:r>
      <w:proofErr w:type="spellEnd"/>
      <w:r w:rsidRPr="00DE6306">
        <w:rPr>
          <w:rFonts w:ascii="Calibri" w:eastAsia="Times New Roman" w:hAnsi="Calibri" w:cs="Calibri"/>
          <w:kern w:val="0"/>
          <w:sz w:val="24"/>
          <w:szCs w:val="24"/>
          <w14:ligatures w14:val="none"/>
        </w:rPr>
        <w:t xml:space="preserve"> </w:t>
      </w:r>
      <w:r w:rsidRPr="00DE6306">
        <w:rPr>
          <w:rFonts w:ascii="Calibri" w:eastAsia="Times New Roman" w:hAnsi="Calibri" w:cs="Calibri"/>
          <w:iCs/>
          <w:kern w:val="0"/>
          <w:sz w:val="24"/>
          <w:szCs w:val="24"/>
          <w14:ligatures w14:val="none"/>
        </w:rPr>
        <w:t>et al.</w:t>
      </w:r>
      <w:r w:rsidR="003A5A2A">
        <w:rPr>
          <w:rFonts w:ascii="Calibri" w:eastAsia="Times New Roman" w:hAnsi="Calibri" w:cs="Calibri"/>
          <w:iCs/>
          <w:kern w:val="0"/>
          <w:sz w:val="24"/>
          <w:szCs w:val="24"/>
          <w14:ligatures w14:val="none"/>
        </w:rPr>
        <w:t>,</w:t>
      </w:r>
      <w:r w:rsidRPr="00DE6306">
        <w:rPr>
          <w:rFonts w:ascii="Calibri" w:eastAsia="Times New Roman" w:hAnsi="Calibri" w:cs="Calibri"/>
          <w:iCs/>
          <w:kern w:val="0"/>
          <w:sz w:val="24"/>
          <w:szCs w:val="24"/>
          <w14:ligatures w14:val="none"/>
        </w:rPr>
        <w:t xml:space="preserve"> (</w:t>
      </w:r>
      <w:r w:rsidRPr="00DE6306">
        <w:rPr>
          <w:rFonts w:ascii="Calibri" w:eastAsia="Times New Roman" w:hAnsi="Calibri" w:cs="Calibri"/>
          <w:kern w:val="0"/>
          <w:sz w:val="24"/>
          <w:szCs w:val="24"/>
          <w14:ligatures w14:val="none"/>
        </w:rPr>
        <w:t>2023) provide clear evidence supporting the effectiveness of affirmative therapy for LGBTQ, it has left many systemic causes of minority stress unexamined. Systemic disparities, including discriminatory policies, the absence of LGBTQ-sensitized training, and access barriers for healthcare, significantly influence mental health outcomes. Therapy can strengthen people with resilience but does not remove the origins of stress; therefore, more societal interventions are needed. Research in the future needs to investigate the intersection of affirmative therapy and policy reforms and explore means mental health interventions can be complementary for reducing discrimination on institutional and societal levels. The association between mental health professionals and advocacy can also be more potent with collaborations. Other than this limitation, the study provides a firm clinical understanding of LGBTQ mental healthcare, with evidence for identity-affirmative therapy being needed. But, for continued improvement in mental health outcomes for the LGBTQ, individual and structural levels of minority stress must be addressed.</w:t>
      </w:r>
    </w:p>
    <w:p w14:paraId="06D088DB" w14:textId="77777777" w:rsidR="00DE6306" w:rsidRDefault="00DE6306" w:rsidP="00DE6306">
      <w:pPr>
        <w:spacing w:after="0" w:line="480" w:lineRule="auto"/>
        <w:ind w:firstLine="720"/>
        <w:rPr>
          <w:rFonts w:ascii="Calibri" w:eastAsia="Times New Roman" w:hAnsi="Calibri" w:cs="Calibri"/>
          <w:kern w:val="0"/>
          <w:sz w:val="24"/>
          <w:szCs w:val="24"/>
          <w14:ligatures w14:val="none"/>
        </w:rPr>
      </w:pPr>
    </w:p>
    <w:p w14:paraId="00FCD504" w14:textId="77777777" w:rsidR="00DE6306" w:rsidRDefault="00DE6306" w:rsidP="00DE6306">
      <w:pPr>
        <w:spacing w:after="0" w:line="480" w:lineRule="auto"/>
        <w:ind w:firstLine="720"/>
        <w:rPr>
          <w:rFonts w:ascii="Calibri" w:eastAsia="Times New Roman" w:hAnsi="Calibri" w:cs="Calibri"/>
          <w:kern w:val="0"/>
          <w:sz w:val="24"/>
          <w:szCs w:val="24"/>
          <w14:ligatures w14:val="none"/>
        </w:rPr>
      </w:pPr>
    </w:p>
    <w:p w14:paraId="44088A03" w14:textId="77777777" w:rsidR="00DE6306" w:rsidRDefault="00DE6306" w:rsidP="00DE6306">
      <w:pPr>
        <w:spacing w:after="0" w:line="480" w:lineRule="auto"/>
        <w:ind w:firstLine="720"/>
        <w:rPr>
          <w:rFonts w:ascii="Calibri" w:eastAsia="Times New Roman" w:hAnsi="Calibri" w:cs="Calibri"/>
          <w:kern w:val="0"/>
          <w:sz w:val="24"/>
          <w:szCs w:val="24"/>
          <w14:ligatures w14:val="none"/>
        </w:rPr>
      </w:pPr>
    </w:p>
    <w:p w14:paraId="172E2EC6" w14:textId="77777777" w:rsidR="00DE6306" w:rsidRDefault="00DE6306" w:rsidP="00DE6306">
      <w:pPr>
        <w:spacing w:after="0" w:line="480" w:lineRule="auto"/>
        <w:ind w:firstLine="720"/>
        <w:rPr>
          <w:rFonts w:ascii="Calibri" w:eastAsia="Times New Roman" w:hAnsi="Calibri" w:cs="Calibri"/>
          <w:kern w:val="0"/>
          <w:sz w:val="24"/>
          <w:szCs w:val="24"/>
          <w14:ligatures w14:val="none"/>
        </w:rPr>
      </w:pPr>
    </w:p>
    <w:p w14:paraId="61F27B85" w14:textId="77777777" w:rsidR="00DE6306" w:rsidRDefault="00DE6306" w:rsidP="00DE6306">
      <w:pPr>
        <w:spacing w:after="0" w:line="480" w:lineRule="auto"/>
        <w:ind w:firstLine="720"/>
        <w:rPr>
          <w:rFonts w:ascii="Calibri" w:eastAsia="Times New Roman" w:hAnsi="Calibri" w:cs="Calibri"/>
          <w:kern w:val="0"/>
          <w:sz w:val="24"/>
          <w:szCs w:val="24"/>
          <w14:ligatures w14:val="none"/>
        </w:rPr>
      </w:pPr>
    </w:p>
    <w:p w14:paraId="06473AE9" w14:textId="77777777" w:rsidR="00DE6306" w:rsidRPr="00DE6306" w:rsidRDefault="00DE6306" w:rsidP="00DE6306">
      <w:pPr>
        <w:spacing w:after="0" w:line="480" w:lineRule="auto"/>
        <w:ind w:firstLine="720"/>
        <w:rPr>
          <w:rFonts w:ascii="Calibri" w:eastAsia="Times New Roman" w:hAnsi="Calibri" w:cs="Calibri"/>
          <w:kern w:val="0"/>
          <w:sz w:val="24"/>
          <w:szCs w:val="24"/>
          <w14:ligatures w14:val="none"/>
        </w:rPr>
      </w:pPr>
    </w:p>
    <w:p w14:paraId="46831E5B" w14:textId="77777777" w:rsidR="00DE6306" w:rsidRPr="00DE6306" w:rsidRDefault="00DE6306" w:rsidP="00DE6306">
      <w:pPr>
        <w:spacing w:after="0" w:line="480" w:lineRule="auto"/>
        <w:rPr>
          <w:rFonts w:ascii="Calibri" w:eastAsia="Times New Roman" w:hAnsi="Calibri" w:cs="Calibri"/>
          <w:b/>
          <w:kern w:val="0"/>
          <w:sz w:val="24"/>
          <w:szCs w:val="24"/>
          <w14:ligatures w14:val="none"/>
        </w:rPr>
      </w:pPr>
      <w:r w:rsidRPr="00DE6306">
        <w:rPr>
          <w:rFonts w:ascii="Calibri" w:eastAsia="Times New Roman" w:hAnsi="Calibri" w:cs="Calibri"/>
          <w:b/>
          <w:kern w:val="0"/>
          <w:sz w:val="24"/>
          <w:szCs w:val="24"/>
          <w14:ligatures w14:val="none"/>
        </w:rPr>
        <w:t>Conclusion</w:t>
      </w:r>
    </w:p>
    <w:p w14:paraId="377F5256" w14:textId="2F30557D" w:rsidR="002A069C" w:rsidRDefault="00DE6306" w:rsidP="00DE6306">
      <w:pPr>
        <w:spacing w:line="480" w:lineRule="auto"/>
        <w:ind w:firstLine="720"/>
        <w:rPr>
          <w:rFonts w:ascii="Calibri" w:eastAsia="Times New Roman" w:hAnsi="Calibri" w:cs="Calibri"/>
          <w:kern w:val="0"/>
          <w:sz w:val="24"/>
          <w:szCs w:val="24"/>
          <w14:ligatures w14:val="none"/>
        </w:rPr>
      </w:pPr>
      <w:r w:rsidRPr="00DE6306">
        <w:rPr>
          <w:rFonts w:ascii="Calibri" w:eastAsia="Times New Roman" w:hAnsi="Calibri" w:cs="Calibri"/>
          <w:kern w:val="0"/>
          <w:sz w:val="24"/>
          <w:szCs w:val="24"/>
          <w14:ligatures w14:val="none"/>
        </w:rPr>
        <w:t xml:space="preserve">In conclusion, </w:t>
      </w:r>
      <w:proofErr w:type="spellStart"/>
      <w:r w:rsidRPr="00DE6306">
        <w:rPr>
          <w:rFonts w:ascii="Calibri" w:eastAsia="Times New Roman" w:hAnsi="Calibri" w:cs="Calibri"/>
          <w:kern w:val="0"/>
          <w:sz w:val="24"/>
          <w:szCs w:val="24"/>
          <w14:ligatures w14:val="none"/>
        </w:rPr>
        <w:t>Pachankis</w:t>
      </w:r>
      <w:proofErr w:type="spellEnd"/>
      <w:r w:rsidRPr="00DE6306">
        <w:rPr>
          <w:rFonts w:ascii="Calibri" w:eastAsia="Times New Roman" w:hAnsi="Calibri" w:cs="Calibri"/>
          <w:kern w:val="0"/>
          <w:sz w:val="24"/>
          <w:szCs w:val="24"/>
          <w14:ligatures w14:val="none"/>
        </w:rPr>
        <w:t xml:space="preserve"> </w:t>
      </w:r>
      <w:r w:rsidRPr="003A5A2A">
        <w:rPr>
          <w:rFonts w:ascii="Calibri" w:eastAsia="Times New Roman" w:hAnsi="Calibri" w:cs="Calibri"/>
          <w:iCs/>
          <w:kern w:val="0"/>
          <w:sz w:val="24"/>
          <w:szCs w:val="24"/>
          <w14:ligatures w14:val="none"/>
        </w:rPr>
        <w:t>et al.</w:t>
      </w:r>
      <w:r w:rsidRPr="00DE6306">
        <w:rPr>
          <w:rFonts w:ascii="Calibri" w:eastAsia="Times New Roman" w:hAnsi="Calibri" w:cs="Calibri"/>
          <w:kern w:val="0"/>
          <w:sz w:val="24"/>
          <w:szCs w:val="24"/>
          <w14:ligatures w14:val="none"/>
        </w:rPr>
        <w:t xml:space="preserve"> (2023) argue the effectiveness of LGBTQ-affirmative internet cognitive-behavioural therapy (CBT) for reducing minority stress and improving mental health outcomes. The use of a randomized controlled trial and the identification of identity-related sources of stress strengthens its merit. Limitations, including self-report bias, shorter periods of follow-up, and accessibility barriers, need to be overcome. The study affirms the call for more LGBTQ-affirmative mental health interventions, and there are still barriers to a structural order. The future of the study should include hybrid treatment modalities, long-term efficacy, and policy solutions. There are some avenues for improvement, and this study provides a solid foundation for more inclusive mental health interventions. The findings have significant merit for future mental health treatment of sexual minority youths because they focus on LGBTQ-affirmative interventions and their effectiveness.</w:t>
      </w:r>
    </w:p>
    <w:p w14:paraId="3C493F4C" w14:textId="77777777" w:rsidR="003A5A2A" w:rsidRDefault="003A5A2A" w:rsidP="00DE6306">
      <w:pPr>
        <w:spacing w:line="480" w:lineRule="auto"/>
        <w:ind w:firstLine="720"/>
        <w:rPr>
          <w:rFonts w:ascii="Calibri" w:eastAsia="Times New Roman" w:hAnsi="Calibri" w:cs="Calibri"/>
          <w:kern w:val="0"/>
          <w:sz w:val="24"/>
          <w:szCs w:val="24"/>
          <w14:ligatures w14:val="none"/>
        </w:rPr>
      </w:pPr>
    </w:p>
    <w:p w14:paraId="7658C970" w14:textId="77777777" w:rsidR="003A5A2A" w:rsidRDefault="003A5A2A" w:rsidP="00DE6306">
      <w:pPr>
        <w:spacing w:line="480" w:lineRule="auto"/>
        <w:ind w:firstLine="720"/>
        <w:rPr>
          <w:rFonts w:ascii="Calibri" w:eastAsia="Times New Roman" w:hAnsi="Calibri" w:cs="Calibri"/>
          <w:kern w:val="0"/>
          <w:sz w:val="24"/>
          <w:szCs w:val="24"/>
          <w14:ligatures w14:val="none"/>
        </w:rPr>
      </w:pPr>
    </w:p>
    <w:p w14:paraId="4DD46C22" w14:textId="77777777" w:rsidR="003A5A2A" w:rsidRDefault="003A5A2A" w:rsidP="00DE6306">
      <w:pPr>
        <w:spacing w:line="480" w:lineRule="auto"/>
        <w:ind w:firstLine="720"/>
        <w:rPr>
          <w:rFonts w:ascii="Calibri" w:eastAsia="Times New Roman" w:hAnsi="Calibri" w:cs="Calibri"/>
          <w:kern w:val="0"/>
          <w:sz w:val="24"/>
          <w:szCs w:val="24"/>
          <w14:ligatures w14:val="none"/>
        </w:rPr>
      </w:pPr>
    </w:p>
    <w:p w14:paraId="1CD08D92" w14:textId="77777777" w:rsidR="003A5A2A" w:rsidRDefault="003A5A2A" w:rsidP="00DE6306">
      <w:pPr>
        <w:spacing w:line="480" w:lineRule="auto"/>
        <w:ind w:firstLine="720"/>
        <w:rPr>
          <w:rFonts w:ascii="Calibri" w:eastAsia="Times New Roman" w:hAnsi="Calibri" w:cs="Calibri"/>
          <w:kern w:val="0"/>
          <w:sz w:val="24"/>
          <w:szCs w:val="24"/>
          <w14:ligatures w14:val="none"/>
        </w:rPr>
      </w:pPr>
    </w:p>
    <w:p w14:paraId="67824474" w14:textId="77777777" w:rsidR="003A5A2A" w:rsidRDefault="003A5A2A" w:rsidP="00DE6306">
      <w:pPr>
        <w:spacing w:line="480" w:lineRule="auto"/>
        <w:ind w:firstLine="720"/>
        <w:rPr>
          <w:rFonts w:ascii="Calibri" w:eastAsia="Times New Roman" w:hAnsi="Calibri" w:cs="Calibri"/>
          <w:kern w:val="0"/>
          <w:sz w:val="24"/>
          <w:szCs w:val="24"/>
          <w14:ligatures w14:val="none"/>
        </w:rPr>
      </w:pPr>
    </w:p>
    <w:p w14:paraId="23173791" w14:textId="77777777" w:rsidR="003A5A2A" w:rsidRDefault="003A5A2A" w:rsidP="00DE6306">
      <w:pPr>
        <w:spacing w:line="480" w:lineRule="auto"/>
        <w:ind w:firstLine="720"/>
        <w:rPr>
          <w:rFonts w:ascii="Calibri" w:eastAsia="Times New Roman" w:hAnsi="Calibri" w:cs="Calibri"/>
          <w:kern w:val="0"/>
          <w:sz w:val="24"/>
          <w:szCs w:val="24"/>
          <w14:ligatures w14:val="none"/>
        </w:rPr>
      </w:pPr>
    </w:p>
    <w:p w14:paraId="51B175CE" w14:textId="77777777" w:rsidR="003A5A2A" w:rsidRDefault="003A5A2A" w:rsidP="00DE6306">
      <w:pPr>
        <w:spacing w:line="480" w:lineRule="auto"/>
        <w:ind w:firstLine="720"/>
        <w:rPr>
          <w:rFonts w:ascii="Calibri" w:eastAsia="Times New Roman" w:hAnsi="Calibri" w:cs="Calibri"/>
          <w:kern w:val="0"/>
          <w:sz w:val="24"/>
          <w:szCs w:val="24"/>
          <w14:ligatures w14:val="none"/>
        </w:rPr>
      </w:pPr>
    </w:p>
    <w:p w14:paraId="6A8B17B8" w14:textId="77777777" w:rsidR="00EF0DA6" w:rsidRPr="00EF0DA6" w:rsidRDefault="00EF0DA6" w:rsidP="00EF0DA6">
      <w:pPr>
        <w:spacing w:after="0" w:line="480" w:lineRule="auto"/>
        <w:jc w:val="center"/>
        <w:rPr>
          <w:rFonts w:ascii="Times New Roman" w:eastAsia="Times New Roman" w:hAnsi="Times New Roman" w:cs="Times New Roman"/>
          <w:b/>
          <w:kern w:val="0"/>
          <w14:ligatures w14:val="none"/>
        </w:rPr>
      </w:pPr>
      <w:r w:rsidRPr="00EF0DA6">
        <w:rPr>
          <w:rFonts w:ascii="Times New Roman" w:eastAsia="Times New Roman" w:hAnsi="Times New Roman" w:cs="Times New Roman"/>
          <w:b/>
          <w:kern w:val="0"/>
          <w14:ligatures w14:val="none"/>
        </w:rPr>
        <w:lastRenderedPageBreak/>
        <w:t xml:space="preserve">References </w:t>
      </w:r>
    </w:p>
    <w:p w14:paraId="7519EA99" w14:textId="77777777" w:rsidR="00EF0DA6" w:rsidRPr="00EF0DA6" w:rsidRDefault="00EF0DA6" w:rsidP="00EF0DA6">
      <w:pPr>
        <w:spacing w:after="0" w:line="480" w:lineRule="auto"/>
        <w:ind w:left="720" w:hanging="720"/>
        <w:rPr>
          <w:rFonts w:ascii="Times New Roman" w:eastAsia="Times New Roman" w:hAnsi="Times New Roman" w:cs="Times New Roman"/>
          <w:kern w:val="0"/>
          <w14:ligatures w14:val="none"/>
        </w:rPr>
      </w:pPr>
      <w:proofErr w:type="spellStart"/>
      <w:r w:rsidRPr="00EF0DA6">
        <w:rPr>
          <w:rFonts w:ascii="Times New Roman" w:eastAsia="Times New Roman" w:hAnsi="Times New Roman" w:cs="Times New Roman"/>
          <w:kern w:val="0"/>
          <w14:ligatures w14:val="none"/>
        </w:rPr>
        <w:t>Adinkrah</w:t>
      </w:r>
      <w:proofErr w:type="spellEnd"/>
      <w:r w:rsidRPr="00EF0DA6">
        <w:rPr>
          <w:rFonts w:ascii="Times New Roman" w:eastAsia="Times New Roman" w:hAnsi="Times New Roman" w:cs="Times New Roman"/>
          <w:kern w:val="0"/>
          <w14:ligatures w14:val="none"/>
        </w:rPr>
        <w:t xml:space="preserve">, E. K., Bazargan, S., Cobb, S., Kibe, L. W., Vargas, R., Waller, J., Sanchez, H., &amp; Bazargan, M. (2024). Mobilizing faith-based COVID-19 health ambassadors to address COVID-19 health disparities among African American older adults in under-resourced communities: A hybrid, community-based participatory intervention. </w:t>
      </w:r>
      <w:proofErr w:type="spellStart"/>
      <w:r w:rsidRPr="00EF0DA6">
        <w:rPr>
          <w:rFonts w:ascii="Times New Roman" w:eastAsia="Times New Roman" w:hAnsi="Times New Roman" w:cs="Times New Roman"/>
          <w:i/>
          <w:kern w:val="0"/>
          <w14:ligatures w14:val="none"/>
        </w:rPr>
        <w:t>PloS</w:t>
      </w:r>
      <w:proofErr w:type="spellEnd"/>
      <w:r w:rsidRPr="00EF0DA6">
        <w:rPr>
          <w:rFonts w:ascii="Times New Roman" w:eastAsia="Times New Roman" w:hAnsi="Times New Roman" w:cs="Times New Roman"/>
          <w:i/>
          <w:kern w:val="0"/>
          <w14:ligatures w14:val="none"/>
        </w:rPr>
        <w:t xml:space="preserve"> One, 19</w:t>
      </w:r>
      <w:r w:rsidRPr="00EF0DA6">
        <w:rPr>
          <w:rFonts w:ascii="Times New Roman" w:eastAsia="Times New Roman" w:hAnsi="Times New Roman" w:cs="Times New Roman"/>
          <w:kern w:val="0"/>
          <w14:ligatures w14:val="none"/>
        </w:rPr>
        <w:t xml:space="preserve">(2), e0285963. </w:t>
      </w:r>
      <w:hyperlink r:id="rId7">
        <w:r w:rsidRPr="00EF0DA6">
          <w:rPr>
            <w:rFonts w:ascii="Times New Roman" w:eastAsia="Times New Roman" w:hAnsi="Times New Roman" w:cs="Times New Roman"/>
            <w:color w:val="1155CC"/>
            <w:kern w:val="0"/>
            <w:u w:val="single"/>
            <w14:ligatures w14:val="none"/>
          </w:rPr>
          <w:t>https://doi.org/10.1371/journal.pone.0285963</w:t>
        </w:r>
      </w:hyperlink>
      <w:r w:rsidRPr="00EF0DA6">
        <w:rPr>
          <w:rFonts w:ascii="Times New Roman" w:eastAsia="Times New Roman" w:hAnsi="Times New Roman" w:cs="Times New Roman"/>
          <w:kern w:val="0"/>
          <w14:ligatures w14:val="none"/>
        </w:rPr>
        <w:t xml:space="preserve">. </w:t>
      </w:r>
    </w:p>
    <w:p w14:paraId="7E49D9FA" w14:textId="77777777" w:rsidR="00EF0DA6" w:rsidRPr="00EF0DA6" w:rsidRDefault="00EF0DA6" w:rsidP="00EF0DA6">
      <w:pPr>
        <w:spacing w:after="0" w:line="480" w:lineRule="auto"/>
        <w:ind w:left="720" w:hanging="720"/>
        <w:rPr>
          <w:rFonts w:ascii="Times New Roman" w:eastAsia="Times New Roman" w:hAnsi="Times New Roman" w:cs="Times New Roman"/>
          <w:kern w:val="0"/>
          <w14:ligatures w14:val="none"/>
        </w:rPr>
      </w:pPr>
      <w:r w:rsidRPr="00EF0DA6">
        <w:rPr>
          <w:rFonts w:ascii="Times New Roman" w:eastAsia="Times New Roman" w:hAnsi="Times New Roman" w:cs="Times New Roman"/>
          <w:kern w:val="0"/>
          <w14:ligatures w14:val="none"/>
        </w:rPr>
        <w:t xml:space="preserve">Berardi, C., Antonini, M., Jordan, Z., </w:t>
      </w:r>
      <w:proofErr w:type="spellStart"/>
      <w:r w:rsidRPr="00EF0DA6">
        <w:rPr>
          <w:rFonts w:ascii="Times New Roman" w:eastAsia="Times New Roman" w:hAnsi="Times New Roman" w:cs="Times New Roman"/>
          <w:kern w:val="0"/>
          <w14:ligatures w14:val="none"/>
        </w:rPr>
        <w:t>Wechtler</w:t>
      </w:r>
      <w:proofErr w:type="spellEnd"/>
      <w:r w:rsidRPr="00EF0DA6">
        <w:rPr>
          <w:rFonts w:ascii="Times New Roman" w:eastAsia="Times New Roman" w:hAnsi="Times New Roman" w:cs="Times New Roman"/>
          <w:kern w:val="0"/>
          <w14:ligatures w14:val="none"/>
        </w:rPr>
        <w:t xml:space="preserve">, H., Paolucci, F., &amp; </w:t>
      </w:r>
      <w:proofErr w:type="spellStart"/>
      <w:r w:rsidRPr="00EF0DA6">
        <w:rPr>
          <w:rFonts w:ascii="Times New Roman" w:eastAsia="Times New Roman" w:hAnsi="Times New Roman" w:cs="Times New Roman"/>
          <w:kern w:val="0"/>
          <w14:ligatures w14:val="none"/>
        </w:rPr>
        <w:t>Hinwood</w:t>
      </w:r>
      <w:proofErr w:type="spellEnd"/>
      <w:r w:rsidRPr="00EF0DA6">
        <w:rPr>
          <w:rFonts w:ascii="Times New Roman" w:eastAsia="Times New Roman" w:hAnsi="Times New Roman" w:cs="Times New Roman"/>
          <w:kern w:val="0"/>
          <w14:ligatures w14:val="none"/>
        </w:rPr>
        <w:t xml:space="preserve">, M. (2024). Barriers and facilitators to the implementation of digital technologies in mental health systems: a qualitative systematic review to inform a policy framework. </w:t>
      </w:r>
      <w:r w:rsidRPr="00EF0DA6">
        <w:rPr>
          <w:rFonts w:ascii="Times New Roman" w:eastAsia="Times New Roman" w:hAnsi="Times New Roman" w:cs="Times New Roman"/>
          <w:i/>
          <w:kern w:val="0"/>
          <w14:ligatures w14:val="none"/>
        </w:rPr>
        <w:t>BMC Health Services Research, 24</w:t>
      </w:r>
      <w:r w:rsidRPr="00EF0DA6">
        <w:rPr>
          <w:rFonts w:ascii="Times New Roman" w:eastAsia="Times New Roman" w:hAnsi="Times New Roman" w:cs="Times New Roman"/>
          <w:kern w:val="0"/>
          <w14:ligatures w14:val="none"/>
        </w:rPr>
        <w:t xml:space="preserve">(1). </w:t>
      </w:r>
      <w:hyperlink r:id="rId8">
        <w:r w:rsidRPr="00EF0DA6">
          <w:rPr>
            <w:rFonts w:ascii="Times New Roman" w:eastAsia="Times New Roman" w:hAnsi="Times New Roman" w:cs="Times New Roman"/>
            <w:color w:val="1155CC"/>
            <w:kern w:val="0"/>
            <w:u w:val="single"/>
            <w14:ligatures w14:val="none"/>
          </w:rPr>
          <w:t>https://doi.org/10.1186/s12913-023-10536-1</w:t>
        </w:r>
      </w:hyperlink>
      <w:r w:rsidRPr="00EF0DA6">
        <w:rPr>
          <w:rFonts w:ascii="Times New Roman" w:eastAsia="Times New Roman" w:hAnsi="Times New Roman" w:cs="Times New Roman"/>
          <w:kern w:val="0"/>
          <w14:ligatures w14:val="none"/>
        </w:rPr>
        <w:t xml:space="preserve">. </w:t>
      </w:r>
    </w:p>
    <w:p w14:paraId="723C4953" w14:textId="77777777" w:rsidR="00EF0DA6" w:rsidRPr="00EF0DA6" w:rsidRDefault="00EF0DA6" w:rsidP="00EF0DA6">
      <w:pPr>
        <w:spacing w:after="0" w:line="480" w:lineRule="auto"/>
        <w:ind w:left="720" w:hanging="720"/>
        <w:rPr>
          <w:rFonts w:ascii="Times New Roman" w:eastAsia="Times New Roman" w:hAnsi="Times New Roman" w:cs="Times New Roman"/>
          <w:kern w:val="0"/>
          <w14:ligatures w14:val="none"/>
        </w:rPr>
      </w:pPr>
      <w:r w:rsidRPr="00EF0DA6">
        <w:rPr>
          <w:rFonts w:ascii="Times New Roman" w:eastAsia="Times New Roman" w:hAnsi="Times New Roman" w:cs="Times New Roman"/>
          <w:kern w:val="0"/>
          <w14:ligatures w14:val="none"/>
        </w:rPr>
        <w:t xml:space="preserve">Durmaz, A., Dursun, İ., &amp; </w:t>
      </w:r>
      <w:proofErr w:type="spellStart"/>
      <w:r w:rsidRPr="00EF0DA6">
        <w:rPr>
          <w:rFonts w:ascii="Times New Roman" w:eastAsia="Times New Roman" w:hAnsi="Times New Roman" w:cs="Times New Roman"/>
          <w:kern w:val="0"/>
          <w14:ligatures w14:val="none"/>
        </w:rPr>
        <w:t>Kabadayi</w:t>
      </w:r>
      <w:proofErr w:type="spellEnd"/>
      <w:r w:rsidRPr="00EF0DA6">
        <w:rPr>
          <w:rFonts w:ascii="Times New Roman" w:eastAsia="Times New Roman" w:hAnsi="Times New Roman" w:cs="Times New Roman"/>
          <w:kern w:val="0"/>
          <w14:ligatures w14:val="none"/>
        </w:rPr>
        <w:t xml:space="preserve">, E. T. (2020). Mitigating the effects of social desirability bias in self-report surveys: Classical and new techniques. In </w:t>
      </w:r>
      <w:r w:rsidRPr="00EF0DA6">
        <w:rPr>
          <w:rFonts w:ascii="Times New Roman" w:eastAsia="Times New Roman" w:hAnsi="Times New Roman" w:cs="Times New Roman"/>
          <w:i/>
          <w:kern w:val="0"/>
          <w14:ligatures w14:val="none"/>
        </w:rPr>
        <w:t>Advances in Library and Information Science</w:t>
      </w:r>
      <w:r w:rsidRPr="00EF0DA6">
        <w:rPr>
          <w:rFonts w:ascii="Times New Roman" w:eastAsia="Times New Roman" w:hAnsi="Times New Roman" w:cs="Times New Roman"/>
          <w:kern w:val="0"/>
          <w14:ligatures w14:val="none"/>
        </w:rPr>
        <w:t xml:space="preserve"> (pp. 146–185). IGI Global.</w:t>
      </w:r>
    </w:p>
    <w:p w14:paraId="0DD5D896" w14:textId="77777777" w:rsidR="00EF0DA6" w:rsidRPr="00EF0DA6" w:rsidRDefault="00EF0DA6" w:rsidP="00EF0DA6">
      <w:pPr>
        <w:spacing w:after="0" w:line="480" w:lineRule="auto"/>
        <w:ind w:left="720" w:hanging="720"/>
        <w:rPr>
          <w:rFonts w:ascii="Times New Roman" w:eastAsia="Times New Roman" w:hAnsi="Times New Roman" w:cs="Times New Roman"/>
          <w:kern w:val="0"/>
          <w14:ligatures w14:val="none"/>
        </w:rPr>
      </w:pPr>
      <w:r w:rsidRPr="00EF0DA6">
        <w:rPr>
          <w:rFonts w:ascii="Times New Roman" w:eastAsia="Times New Roman" w:hAnsi="Times New Roman" w:cs="Times New Roman"/>
          <w:kern w:val="0"/>
          <w14:ligatures w14:val="none"/>
        </w:rPr>
        <w:t xml:space="preserve">Harkness, A., Soulliard, Z. A., Layland, E. K., Behari, K., Rogers, B. G., Bharat, B., </w:t>
      </w:r>
      <w:proofErr w:type="spellStart"/>
      <w:r w:rsidRPr="00EF0DA6">
        <w:rPr>
          <w:rFonts w:ascii="Times New Roman" w:eastAsia="Times New Roman" w:hAnsi="Times New Roman" w:cs="Times New Roman"/>
          <w:kern w:val="0"/>
          <w14:ligatures w14:val="none"/>
        </w:rPr>
        <w:t>Safren</w:t>
      </w:r>
      <w:proofErr w:type="spellEnd"/>
      <w:r w:rsidRPr="00EF0DA6">
        <w:rPr>
          <w:rFonts w:ascii="Times New Roman" w:eastAsia="Times New Roman" w:hAnsi="Times New Roman" w:cs="Times New Roman"/>
          <w:kern w:val="0"/>
          <w14:ligatures w14:val="none"/>
        </w:rPr>
        <w:t xml:space="preserve">, S. A., &amp; </w:t>
      </w:r>
      <w:proofErr w:type="spellStart"/>
      <w:r w:rsidRPr="00EF0DA6">
        <w:rPr>
          <w:rFonts w:ascii="Times New Roman" w:eastAsia="Times New Roman" w:hAnsi="Times New Roman" w:cs="Times New Roman"/>
          <w:kern w:val="0"/>
          <w14:ligatures w14:val="none"/>
        </w:rPr>
        <w:t>Pachankis</w:t>
      </w:r>
      <w:proofErr w:type="spellEnd"/>
      <w:r w:rsidRPr="00EF0DA6">
        <w:rPr>
          <w:rFonts w:ascii="Times New Roman" w:eastAsia="Times New Roman" w:hAnsi="Times New Roman" w:cs="Times New Roman"/>
          <w:kern w:val="0"/>
          <w14:ligatures w14:val="none"/>
        </w:rPr>
        <w:t>, J. E. (2024). Implementing LGBTQ-affirmative cognitive-</w:t>
      </w:r>
      <w:proofErr w:type="spellStart"/>
      <w:r w:rsidRPr="00EF0DA6">
        <w:rPr>
          <w:rFonts w:ascii="Times New Roman" w:eastAsia="Times New Roman" w:hAnsi="Times New Roman" w:cs="Times New Roman"/>
          <w:kern w:val="0"/>
          <w14:ligatures w14:val="none"/>
        </w:rPr>
        <w:t>behavioral</w:t>
      </w:r>
      <w:proofErr w:type="spellEnd"/>
      <w:r w:rsidRPr="00EF0DA6">
        <w:rPr>
          <w:rFonts w:ascii="Times New Roman" w:eastAsia="Times New Roman" w:hAnsi="Times New Roman" w:cs="Times New Roman"/>
          <w:kern w:val="0"/>
          <w14:ligatures w14:val="none"/>
        </w:rPr>
        <w:t xml:space="preserve"> therapy: implementation strategies across five clinical trials. </w:t>
      </w:r>
      <w:r w:rsidRPr="00EF0DA6">
        <w:rPr>
          <w:rFonts w:ascii="Times New Roman" w:eastAsia="Times New Roman" w:hAnsi="Times New Roman" w:cs="Times New Roman"/>
          <w:i/>
          <w:kern w:val="0"/>
          <w14:ligatures w14:val="none"/>
        </w:rPr>
        <w:t>Implementation Science Communications, 5</w:t>
      </w:r>
      <w:r w:rsidRPr="00EF0DA6">
        <w:rPr>
          <w:rFonts w:ascii="Times New Roman" w:eastAsia="Times New Roman" w:hAnsi="Times New Roman" w:cs="Times New Roman"/>
          <w:kern w:val="0"/>
          <w14:ligatures w14:val="none"/>
        </w:rPr>
        <w:t xml:space="preserve">(1). </w:t>
      </w:r>
      <w:hyperlink r:id="rId9">
        <w:r w:rsidRPr="00EF0DA6">
          <w:rPr>
            <w:rFonts w:ascii="Times New Roman" w:eastAsia="Times New Roman" w:hAnsi="Times New Roman" w:cs="Times New Roman"/>
            <w:color w:val="1155CC"/>
            <w:kern w:val="0"/>
            <w:u w:val="single"/>
            <w14:ligatures w14:val="none"/>
          </w:rPr>
          <w:t>https://doi.org/10.1186/s43058-024-00657-x</w:t>
        </w:r>
      </w:hyperlink>
      <w:r w:rsidRPr="00EF0DA6">
        <w:rPr>
          <w:rFonts w:ascii="Times New Roman" w:eastAsia="Times New Roman" w:hAnsi="Times New Roman" w:cs="Times New Roman"/>
          <w:kern w:val="0"/>
          <w14:ligatures w14:val="none"/>
        </w:rPr>
        <w:t xml:space="preserve">. </w:t>
      </w:r>
    </w:p>
    <w:p w14:paraId="5FE2A777" w14:textId="77777777" w:rsidR="00EF0DA6" w:rsidRPr="00EF0DA6" w:rsidRDefault="00EF0DA6" w:rsidP="00EF0DA6">
      <w:pPr>
        <w:spacing w:after="0" w:line="480" w:lineRule="auto"/>
        <w:ind w:left="720" w:hanging="720"/>
        <w:rPr>
          <w:rFonts w:ascii="Times New Roman" w:eastAsia="Times New Roman" w:hAnsi="Times New Roman" w:cs="Times New Roman"/>
          <w:kern w:val="0"/>
          <w14:ligatures w14:val="none"/>
        </w:rPr>
      </w:pPr>
      <w:r w:rsidRPr="00EF0DA6">
        <w:rPr>
          <w:rFonts w:ascii="Times New Roman" w:eastAsia="Times New Roman" w:hAnsi="Times New Roman" w:cs="Times New Roman"/>
          <w:kern w:val="0"/>
          <w14:ligatures w14:val="none"/>
        </w:rPr>
        <w:t xml:space="preserve">Liu, Y., Wu, Y. C., Fu, H., Guo, W. Y., &amp; Wang, X. (2023). Digital intervention in improving the outcomes of mental health among LGBTQ+ youth: a systematic review. </w:t>
      </w:r>
      <w:r w:rsidRPr="00EF0DA6">
        <w:rPr>
          <w:rFonts w:ascii="Times New Roman" w:eastAsia="Times New Roman" w:hAnsi="Times New Roman" w:cs="Times New Roman"/>
          <w:i/>
          <w:kern w:val="0"/>
          <w14:ligatures w14:val="none"/>
        </w:rPr>
        <w:t>Frontiers in Psychology, 14</w:t>
      </w:r>
      <w:r w:rsidRPr="00EF0DA6">
        <w:rPr>
          <w:rFonts w:ascii="Times New Roman" w:eastAsia="Times New Roman" w:hAnsi="Times New Roman" w:cs="Times New Roman"/>
          <w:kern w:val="0"/>
          <w14:ligatures w14:val="none"/>
        </w:rPr>
        <w:t xml:space="preserve">(1), 1-13. </w:t>
      </w:r>
      <w:hyperlink r:id="rId10">
        <w:r w:rsidRPr="00EF0DA6">
          <w:rPr>
            <w:rFonts w:ascii="Times New Roman" w:eastAsia="Times New Roman" w:hAnsi="Times New Roman" w:cs="Times New Roman"/>
            <w:color w:val="1155CC"/>
            <w:kern w:val="0"/>
            <w:u w:val="single"/>
            <w14:ligatures w14:val="none"/>
          </w:rPr>
          <w:t>https://doi.org/10.3389/fpsyg.2023.1242928</w:t>
        </w:r>
      </w:hyperlink>
      <w:r w:rsidRPr="00EF0DA6">
        <w:rPr>
          <w:rFonts w:ascii="Times New Roman" w:eastAsia="Times New Roman" w:hAnsi="Times New Roman" w:cs="Times New Roman"/>
          <w:kern w:val="0"/>
          <w14:ligatures w14:val="none"/>
        </w:rPr>
        <w:t xml:space="preserve">. </w:t>
      </w:r>
    </w:p>
    <w:p w14:paraId="153F6A2F" w14:textId="77777777" w:rsidR="00EF0DA6" w:rsidRPr="00EF0DA6" w:rsidRDefault="00EF0DA6" w:rsidP="00EF0DA6">
      <w:pPr>
        <w:spacing w:after="0" w:line="480" w:lineRule="auto"/>
        <w:ind w:left="720" w:hanging="720"/>
        <w:rPr>
          <w:rFonts w:ascii="Times New Roman" w:eastAsia="Times New Roman" w:hAnsi="Times New Roman" w:cs="Times New Roman"/>
          <w:kern w:val="0"/>
          <w14:ligatures w14:val="none"/>
        </w:rPr>
      </w:pPr>
      <w:proofErr w:type="spellStart"/>
      <w:r w:rsidRPr="00EF0DA6">
        <w:rPr>
          <w:rFonts w:ascii="Times New Roman" w:eastAsia="Times New Roman" w:hAnsi="Times New Roman" w:cs="Times New Roman"/>
          <w:kern w:val="0"/>
          <w14:ligatures w14:val="none"/>
        </w:rPr>
        <w:t>Pachankis</w:t>
      </w:r>
      <w:proofErr w:type="spellEnd"/>
      <w:r w:rsidRPr="00EF0DA6">
        <w:rPr>
          <w:rFonts w:ascii="Times New Roman" w:eastAsia="Times New Roman" w:hAnsi="Times New Roman" w:cs="Times New Roman"/>
          <w:kern w:val="0"/>
          <w14:ligatures w14:val="none"/>
        </w:rPr>
        <w:t xml:space="preserve">, J. E., Soulliard, Z. A., Layland, E. K., Behari, K., Seager van Dyk, I., Eisenstadt, B. E., Chiaramonte, D., </w:t>
      </w:r>
      <w:proofErr w:type="spellStart"/>
      <w:r w:rsidRPr="00EF0DA6">
        <w:rPr>
          <w:rFonts w:ascii="Times New Roman" w:eastAsia="Times New Roman" w:hAnsi="Times New Roman" w:cs="Times New Roman"/>
          <w:kern w:val="0"/>
          <w14:ligatures w14:val="none"/>
        </w:rPr>
        <w:t>Ljótsson</w:t>
      </w:r>
      <w:proofErr w:type="spellEnd"/>
      <w:r w:rsidRPr="00EF0DA6">
        <w:rPr>
          <w:rFonts w:ascii="Times New Roman" w:eastAsia="Times New Roman" w:hAnsi="Times New Roman" w:cs="Times New Roman"/>
          <w:kern w:val="0"/>
          <w14:ligatures w14:val="none"/>
        </w:rPr>
        <w:t xml:space="preserve">, B., </w:t>
      </w:r>
      <w:proofErr w:type="spellStart"/>
      <w:r w:rsidRPr="00EF0DA6">
        <w:rPr>
          <w:rFonts w:ascii="Times New Roman" w:eastAsia="Times New Roman" w:hAnsi="Times New Roman" w:cs="Times New Roman"/>
          <w:kern w:val="0"/>
          <w14:ligatures w14:val="none"/>
        </w:rPr>
        <w:t>Särnholm</w:t>
      </w:r>
      <w:proofErr w:type="spellEnd"/>
      <w:r w:rsidRPr="00EF0DA6">
        <w:rPr>
          <w:rFonts w:ascii="Times New Roman" w:eastAsia="Times New Roman" w:hAnsi="Times New Roman" w:cs="Times New Roman"/>
          <w:kern w:val="0"/>
          <w14:ligatures w14:val="none"/>
        </w:rPr>
        <w:t xml:space="preserve">, J., &amp; </w:t>
      </w:r>
      <w:proofErr w:type="spellStart"/>
      <w:r w:rsidRPr="00EF0DA6">
        <w:rPr>
          <w:rFonts w:ascii="Times New Roman" w:eastAsia="Times New Roman" w:hAnsi="Times New Roman" w:cs="Times New Roman"/>
          <w:kern w:val="0"/>
          <w14:ligatures w14:val="none"/>
        </w:rPr>
        <w:t>Bjureberg</w:t>
      </w:r>
      <w:proofErr w:type="spellEnd"/>
      <w:r w:rsidRPr="00EF0DA6">
        <w:rPr>
          <w:rFonts w:ascii="Times New Roman" w:eastAsia="Times New Roman" w:hAnsi="Times New Roman" w:cs="Times New Roman"/>
          <w:kern w:val="0"/>
          <w14:ligatures w14:val="none"/>
        </w:rPr>
        <w:t>, J. (2023). Guided LGBTQ-affirmative internet cognitive-</w:t>
      </w:r>
      <w:proofErr w:type="spellStart"/>
      <w:r w:rsidRPr="00EF0DA6">
        <w:rPr>
          <w:rFonts w:ascii="Times New Roman" w:eastAsia="Times New Roman" w:hAnsi="Times New Roman" w:cs="Times New Roman"/>
          <w:kern w:val="0"/>
          <w14:ligatures w14:val="none"/>
        </w:rPr>
        <w:t>behavioral</w:t>
      </w:r>
      <w:proofErr w:type="spellEnd"/>
      <w:r w:rsidRPr="00EF0DA6">
        <w:rPr>
          <w:rFonts w:ascii="Times New Roman" w:eastAsia="Times New Roman" w:hAnsi="Times New Roman" w:cs="Times New Roman"/>
          <w:kern w:val="0"/>
          <w14:ligatures w14:val="none"/>
        </w:rPr>
        <w:t xml:space="preserve"> therapy for sexual minority youth’s mental health: A randomized controlled trial of a minority stress treatment approach. </w:t>
      </w:r>
      <w:r w:rsidRPr="00EF0DA6">
        <w:rPr>
          <w:rFonts w:ascii="Times New Roman" w:eastAsia="Times New Roman" w:hAnsi="Times New Roman" w:cs="Times New Roman"/>
          <w:i/>
          <w:kern w:val="0"/>
          <w14:ligatures w14:val="none"/>
        </w:rPr>
        <w:t>Behaviour Research and Therapy, 169</w:t>
      </w:r>
      <w:r w:rsidRPr="00EF0DA6">
        <w:rPr>
          <w:rFonts w:ascii="Times New Roman" w:eastAsia="Times New Roman" w:hAnsi="Times New Roman" w:cs="Times New Roman"/>
          <w:kern w:val="0"/>
          <w14:ligatures w14:val="none"/>
        </w:rPr>
        <w:t xml:space="preserve">(104403), 104403. </w:t>
      </w:r>
      <w:hyperlink r:id="rId11">
        <w:r w:rsidRPr="00EF0DA6">
          <w:rPr>
            <w:rFonts w:ascii="Times New Roman" w:eastAsia="Times New Roman" w:hAnsi="Times New Roman" w:cs="Times New Roman"/>
            <w:color w:val="1155CC"/>
            <w:kern w:val="0"/>
            <w:u w:val="single"/>
            <w14:ligatures w14:val="none"/>
          </w:rPr>
          <w:t>https://doi.org/10.1016/j.brat.2023.104403</w:t>
        </w:r>
      </w:hyperlink>
      <w:r w:rsidRPr="00EF0DA6">
        <w:rPr>
          <w:rFonts w:ascii="Times New Roman" w:eastAsia="Times New Roman" w:hAnsi="Times New Roman" w:cs="Times New Roman"/>
          <w:kern w:val="0"/>
          <w14:ligatures w14:val="none"/>
        </w:rPr>
        <w:t xml:space="preserve">. </w:t>
      </w:r>
    </w:p>
    <w:p w14:paraId="1FC033DA" w14:textId="7E303533" w:rsidR="003A5A2A" w:rsidRPr="00EF0DA6" w:rsidRDefault="00EF0DA6" w:rsidP="00EF0DA6">
      <w:pPr>
        <w:spacing w:after="0" w:line="480" w:lineRule="auto"/>
        <w:ind w:left="720" w:hanging="720"/>
        <w:rPr>
          <w:rFonts w:ascii="Times New Roman" w:eastAsia="Times New Roman" w:hAnsi="Times New Roman" w:cs="Times New Roman"/>
          <w:kern w:val="0"/>
          <w14:ligatures w14:val="none"/>
        </w:rPr>
      </w:pPr>
      <w:r w:rsidRPr="00EF0DA6">
        <w:rPr>
          <w:rFonts w:ascii="Times New Roman" w:eastAsia="Times New Roman" w:hAnsi="Times New Roman" w:cs="Times New Roman"/>
          <w:kern w:val="0"/>
          <w14:ligatures w14:val="none"/>
        </w:rPr>
        <w:t>Underhill, R., &amp; Foulkes, L. (2024). Self-diagnosis of mental disorders: A qualitative study of attitudes on Reddit.</w:t>
      </w:r>
      <w:r w:rsidRPr="00EF0DA6">
        <w:rPr>
          <w:rFonts w:ascii="Times New Roman" w:eastAsia="Times New Roman" w:hAnsi="Times New Roman" w:cs="Times New Roman"/>
          <w:i/>
          <w:kern w:val="0"/>
          <w14:ligatures w14:val="none"/>
        </w:rPr>
        <w:t xml:space="preserve"> Qualitative Health Research, 1</w:t>
      </w:r>
      <w:r w:rsidRPr="00EF0DA6">
        <w:rPr>
          <w:rFonts w:ascii="Times New Roman" w:eastAsia="Times New Roman" w:hAnsi="Times New Roman" w:cs="Times New Roman"/>
          <w:kern w:val="0"/>
          <w14:ligatures w14:val="none"/>
        </w:rPr>
        <w:t xml:space="preserve">(2), 1-13. </w:t>
      </w:r>
      <w:hyperlink r:id="rId12">
        <w:r w:rsidRPr="00EF0DA6">
          <w:rPr>
            <w:rFonts w:ascii="Times New Roman" w:eastAsia="Times New Roman" w:hAnsi="Times New Roman" w:cs="Times New Roman"/>
            <w:color w:val="1155CC"/>
            <w:kern w:val="0"/>
            <w:u w:val="single"/>
            <w14:ligatures w14:val="none"/>
          </w:rPr>
          <w:t>https://doi.org/10.1177/10497323241288785</w:t>
        </w:r>
      </w:hyperlink>
      <w:r w:rsidRPr="00EF0DA6">
        <w:rPr>
          <w:rFonts w:ascii="Times New Roman" w:eastAsia="Times New Roman" w:hAnsi="Times New Roman" w:cs="Times New Roman"/>
          <w:kern w:val="0"/>
          <w14:ligatures w14:val="none"/>
        </w:rPr>
        <w:t xml:space="preserve">. </w:t>
      </w:r>
    </w:p>
    <w:sectPr w:rsidR="003A5A2A" w:rsidRPr="00EF0DA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69C"/>
    <w:rsid w:val="002A069C"/>
    <w:rsid w:val="003A5A2A"/>
    <w:rsid w:val="004716D9"/>
    <w:rsid w:val="004D1CD2"/>
    <w:rsid w:val="00593A49"/>
    <w:rsid w:val="008E253C"/>
    <w:rsid w:val="00A17F22"/>
    <w:rsid w:val="00AD2BA3"/>
    <w:rsid w:val="00B63A81"/>
    <w:rsid w:val="00C41C36"/>
    <w:rsid w:val="00CE0C68"/>
    <w:rsid w:val="00DE6306"/>
    <w:rsid w:val="00DF6F6A"/>
    <w:rsid w:val="00E8115D"/>
    <w:rsid w:val="00EF0D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50103"/>
  <w15:chartTrackingRefBased/>
  <w15:docId w15:val="{E8AB3AD8-5EB5-4763-84E6-718823FB5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069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A069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A069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A069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A069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A069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A069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A069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A069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069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A069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A069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069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069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069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069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069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069C"/>
    <w:rPr>
      <w:rFonts w:eastAsiaTheme="majorEastAsia" w:cstheme="majorBidi"/>
      <w:color w:val="272727" w:themeColor="text1" w:themeTint="D8"/>
    </w:rPr>
  </w:style>
  <w:style w:type="paragraph" w:styleId="Title">
    <w:name w:val="Title"/>
    <w:basedOn w:val="Normal"/>
    <w:next w:val="Normal"/>
    <w:link w:val="TitleChar"/>
    <w:uiPriority w:val="10"/>
    <w:qFormat/>
    <w:rsid w:val="002A069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69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069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069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69C"/>
    <w:pPr>
      <w:spacing w:before="160"/>
      <w:jc w:val="center"/>
    </w:pPr>
    <w:rPr>
      <w:i/>
      <w:iCs/>
      <w:color w:val="404040" w:themeColor="text1" w:themeTint="BF"/>
    </w:rPr>
  </w:style>
  <w:style w:type="character" w:customStyle="1" w:styleId="QuoteChar">
    <w:name w:val="Quote Char"/>
    <w:basedOn w:val="DefaultParagraphFont"/>
    <w:link w:val="Quote"/>
    <w:uiPriority w:val="29"/>
    <w:rsid w:val="002A069C"/>
    <w:rPr>
      <w:i/>
      <w:iCs/>
      <w:color w:val="404040" w:themeColor="text1" w:themeTint="BF"/>
    </w:rPr>
  </w:style>
  <w:style w:type="paragraph" w:styleId="ListParagraph">
    <w:name w:val="List Paragraph"/>
    <w:basedOn w:val="Normal"/>
    <w:uiPriority w:val="34"/>
    <w:qFormat/>
    <w:rsid w:val="002A069C"/>
    <w:pPr>
      <w:ind w:left="720"/>
      <w:contextualSpacing/>
    </w:pPr>
  </w:style>
  <w:style w:type="character" w:styleId="IntenseEmphasis">
    <w:name w:val="Intense Emphasis"/>
    <w:basedOn w:val="DefaultParagraphFont"/>
    <w:uiPriority w:val="21"/>
    <w:qFormat/>
    <w:rsid w:val="002A069C"/>
    <w:rPr>
      <w:i/>
      <w:iCs/>
      <w:color w:val="0F4761" w:themeColor="accent1" w:themeShade="BF"/>
    </w:rPr>
  </w:style>
  <w:style w:type="paragraph" w:styleId="IntenseQuote">
    <w:name w:val="Intense Quote"/>
    <w:basedOn w:val="Normal"/>
    <w:next w:val="Normal"/>
    <w:link w:val="IntenseQuoteChar"/>
    <w:uiPriority w:val="30"/>
    <w:qFormat/>
    <w:rsid w:val="002A06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069C"/>
    <w:rPr>
      <w:i/>
      <w:iCs/>
      <w:color w:val="0F4761" w:themeColor="accent1" w:themeShade="BF"/>
    </w:rPr>
  </w:style>
  <w:style w:type="character" w:styleId="IntenseReference">
    <w:name w:val="Intense Reference"/>
    <w:basedOn w:val="DefaultParagraphFont"/>
    <w:uiPriority w:val="32"/>
    <w:qFormat/>
    <w:rsid w:val="002A069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86/s12913-023-10536-1" TargetMode="Externa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hyperlink" Target="https://doi.org/10.1371/journal.pone.0285963" TargetMode="External"/><Relationship Id="rId12" Type="http://schemas.openxmlformats.org/officeDocument/2006/relationships/hyperlink" Target="https://doi.org/10.1177/10497323241288785"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doi.org/10.1016/j.brat.2023.104403" TargetMode="External"/><Relationship Id="rId5" Type="http://schemas.openxmlformats.org/officeDocument/2006/relationships/settings" Target="settings.xml"/><Relationship Id="rId10" Type="http://schemas.openxmlformats.org/officeDocument/2006/relationships/hyperlink" Target="https://doi.org/10.3389/fpsyg.2023.1242928" TargetMode="External"/><Relationship Id="rId4" Type="http://schemas.openxmlformats.org/officeDocument/2006/relationships/styles" Target="styles.xml"/><Relationship Id="rId9" Type="http://schemas.openxmlformats.org/officeDocument/2006/relationships/hyperlink" Target="https://doi.org/10.1186/s43058-024-00657-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8f976c7d786178bc71e06c2fbf3427d2">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046d2c376d8315db923cf409c529c02d"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LengthInSecond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_activity" ma:index="20" nillable="true" ma:displayName="_activity" ma:hidden="true" ma:internalName="_activity">
      <xsd:simpleType>
        <xsd:restriction base="dms:Note"/>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GenerationTime" ma:index="22" nillable="true" ma:displayName="MediaServiceGenerationTime" ma:hidden="true" ma:internalName="MediaServiceGenerationTime" ma:readOnly="true">
      <xsd:simpleType>
        <xsd:restriction base="dms:Text"/>
      </xsd:simpleType>
    </xsd:element>
    <xsd:element name="MediaServiceEventHashCode" ma:index="23"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Props1.xml><?xml version="1.0" encoding="utf-8"?>
<ds:datastoreItem xmlns:ds="http://schemas.openxmlformats.org/officeDocument/2006/customXml" ds:itemID="{E59FB117-9CA9-4B66-9045-EFAA6DA1084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B3E5C19-C7E4-4E41-BF37-66247A487370}">
  <ds:schemaRefs>
    <ds:schemaRef ds:uri="http://schemas.microsoft.com/sharepoint/v3/contenttype/forms"/>
  </ds:schemaRefs>
</ds:datastoreItem>
</file>

<file path=customXml/itemProps3.xml><?xml version="1.0" encoding="utf-8"?>
<ds:datastoreItem xmlns:ds="http://schemas.openxmlformats.org/officeDocument/2006/customXml" ds:itemID="{D9C8A105-2D45-4B2A-BF58-A1020B5989A3}">
  <ds:schemaRefs>
    <ds:schemaRef ds:uri="http://purl.org/dc/elements/1.1/"/>
    <ds:schemaRef ds:uri="9823f8e4-81f3-4a59-a026-c1a9717271fd"/>
    <ds:schemaRef ds:uri="http://schemas.openxmlformats.org/package/2006/metadata/core-properties"/>
    <ds:schemaRef ds:uri="http://purl.org/dc/terms/"/>
    <ds:schemaRef ds:uri="http://schemas.microsoft.com/office/2006/documentManagement/types"/>
    <ds:schemaRef ds:uri="http://www.w3.org/XML/1998/namespace"/>
    <ds:schemaRef ds:uri="http://schemas.microsoft.com/office/infopath/2007/PartnerControls"/>
    <ds:schemaRef ds:uri="95817cb9-f0eb-4f4d-892c-47ab9f8957c0"/>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3227</Words>
  <Characters>18394</Characters>
  <Application>Microsoft Office Word</Application>
  <DocSecurity>0</DocSecurity>
  <Lines>153</Lines>
  <Paragraphs>43</Paragraphs>
  <ScaleCrop>false</ScaleCrop>
  <Company/>
  <LinksUpToDate>false</LinksUpToDate>
  <CharactersWithSpaces>21578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Sylwia Kadewska (2105813)</dc:creator>
  <cp:keywords/>
  <dc:description/>
  <cp:lastModifiedBy>Sylwia Kadewska (2105813)</cp:lastModifiedBy>
  <cp:revision>2</cp:revision>
  <dcterms:created xsi:type="dcterms:W3CDTF">2025-03-04T14:48:00Z</dcterms:created>
  <dcterms:modified xsi:type="dcterms:W3CDTF">2025-03-04T14:48:00Z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