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69F9" w:rsidRPr="00555675" w:rsidRDefault="004F69F9" w:rsidP="004F69F9">
      <w:pPr>
        <w:spacing w:before="100" w:beforeAutospacing="1" w:after="100" w:afterAutospacing="1"/>
        <w:jc w:val="center"/>
        <w:rPr>
          <w:rFonts w:eastAsia="Times New Roman" w:cs="Times New Roman"/>
          <w:b/>
          <w:shd w:val="clear" w:color="auto" w:fill="FFFFFF"/>
          <w:lang w:val="en-GB"/>
        </w:rPr>
      </w:pPr>
      <w:r w:rsidRPr="00555675">
        <w:rPr>
          <w:rFonts w:eastAsia="Times New Roman" w:cs="Times New Roman"/>
          <w:b/>
          <w:shd w:val="clear" w:color="auto" w:fill="FFFFFF"/>
          <w:lang w:val="en-GB"/>
        </w:rPr>
        <w:t>Developing Relationships and Workplace Achievement</w:t>
      </w: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r>
        <w:rPr>
          <w:rFonts w:eastAsia="Times New Roman" w:cs="Times New Roman"/>
          <w:shd w:val="clear" w:color="auto" w:fill="FFFFFF"/>
          <w:lang w:val="en-GB"/>
        </w:rPr>
        <w:t>Costel Grigorean</w:t>
      </w: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Pr="001201F2" w:rsidRDefault="004F69F9" w:rsidP="004F69F9">
      <w:pPr>
        <w:jc w:val="center"/>
        <w:rPr>
          <w:rFonts w:eastAsia="Times New Roman" w:cs="Times New Roman"/>
          <w:lang w:val="en-GB" w:eastAsia="en-GB"/>
        </w:rPr>
      </w:pPr>
      <w:r w:rsidRPr="001201F2">
        <w:rPr>
          <w:rFonts w:ascii="Helvetica Neue" w:eastAsia="Times New Roman" w:hAnsi="Helvetica Neue" w:cs="Times New Roman"/>
          <w:color w:val="373A3C"/>
          <w:shd w:val="clear" w:color="auto" w:fill="FBF7F5"/>
          <w:lang w:val="en-GB" w:eastAsia="en-GB"/>
        </w:rPr>
        <w:t>B</w:t>
      </w:r>
      <w:r>
        <w:rPr>
          <w:rFonts w:ascii="Helvetica Neue" w:eastAsia="Times New Roman" w:hAnsi="Helvetica Neue" w:cs="Times New Roman"/>
          <w:color w:val="373A3C"/>
          <w:shd w:val="clear" w:color="auto" w:fill="FBF7F5"/>
          <w:lang w:val="en-GB" w:eastAsia="en-GB"/>
        </w:rPr>
        <w:t>.</w:t>
      </w:r>
      <w:r w:rsidRPr="001201F2">
        <w:rPr>
          <w:rFonts w:ascii="Helvetica Neue" w:eastAsia="Times New Roman" w:hAnsi="Helvetica Neue" w:cs="Times New Roman"/>
          <w:color w:val="373A3C"/>
          <w:shd w:val="clear" w:color="auto" w:fill="FBF7F5"/>
          <w:lang w:val="en-GB" w:eastAsia="en-GB"/>
        </w:rPr>
        <w:t xml:space="preserve"> Heffernan</w:t>
      </w:r>
    </w:p>
    <w:p w:rsidR="004F69F9" w:rsidRPr="00555675" w:rsidRDefault="004F69F9" w:rsidP="004F69F9">
      <w:pPr>
        <w:spacing w:before="100" w:beforeAutospacing="1" w:after="100" w:afterAutospacing="1"/>
        <w:jc w:val="center"/>
        <w:rPr>
          <w:rFonts w:eastAsia="Times New Roman" w:cs="Times New Roman"/>
          <w:shd w:val="clear" w:color="auto" w:fill="FFFFFF"/>
          <w:lang w:val="en-GB"/>
        </w:rPr>
      </w:pPr>
    </w:p>
    <w:p w:rsidR="004F69F9" w:rsidRDefault="004F69F9" w:rsidP="004F69F9">
      <w:pPr>
        <w:jc w:val="center"/>
        <w:rPr>
          <w:rFonts w:cs="Times New Roman"/>
          <w:szCs w:val="24"/>
        </w:rPr>
      </w:pPr>
      <w:r w:rsidRPr="00D75D55">
        <w:rPr>
          <w:rFonts w:cs="Times New Roman"/>
          <w:szCs w:val="24"/>
        </w:rPr>
        <w:t>University</w:t>
      </w:r>
      <w:r>
        <w:rPr>
          <w:rFonts w:cs="Times New Roman"/>
          <w:szCs w:val="24"/>
        </w:rPr>
        <w:t xml:space="preserve"> of Wales</w:t>
      </w:r>
    </w:p>
    <w:p w:rsidR="004F69F9" w:rsidRPr="00D75D55" w:rsidRDefault="004F69F9" w:rsidP="004F69F9">
      <w:pPr>
        <w:jc w:val="center"/>
        <w:rPr>
          <w:rFonts w:cs="Times New Roman"/>
          <w:szCs w:val="24"/>
        </w:rPr>
      </w:pPr>
      <w:r>
        <w:rPr>
          <w:rFonts w:cs="Times New Roman"/>
          <w:szCs w:val="24"/>
        </w:rPr>
        <w:t>Trinity Saint David</w:t>
      </w:r>
    </w:p>
    <w:p w:rsidR="004F69F9" w:rsidRDefault="004F69F9" w:rsidP="004F69F9">
      <w:pPr>
        <w:jc w:val="center"/>
        <w:rPr>
          <w:rFonts w:cs="Times New Roman"/>
        </w:rPr>
      </w:pPr>
      <w:r>
        <w:rPr>
          <w:rFonts w:cs="Times New Roman"/>
          <w:szCs w:val="24"/>
        </w:rPr>
        <w:t>Swansea</w:t>
      </w:r>
    </w:p>
    <w:p w:rsidR="004F69F9" w:rsidRDefault="004F69F9" w:rsidP="004F69F9">
      <w:pPr>
        <w:jc w:val="center"/>
        <w:rPr>
          <w:rFonts w:cs="Times New Roman"/>
        </w:rPr>
      </w:pPr>
    </w:p>
    <w:p w:rsidR="004F69F9" w:rsidRDefault="004F69F9" w:rsidP="004F69F9">
      <w:pPr>
        <w:jc w:val="center"/>
        <w:rPr>
          <w:rFonts w:cs="Times New Roman"/>
        </w:rPr>
      </w:pPr>
    </w:p>
    <w:p w:rsidR="004F69F9" w:rsidRPr="00D75D55" w:rsidRDefault="004F69F9" w:rsidP="004F69F9">
      <w:pPr>
        <w:jc w:val="center"/>
        <w:rPr>
          <w:rFonts w:cs="Times New Roman"/>
          <w:szCs w:val="24"/>
        </w:rPr>
      </w:pPr>
    </w:p>
    <w:p w:rsidR="004F69F9" w:rsidRPr="00D75D55" w:rsidRDefault="004F69F9" w:rsidP="004F69F9">
      <w:pPr>
        <w:jc w:val="center"/>
        <w:rPr>
          <w:rFonts w:cs="Times New Roman"/>
          <w:szCs w:val="24"/>
        </w:rPr>
      </w:pPr>
      <w:r w:rsidRPr="00D75D55">
        <w:rPr>
          <w:rFonts w:cs="Times New Roman"/>
          <w:szCs w:val="24"/>
        </w:rPr>
        <w:t>Date</w:t>
      </w:r>
      <w:r>
        <w:rPr>
          <w:rFonts w:cs="Times New Roman"/>
          <w:szCs w:val="24"/>
        </w:rPr>
        <w:t>:</w:t>
      </w:r>
      <w:r>
        <w:rPr>
          <w:rFonts w:cs="Times New Roman"/>
        </w:rPr>
        <w:t>30</w:t>
      </w:r>
      <w:r>
        <w:rPr>
          <w:rFonts w:cs="Times New Roman"/>
          <w:szCs w:val="24"/>
        </w:rPr>
        <w:t>.03.2020</w:t>
      </w:r>
    </w:p>
    <w:p w:rsidR="00844365" w:rsidRPr="00DF50CD" w:rsidRDefault="00844365" w:rsidP="00DF50CD">
      <w:pPr>
        <w:rPr>
          <w:rFonts w:cs="Times New Roman"/>
        </w:rPr>
      </w:pPr>
    </w:p>
    <w:p w:rsidR="00843247" w:rsidRPr="00DF50CD" w:rsidRDefault="00843247" w:rsidP="00DF50CD">
      <w:pPr>
        <w:rPr>
          <w:rFonts w:cs="Times New Roman"/>
          <w:szCs w:val="24"/>
        </w:rPr>
      </w:pPr>
    </w:p>
    <w:p w:rsidR="003F1E66" w:rsidRPr="00DF50CD" w:rsidRDefault="003F1E66" w:rsidP="00DF50CD">
      <w:pPr>
        <w:spacing w:after="200"/>
        <w:rPr>
          <w:rFonts w:cs="Times New Roman"/>
          <w:szCs w:val="24"/>
        </w:rPr>
        <w:sectPr w:rsidR="003F1E66" w:rsidRPr="00DF50CD" w:rsidSect="001C646C">
          <w:headerReference w:type="default" r:id="rId8"/>
          <w:headerReference w:type="first" r:id="rId9"/>
          <w:pgSz w:w="12240" w:h="15840"/>
          <w:pgMar w:top="1440" w:right="1440" w:bottom="1440" w:left="1440" w:header="720" w:footer="720" w:gutter="0"/>
          <w:cols w:space="720"/>
          <w:docGrid w:linePitch="360"/>
        </w:sectPr>
      </w:pPr>
    </w:p>
    <w:p w:rsidR="007052EC" w:rsidRDefault="00356424">
      <w:pPr>
        <w:pStyle w:val="Title"/>
      </w:pPr>
      <w:bookmarkStart w:id="0" w:name="BRANCH_0"/>
      <w:bookmarkStart w:id="1" w:name="_MV3TS_projectmanagement_2"/>
      <w:bookmarkStart w:id="2" w:name="_MV3BS_0"/>
      <w:r>
        <w:lastRenderedPageBreak/>
        <w:t>Developing Relationships and Workplace Achievement</w:t>
      </w:r>
      <w:bookmarkEnd w:id="0"/>
    </w:p>
    <w:p w:rsidR="007052EC" w:rsidRDefault="00356424">
      <w:bookmarkStart w:id="3" w:name="_MV3XX_4"/>
      <w:r>
        <w:rPr>
          <w:noProof/>
        </w:rPr>
        <w:drawing>
          <wp:inline distT="0" distB="0" distL="0" distR="0">
            <wp:extent cx="6119273" cy="2011680"/>
            <wp:effectExtent l="0" t="0" r="2540" b="0"/>
            <wp:docPr id="1" name="pic00001.jp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jpg" descr="MindMap Preview" title="MindMap Preview"/>
                    <pic:cNvPicPr>
                      <a:picLocks noChangeAspect="1" noChangeArrowheads="1"/>
                    </pic:cNvPicPr>
                  </pic:nvPicPr>
                  <pic:blipFill>
                    <a:blip r:embed="rId10" cstate="print"/>
                    <a:srcRect/>
                    <a:stretch>
                      <a:fillRect/>
                    </a:stretch>
                  </pic:blipFill>
                  <pic:spPr bwMode="auto">
                    <a:xfrm>
                      <a:off x="0" y="0"/>
                      <a:ext cx="6134383" cy="2016647"/>
                    </a:xfrm>
                    <a:prstGeom prst="rect">
                      <a:avLst/>
                    </a:prstGeom>
                    <a:noFill/>
                    <a:ln>
                      <a:noFill/>
                    </a:ln>
                  </pic:spPr>
                </pic:pic>
              </a:graphicData>
            </a:graphic>
          </wp:inline>
        </w:drawing>
      </w:r>
    </w:p>
    <w:bookmarkEnd w:id="3"/>
    <w:p w:rsidR="007052EC" w:rsidRDefault="00356424">
      <w:pPr>
        <w:tabs>
          <w:tab w:val="right" w:leader="dot" w:pos="9350"/>
        </w:tabs>
        <w:rPr>
          <w:noProof/>
        </w:rPr>
      </w:pPr>
      <w:r>
        <w:fldChar w:fldCharType="begin"/>
      </w:r>
      <w:r>
        <w:instrText xml:space="preserve"> TOC \o "1-3" \h \z \u </w:instrText>
      </w:r>
      <w:r>
        <w:fldChar w:fldCharType="separate"/>
      </w:r>
      <w:hyperlink w:anchor="_Toc4400052" w:history="1">
        <w:r>
          <w:rPr>
            <w:rStyle w:val="Hyperlink"/>
            <w:noProof/>
          </w:rPr>
          <w:t>Introduction</w:t>
        </w:r>
        <w:r>
          <w:rPr>
            <w:noProof/>
            <w:webHidden/>
          </w:rPr>
          <w:tab/>
        </w:r>
        <w:r>
          <w:rPr>
            <w:noProof/>
            <w:webHidden/>
          </w:rPr>
          <w:fldChar w:fldCharType="begin"/>
        </w:r>
        <w:r>
          <w:rPr>
            <w:noProof/>
            <w:webHidden/>
          </w:rPr>
          <w:instrText xml:space="preserve"> PAGEREF _Toc440005</w:instrText>
        </w:r>
        <w:r>
          <w:rPr>
            <w:noProof/>
            <w:webHidden/>
          </w:rPr>
          <w:instrText xml:space="preserve">2 \h </w:instrText>
        </w:r>
        <w:r>
          <w:rPr>
            <w:noProof/>
            <w:webHidden/>
          </w:rPr>
        </w:r>
        <w:r w:rsidR="004F69F9">
          <w:rPr>
            <w:noProof/>
            <w:webHidden/>
          </w:rPr>
          <w:fldChar w:fldCharType="separate"/>
        </w:r>
        <w:r w:rsidR="004F69F9">
          <w:rPr>
            <w:noProof/>
            <w:webHidden/>
          </w:rPr>
          <w:t>3</w:t>
        </w:r>
        <w:r>
          <w:rPr>
            <w:noProof/>
            <w:webHidden/>
          </w:rPr>
          <w:fldChar w:fldCharType="end"/>
        </w:r>
      </w:hyperlink>
    </w:p>
    <w:p w:rsidR="007052EC" w:rsidRDefault="00356424">
      <w:pPr>
        <w:tabs>
          <w:tab w:val="right" w:leader="dot" w:pos="9350"/>
        </w:tabs>
        <w:rPr>
          <w:noProof/>
        </w:rPr>
      </w:pPr>
      <w:hyperlink w:anchor="_Toc4400053" w:history="1">
        <w:r>
          <w:rPr>
            <w:rStyle w:val="Hyperlink"/>
            <w:noProof/>
          </w:rPr>
          <w:t>Task 1: Employee Engagement and the Individual at Work</w:t>
        </w:r>
        <w:r>
          <w:rPr>
            <w:noProof/>
            <w:webHidden/>
          </w:rPr>
          <w:tab/>
        </w:r>
        <w:r>
          <w:rPr>
            <w:noProof/>
            <w:webHidden/>
          </w:rPr>
          <w:fldChar w:fldCharType="begin"/>
        </w:r>
        <w:r>
          <w:rPr>
            <w:noProof/>
            <w:webHidden/>
          </w:rPr>
          <w:instrText xml:space="preserve"> PAGEREF _Toc4400053 \h </w:instrText>
        </w:r>
        <w:r>
          <w:rPr>
            <w:noProof/>
            <w:webHidden/>
          </w:rPr>
        </w:r>
        <w:r w:rsidR="004F69F9">
          <w:rPr>
            <w:noProof/>
            <w:webHidden/>
          </w:rPr>
          <w:fldChar w:fldCharType="separate"/>
        </w:r>
        <w:r w:rsidR="004F69F9">
          <w:rPr>
            <w:noProof/>
            <w:webHidden/>
          </w:rPr>
          <w:t>3</w:t>
        </w:r>
        <w:r>
          <w:rPr>
            <w:noProof/>
            <w:webHidden/>
          </w:rPr>
          <w:fldChar w:fldCharType="end"/>
        </w:r>
      </w:hyperlink>
    </w:p>
    <w:p w:rsidR="007052EC" w:rsidRDefault="00356424">
      <w:pPr>
        <w:tabs>
          <w:tab w:val="right" w:leader="dot" w:pos="9350"/>
        </w:tabs>
        <w:rPr>
          <w:noProof/>
        </w:rPr>
      </w:pPr>
      <w:hyperlink w:anchor="_Toc4400054" w:history="1">
        <w:r>
          <w:rPr>
            <w:rStyle w:val="Hyperlink"/>
            <w:noProof/>
          </w:rPr>
          <w:t>1.1. The People-Focused Culture</w:t>
        </w:r>
        <w:r>
          <w:rPr>
            <w:noProof/>
            <w:webHidden/>
          </w:rPr>
          <w:tab/>
        </w:r>
        <w:r>
          <w:rPr>
            <w:noProof/>
            <w:webHidden/>
          </w:rPr>
          <w:fldChar w:fldCharType="begin"/>
        </w:r>
        <w:r>
          <w:rPr>
            <w:noProof/>
            <w:webHidden/>
          </w:rPr>
          <w:instrText xml:space="preserve"> PAGEREF _Toc4400054 \h </w:instrText>
        </w:r>
        <w:r>
          <w:rPr>
            <w:noProof/>
            <w:webHidden/>
          </w:rPr>
        </w:r>
        <w:r w:rsidR="004F69F9">
          <w:rPr>
            <w:noProof/>
            <w:webHidden/>
          </w:rPr>
          <w:fldChar w:fldCharType="separate"/>
        </w:r>
        <w:r w:rsidR="004F69F9">
          <w:rPr>
            <w:noProof/>
            <w:webHidden/>
          </w:rPr>
          <w:t>4</w:t>
        </w:r>
        <w:r>
          <w:rPr>
            <w:noProof/>
            <w:webHidden/>
          </w:rPr>
          <w:fldChar w:fldCharType="end"/>
        </w:r>
      </w:hyperlink>
    </w:p>
    <w:p w:rsidR="007052EC" w:rsidRPr="004F69F9" w:rsidRDefault="00356424">
      <w:pPr>
        <w:tabs>
          <w:tab w:val="right" w:leader="dot" w:pos="9350"/>
        </w:tabs>
        <w:rPr>
          <w:noProof/>
          <w:lang w:val="en-GB"/>
        </w:rPr>
      </w:pPr>
      <w:hyperlink w:anchor="_Toc4400055" w:history="1">
        <w:r>
          <w:rPr>
            <w:rStyle w:val="Hyperlink"/>
            <w:noProof/>
          </w:rPr>
          <w:t>1.2. Takin</w:t>
        </w:r>
        <w:r>
          <w:rPr>
            <w:rStyle w:val="Hyperlink"/>
            <w:noProof/>
          </w:rPr>
          <w:t>g Breaks</w:t>
        </w:r>
        <w:r>
          <w:rPr>
            <w:noProof/>
            <w:webHidden/>
          </w:rPr>
          <w:tab/>
        </w:r>
        <w:r>
          <w:rPr>
            <w:noProof/>
            <w:webHidden/>
          </w:rPr>
          <w:fldChar w:fldCharType="begin"/>
        </w:r>
        <w:r>
          <w:rPr>
            <w:noProof/>
            <w:webHidden/>
          </w:rPr>
          <w:instrText xml:space="preserve"> PAGEREF _Toc4400055 \h </w:instrText>
        </w:r>
        <w:r>
          <w:rPr>
            <w:noProof/>
            <w:webHidden/>
          </w:rPr>
        </w:r>
        <w:r w:rsidR="004F69F9">
          <w:rPr>
            <w:noProof/>
            <w:webHidden/>
          </w:rPr>
          <w:fldChar w:fldCharType="separate"/>
        </w:r>
        <w:r w:rsidR="004F69F9">
          <w:rPr>
            <w:noProof/>
            <w:webHidden/>
          </w:rPr>
          <w:t>5</w:t>
        </w:r>
        <w:r>
          <w:rPr>
            <w:noProof/>
            <w:webHidden/>
          </w:rPr>
          <w:fldChar w:fldCharType="end"/>
        </w:r>
      </w:hyperlink>
    </w:p>
    <w:p w:rsidR="007052EC" w:rsidRDefault="00356424">
      <w:pPr>
        <w:tabs>
          <w:tab w:val="right" w:leader="dot" w:pos="9350"/>
        </w:tabs>
        <w:rPr>
          <w:noProof/>
        </w:rPr>
      </w:pPr>
      <w:hyperlink w:anchor="_Toc4400056" w:history="1">
        <w:r>
          <w:rPr>
            <w:rStyle w:val="Hyperlink"/>
            <w:noProof/>
          </w:rPr>
          <w:t>1.3. Requesting Feedback</w:t>
        </w:r>
        <w:r>
          <w:rPr>
            <w:noProof/>
            <w:webHidden/>
          </w:rPr>
          <w:tab/>
        </w:r>
        <w:r>
          <w:rPr>
            <w:noProof/>
            <w:webHidden/>
          </w:rPr>
          <w:fldChar w:fldCharType="begin"/>
        </w:r>
        <w:r>
          <w:rPr>
            <w:noProof/>
            <w:webHidden/>
          </w:rPr>
          <w:instrText xml:space="preserve"> PAGEREF _Toc4400056 \h </w:instrText>
        </w:r>
        <w:r>
          <w:rPr>
            <w:noProof/>
            <w:webHidden/>
          </w:rPr>
        </w:r>
        <w:r w:rsidR="004F69F9">
          <w:rPr>
            <w:noProof/>
            <w:webHidden/>
          </w:rPr>
          <w:fldChar w:fldCharType="separate"/>
        </w:r>
        <w:r w:rsidR="004F69F9">
          <w:rPr>
            <w:noProof/>
            <w:webHidden/>
          </w:rPr>
          <w:t>5</w:t>
        </w:r>
        <w:r>
          <w:rPr>
            <w:noProof/>
            <w:webHidden/>
          </w:rPr>
          <w:fldChar w:fldCharType="end"/>
        </w:r>
      </w:hyperlink>
    </w:p>
    <w:p w:rsidR="007052EC" w:rsidRDefault="00356424">
      <w:pPr>
        <w:tabs>
          <w:tab w:val="right" w:leader="dot" w:pos="9350"/>
        </w:tabs>
        <w:rPr>
          <w:noProof/>
        </w:rPr>
      </w:pPr>
      <w:hyperlink w:anchor="_Toc4400057" w:history="1">
        <w:r>
          <w:rPr>
            <w:rStyle w:val="Hyperlink"/>
            <w:noProof/>
          </w:rPr>
          <w:t>1.4. Goal Clarity</w:t>
        </w:r>
        <w:r>
          <w:rPr>
            <w:noProof/>
            <w:webHidden/>
          </w:rPr>
          <w:tab/>
        </w:r>
        <w:r>
          <w:rPr>
            <w:noProof/>
            <w:webHidden/>
          </w:rPr>
          <w:fldChar w:fldCharType="begin"/>
        </w:r>
        <w:r>
          <w:rPr>
            <w:noProof/>
            <w:webHidden/>
          </w:rPr>
          <w:instrText xml:space="preserve"> PAGEREF _Toc4400057 \h </w:instrText>
        </w:r>
        <w:r>
          <w:rPr>
            <w:noProof/>
            <w:webHidden/>
          </w:rPr>
        </w:r>
        <w:r w:rsidR="004F69F9">
          <w:rPr>
            <w:noProof/>
            <w:webHidden/>
          </w:rPr>
          <w:fldChar w:fldCharType="separate"/>
        </w:r>
        <w:r w:rsidR="004F69F9">
          <w:rPr>
            <w:noProof/>
            <w:webHidden/>
          </w:rPr>
          <w:t>6</w:t>
        </w:r>
        <w:r>
          <w:rPr>
            <w:noProof/>
            <w:webHidden/>
          </w:rPr>
          <w:fldChar w:fldCharType="end"/>
        </w:r>
      </w:hyperlink>
    </w:p>
    <w:p w:rsidR="007052EC" w:rsidRDefault="00356424">
      <w:pPr>
        <w:tabs>
          <w:tab w:val="right" w:leader="dot" w:pos="9350"/>
        </w:tabs>
        <w:rPr>
          <w:noProof/>
        </w:rPr>
      </w:pPr>
      <w:hyperlink w:anchor="_Toc4400058" w:history="1">
        <w:r>
          <w:rPr>
            <w:rStyle w:val="Hyperlink"/>
            <w:noProof/>
          </w:rPr>
          <w:t>1.5. Providing a Conducive Work Environment</w:t>
        </w:r>
        <w:r>
          <w:rPr>
            <w:noProof/>
            <w:webHidden/>
          </w:rPr>
          <w:tab/>
        </w:r>
        <w:r>
          <w:rPr>
            <w:noProof/>
            <w:webHidden/>
          </w:rPr>
          <w:fldChar w:fldCharType="begin"/>
        </w:r>
        <w:r>
          <w:rPr>
            <w:noProof/>
            <w:webHidden/>
          </w:rPr>
          <w:instrText xml:space="preserve"> PAGEREF _Toc4400058 \h </w:instrText>
        </w:r>
        <w:r>
          <w:rPr>
            <w:noProof/>
            <w:webHidden/>
          </w:rPr>
        </w:r>
        <w:r w:rsidR="004F69F9">
          <w:rPr>
            <w:noProof/>
            <w:webHidden/>
          </w:rPr>
          <w:fldChar w:fldCharType="separate"/>
        </w:r>
        <w:r w:rsidR="004F69F9">
          <w:rPr>
            <w:noProof/>
            <w:webHidden/>
          </w:rPr>
          <w:t>6</w:t>
        </w:r>
        <w:r>
          <w:rPr>
            <w:noProof/>
            <w:webHidden/>
          </w:rPr>
          <w:fldChar w:fldCharType="end"/>
        </w:r>
      </w:hyperlink>
    </w:p>
    <w:p w:rsidR="007052EC" w:rsidRDefault="00356424">
      <w:pPr>
        <w:tabs>
          <w:tab w:val="right" w:leader="dot" w:pos="9350"/>
        </w:tabs>
        <w:rPr>
          <w:noProof/>
        </w:rPr>
      </w:pPr>
      <w:hyperlink w:anchor="_Toc4400059" w:history="1">
        <w:r>
          <w:rPr>
            <w:rStyle w:val="Hyperlink"/>
            <w:noProof/>
          </w:rPr>
          <w:t>1.6. Career Growth</w:t>
        </w:r>
        <w:r>
          <w:rPr>
            <w:noProof/>
            <w:webHidden/>
          </w:rPr>
          <w:tab/>
        </w:r>
        <w:r>
          <w:rPr>
            <w:noProof/>
            <w:webHidden/>
          </w:rPr>
          <w:fldChar w:fldCharType="begin"/>
        </w:r>
        <w:r>
          <w:rPr>
            <w:noProof/>
            <w:webHidden/>
          </w:rPr>
          <w:instrText xml:space="preserve"> PAGEREF _Toc4400059 \h </w:instrText>
        </w:r>
        <w:r>
          <w:rPr>
            <w:noProof/>
            <w:webHidden/>
          </w:rPr>
        </w:r>
        <w:r w:rsidR="004F69F9">
          <w:rPr>
            <w:noProof/>
            <w:webHidden/>
          </w:rPr>
          <w:fldChar w:fldCharType="separate"/>
        </w:r>
        <w:r w:rsidR="004F69F9">
          <w:rPr>
            <w:noProof/>
            <w:webHidden/>
          </w:rPr>
          <w:t>7</w:t>
        </w:r>
        <w:r>
          <w:rPr>
            <w:noProof/>
            <w:webHidden/>
          </w:rPr>
          <w:fldChar w:fldCharType="end"/>
        </w:r>
      </w:hyperlink>
    </w:p>
    <w:p w:rsidR="007052EC" w:rsidRDefault="00356424">
      <w:pPr>
        <w:tabs>
          <w:tab w:val="right" w:leader="dot" w:pos="9350"/>
        </w:tabs>
        <w:rPr>
          <w:noProof/>
        </w:rPr>
      </w:pPr>
      <w:hyperlink w:anchor="_Toc4400060" w:history="1">
        <w:r>
          <w:rPr>
            <w:rStyle w:val="Hyperlink"/>
            <w:noProof/>
          </w:rPr>
          <w:t>Task 2: Benefits of Employee Engagement to Organis</w:t>
        </w:r>
        <w:r>
          <w:rPr>
            <w:rStyle w:val="Hyperlink"/>
            <w:noProof/>
          </w:rPr>
          <w:t>ation and Individual</w:t>
        </w:r>
        <w:r>
          <w:rPr>
            <w:noProof/>
            <w:webHidden/>
          </w:rPr>
          <w:tab/>
        </w:r>
        <w:r>
          <w:rPr>
            <w:noProof/>
            <w:webHidden/>
          </w:rPr>
          <w:fldChar w:fldCharType="begin"/>
        </w:r>
        <w:r>
          <w:rPr>
            <w:noProof/>
            <w:webHidden/>
          </w:rPr>
          <w:instrText xml:space="preserve"> PAGEREF _Toc4400060 \h </w:instrText>
        </w:r>
        <w:r>
          <w:rPr>
            <w:noProof/>
            <w:webHidden/>
          </w:rPr>
        </w:r>
        <w:r w:rsidR="004F69F9">
          <w:rPr>
            <w:noProof/>
            <w:webHidden/>
          </w:rPr>
          <w:fldChar w:fldCharType="separate"/>
        </w:r>
        <w:r w:rsidR="004F69F9">
          <w:rPr>
            <w:noProof/>
            <w:webHidden/>
          </w:rPr>
          <w:t>7</w:t>
        </w:r>
        <w:r>
          <w:rPr>
            <w:noProof/>
            <w:webHidden/>
          </w:rPr>
          <w:fldChar w:fldCharType="end"/>
        </w:r>
      </w:hyperlink>
    </w:p>
    <w:p w:rsidR="007052EC" w:rsidRDefault="00356424">
      <w:pPr>
        <w:tabs>
          <w:tab w:val="right" w:leader="dot" w:pos="9350"/>
        </w:tabs>
        <w:rPr>
          <w:noProof/>
        </w:rPr>
      </w:pPr>
      <w:hyperlink w:anchor="_Toc4400061" w:history="1">
        <w:r>
          <w:rPr>
            <w:rStyle w:val="Hyperlink"/>
            <w:noProof/>
          </w:rPr>
          <w:t>2.1. Employee Engagement Benefits to the Organisation</w:t>
        </w:r>
        <w:r>
          <w:rPr>
            <w:noProof/>
            <w:webHidden/>
          </w:rPr>
          <w:tab/>
        </w:r>
        <w:r>
          <w:rPr>
            <w:noProof/>
            <w:webHidden/>
          </w:rPr>
          <w:fldChar w:fldCharType="begin"/>
        </w:r>
        <w:r>
          <w:rPr>
            <w:noProof/>
            <w:webHidden/>
          </w:rPr>
          <w:instrText xml:space="preserve"> PAGEREF _Toc4400061 \h </w:instrText>
        </w:r>
        <w:r>
          <w:rPr>
            <w:noProof/>
            <w:webHidden/>
          </w:rPr>
        </w:r>
        <w:r w:rsidR="004F69F9">
          <w:rPr>
            <w:noProof/>
            <w:webHidden/>
          </w:rPr>
          <w:fldChar w:fldCharType="separate"/>
        </w:r>
        <w:r w:rsidR="004F69F9">
          <w:rPr>
            <w:noProof/>
            <w:webHidden/>
          </w:rPr>
          <w:t>7</w:t>
        </w:r>
        <w:r>
          <w:rPr>
            <w:noProof/>
            <w:webHidden/>
          </w:rPr>
          <w:fldChar w:fldCharType="end"/>
        </w:r>
      </w:hyperlink>
    </w:p>
    <w:p w:rsidR="007052EC" w:rsidRDefault="00356424">
      <w:pPr>
        <w:tabs>
          <w:tab w:val="right" w:leader="dot" w:pos="9350"/>
        </w:tabs>
        <w:rPr>
          <w:noProof/>
        </w:rPr>
      </w:pPr>
      <w:hyperlink w:anchor="_Toc4400062" w:history="1">
        <w:r>
          <w:rPr>
            <w:rStyle w:val="Hyperlink"/>
            <w:noProof/>
          </w:rPr>
          <w:t>2.2. Employee Compensation</w:t>
        </w:r>
        <w:r>
          <w:rPr>
            <w:noProof/>
            <w:webHidden/>
          </w:rPr>
          <w:tab/>
        </w:r>
        <w:r>
          <w:rPr>
            <w:noProof/>
            <w:webHidden/>
          </w:rPr>
          <w:fldChar w:fldCharType="begin"/>
        </w:r>
        <w:r>
          <w:rPr>
            <w:noProof/>
            <w:webHidden/>
          </w:rPr>
          <w:instrText xml:space="preserve"> PAGEREF _Toc4400062 \h </w:instrText>
        </w:r>
        <w:r>
          <w:rPr>
            <w:noProof/>
            <w:webHidden/>
          </w:rPr>
        </w:r>
        <w:r w:rsidR="004F69F9">
          <w:rPr>
            <w:noProof/>
            <w:webHidden/>
          </w:rPr>
          <w:fldChar w:fldCharType="separate"/>
        </w:r>
        <w:r w:rsidR="004F69F9">
          <w:rPr>
            <w:noProof/>
            <w:webHidden/>
          </w:rPr>
          <w:t>9</w:t>
        </w:r>
        <w:r>
          <w:rPr>
            <w:noProof/>
            <w:webHidden/>
          </w:rPr>
          <w:fldChar w:fldCharType="end"/>
        </w:r>
      </w:hyperlink>
    </w:p>
    <w:p w:rsidR="007052EC" w:rsidRDefault="00356424">
      <w:pPr>
        <w:tabs>
          <w:tab w:val="right" w:leader="dot" w:pos="9350"/>
        </w:tabs>
        <w:rPr>
          <w:noProof/>
        </w:rPr>
      </w:pPr>
      <w:hyperlink w:anchor="_Toc4400063" w:history="1">
        <w:r>
          <w:rPr>
            <w:rStyle w:val="Hyperlink"/>
            <w:noProof/>
          </w:rPr>
          <w:t>Task 3: Evalua</w:t>
        </w:r>
        <w:r>
          <w:rPr>
            <w:rStyle w:val="Hyperlink"/>
            <w:noProof/>
          </w:rPr>
          <w:t>tion Plan</w:t>
        </w:r>
        <w:r>
          <w:rPr>
            <w:noProof/>
            <w:webHidden/>
          </w:rPr>
          <w:tab/>
        </w:r>
        <w:r>
          <w:rPr>
            <w:noProof/>
            <w:webHidden/>
          </w:rPr>
          <w:fldChar w:fldCharType="begin"/>
        </w:r>
        <w:r>
          <w:rPr>
            <w:noProof/>
            <w:webHidden/>
          </w:rPr>
          <w:instrText xml:space="preserve"> PAGEREF _Toc4400063 \h </w:instrText>
        </w:r>
        <w:r>
          <w:rPr>
            <w:noProof/>
            <w:webHidden/>
          </w:rPr>
        </w:r>
        <w:r w:rsidR="004F69F9">
          <w:rPr>
            <w:noProof/>
            <w:webHidden/>
          </w:rPr>
          <w:fldChar w:fldCharType="separate"/>
        </w:r>
        <w:r w:rsidR="004F69F9">
          <w:rPr>
            <w:noProof/>
            <w:webHidden/>
          </w:rPr>
          <w:t>10</w:t>
        </w:r>
        <w:r>
          <w:rPr>
            <w:noProof/>
            <w:webHidden/>
          </w:rPr>
          <w:fldChar w:fldCharType="end"/>
        </w:r>
      </w:hyperlink>
    </w:p>
    <w:p w:rsidR="007052EC" w:rsidRDefault="00356424">
      <w:pPr>
        <w:tabs>
          <w:tab w:val="right" w:leader="dot" w:pos="9350"/>
        </w:tabs>
        <w:rPr>
          <w:noProof/>
        </w:rPr>
      </w:pPr>
      <w:hyperlink w:anchor="_Toc4400064" w:history="1">
        <w:r>
          <w:rPr>
            <w:rStyle w:val="Hyperlink"/>
            <w:noProof/>
          </w:rPr>
          <w:t>PDP</w:t>
        </w:r>
        <w:r>
          <w:rPr>
            <w:noProof/>
            <w:webHidden/>
          </w:rPr>
          <w:tab/>
        </w:r>
        <w:r>
          <w:rPr>
            <w:noProof/>
            <w:webHidden/>
          </w:rPr>
          <w:fldChar w:fldCharType="begin"/>
        </w:r>
        <w:r>
          <w:rPr>
            <w:noProof/>
            <w:webHidden/>
          </w:rPr>
          <w:instrText xml:space="preserve"> PAGEREF _Toc4400064 \h </w:instrText>
        </w:r>
        <w:r>
          <w:rPr>
            <w:noProof/>
            <w:webHidden/>
          </w:rPr>
        </w:r>
        <w:r w:rsidR="004F69F9">
          <w:rPr>
            <w:noProof/>
            <w:webHidden/>
          </w:rPr>
          <w:fldChar w:fldCharType="separate"/>
        </w:r>
        <w:r w:rsidR="004F69F9">
          <w:rPr>
            <w:noProof/>
            <w:webHidden/>
          </w:rPr>
          <w:t>12</w:t>
        </w:r>
        <w:r>
          <w:rPr>
            <w:noProof/>
            <w:webHidden/>
          </w:rPr>
          <w:fldChar w:fldCharType="end"/>
        </w:r>
      </w:hyperlink>
    </w:p>
    <w:p w:rsidR="007052EC" w:rsidRDefault="00356424">
      <w:pPr>
        <w:tabs>
          <w:tab w:val="right" w:leader="dot" w:pos="9350"/>
        </w:tabs>
        <w:rPr>
          <w:noProof/>
        </w:rPr>
      </w:pPr>
      <w:hyperlink w:anchor="_Toc4400065" w:history="1">
        <w:r>
          <w:rPr>
            <w:rStyle w:val="Hyperlink"/>
            <w:noProof/>
          </w:rPr>
          <w:t>Co</w:t>
        </w:r>
        <w:r>
          <w:rPr>
            <w:rStyle w:val="Hyperlink"/>
            <w:noProof/>
          </w:rPr>
          <w:t>nclusion</w:t>
        </w:r>
        <w:r>
          <w:rPr>
            <w:noProof/>
            <w:webHidden/>
          </w:rPr>
          <w:tab/>
        </w:r>
        <w:r>
          <w:rPr>
            <w:noProof/>
            <w:webHidden/>
          </w:rPr>
          <w:fldChar w:fldCharType="begin"/>
        </w:r>
        <w:r>
          <w:rPr>
            <w:noProof/>
            <w:webHidden/>
          </w:rPr>
          <w:instrText xml:space="preserve"> PAGEREF _Toc4400065 \h </w:instrText>
        </w:r>
        <w:r>
          <w:rPr>
            <w:noProof/>
            <w:webHidden/>
          </w:rPr>
        </w:r>
        <w:r w:rsidR="004F69F9">
          <w:rPr>
            <w:noProof/>
            <w:webHidden/>
          </w:rPr>
          <w:fldChar w:fldCharType="separate"/>
        </w:r>
        <w:r w:rsidR="004F69F9">
          <w:rPr>
            <w:noProof/>
            <w:webHidden/>
          </w:rPr>
          <w:t>13</w:t>
        </w:r>
        <w:r>
          <w:rPr>
            <w:noProof/>
            <w:webHidden/>
          </w:rPr>
          <w:fldChar w:fldCharType="end"/>
        </w:r>
      </w:hyperlink>
    </w:p>
    <w:p w:rsidR="007052EC" w:rsidRDefault="00356424">
      <w:pPr>
        <w:tabs>
          <w:tab w:val="right" w:leader="dot" w:pos="9350"/>
        </w:tabs>
        <w:rPr>
          <w:noProof/>
        </w:rPr>
      </w:pPr>
      <w:hyperlink w:anchor="_Toc4400066" w:history="1">
        <w:r>
          <w:rPr>
            <w:rStyle w:val="Hyperlink"/>
            <w:noProof/>
          </w:rPr>
          <w:t>References</w:t>
        </w:r>
        <w:r>
          <w:rPr>
            <w:noProof/>
            <w:webHidden/>
          </w:rPr>
          <w:tab/>
        </w:r>
        <w:r>
          <w:rPr>
            <w:noProof/>
            <w:webHidden/>
          </w:rPr>
          <w:fldChar w:fldCharType="begin"/>
        </w:r>
        <w:r>
          <w:rPr>
            <w:noProof/>
            <w:webHidden/>
          </w:rPr>
          <w:instrText xml:space="preserve"> PAGEREF _Toc4400066 \h </w:instrText>
        </w:r>
        <w:r>
          <w:rPr>
            <w:noProof/>
            <w:webHidden/>
          </w:rPr>
        </w:r>
        <w:r w:rsidR="004F69F9">
          <w:rPr>
            <w:noProof/>
            <w:webHidden/>
          </w:rPr>
          <w:fldChar w:fldCharType="separate"/>
        </w:r>
        <w:r w:rsidR="004F69F9">
          <w:rPr>
            <w:noProof/>
            <w:webHidden/>
          </w:rPr>
          <w:t>13</w:t>
        </w:r>
        <w:r>
          <w:rPr>
            <w:noProof/>
            <w:webHidden/>
          </w:rPr>
          <w:fldChar w:fldCharType="end"/>
        </w:r>
      </w:hyperlink>
    </w:p>
    <w:p w:rsidR="007052EC" w:rsidRDefault="00356424">
      <w:pPr>
        <w:tabs>
          <w:tab w:val="right" w:leader="dot" w:pos="9350"/>
        </w:tabs>
        <w:rPr>
          <w:noProof/>
        </w:rPr>
      </w:pPr>
      <w:hyperlink w:anchor="_Toc4400067" w:history="1">
        <w:r>
          <w:rPr>
            <w:rStyle w:val="Hyperlink"/>
            <w:noProof/>
          </w:rPr>
          <w:t>References</w:t>
        </w:r>
        <w:r>
          <w:rPr>
            <w:noProof/>
            <w:webHidden/>
          </w:rPr>
          <w:tab/>
        </w:r>
        <w:r>
          <w:rPr>
            <w:noProof/>
            <w:webHidden/>
          </w:rPr>
          <w:fldChar w:fldCharType="begin"/>
        </w:r>
        <w:r>
          <w:rPr>
            <w:noProof/>
            <w:webHidden/>
          </w:rPr>
          <w:instrText xml:space="preserve"> PAGEREF _Toc4400067 \h </w:instrText>
        </w:r>
        <w:r>
          <w:rPr>
            <w:noProof/>
            <w:webHidden/>
          </w:rPr>
        </w:r>
        <w:r w:rsidR="004F69F9">
          <w:rPr>
            <w:noProof/>
            <w:webHidden/>
          </w:rPr>
          <w:fldChar w:fldCharType="separate"/>
        </w:r>
        <w:r w:rsidR="004F69F9">
          <w:rPr>
            <w:noProof/>
            <w:webHidden/>
          </w:rPr>
          <w:t>14</w:t>
        </w:r>
        <w:r>
          <w:rPr>
            <w:noProof/>
            <w:webHidden/>
          </w:rPr>
          <w:fldChar w:fldCharType="end"/>
        </w:r>
      </w:hyperlink>
    </w:p>
    <w:p w:rsidR="007052EC" w:rsidRDefault="00356424" w:rsidP="004F69F9">
      <w:pPr>
        <w:ind w:firstLine="0"/>
      </w:pPr>
      <w:r>
        <w:lastRenderedPageBreak/>
        <w:fldChar w:fldCharType="end"/>
      </w:r>
    </w:p>
    <w:p w:rsidR="007052EC" w:rsidRDefault="00356424">
      <w:pPr>
        <w:pStyle w:val="Heading1"/>
      </w:pPr>
      <w:bookmarkStart w:id="4" w:name="_MV3TD_PT8H00M00S_5"/>
      <w:bookmarkStart w:id="5" w:name="BRANCH_1"/>
      <w:bookmarkStart w:id="6" w:name="_Toc4400052"/>
      <w:bookmarkStart w:id="7" w:name="_MV3BS_1"/>
      <w:bookmarkEnd w:id="1"/>
      <w:bookmarkEnd w:id="2"/>
      <w:bookmarkEnd w:id="4"/>
      <w:r>
        <w:t>Introduction</w:t>
      </w:r>
      <w:bookmarkEnd w:id="5"/>
      <w:bookmarkEnd w:id="6"/>
    </w:p>
    <w:p w:rsidR="00000000" w:rsidRDefault="00356424">
      <w:pPr>
        <w:widowControl w:val="0"/>
        <w:autoSpaceDE w:val="0"/>
        <w:autoSpaceDN w:val="0"/>
        <w:adjustRightInd w:val="0"/>
        <w:spacing w:before="100" w:after="100"/>
        <w:ind w:right="-720" w:firstLine="720"/>
        <w:rPr>
          <w:rFonts w:ascii="Times" w:hAnsi="Times" w:cs="Times"/>
        </w:rPr>
      </w:pPr>
      <w:bookmarkStart w:id="8" w:name="_MV3TD_PT8H00M00S_8"/>
      <w:bookmarkEnd w:id="8"/>
      <w:r>
        <w:rPr>
          <w:rFonts w:ascii="Times" w:eastAsiaTheme="minorEastAsia" w:hAnsi="Times" w:cs="Times"/>
          <w:szCs w:val="24"/>
          <w:lang w:val="en-GB" w:eastAsia="en-GB"/>
        </w:rPr>
        <w:t>Employee engagement focuses on strengthening the emotional, mental, and physical connection among employees through various aspects of the workplace. The continuous process focuses on finding the most effective psychological involvement approaches producti</w:t>
      </w:r>
      <w:r>
        <w:rPr>
          <w:rFonts w:ascii="Times" w:eastAsiaTheme="minorEastAsia" w:hAnsi="Times" w:cs="Times"/>
          <w:szCs w:val="24"/>
          <w:lang w:val="en-GB" w:eastAsia="en-GB"/>
        </w:rPr>
        <w:t>ve among employees in the workplace. The increased benefit of employee engagement among organisations comes from realising benefits for both the individual and the firm. The individual, for example, experiences greater satisfaction, better health, better c</w:t>
      </w:r>
      <w:r>
        <w:rPr>
          <w:rFonts w:ascii="Times" w:eastAsiaTheme="minorEastAsia" w:hAnsi="Times" w:cs="Times"/>
          <w:szCs w:val="24"/>
          <w:lang w:val="en-GB" w:eastAsia="en-GB"/>
        </w:rPr>
        <w:t>ompensations, and improved work productivity. The organisation also experiences higher retention rates, increased profitability while decreasing turnover among employees (Osborne and Hammoud, 2017: 52). Some models used to explain the role of employee enga</w:t>
      </w:r>
      <w:r>
        <w:rPr>
          <w:rFonts w:ascii="Times" w:eastAsiaTheme="minorEastAsia" w:hAnsi="Times" w:cs="Times"/>
          <w:szCs w:val="24"/>
          <w:lang w:val="en-GB" w:eastAsia="en-GB"/>
        </w:rPr>
        <w:t xml:space="preserve">gement in an organisation include the Robinson Model of Employment Engagement, Penna's Model focused on Employee Engagement, and the Zinger Model of Employee Engagement. </w:t>
      </w:r>
    </w:p>
    <w:p w:rsidR="007052EC" w:rsidRDefault="00356424">
      <w:pPr>
        <w:pStyle w:val="Heading1"/>
      </w:pPr>
      <w:bookmarkStart w:id="9" w:name="BRANCH_2"/>
      <w:bookmarkStart w:id="10" w:name="_Toc4400053"/>
      <w:bookmarkStart w:id="11" w:name="_MV3BS_2"/>
      <w:bookmarkEnd w:id="7"/>
      <w:r>
        <w:t>Task 1: Employee Engagement and the Indiv</w:t>
      </w:r>
      <w:r>
        <w:t>idual at Work</w:t>
      </w:r>
      <w:bookmarkEnd w:id="9"/>
      <w:bookmarkEnd w:id="10"/>
    </w:p>
    <w:p w:rsidR="00000000" w:rsidRDefault="00356424">
      <w:pPr>
        <w:widowControl w:val="0"/>
        <w:autoSpaceDE w:val="0"/>
        <w:autoSpaceDN w:val="0"/>
        <w:adjustRightInd w:val="0"/>
        <w:spacing w:before="100" w:after="100"/>
        <w:ind w:right="-720" w:firstLine="720"/>
        <w:rPr>
          <w:rFonts w:ascii="Times" w:hAnsi="Times" w:cs="Times"/>
        </w:rPr>
      </w:pPr>
      <w:bookmarkStart w:id="12" w:name="_MV3TD_PT8H00M00S_11"/>
      <w:bookmarkEnd w:id="12"/>
      <w:r>
        <w:rPr>
          <w:rFonts w:ascii="Times" w:eastAsiaTheme="minorEastAsia" w:hAnsi="Times" w:cs="Times"/>
          <w:szCs w:val="24"/>
          <w:lang w:val="en-GB" w:eastAsia="en-GB"/>
        </w:rPr>
        <w:t xml:space="preserve">Vithayaporn and Ashton (2019: 47) note that employee engagement develops the needs of the individual through the analysis of various models and their impact on employee's performance. The Robinson Model of Employment Engagement, for example, explains that </w:t>
      </w:r>
      <w:r>
        <w:rPr>
          <w:rFonts w:ascii="Times" w:eastAsiaTheme="minorEastAsia" w:hAnsi="Times" w:cs="Times"/>
          <w:szCs w:val="24"/>
          <w:lang w:val="en-GB" w:eastAsia="en-GB"/>
        </w:rPr>
        <w:t>value is a high driving factor behind employee engagement. Career growth, for example, offers employees the chance to learn new concepts for developing their skills while increasing salary. Other models like Penna's and Zinger's model focused on ideas like</w:t>
      </w:r>
      <w:r>
        <w:rPr>
          <w:rFonts w:ascii="Times" w:eastAsiaTheme="minorEastAsia" w:hAnsi="Times" w:cs="Times"/>
          <w:szCs w:val="24"/>
          <w:lang w:val="en-GB" w:eastAsia="en-GB"/>
        </w:rPr>
        <w:t xml:space="preserve"> education of the essence of employee engagement, developing values and cultures in the organisation, and ensuring support from the management concerning employee engagement (Osborne and Hammoud, 2017: 52). Some benefits employees’ experiences include incr</w:t>
      </w:r>
      <w:r>
        <w:rPr>
          <w:rFonts w:ascii="Times" w:eastAsiaTheme="minorEastAsia" w:hAnsi="Times" w:cs="Times"/>
          <w:szCs w:val="24"/>
          <w:lang w:val="en-GB" w:eastAsia="en-GB"/>
        </w:rPr>
        <w:t xml:space="preserve">eased happiness, high employee satisfaction, a more balanced general life, and increased safety. </w:t>
      </w:r>
      <w:r>
        <w:rPr>
          <w:rFonts w:ascii="Times" w:eastAsiaTheme="minorEastAsia" w:hAnsi="Times" w:cs="Times"/>
          <w:szCs w:val="24"/>
          <w:lang w:val="en-GB" w:eastAsia="en-GB"/>
        </w:rPr>
        <w:lastRenderedPageBreak/>
        <w:t>Tesco Mobile, for instance, understood that engaging colleagues and employees in the creation of shared charters developed set values and common themes providi</w:t>
      </w:r>
      <w:r>
        <w:rPr>
          <w:rFonts w:ascii="Times" w:eastAsiaTheme="minorEastAsia" w:hAnsi="Times" w:cs="Times"/>
          <w:szCs w:val="24"/>
          <w:lang w:val="en-GB" w:eastAsia="en-GB"/>
        </w:rPr>
        <w:t>ng effective mission, vision, and purpose for the firm. Employee engagement helps to develop the needs of individual employees by promoting feedback of various concepts, clarifying goals, providing efficient work environments, and developing people-focused</w:t>
      </w:r>
      <w:r>
        <w:rPr>
          <w:rFonts w:ascii="Times" w:eastAsiaTheme="minorEastAsia" w:hAnsi="Times" w:cs="Times"/>
          <w:szCs w:val="24"/>
          <w:lang w:val="en-GB" w:eastAsia="en-GB"/>
        </w:rPr>
        <w:t xml:space="preserve"> cultures in the workplace.</w:t>
      </w:r>
    </w:p>
    <w:p w:rsidR="007052EC" w:rsidRDefault="00356424">
      <w:pPr>
        <w:pStyle w:val="Heading2"/>
      </w:pPr>
      <w:bookmarkStart w:id="13" w:name="BRANCH_3"/>
      <w:bookmarkStart w:id="14" w:name="_Toc4400054"/>
      <w:bookmarkStart w:id="15" w:name="_MV3BS_3"/>
      <w:bookmarkEnd w:id="11"/>
      <w:r>
        <w:t>1.1. The People-Focused Culture</w:t>
      </w:r>
      <w:bookmarkEnd w:id="13"/>
      <w:bookmarkEnd w:id="14"/>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bookmarkStart w:id="16" w:name="_MV3TD_PT8H00M00S_14"/>
      <w:bookmarkEnd w:id="16"/>
      <w:r>
        <w:rPr>
          <w:rFonts w:ascii="Times" w:eastAsiaTheme="minorEastAsia" w:hAnsi="Times" w:cs="Times"/>
          <w:szCs w:val="24"/>
          <w:lang w:val="en-GB" w:eastAsia="en-GB"/>
        </w:rPr>
        <w:t>Some ideas important in employee engagement include a sense of support and value in trying to establish a balance between work and personal life. Focusing on not only the performance of an employee in the workplace but also considering initiatives like phy</w:t>
      </w:r>
      <w:r>
        <w:rPr>
          <w:rFonts w:ascii="Times" w:eastAsiaTheme="minorEastAsia" w:hAnsi="Times" w:cs="Times"/>
          <w:szCs w:val="24"/>
          <w:lang w:val="en-GB" w:eastAsia="en-GB"/>
        </w:rPr>
        <w:t xml:space="preserve">sical fitness meets the individual needs (Dutton and </w:t>
      </w:r>
      <w:proofErr w:type="spellStart"/>
      <w:r>
        <w:rPr>
          <w:rFonts w:ascii="Times" w:eastAsiaTheme="minorEastAsia" w:hAnsi="Times" w:cs="Times"/>
          <w:szCs w:val="24"/>
          <w:lang w:val="en-GB" w:eastAsia="en-GB"/>
        </w:rPr>
        <w:t>Ragins</w:t>
      </w:r>
      <w:proofErr w:type="spellEnd"/>
      <w:r>
        <w:rPr>
          <w:rFonts w:ascii="Times" w:eastAsiaTheme="minorEastAsia" w:hAnsi="Times" w:cs="Times"/>
          <w:szCs w:val="24"/>
          <w:lang w:val="en-GB" w:eastAsia="en-GB"/>
        </w:rPr>
        <w:t xml:space="preserve">, 2017: 19). Robinson's model explains the essence of developing actual values for any given organisation that integrate the overall life of an employee. By having flexible shifts for parents, for </w:t>
      </w:r>
      <w:r>
        <w:rPr>
          <w:rFonts w:ascii="Times" w:eastAsiaTheme="minorEastAsia" w:hAnsi="Times" w:cs="Times"/>
          <w:szCs w:val="24"/>
          <w:lang w:val="en-GB" w:eastAsia="en-GB"/>
        </w:rPr>
        <w:t>example, can help meet the need of the parent to spend time with family, which converts to increased work productivity.</w:t>
      </w:r>
    </w:p>
    <w:p w:rsidR="00000000" w:rsidRDefault="00356424">
      <w:pPr>
        <w:widowControl w:val="0"/>
        <w:autoSpaceDE w:val="0"/>
        <w:autoSpaceDN w:val="0"/>
        <w:adjustRightInd w:val="0"/>
        <w:spacing w:before="100" w:after="100"/>
        <w:ind w:right="-720" w:firstLine="720"/>
        <w:rPr>
          <w:rFonts w:ascii="Times" w:hAnsi="Times" w:cs="Times"/>
        </w:rPr>
      </w:pPr>
      <w:r>
        <w:rPr>
          <w:rFonts w:ascii="Times" w:eastAsiaTheme="minorEastAsia" w:hAnsi="Times" w:cs="Times"/>
          <w:szCs w:val="24"/>
          <w:lang w:val="en-GB" w:eastAsia="en-GB"/>
        </w:rPr>
        <w:t>Analysis of the organisational culture shows the necessity of a firm’</w:t>
      </w:r>
      <w:r>
        <w:rPr>
          <w:rFonts w:ascii="Times" w:eastAsiaTheme="minorEastAsia" w:hAnsi="Times" w:cs="Times"/>
          <w:szCs w:val="24"/>
          <w:lang w:val="en-GB" w:eastAsia="en-GB"/>
        </w:rPr>
        <w:t>s involvement in providing a psychologically involved and safe work environment. Fostering enthusiastic and satisfying work environments and activities helps to develop employee engagement and performance, promoting to focus on the people for the developme</w:t>
      </w:r>
      <w:r>
        <w:rPr>
          <w:rFonts w:ascii="Times" w:eastAsiaTheme="minorEastAsia" w:hAnsi="Times" w:cs="Times"/>
          <w:szCs w:val="24"/>
          <w:lang w:val="en-GB" w:eastAsia="en-GB"/>
        </w:rPr>
        <w:t xml:space="preserve">nt of effective results (Osborne and Hammoud, 2017: 54). Google, for example, emphasises in the importance of taking care of its employees. Offering flexible shifts with packages like free meals or integrated workplaces concerned with developing employees </w:t>
      </w:r>
      <w:r>
        <w:rPr>
          <w:rFonts w:ascii="Times" w:eastAsiaTheme="minorEastAsia" w:hAnsi="Times" w:cs="Times"/>
          <w:szCs w:val="24"/>
          <w:lang w:val="en-GB" w:eastAsia="en-GB"/>
        </w:rPr>
        <w:t>shows the essence of focusing on people in developing appropriate work cultures. Organisations developing concepts like training programs also support emotional connections that directly affect the organisation's productiveness while helping an elaborate w</w:t>
      </w:r>
      <w:r>
        <w:rPr>
          <w:rFonts w:ascii="Times" w:eastAsiaTheme="minorEastAsia" w:hAnsi="Times" w:cs="Times"/>
          <w:szCs w:val="24"/>
          <w:lang w:val="en-GB" w:eastAsia="en-GB"/>
        </w:rPr>
        <w:t>ork-life balance among individuals.</w:t>
      </w:r>
    </w:p>
    <w:p w:rsidR="007052EC" w:rsidRDefault="00356424">
      <w:pPr>
        <w:pStyle w:val="Heading2"/>
      </w:pPr>
      <w:bookmarkStart w:id="17" w:name="BRANCH_4"/>
      <w:bookmarkStart w:id="18" w:name="_Toc4400055"/>
      <w:bookmarkStart w:id="19" w:name="_MV3BS_4"/>
      <w:bookmarkEnd w:id="15"/>
      <w:r>
        <w:lastRenderedPageBreak/>
        <w:t>1.2. Taking Breaks</w:t>
      </w:r>
      <w:bookmarkEnd w:id="17"/>
      <w:bookmarkEnd w:id="18"/>
    </w:p>
    <w:p w:rsidR="00000000" w:rsidRDefault="00356424">
      <w:pPr>
        <w:widowControl w:val="0"/>
        <w:autoSpaceDE w:val="0"/>
        <w:autoSpaceDN w:val="0"/>
        <w:adjustRightInd w:val="0"/>
        <w:spacing w:before="100" w:after="100"/>
        <w:ind w:right="-720" w:firstLine="720"/>
        <w:rPr>
          <w:rFonts w:ascii="Times" w:hAnsi="Times" w:cs="Times"/>
        </w:rPr>
      </w:pPr>
      <w:bookmarkStart w:id="20" w:name="_MV3TD_PT8H00M00S_17"/>
      <w:bookmarkEnd w:id="20"/>
      <w:r>
        <w:rPr>
          <w:rFonts w:ascii="Times" w:eastAsiaTheme="minorEastAsia" w:hAnsi="Times" w:cs="Times"/>
          <w:szCs w:val="24"/>
          <w:lang w:val="en-GB" w:eastAsia="en-GB"/>
        </w:rPr>
        <w:t>The subtle act of taking 5-minute breaks emphasises through employee engagement to allow relaxation and stretch is a concept that directly affects employees' health. Emphasising focus on the idea of involved the organisation, leadership, and individual can</w:t>
      </w:r>
      <w:r>
        <w:rPr>
          <w:rFonts w:ascii="Times" w:eastAsiaTheme="minorEastAsia" w:hAnsi="Times" w:cs="Times"/>
          <w:szCs w:val="24"/>
          <w:lang w:val="en-GB" w:eastAsia="en-GB"/>
        </w:rPr>
        <w:t xml:space="preserve"> help in stabilising engagement. Koon and Chong (2018: 54) explain that Zinger's model explains that integrating involving activities can help to develop a firm's values and culture. Facebook, for example, has an adequate focus on the relaxation of its emp</w:t>
      </w:r>
      <w:r>
        <w:rPr>
          <w:rFonts w:ascii="Times" w:eastAsiaTheme="minorEastAsia" w:hAnsi="Times" w:cs="Times"/>
          <w:szCs w:val="24"/>
          <w:lang w:val="en-GB" w:eastAsia="en-GB"/>
        </w:rPr>
        <w:t xml:space="preserve">loyees with a constant emphasis on taking breaks to engage in gym time, naps, or for some yoga. Individuals experiencing mental blocks or challenges with projects, thus, can use breaks as a source of inspiration or rest to rejuvenate thinking abilities. </w:t>
      </w:r>
    </w:p>
    <w:p w:rsidR="007052EC" w:rsidRDefault="00356424">
      <w:pPr>
        <w:pStyle w:val="Heading2"/>
      </w:pPr>
      <w:bookmarkStart w:id="21" w:name="BRANCH_5"/>
      <w:bookmarkStart w:id="22" w:name="_Toc4400056"/>
      <w:bookmarkStart w:id="23" w:name="_MV3BS_5"/>
      <w:bookmarkEnd w:id="19"/>
      <w:r>
        <w:t>1.3. Requesting Feedback</w:t>
      </w:r>
      <w:bookmarkEnd w:id="21"/>
      <w:bookmarkEnd w:id="22"/>
    </w:p>
    <w:p w:rsidR="00000000" w:rsidRDefault="00356424">
      <w:pPr>
        <w:widowControl w:val="0"/>
        <w:autoSpaceDE w:val="0"/>
        <w:autoSpaceDN w:val="0"/>
        <w:adjustRightInd w:val="0"/>
        <w:spacing w:before="100" w:after="100"/>
        <w:ind w:right="-720" w:firstLine="720"/>
        <w:rPr>
          <w:rFonts w:ascii="Times" w:hAnsi="Times" w:cs="Times"/>
        </w:rPr>
      </w:pPr>
      <w:bookmarkStart w:id="24" w:name="_MV3TD_PT8H00M00S_20"/>
      <w:bookmarkEnd w:id="24"/>
      <w:r>
        <w:rPr>
          <w:rFonts w:ascii="Times" w:eastAsiaTheme="minorEastAsia" w:hAnsi="Times" w:cs="Times"/>
          <w:szCs w:val="24"/>
          <w:lang w:val="en-GB" w:eastAsia="en-GB"/>
        </w:rPr>
        <w:t xml:space="preserve">Employers most times offer feedback to employees concerning their performance and analysis. Asking feedback from employees helps to develop a sense of belonging where opinions from all </w:t>
      </w:r>
      <w:proofErr w:type="gramStart"/>
      <w:r>
        <w:rPr>
          <w:rFonts w:ascii="Times" w:eastAsiaTheme="minorEastAsia" w:hAnsi="Times" w:cs="Times"/>
          <w:szCs w:val="24"/>
          <w:lang w:val="en-GB" w:eastAsia="en-GB"/>
        </w:rPr>
        <w:t>parties</w:t>
      </w:r>
      <w:proofErr w:type="gramEnd"/>
      <w:r>
        <w:rPr>
          <w:rFonts w:ascii="Times" w:eastAsiaTheme="minorEastAsia" w:hAnsi="Times" w:cs="Times"/>
          <w:szCs w:val="24"/>
          <w:lang w:val="en-GB" w:eastAsia="en-GB"/>
        </w:rPr>
        <w:t xml:space="preserve"> matter in developing a company (Lopez-Kidwell et al. 2018: 1140</w:t>
      </w:r>
      <w:r>
        <w:rPr>
          <w:rFonts w:ascii="Times" w:eastAsiaTheme="minorEastAsia" w:hAnsi="Times" w:cs="Times"/>
          <w:szCs w:val="24"/>
          <w:lang w:val="en-GB" w:eastAsia="en-GB"/>
        </w:rPr>
        <w:t>). Asking employees concerning potential roadblocks or some of the challenges they face in the work environment highlights the firm’s weakness. As Zinger’s model notes, providing open communication approaches helps to promote employee engagement not only a</w:t>
      </w:r>
      <w:r>
        <w:rPr>
          <w:rFonts w:ascii="Times" w:eastAsiaTheme="minorEastAsia" w:hAnsi="Times" w:cs="Times"/>
          <w:szCs w:val="24"/>
          <w:lang w:val="en-GB" w:eastAsia="en-GB"/>
        </w:rPr>
        <w:t>mong hierarchies but also among employees. Tesco’s approach for including employees in decision-making processes, especially focused on change, helped the firm to represent one of the leading firms promoting customer and employee satisfaction in the nation</w:t>
      </w:r>
      <w:r>
        <w:rPr>
          <w:rFonts w:ascii="Times" w:eastAsiaTheme="minorEastAsia" w:hAnsi="Times" w:cs="Times"/>
          <w:szCs w:val="24"/>
          <w:lang w:val="en-GB" w:eastAsia="en-GB"/>
        </w:rPr>
        <w:t>. Individuals get the chance to ask for clarity from colleagues in case of doubt. Singh et al. (2016: 834) notes that work environments promoting feedback had employees who remained loyal, felt involved, empowered, and enthusiastic to the extent of exhibit</w:t>
      </w:r>
      <w:r>
        <w:rPr>
          <w:rFonts w:ascii="Times" w:eastAsiaTheme="minorEastAsia" w:hAnsi="Times" w:cs="Times"/>
          <w:szCs w:val="24"/>
          <w:lang w:val="en-GB" w:eastAsia="en-GB"/>
        </w:rPr>
        <w:t>ing the feeling to others around them.</w:t>
      </w:r>
    </w:p>
    <w:p w:rsidR="007052EC" w:rsidRDefault="00356424">
      <w:pPr>
        <w:pStyle w:val="Heading2"/>
      </w:pPr>
      <w:bookmarkStart w:id="25" w:name="BRANCH_6"/>
      <w:bookmarkStart w:id="26" w:name="_Toc4400057"/>
      <w:bookmarkStart w:id="27" w:name="_MV3BS_6"/>
      <w:bookmarkEnd w:id="23"/>
      <w:r>
        <w:lastRenderedPageBreak/>
        <w:t>1.4. Goal Clarity</w:t>
      </w:r>
      <w:bookmarkEnd w:id="25"/>
      <w:bookmarkEnd w:id="26"/>
    </w:p>
    <w:p w:rsidR="00000000" w:rsidRDefault="00356424">
      <w:pPr>
        <w:widowControl w:val="0"/>
        <w:autoSpaceDE w:val="0"/>
        <w:autoSpaceDN w:val="0"/>
        <w:adjustRightInd w:val="0"/>
        <w:spacing w:before="100" w:after="100"/>
        <w:ind w:right="-720" w:firstLine="720"/>
        <w:rPr>
          <w:rFonts w:ascii="Times" w:hAnsi="Times" w:cs="Times"/>
        </w:rPr>
      </w:pPr>
      <w:bookmarkStart w:id="28" w:name="_MV3TD_PT8H00M00S_23"/>
      <w:bookmarkEnd w:id="28"/>
      <w:r>
        <w:rPr>
          <w:rFonts w:ascii="Times" w:eastAsiaTheme="minorEastAsia" w:hAnsi="Times" w:cs="Times"/>
          <w:szCs w:val="24"/>
          <w:lang w:val="en-GB" w:eastAsia="en-GB"/>
        </w:rPr>
        <w:t>All employees need to have a set of responsibilities and goals to help with focus. Employees, from time to time, get mixed up concerning their leading roles in an organisation from the lack of goal clarity. Clarifying goals, thus, is essential to promote e</w:t>
      </w:r>
      <w:r>
        <w:rPr>
          <w:rFonts w:ascii="Times" w:eastAsiaTheme="minorEastAsia" w:hAnsi="Times" w:cs="Times"/>
          <w:szCs w:val="24"/>
          <w:lang w:val="en-GB" w:eastAsia="en-GB"/>
        </w:rPr>
        <w:t>mployee engagement in the organisation (</w:t>
      </w:r>
      <w:proofErr w:type="spellStart"/>
      <w:r>
        <w:rPr>
          <w:rFonts w:ascii="Times" w:eastAsiaTheme="minorEastAsia" w:hAnsi="Times" w:cs="Times"/>
          <w:szCs w:val="24"/>
          <w:lang w:val="en-GB" w:eastAsia="en-GB"/>
        </w:rPr>
        <w:t>Rožman</w:t>
      </w:r>
      <w:proofErr w:type="spellEnd"/>
      <w:r>
        <w:rPr>
          <w:rFonts w:ascii="Times" w:eastAsiaTheme="minorEastAsia" w:hAnsi="Times" w:cs="Times"/>
          <w:szCs w:val="24"/>
          <w:lang w:val="en-GB" w:eastAsia="en-GB"/>
        </w:rPr>
        <w:t xml:space="preserve"> et al. 2017: 19). Mental exhaustion and fatigue are some of the effects of the lack of goal clarity. With the help of employee engagement, however, goal clarity remains essential not only in increasing product</w:t>
      </w:r>
      <w:r>
        <w:rPr>
          <w:rFonts w:ascii="Times" w:eastAsiaTheme="minorEastAsia" w:hAnsi="Times" w:cs="Times"/>
          <w:szCs w:val="24"/>
          <w:lang w:val="en-GB" w:eastAsia="en-GB"/>
        </w:rPr>
        <w:t xml:space="preserve">ivity but also in developing employee satisfaction (Singh et al. 2016: 834). Motivating employees to take part in goal setting programs, for example, adds to hierarchical achievement through applying discretionary effort focused on fulfilling undertakings </w:t>
      </w:r>
      <w:r>
        <w:rPr>
          <w:rFonts w:ascii="Times" w:eastAsiaTheme="minorEastAsia" w:hAnsi="Times" w:cs="Times"/>
          <w:szCs w:val="24"/>
          <w:lang w:val="en-GB" w:eastAsia="en-GB"/>
        </w:rPr>
        <w:t>in the work environment.</w:t>
      </w:r>
    </w:p>
    <w:p w:rsidR="007052EC" w:rsidRDefault="00356424">
      <w:pPr>
        <w:pStyle w:val="Heading2"/>
      </w:pPr>
      <w:bookmarkStart w:id="29" w:name="BRANCH_7"/>
      <w:bookmarkStart w:id="30" w:name="_Toc4400058"/>
      <w:bookmarkStart w:id="31" w:name="_MV3BS_7"/>
      <w:bookmarkEnd w:id="27"/>
      <w:r>
        <w:t>1.5. Providing a Conducive Work Environment</w:t>
      </w:r>
      <w:bookmarkEnd w:id="29"/>
      <w:bookmarkEnd w:id="30"/>
    </w:p>
    <w:p w:rsidR="00000000" w:rsidRDefault="00356424">
      <w:pPr>
        <w:widowControl w:val="0"/>
        <w:autoSpaceDE w:val="0"/>
        <w:autoSpaceDN w:val="0"/>
        <w:adjustRightInd w:val="0"/>
        <w:spacing w:before="100" w:after="100"/>
        <w:ind w:right="-720" w:firstLine="720"/>
        <w:rPr>
          <w:rFonts w:ascii="Times" w:hAnsi="Times" w:cs="Times"/>
        </w:rPr>
      </w:pPr>
      <w:bookmarkStart w:id="32" w:name="_MV3TD_PT8H00M00S_26"/>
      <w:bookmarkEnd w:id="32"/>
      <w:r>
        <w:rPr>
          <w:rFonts w:ascii="Times" w:eastAsiaTheme="minorEastAsia" w:hAnsi="Times" w:cs="Times"/>
          <w:szCs w:val="24"/>
          <w:lang w:val="en-GB" w:eastAsia="en-GB"/>
        </w:rPr>
        <w:t>The everyday commute to work can represent an exciting or tiresome ordeal with a significant focus on the condition of the work environment. Employees prefer working in comfortable and challenging environments compared to conventional working environments.</w:t>
      </w:r>
      <w:r>
        <w:rPr>
          <w:rFonts w:ascii="Times" w:eastAsiaTheme="minorEastAsia" w:hAnsi="Times" w:cs="Times"/>
          <w:szCs w:val="24"/>
          <w:lang w:val="en-GB" w:eastAsia="en-GB"/>
        </w:rPr>
        <w:t xml:space="preserve"> Employers, thus, have the responsibility of integration environments that reflect their brand. Employee engagement helps employers in developing favourable environments like through the use of simple surveys, questionnaires, and interviews to realise empl</w:t>
      </w:r>
      <w:r>
        <w:rPr>
          <w:rFonts w:ascii="Times" w:eastAsiaTheme="minorEastAsia" w:hAnsi="Times" w:cs="Times"/>
          <w:szCs w:val="24"/>
          <w:lang w:val="en-GB" w:eastAsia="en-GB"/>
        </w:rPr>
        <w:t>oyees' preferences (Evans et al. 2016: 312). Google, for example, not only offers an integrated work environment but also provides concepts like meals and gym memberships in the work environment to promote employee retention and productivity. The individua</w:t>
      </w:r>
      <w:r>
        <w:rPr>
          <w:rFonts w:ascii="Times" w:eastAsiaTheme="minorEastAsia" w:hAnsi="Times" w:cs="Times"/>
          <w:szCs w:val="24"/>
          <w:lang w:val="en-GB" w:eastAsia="en-GB"/>
        </w:rPr>
        <w:t>l, on the other hand, benefits from improved health and wellness with increased productivity. Conducive work environments, for example, promote innovative behaviour among employees. The practice of recognising a problem, generating ideas, and mobilising su</w:t>
      </w:r>
      <w:r>
        <w:rPr>
          <w:rFonts w:ascii="Times" w:eastAsiaTheme="minorEastAsia" w:hAnsi="Times" w:cs="Times"/>
          <w:szCs w:val="24"/>
          <w:lang w:val="en-GB" w:eastAsia="en-GB"/>
        </w:rPr>
        <w:t xml:space="preserve">pport remain higher in an inclusive and conducive work environment (Vithayaporn and Ashton, 2019: 49). The individual, thus, develops their </w:t>
      </w:r>
      <w:r>
        <w:rPr>
          <w:rFonts w:ascii="Times" w:eastAsiaTheme="minorEastAsia" w:hAnsi="Times" w:cs="Times"/>
          <w:szCs w:val="24"/>
          <w:lang w:val="en-GB" w:eastAsia="en-GB"/>
        </w:rPr>
        <w:lastRenderedPageBreak/>
        <w:t xml:space="preserve">ability to promote, realise, and generate ideas effectively because of the favourable environment. </w:t>
      </w:r>
    </w:p>
    <w:p w:rsidR="007052EC" w:rsidRDefault="00356424">
      <w:pPr>
        <w:pStyle w:val="Heading2"/>
      </w:pPr>
      <w:bookmarkStart w:id="33" w:name="BRANCH_8"/>
      <w:bookmarkStart w:id="34" w:name="_Toc4400059"/>
      <w:bookmarkStart w:id="35" w:name="_MV3BS_8"/>
      <w:bookmarkEnd w:id="31"/>
      <w:r>
        <w:t>1.6. Career Growth</w:t>
      </w:r>
      <w:bookmarkEnd w:id="33"/>
      <w:bookmarkEnd w:id="34"/>
    </w:p>
    <w:p w:rsidR="00000000" w:rsidRDefault="00356424">
      <w:pPr>
        <w:widowControl w:val="0"/>
        <w:autoSpaceDE w:val="0"/>
        <w:autoSpaceDN w:val="0"/>
        <w:adjustRightInd w:val="0"/>
        <w:spacing w:before="100" w:after="100"/>
        <w:ind w:right="-720" w:firstLine="720"/>
        <w:rPr>
          <w:rFonts w:ascii="Times" w:hAnsi="Times" w:cs="Times"/>
        </w:rPr>
      </w:pPr>
      <w:bookmarkStart w:id="36" w:name="_MV3TD_PT8H00M00S_29"/>
      <w:bookmarkEnd w:id="36"/>
      <w:r>
        <w:rPr>
          <w:rFonts w:ascii="Times" w:eastAsiaTheme="minorEastAsia" w:hAnsi="Times" w:cs="Times"/>
          <w:szCs w:val="24"/>
          <w:lang w:val="en-GB" w:eastAsia="en-GB"/>
        </w:rPr>
        <w:t xml:space="preserve">The career growth process relates to the self-perception and management from an employee concerning career development in an organisation. Employee engagement seeks to promote advancements like increased salaries and the opportunity of learning new skills </w:t>
      </w:r>
      <w:r>
        <w:rPr>
          <w:rFonts w:ascii="Times" w:eastAsiaTheme="minorEastAsia" w:hAnsi="Times" w:cs="Times"/>
          <w:szCs w:val="24"/>
          <w:lang w:val="en-GB" w:eastAsia="en-GB"/>
        </w:rPr>
        <w:t>in the company. Since employees seek improvement in any field, offering such channels like advancement training programs and promotional opportunities promotes the benefits of the individual through employee engagement (Vithayaporn and Ashton, 2019: 47). A</w:t>
      </w:r>
      <w:r>
        <w:rPr>
          <w:rFonts w:ascii="Times" w:eastAsiaTheme="minorEastAsia" w:hAnsi="Times" w:cs="Times"/>
          <w:szCs w:val="24"/>
          <w:lang w:val="en-GB" w:eastAsia="en-GB"/>
        </w:rPr>
        <w:t>nglian Water, for instance, offers various programs like water services or water recycling services to its employees as an approach to career growth, promoting the pride and passion among employees to pursue further career growth while working in the firm.</w:t>
      </w:r>
    </w:p>
    <w:p w:rsidR="007052EC" w:rsidRDefault="00356424">
      <w:pPr>
        <w:pStyle w:val="Heading1"/>
      </w:pPr>
      <w:bookmarkStart w:id="37" w:name="BRANCH_9"/>
      <w:bookmarkStart w:id="38" w:name="_Toc4400060"/>
      <w:bookmarkStart w:id="39" w:name="_MV3BS_9"/>
      <w:bookmarkEnd w:id="35"/>
      <w:r>
        <w:t xml:space="preserve">Task 2: Benefits of Employee Engagement to </w:t>
      </w:r>
      <w:proofErr w:type="spellStart"/>
      <w:r>
        <w:t>Organisation</w:t>
      </w:r>
      <w:proofErr w:type="spellEnd"/>
      <w:r>
        <w:t xml:space="preserve"> and Individual</w:t>
      </w:r>
      <w:bookmarkEnd w:id="37"/>
      <w:bookmarkEnd w:id="38"/>
    </w:p>
    <w:p w:rsidR="00000000" w:rsidRDefault="00356424">
      <w:pPr>
        <w:widowControl w:val="0"/>
        <w:autoSpaceDE w:val="0"/>
        <w:autoSpaceDN w:val="0"/>
        <w:adjustRightInd w:val="0"/>
        <w:spacing w:before="100" w:after="100"/>
        <w:ind w:right="-720" w:firstLine="720"/>
        <w:rPr>
          <w:rFonts w:ascii="Times" w:hAnsi="Times" w:cs="Times"/>
        </w:rPr>
      </w:pPr>
      <w:bookmarkStart w:id="40" w:name="_MV3TD_PT8H00M00S_32"/>
      <w:bookmarkEnd w:id="40"/>
      <w:r>
        <w:rPr>
          <w:rFonts w:ascii="Times" w:eastAsiaTheme="minorEastAsia" w:hAnsi="Times" w:cs="Times"/>
          <w:szCs w:val="24"/>
          <w:lang w:val="en-GB" w:eastAsia="en-GB"/>
        </w:rPr>
        <w:t xml:space="preserve">Personally, developing individuals in the workplace benefits both the organisation and the individual. The firm, for example, experiences increased efficiency, better profits and reputation, and maintaining a competitive edge. The individual, on the other </w:t>
      </w:r>
      <w:r>
        <w:rPr>
          <w:rFonts w:ascii="Times" w:eastAsiaTheme="minorEastAsia" w:hAnsi="Times" w:cs="Times"/>
          <w:szCs w:val="24"/>
          <w:lang w:val="en-GB" w:eastAsia="en-GB"/>
        </w:rPr>
        <w:t>hand, remains motivates, gets pay raises, and develops increased self-esteem, happiness, and increased productivity (Liden et al. 2016: 156). Analysing the benefits for both parties, thus, remains sufficient for proper integration and assimilation of conce</w:t>
      </w:r>
      <w:r>
        <w:rPr>
          <w:rFonts w:ascii="Times" w:eastAsiaTheme="minorEastAsia" w:hAnsi="Times" w:cs="Times"/>
          <w:szCs w:val="24"/>
          <w:lang w:val="en-GB" w:eastAsia="en-GB"/>
        </w:rPr>
        <w:t xml:space="preserve">pts promoting work productivity and proper workplace relationships. </w:t>
      </w:r>
    </w:p>
    <w:p w:rsidR="007052EC" w:rsidRPr="004F69F9" w:rsidRDefault="00356424">
      <w:pPr>
        <w:pStyle w:val="Heading2"/>
        <w:rPr>
          <w:lang w:val="en-GB"/>
        </w:rPr>
      </w:pPr>
      <w:bookmarkStart w:id="41" w:name="BRANCH_10"/>
      <w:bookmarkStart w:id="42" w:name="_Toc4400061"/>
      <w:bookmarkStart w:id="43" w:name="_MV3BS_10"/>
      <w:bookmarkEnd w:id="39"/>
      <w:r>
        <w:t xml:space="preserve">2.1. Employee Engagement Benefits to the </w:t>
      </w:r>
      <w:bookmarkEnd w:id="41"/>
      <w:bookmarkEnd w:id="42"/>
      <w:r w:rsidR="004F69F9">
        <w:t>Organization</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bookmarkStart w:id="44" w:name="_MV3TD_PT8H00M00S_35"/>
      <w:bookmarkEnd w:id="44"/>
      <w:r>
        <w:rPr>
          <w:rFonts w:ascii="Times" w:eastAsiaTheme="minorEastAsia" w:hAnsi="Times" w:cs="Times"/>
          <w:szCs w:val="24"/>
          <w:lang w:val="en-GB" w:eastAsia="en-GB"/>
        </w:rPr>
        <w:t>One of the main benefits of employee engagement to an organisation is increased retention rates combined with reduced turnover rates. The hiring process, combined with the on-boarding of new employees in a firm, is time-consuming and expensive. Employee en</w:t>
      </w:r>
      <w:r>
        <w:rPr>
          <w:rFonts w:ascii="Times" w:eastAsiaTheme="minorEastAsia" w:hAnsi="Times" w:cs="Times"/>
          <w:szCs w:val="24"/>
          <w:lang w:val="en-GB" w:eastAsia="en-GB"/>
        </w:rPr>
        <w:t xml:space="preserve">gagement, nonetheless, offers a chance for the firm to interact with its employees on various aspects like the employee's welfare </w:t>
      </w:r>
      <w:r>
        <w:rPr>
          <w:rFonts w:ascii="Times" w:eastAsiaTheme="minorEastAsia" w:hAnsi="Times" w:cs="Times"/>
          <w:szCs w:val="24"/>
          <w:lang w:val="en-GB" w:eastAsia="en-GB"/>
        </w:rPr>
        <w:lastRenderedPageBreak/>
        <w:t>(Segura-Camacho et al. 2018: 3411). Internal communication, for example, fosters an environment promoting feedback and the exc</w:t>
      </w:r>
      <w:r>
        <w:rPr>
          <w:rFonts w:ascii="Times" w:eastAsiaTheme="minorEastAsia" w:hAnsi="Times" w:cs="Times"/>
          <w:szCs w:val="24"/>
          <w:lang w:val="en-GB" w:eastAsia="en-GB"/>
        </w:rPr>
        <w:t>hange of ideas focused on improving the productivity of the firm. Learning to engage employees in the process can polish plans and goals set by the company. The aspect does not offer a chance of realising quality results while maintaining the same group th</w:t>
      </w:r>
      <w:r>
        <w:rPr>
          <w:rFonts w:ascii="Times" w:eastAsiaTheme="minorEastAsia" w:hAnsi="Times" w:cs="Times"/>
          <w:szCs w:val="24"/>
          <w:lang w:val="en-GB" w:eastAsia="en-GB"/>
        </w:rPr>
        <w:t xml:space="preserve">roughout different projects. </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r>
        <w:rPr>
          <w:rFonts w:ascii="Times" w:eastAsiaTheme="minorEastAsia" w:hAnsi="Times" w:cs="Times"/>
          <w:szCs w:val="24"/>
          <w:lang w:val="en-GB" w:eastAsia="en-GB"/>
        </w:rPr>
        <w:t>Engaging behaviours like promoting team activities both in and out of the office work to benefit the overall productivity of a firm is also useful in employee engagement. Gathering knowledge, for example, is one of the fundamental concepts that many organi</w:t>
      </w:r>
      <w:r>
        <w:rPr>
          <w:rFonts w:ascii="Times" w:eastAsiaTheme="minorEastAsia" w:hAnsi="Times" w:cs="Times"/>
          <w:szCs w:val="24"/>
          <w:lang w:val="en-GB" w:eastAsia="en-GB"/>
        </w:rPr>
        <w:t>sations strive to achieve to gain a competitive edge or maintain relevance in their respective market (</w:t>
      </w:r>
      <w:proofErr w:type="spellStart"/>
      <w:r>
        <w:rPr>
          <w:rFonts w:ascii="Times" w:eastAsiaTheme="minorEastAsia" w:hAnsi="Times" w:cs="Times"/>
          <w:szCs w:val="24"/>
          <w:lang w:val="en-GB" w:eastAsia="en-GB"/>
        </w:rPr>
        <w:t>Ozuem</w:t>
      </w:r>
      <w:proofErr w:type="spellEnd"/>
      <w:r>
        <w:rPr>
          <w:rFonts w:ascii="Times" w:eastAsiaTheme="minorEastAsia" w:hAnsi="Times" w:cs="Times"/>
          <w:szCs w:val="24"/>
          <w:lang w:val="en-GB" w:eastAsia="en-GB"/>
        </w:rPr>
        <w:t xml:space="preserve"> et al. 2016: 68). A firm like Google continues to gather data and acquire other tech firms in its market to promote its competitive edge. </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r>
        <w:rPr>
          <w:rFonts w:ascii="Times" w:eastAsiaTheme="minorEastAsia" w:hAnsi="Times" w:cs="Times"/>
          <w:szCs w:val="24"/>
          <w:lang w:val="en-GB" w:eastAsia="en-GB"/>
        </w:rPr>
        <w:t>One of t</w:t>
      </w:r>
      <w:r>
        <w:rPr>
          <w:rFonts w:ascii="Times" w:eastAsiaTheme="minorEastAsia" w:hAnsi="Times" w:cs="Times"/>
          <w:szCs w:val="24"/>
          <w:lang w:val="en-GB" w:eastAsia="en-GB"/>
        </w:rPr>
        <w:t>he tools used by the firm in developing a constant generation of ideas is to involve groups of engineers in decision-making processes involving teams. The concept works for the firm as it offers the chance to share, create, and transform ideas useful for m</w:t>
      </w:r>
      <w:r>
        <w:rPr>
          <w:rFonts w:ascii="Times" w:eastAsiaTheme="minorEastAsia" w:hAnsi="Times" w:cs="Times"/>
          <w:szCs w:val="24"/>
          <w:lang w:val="en-GB" w:eastAsia="en-GB"/>
        </w:rPr>
        <w:t>aintaining a competitive edge (Bal and de Jong, 2017: 183). Teamwork engagement also leads to high productivity. Employees tend to enjoy work more in the presence of other parties because of factors like motivation that drive individuals to work more durab</w:t>
      </w:r>
      <w:r>
        <w:rPr>
          <w:rFonts w:ascii="Times" w:eastAsiaTheme="minorEastAsia" w:hAnsi="Times" w:cs="Times"/>
          <w:szCs w:val="24"/>
          <w:lang w:val="en-GB" w:eastAsia="en-GB"/>
        </w:rPr>
        <w:t xml:space="preserve">le, harder, and faster. </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r>
        <w:rPr>
          <w:rFonts w:ascii="Times" w:eastAsiaTheme="minorEastAsia" w:hAnsi="Times" w:cs="Times"/>
          <w:szCs w:val="24"/>
          <w:lang w:val="en-GB" w:eastAsia="en-GB"/>
        </w:rPr>
        <w:t>The development of an organisation depends on internal receptiveness and peaceful collaborations through proper communication. Exercising voice in an organisation as part of employee engagement, thus, remains essential in benefitti</w:t>
      </w:r>
      <w:r>
        <w:rPr>
          <w:rFonts w:ascii="Times" w:eastAsiaTheme="minorEastAsia" w:hAnsi="Times" w:cs="Times"/>
          <w:szCs w:val="24"/>
          <w:lang w:val="en-GB" w:eastAsia="en-GB"/>
        </w:rPr>
        <w:t>ng the entire firm (</w:t>
      </w:r>
      <w:proofErr w:type="spellStart"/>
      <w:r>
        <w:rPr>
          <w:rFonts w:ascii="Times" w:eastAsiaTheme="minorEastAsia" w:hAnsi="Times" w:cs="Times"/>
          <w:szCs w:val="24"/>
          <w:lang w:val="en-GB" w:eastAsia="en-GB"/>
        </w:rPr>
        <w:t>Kyu</w:t>
      </w:r>
      <w:proofErr w:type="spellEnd"/>
      <w:r>
        <w:rPr>
          <w:rFonts w:ascii="Times" w:eastAsiaTheme="minorEastAsia" w:hAnsi="Times" w:cs="Times"/>
          <w:szCs w:val="24"/>
          <w:lang w:val="en-GB" w:eastAsia="en-GB"/>
        </w:rPr>
        <w:t xml:space="preserve"> Wang et al. 2018: 768). If, for example, employees realise that senior managers do not may interest in their views, they might deter towards exercising their voice. Developing deaf-ear syndrome among employees contributes to </w:t>
      </w:r>
      <w:r>
        <w:rPr>
          <w:rFonts w:ascii="Times" w:eastAsiaTheme="minorEastAsia" w:hAnsi="Times" w:cs="Times"/>
          <w:szCs w:val="24"/>
          <w:lang w:val="en-GB" w:eastAsia="en-GB"/>
        </w:rPr>
        <w:lastRenderedPageBreak/>
        <w:t>increas</w:t>
      </w:r>
      <w:r>
        <w:rPr>
          <w:rFonts w:ascii="Times" w:eastAsiaTheme="minorEastAsia" w:hAnsi="Times" w:cs="Times"/>
          <w:szCs w:val="24"/>
          <w:lang w:val="en-GB" w:eastAsia="en-GB"/>
        </w:rPr>
        <w:t xml:space="preserve">ed employee disengagement that significantly lower's work productivity (Vithayaporn and Ashton, 2019: 59). Maintaining the psychological safety concepts for all parties in an organisation, therefore, is essential in benefiting the firm's implementation of </w:t>
      </w:r>
      <w:r>
        <w:rPr>
          <w:rFonts w:ascii="Times" w:eastAsiaTheme="minorEastAsia" w:hAnsi="Times" w:cs="Times"/>
          <w:szCs w:val="24"/>
          <w:lang w:val="en-GB" w:eastAsia="en-GB"/>
        </w:rPr>
        <w:t xml:space="preserve">employee engagement that offers receptiveness concerning the employee's voice. </w:t>
      </w:r>
    </w:p>
    <w:p w:rsidR="00000000" w:rsidRDefault="00356424">
      <w:pPr>
        <w:widowControl w:val="0"/>
        <w:autoSpaceDE w:val="0"/>
        <w:autoSpaceDN w:val="0"/>
        <w:adjustRightInd w:val="0"/>
        <w:spacing w:before="100" w:after="100"/>
        <w:ind w:right="-720" w:firstLine="720"/>
        <w:rPr>
          <w:rFonts w:ascii="Times" w:hAnsi="Times" w:cs="Times"/>
        </w:rPr>
      </w:pPr>
    </w:p>
    <w:p w:rsidR="007052EC" w:rsidRDefault="00356424">
      <w:pPr>
        <w:pStyle w:val="Heading2"/>
      </w:pPr>
      <w:bookmarkStart w:id="45" w:name="BRANCH_11"/>
      <w:bookmarkStart w:id="46" w:name="_Toc4400062"/>
      <w:bookmarkStart w:id="47" w:name="_MV3BS_11"/>
      <w:bookmarkEnd w:id="43"/>
      <w:r>
        <w:t>2.2. Employee Compensation</w:t>
      </w:r>
      <w:bookmarkEnd w:id="45"/>
      <w:bookmarkEnd w:id="46"/>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bookmarkStart w:id="48" w:name="_MV3TD_PT8H00M00S_38"/>
      <w:bookmarkEnd w:id="48"/>
      <w:r>
        <w:rPr>
          <w:rFonts w:ascii="Times" w:eastAsiaTheme="minorEastAsia" w:hAnsi="Times" w:cs="Times"/>
          <w:szCs w:val="24"/>
          <w:lang w:val="en-GB" w:eastAsia="en-GB"/>
        </w:rPr>
        <w:t>Compensating employees is an integral part of a firm's achievement since it lays on every employee's focus and drives. Since pay practices vary concerning different jobs, it is essential to focus on the appropriate level, mix, administration, and structure</w:t>
      </w:r>
      <w:r>
        <w:rPr>
          <w:rFonts w:ascii="Times" w:eastAsiaTheme="minorEastAsia" w:hAnsi="Times" w:cs="Times"/>
          <w:szCs w:val="24"/>
          <w:lang w:val="en-GB" w:eastAsia="en-GB"/>
        </w:rPr>
        <w:t xml:space="preserve"> containing effective payment plans. The theories on expectancy and reinforcement, for example, explain that response following a reward remains highly likely to re-occur in the future. Compensation of high performance through monetary rewards among employ</w:t>
      </w:r>
      <w:r>
        <w:rPr>
          <w:rFonts w:ascii="Times" w:eastAsiaTheme="minorEastAsia" w:hAnsi="Times" w:cs="Times"/>
          <w:szCs w:val="24"/>
          <w:lang w:val="en-GB" w:eastAsia="en-GB"/>
        </w:rPr>
        <w:t xml:space="preserve">ees, for instance, makes the high performance more likely even in future cases (Osborne and Hammoud, 2017: 4). On the other hand, unrecognised high performance remains less likely to repeat itself in the future among employees. </w:t>
      </w:r>
    </w:p>
    <w:p w:rsidR="00000000" w:rsidRDefault="00356424">
      <w:pPr>
        <w:widowControl w:val="0"/>
        <w:autoSpaceDE w:val="0"/>
        <w:autoSpaceDN w:val="0"/>
        <w:adjustRightInd w:val="0"/>
        <w:spacing w:before="100" w:after="100"/>
        <w:ind w:right="-720" w:firstLine="720"/>
        <w:rPr>
          <w:rFonts w:ascii="Times" w:hAnsi="Times" w:cs="Times"/>
        </w:rPr>
      </w:pPr>
      <w:r>
        <w:rPr>
          <w:rFonts w:ascii="Times" w:eastAsiaTheme="minorEastAsia" w:hAnsi="Times" w:cs="Times"/>
          <w:szCs w:val="24"/>
          <w:lang w:val="en-GB" w:eastAsia="en-GB"/>
        </w:rPr>
        <w:t>Equi</w:t>
      </w:r>
      <w:r>
        <w:rPr>
          <w:rFonts w:ascii="Times" w:eastAsiaTheme="minorEastAsia" w:hAnsi="Times" w:cs="Times"/>
          <w:szCs w:val="24"/>
          <w:lang w:val="en-GB" w:eastAsia="en-GB"/>
        </w:rPr>
        <w:t>ty theory also suggests that an employee’s perception of compensation directly related to their input in various activities. Employees who feel that they experience inequality in the workplace may reduce efforts to match provided equity. Promoting employee</w:t>
      </w:r>
      <w:r>
        <w:rPr>
          <w:rFonts w:ascii="Times" w:eastAsiaTheme="minorEastAsia" w:hAnsi="Times" w:cs="Times"/>
          <w:szCs w:val="24"/>
          <w:lang w:val="en-GB" w:eastAsia="en-GB"/>
        </w:rPr>
        <w:t xml:space="preserve"> engagement offers a chance to air out cases of difference for the realisation of effective results through employee compensation (Stone et al. 2019: 239). Overcompensation of managers through superfluous provision of amenities and bonuses can negatively a</w:t>
      </w:r>
      <w:r>
        <w:rPr>
          <w:rFonts w:ascii="Times" w:eastAsiaTheme="minorEastAsia" w:hAnsi="Times" w:cs="Times"/>
          <w:szCs w:val="24"/>
          <w:lang w:val="en-GB" w:eastAsia="en-GB"/>
        </w:rPr>
        <w:t>ffect the overall performance of a firm from factors like absenteeism (Koon et al. 2018: 60). Keeping compensation approaches based on salary with little emphasis on uncertain incentives and bonuses, nonetheless, promote increased work productivity.</w:t>
      </w:r>
    </w:p>
    <w:p w:rsidR="007052EC" w:rsidRDefault="00356424">
      <w:pPr>
        <w:pStyle w:val="Heading1"/>
      </w:pPr>
      <w:bookmarkStart w:id="49" w:name="BRANCH_12"/>
      <w:bookmarkStart w:id="50" w:name="_Toc4400063"/>
      <w:bookmarkStart w:id="51" w:name="_MV3BS_12"/>
      <w:bookmarkEnd w:id="47"/>
      <w:r>
        <w:lastRenderedPageBreak/>
        <w:t>Task 3: Evaluation Plan</w:t>
      </w:r>
      <w:bookmarkEnd w:id="49"/>
      <w:bookmarkEnd w:id="50"/>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bookmarkStart w:id="52" w:name="_MV3TD_PT8H00M00S_41"/>
      <w:bookmarkEnd w:id="52"/>
      <w:r>
        <w:rPr>
          <w:rFonts w:ascii="Times" w:eastAsiaTheme="minorEastAsia" w:hAnsi="Times" w:cs="Times"/>
          <w:szCs w:val="24"/>
          <w:lang w:val="en-GB" w:eastAsia="en-GB"/>
        </w:rPr>
        <w:t xml:space="preserve">The evaluation plan identifies the needs of various employees by establishing goals and assessing performances. Defining milestones in the organisations set at intervals of two months, for example, can place clarity on timeframes and outputs for teams and </w:t>
      </w:r>
      <w:r>
        <w:rPr>
          <w:rFonts w:ascii="Times" w:eastAsiaTheme="minorEastAsia" w:hAnsi="Times" w:cs="Times"/>
          <w:szCs w:val="24"/>
          <w:lang w:val="en-GB" w:eastAsia="en-GB"/>
        </w:rPr>
        <w:t>individuals (</w:t>
      </w:r>
      <w:proofErr w:type="spellStart"/>
      <w:r>
        <w:rPr>
          <w:rFonts w:ascii="Times" w:eastAsiaTheme="minorEastAsia" w:hAnsi="Times" w:cs="Times"/>
          <w:szCs w:val="24"/>
          <w:lang w:val="en-GB" w:eastAsia="en-GB"/>
        </w:rPr>
        <w:t>Tararukhina</w:t>
      </w:r>
      <w:proofErr w:type="spellEnd"/>
      <w:r>
        <w:rPr>
          <w:rFonts w:ascii="Times" w:eastAsiaTheme="minorEastAsia" w:hAnsi="Times" w:cs="Times"/>
          <w:szCs w:val="24"/>
          <w:lang w:val="en-GB" w:eastAsia="en-GB"/>
        </w:rPr>
        <w:t xml:space="preserve"> and </w:t>
      </w:r>
      <w:proofErr w:type="spellStart"/>
      <w:r>
        <w:rPr>
          <w:rFonts w:ascii="Times" w:eastAsiaTheme="minorEastAsia" w:hAnsi="Times" w:cs="Times"/>
          <w:szCs w:val="24"/>
          <w:lang w:val="en-GB" w:eastAsia="en-GB"/>
        </w:rPr>
        <w:t>Gurieva</w:t>
      </w:r>
      <w:proofErr w:type="spellEnd"/>
      <w:r>
        <w:rPr>
          <w:rFonts w:ascii="Times" w:eastAsiaTheme="minorEastAsia" w:hAnsi="Times" w:cs="Times"/>
          <w:szCs w:val="24"/>
          <w:lang w:val="en-GB" w:eastAsia="en-GB"/>
        </w:rPr>
        <w:t>, 2018: 36). The period can also measure the impact of various leadership characteristics used in analysing employee efficiency. Providing guidance and advice to staff members after the accomplishment of set milestones b</w:t>
      </w:r>
      <w:r>
        <w:rPr>
          <w:rFonts w:ascii="Times" w:eastAsiaTheme="minorEastAsia" w:hAnsi="Times" w:cs="Times"/>
          <w:szCs w:val="24"/>
          <w:lang w:val="en-GB" w:eastAsia="en-GB"/>
        </w:rPr>
        <w:t>y measuring output productivity or sales promotes the plan’s role in proper compensation for motivation. Ruck et al. (2017: 912) insists that compensating employees through responding to requests through identified protocol helps the workers to strive to a</w:t>
      </w:r>
      <w:r>
        <w:rPr>
          <w:rFonts w:ascii="Times" w:eastAsiaTheme="minorEastAsia" w:hAnsi="Times" w:cs="Times"/>
          <w:szCs w:val="24"/>
          <w:lang w:val="en-GB" w:eastAsia="en-GB"/>
        </w:rPr>
        <w:t xml:space="preserve">chieve specific goals. Assessing performance, on the other hand, can help to evaluate progress while offering feedback through both informal and formal ways. </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r>
        <w:rPr>
          <w:rFonts w:ascii="Times" w:eastAsiaTheme="minorEastAsia" w:hAnsi="Times" w:cs="Times"/>
          <w:szCs w:val="24"/>
          <w:lang w:val="en-GB" w:eastAsia="en-GB"/>
        </w:rPr>
        <w:t>Integrating a responsibility charting is also essential in assessing and assigning accountability of the plan's approaches. Listing all involved parties like managers, supervisors, internal resources, and project teams can help to integrate proper experien</w:t>
      </w:r>
      <w:r>
        <w:rPr>
          <w:rFonts w:ascii="Times" w:eastAsiaTheme="minorEastAsia" w:hAnsi="Times" w:cs="Times"/>
          <w:szCs w:val="24"/>
          <w:lang w:val="en-GB" w:eastAsia="en-GB"/>
        </w:rPr>
        <w:t>ce and standards in cooking skills and food preparation, issuing adequate compensation when necessary. Using the appropriate management approach, thus, it is appropriate to include in the compensation plan. Managing performance effectively focused on deleg</w:t>
      </w:r>
      <w:r>
        <w:rPr>
          <w:rFonts w:ascii="Times" w:eastAsiaTheme="minorEastAsia" w:hAnsi="Times" w:cs="Times"/>
          <w:szCs w:val="24"/>
          <w:lang w:val="en-GB" w:eastAsia="en-GB"/>
        </w:rPr>
        <w:t>ating, developing, and directing offers clear sight on individual incentives (Segura-</w:t>
      </w:r>
      <w:proofErr w:type="spellStart"/>
      <w:r>
        <w:rPr>
          <w:rFonts w:ascii="Times" w:eastAsiaTheme="minorEastAsia" w:hAnsi="Times" w:cs="Times"/>
          <w:szCs w:val="24"/>
          <w:lang w:val="en-GB" w:eastAsia="en-GB"/>
        </w:rPr>
        <w:t>Canacho</w:t>
      </w:r>
      <w:proofErr w:type="spellEnd"/>
      <w:r>
        <w:rPr>
          <w:rFonts w:ascii="Times" w:eastAsiaTheme="minorEastAsia" w:hAnsi="Times" w:cs="Times"/>
          <w:szCs w:val="24"/>
          <w:lang w:val="en-GB" w:eastAsia="en-GB"/>
        </w:rPr>
        <w:t xml:space="preserve"> et al. 2018: 3411). Bonuses, equity charges, and charges focused on pay associate with varying performance measurements like comprehension of adequate equipment en</w:t>
      </w:r>
      <w:r>
        <w:rPr>
          <w:rFonts w:ascii="Times" w:eastAsiaTheme="minorEastAsia" w:hAnsi="Times" w:cs="Times"/>
          <w:szCs w:val="24"/>
          <w:lang w:val="en-GB" w:eastAsia="en-GB"/>
        </w:rPr>
        <w:t>abling safety and full inclusivity in the kitchen area. Employees also receive rewards from their experience concerning portion and stock management and control.</w:t>
      </w:r>
    </w:p>
    <w:p w:rsidR="00000000" w:rsidRDefault="00356424">
      <w:pPr>
        <w:widowControl w:val="0"/>
        <w:autoSpaceDE w:val="0"/>
        <w:autoSpaceDN w:val="0"/>
        <w:adjustRightInd w:val="0"/>
        <w:spacing w:before="100" w:after="100"/>
        <w:ind w:right="-720" w:firstLine="720"/>
        <w:rPr>
          <w:rFonts w:ascii="Times" w:eastAsiaTheme="minorEastAsia" w:hAnsi="Times" w:cs="Times"/>
          <w:szCs w:val="24"/>
          <w:lang w:val="en-GB" w:eastAsia="en-GB"/>
        </w:rPr>
      </w:pPr>
      <w:r>
        <w:rPr>
          <w:rFonts w:ascii="Times" w:eastAsiaTheme="minorEastAsia" w:hAnsi="Times" w:cs="Times"/>
          <w:szCs w:val="24"/>
          <w:lang w:val="en-GB" w:eastAsia="en-GB"/>
        </w:rPr>
        <w:t xml:space="preserve">The compensation plan also directs, delegates, and develops employee engagement in different </w:t>
      </w:r>
      <w:r>
        <w:rPr>
          <w:rFonts w:ascii="Times" w:eastAsiaTheme="minorEastAsia" w:hAnsi="Times" w:cs="Times"/>
          <w:szCs w:val="24"/>
          <w:lang w:val="en-GB" w:eastAsia="en-GB"/>
        </w:rPr>
        <w:lastRenderedPageBreak/>
        <w:t>w</w:t>
      </w:r>
      <w:r>
        <w:rPr>
          <w:rFonts w:ascii="Times" w:eastAsiaTheme="minorEastAsia" w:hAnsi="Times" w:cs="Times"/>
          <w:szCs w:val="24"/>
          <w:lang w:val="en-GB" w:eastAsia="en-GB"/>
        </w:rPr>
        <w:t>ays. Ensuring timely delivery and ordering of products to support and project learners for transporting baked goods from the Hub to the Café, for instance, offers room for proper delegation and development of employee engagement. Directing works in the cas</w:t>
      </w:r>
      <w:r>
        <w:rPr>
          <w:rFonts w:ascii="Times" w:eastAsiaTheme="minorEastAsia" w:hAnsi="Times" w:cs="Times"/>
          <w:szCs w:val="24"/>
          <w:lang w:val="en-GB" w:eastAsia="en-GB"/>
        </w:rPr>
        <w:t>e of low or moderate competence of abilities and skills required to complete a task. Compensation through direction takes steps from small to high upon comprehension of provides instructions and guidelines. Offering local leadership through Penny to help i</w:t>
      </w:r>
      <w:r>
        <w:rPr>
          <w:rFonts w:ascii="Times" w:eastAsiaTheme="minorEastAsia" w:hAnsi="Times" w:cs="Times"/>
          <w:szCs w:val="24"/>
          <w:lang w:val="en-GB" w:eastAsia="en-GB"/>
        </w:rPr>
        <w:t xml:space="preserve">n helping employees maximise potential, together with establishing links with local suppliers, is adequate for proper performance management. The analysis by </w:t>
      </w:r>
      <w:proofErr w:type="spellStart"/>
      <w:r>
        <w:rPr>
          <w:rFonts w:ascii="Times" w:eastAsiaTheme="minorEastAsia" w:hAnsi="Times" w:cs="Times"/>
          <w:szCs w:val="24"/>
          <w:lang w:val="en-GB" w:eastAsia="en-GB"/>
        </w:rPr>
        <w:t>Djurdjevic</w:t>
      </w:r>
      <w:proofErr w:type="spellEnd"/>
      <w:r>
        <w:rPr>
          <w:rFonts w:ascii="Times" w:eastAsiaTheme="minorEastAsia" w:hAnsi="Times" w:cs="Times"/>
          <w:szCs w:val="24"/>
          <w:lang w:val="en-GB" w:eastAsia="en-GB"/>
        </w:rPr>
        <w:t xml:space="preserve"> et al. (2017: 1124) explains that employees, managers, and leaders have distinct roles </w:t>
      </w:r>
      <w:r>
        <w:rPr>
          <w:rFonts w:ascii="Times" w:eastAsiaTheme="minorEastAsia" w:hAnsi="Times" w:cs="Times"/>
          <w:szCs w:val="24"/>
          <w:lang w:val="en-GB" w:eastAsia="en-GB"/>
        </w:rPr>
        <w:t>to play in the promotion of excellent performance. Using practical tools and processes in place for the management of production makes it convenient to allocate tasks and compensations to the appropriate parties in the organisation with a focus on the firm</w:t>
      </w:r>
      <w:r>
        <w:rPr>
          <w:rFonts w:ascii="Times" w:eastAsiaTheme="minorEastAsia" w:hAnsi="Times" w:cs="Times"/>
          <w:szCs w:val="24"/>
          <w:lang w:val="en-GB" w:eastAsia="en-GB"/>
        </w:rPr>
        <w:t>'s strategic goals.</w:t>
      </w: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eastAsiaTheme="minorEastAsia" w:hAnsi="Times" w:cs="Times"/>
          <w:szCs w:val="24"/>
          <w:lang w:val="en-GB" w:eastAsia="en-GB"/>
        </w:rPr>
      </w:pPr>
    </w:p>
    <w:p w:rsidR="004F69F9" w:rsidRDefault="004F69F9">
      <w:pPr>
        <w:widowControl w:val="0"/>
        <w:autoSpaceDE w:val="0"/>
        <w:autoSpaceDN w:val="0"/>
        <w:adjustRightInd w:val="0"/>
        <w:spacing w:before="100" w:after="100"/>
        <w:ind w:right="-720" w:firstLine="720"/>
        <w:rPr>
          <w:rFonts w:ascii="Times" w:hAnsi="Times" w:cs="Times"/>
        </w:rPr>
      </w:pPr>
    </w:p>
    <w:p w:rsidR="007052EC" w:rsidRDefault="00356424">
      <w:pPr>
        <w:pStyle w:val="Heading1"/>
      </w:pPr>
      <w:bookmarkStart w:id="53" w:name="BRANCH_13"/>
      <w:bookmarkStart w:id="54" w:name="_Toc4400064"/>
      <w:bookmarkStart w:id="55" w:name="_MV3BS_13"/>
      <w:bookmarkEnd w:id="51"/>
      <w:r>
        <w:lastRenderedPageBreak/>
        <w:t>PDP</w:t>
      </w:r>
      <w:bookmarkEnd w:id="53"/>
      <w:bookmarkEnd w:id="54"/>
    </w:p>
    <w:tbl>
      <w:tblPr>
        <w:tblStyle w:val="TableGrid"/>
        <w:tblW w:w="10644" w:type="dxa"/>
        <w:tblInd w:w="-5" w:type="dxa"/>
        <w:tblLayout w:type="fixed"/>
        <w:tblLook w:val="04A0" w:firstRow="1" w:lastRow="0" w:firstColumn="1" w:lastColumn="0" w:noHBand="0" w:noVBand="1"/>
      </w:tblPr>
      <w:tblGrid>
        <w:gridCol w:w="1551"/>
        <w:gridCol w:w="2591"/>
        <w:gridCol w:w="1285"/>
        <w:gridCol w:w="2322"/>
        <w:gridCol w:w="1291"/>
        <w:gridCol w:w="1604"/>
      </w:tblGrid>
      <w:tr w:rsidR="004F69F9" w:rsidRPr="0070716E" w:rsidTr="00697456">
        <w:trPr>
          <w:trHeight w:val="266"/>
        </w:trPr>
        <w:tc>
          <w:tcPr>
            <w:tcW w:w="1551" w:type="dxa"/>
          </w:tcPr>
          <w:p w:rsidR="004F69F9" w:rsidRPr="0070716E" w:rsidRDefault="004F69F9" w:rsidP="004F69F9">
            <w:pPr>
              <w:rPr>
                <w:rFonts w:ascii="Arial" w:hAnsi="Arial" w:cs="Arial"/>
                <w:sz w:val="11"/>
                <w:szCs w:val="11"/>
              </w:rPr>
            </w:pPr>
            <w:r w:rsidRPr="0070716E">
              <w:rPr>
                <w:rFonts w:ascii="Arial" w:eastAsia="Times New Roman" w:hAnsi="Arial" w:cs="Arial"/>
                <w:b/>
                <w:sz w:val="11"/>
                <w:szCs w:val="11"/>
                <w:shd w:val="clear" w:color="auto" w:fill="FFFFFF"/>
                <w:lang w:val="en-GB"/>
              </w:rPr>
              <w:t>Objective</w:t>
            </w:r>
          </w:p>
        </w:tc>
        <w:tc>
          <w:tcPr>
            <w:tcW w:w="2591" w:type="dxa"/>
          </w:tcPr>
          <w:p w:rsidR="004F69F9" w:rsidRPr="0070716E" w:rsidRDefault="004F69F9" w:rsidP="00697456">
            <w:pPr>
              <w:pStyle w:val="NoSpacing"/>
              <w:rPr>
                <w:rFonts w:ascii="Arial" w:hAnsi="Arial" w:cs="Arial"/>
                <w:sz w:val="11"/>
                <w:szCs w:val="11"/>
              </w:rPr>
            </w:pPr>
            <w:r w:rsidRPr="0070716E">
              <w:rPr>
                <w:rFonts w:ascii="Arial" w:eastAsia="Times New Roman" w:hAnsi="Arial" w:cs="Arial"/>
                <w:sz w:val="11"/>
                <w:szCs w:val="11"/>
                <w:shd w:val="clear" w:color="auto" w:fill="FFFFFF"/>
                <w:lang w:val="en-GB"/>
              </w:rPr>
              <w:t>Measures</w:t>
            </w:r>
          </w:p>
        </w:tc>
        <w:tc>
          <w:tcPr>
            <w:tcW w:w="1285" w:type="dxa"/>
          </w:tcPr>
          <w:p w:rsidR="004F69F9" w:rsidRPr="0070716E" w:rsidRDefault="004F69F9" w:rsidP="00697456">
            <w:pPr>
              <w:rPr>
                <w:rFonts w:ascii="Arial" w:hAnsi="Arial" w:cs="Arial"/>
                <w:sz w:val="11"/>
                <w:szCs w:val="11"/>
              </w:rPr>
            </w:pPr>
            <w:r w:rsidRPr="0070716E">
              <w:rPr>
                <w:rFonts w:ascii="Arial" w:eastAsia="Times New Roman" w:hAnsi="Arial" w:cs="Arial"/>
                <w:b/>
                <w:sz w:val="11"/>
                <w:szCs w:val="11"/>
                <w:shd w:val="clear" w:color="auto" w:fill="FFFFFF"/>
                <w:lang w:val="en-GB"/>
              </w:rPr>
              <w:t>Priority</w:t>
            </w:r>
          </w:p>
        </w:tc>
        <w:tc>
          <w:tcPr>
            <w:tcW w:w="2322"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b/>
                <w:sz w:val="11"/>
                <w:szCs w:val="11"/>
                <w:shd w:val="clear" w:color="auto" w:fill="FFFFFF"/>
                <w:lang w:val="en-GB"/>
              </w:rPr>
              <w:t>Support and Development internal/external</w:t>
            </w:r>
          </w:p>
        </w:tc>
        <w:tc>
          <w:tcPr>
            <w:tcW w:w="1291"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b/>
                <w:sz w:val="11"/>
                <w:szCs w:val="11"/>
                <w:shd w:val="clear" w:color="auto" w:fill="FFFFFF"/>
                <w:lang w:val="en-GB"/>
              </w:rPr>
              <w:t>Review Date</w:t>
            </w:r>
          </w:p>
        </w:tc>
        <w:tc>
          <w:tcPr>
            <w:tcW w:w="1604" w:type="dxa"/>
          </w:tcPr>
          <w:p w:rsidR="004F69F9" w:rsidRPr="0070716E" w:rsidRDefault="004F69F9" w:rsidP="00697456">
            <w:pPr>
              <w:rPr>
                <w:rFonts w:ascii="Arial" w:hAnsi="Arial" w:cs="Arial"/>
                <w:sz w:val="11"/>
                <w:szCs w:val="11"/>
              </w:rPr>
            </w:pPr>
            <w:r w:rsidRPr="0070716E">
              <w:rPr>
                <w:rFonts w:ascii="Arial" w:eastAsia="Times New Roman" w:hAnsi="Arial" w:cs="Arial"/>
                <w:b/>
                <w:sz w:val="11"/>
                <w:szCs w:val="11"/>
                <w:shd w:val="clear" w:color="auto" w:fill="FFFFFF"/>
                <w:lang w:val="en-GB"/>
              </w:rPr>
              <w:t>Other Comment</w:t>
            </w:r>
          </w:p>
        </w:tc>
      </w:tr>
      <w:tr w:rsidR="004F69F9" w:rsidRPr="0070716E" w:rsidTr="00697456">
        <w:trPr>
          <w:trHeight w:val="1180"/>
        </w:trPr>
        <w:tc>
          <w:tcPr>
            <w:tcW w:w="1551"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sz w:val="11"/>
                <w:szCs w:val="11"/>
                <w:shd w:val="clear" w:color="auto" w:fill="FFFFFF"/>
                <w:lang w:val="en-GB"/>
              </w:rPr>
              <w:t>Assessing Performance</w:t>
            </w: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Knowledge of effective communication and interaction in the work environment</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Monitoring individual work through employee engagement.</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Analysing feedback.</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Checking on compensation rates.</w:t>
            </w:r>
          </w:p>
          <w:p w:rsidR="004F69F9" w:rsidRPr="0070716E" w:rsidRDefault="004F69F9" w:rsidP="00697456">
            <w:pPr>
              <w:pStyle w:val="NoSpacing"/>
              <w:rPr>
                <w:rFonts w:ascii="Arial" w:hAnsi="Arial" w:cs="Arial"/>
                <w:sz w:val="11"/>
                <w:szCs w:val="11"/>
              </w:rPr>
            </w:pPr>
            <w:r w:rsidRPr="0070716E">
              <w:rPr>
                <w:rFonts w:ascii="Arial" w:eastAsia="Times New Roman" w:hAnsi="Arial" w:cs="Arial"/>
                <w:sz w:val="11"/>
                <w:szCs w:val="11"/>
                <w:shd w:val="clear" w:color="auto" w:fill="FFFFFF"/>
                <w:lang w:val="en-GB"/>
              </w:rPr>
              <w:t>Identifying ways promoting career growth.</w:t>
            </w:r>
          </w:p>
        </w:tc>
        <w:tc>
          <w:tcPr>
            <w:tcW w:w="1285" w:type="dxa"/>
          </w:tcPr>
          <w:p w:rsidR="004F69F9" w:rsidRPr="0070716E" w:rsidRDefault="004F69F9" w:rsidP="00697456">
            <w:pPr>
              <w:rPr>
                <w:rFonts w:ascii="Arial" w:hAnsi="Arial" w:cs="Arial"/>
                <w:sz w:val="11"/>
                <w:szCs w:val="11"/>
              </w:rPr>
            </w:pPr>
            <w:r>
              <w:rPr>
                <w:rFonts w:ascii="Arial" w:eastAsia="Times New Roman" w:hAnsi="Arial" w:cs="Arial"/>
                <w:sz w:val="11"/>
                <w:szCs w:val="11"/>
                <w:shd w:val="clear" w:color="auto" w:fill="FFFFFF"/>
                <w:lang w:val="en-GB"/>
              </w:rPr>
              <w:t>Low</w:t>
            </w:r>
          </w:p>
        </w:tc>
        <w:tc>
          <w:tcPr>
            <w:tcW w:w="2322"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Offering internal competitive work environment and attending improved employee programs</w:t>
            </w:r>
          </w:p>
        </w:tc>
        <w:tc>
          <w:tcPr>
            <w:tcW w:w="1291"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sz w:val="11"/>
                <w:szCs w:val="11"/>
                <w:shd w:val="clear" w:color="auto" w:fill="FFFFFF"/>
                <w:lang w:val="en-GB"/>
              </w:rPr>
              <w:t>6</w:t>
            </w:r>
            <w:r>
              <w:rPr>
                <w:rFonts w:ascii="Arial" w:eastAsia="Times New Roman" w:hAnsi="Arial" w:cs="Arial"/>
                <w:sz w:val="11"/>
                <w:szCs w:val="11"/>
                <w:shd w:val="clear" w:color="auto" w:fill="FFFFFF"/>
                <w:lang w:val="en-GB"/>
              </w:rPr>
              <w:t xml:space="preserve">-12 </w:t>
            </w:r>
            <w:r w:rsidRPr="0070716E">
              <w:rPr>
                <w:rFonts w:ascii="Arial" w:eastAsia="Times New Roman" w:hAnsi="Arial" w:cs="Arial"/>
                <w:sz w:val="11"/>
                <w:szCs w:val="11"/>
                <w:shd w:val="clear" w:color="auto" w:fill="FFFFFF"/>
                <w:lang w:val="en-GB"/>
              </w:rPr>
              <w:t>months</w:t>
            </w:r>
          </w:p>
        </w:tc>
        <w:tc>
          <w:tcPr>
            <w:tcW w:w="1604"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Foster internal work environment support like promoting collaboration with employees.</w:t>
            </w:r>
          </w:p>
        </w:tc>
      </w:tr>
      <w:tr w:rsidR="004F69F9" w:rsidRPr="0070716E" w:rsidTr="00697456">
        <w:trPr>
          <w:trHeight w:val="694"/>
        </w:trPr>
        <w:tc>
          <w:tcPr>
            <w:tcW w:w="1551" w:type="dxa"/>
          </w:tcPr>
          <w:p w:rsidR="004F69F9" w:rsidRPr="0070716E" w:rsidRDefault="004F69F9" w:rsidP="004F69F9">
            <w:pPr>
              <w:spacing w:before="100" w:beforeAutospacing="1" w:after="100" w:afterAutospacing="1"/>
              <w:ind w:firstLine="0"/>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Compensation</w:t>
            </w:r>
          </w:p>
          <w:p w:rsidR="004F69F9" w:rsidRPr="0070716E" w:rsidRDefault="004F69F9" w:rsidP="004F69F9">
            <w:pPr>
              <w:rPr>
                <w:rFonts w:ascii="Arial" w:hAnsi="Arial" w:cs="Arial"/>
                <w:sz w:val="11"/>
                <w:szCs w:val="11"/>
              </w:rPr>
            </w:pP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 xml:space="preserve">Offer approaches and ways for recognising employees’ contributions. </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Offer guidance and advice to staff</w:t>
            </w:r>
          </w:p>
          <w:p w:rsidR="004F69F9" w:rsidRPr="0070716E" w:rsidRDefault="004F69F9" w:rsidP="00697456">
            <w:pPr>
              <w:pStyle w:val="NoSpacing"/>
              <w:rPr>
                <w:rFonts w:ascii="Arial" w:hAnsi="Arial" w:cs="Arial"/>
                <w:sz w:val="11"/>
                <w:szCs w:val="11"/>
              </w:rPr>
            </w:pPr>
          </w:p>
        </w:tc>
        <w:tc>
          <w:tcPr>
            <w:tcW w:w="1285" w:type="dxa"/>
          </w:tcPr>
          <w:p w:rsidR="004F69F9" w:rsidRPr="0070716E" w:rsidRDefault="004F69F9" w:rsidP="00697456">
            <w:pPr>
              <w:spacing w:before="100" w:beforeAutospacing="1" w:after="100" w:afterAutospacing="1"/>
              <w:rPr>
                <w:rFonts w:ascii="Arial" w:eastAsia="Times New Roman" w:hAnsi="Arial" w:cs="Arial"/>
                <w:sz w:val="11"/>
                <w:szCs w:val="11"/>
                <w:shd w:val="clear" w:color="auto" w:fill="FFFFFF"/>
                <w:lang w:val="en-GB"/>
              </w:rPr>
            </w:pPr>
            <w:r>
              <w:rPr>
                <w:rFonts w:ascii="Arial" w:eastAsia="Times New Roman" w:hAnsi="Arial" w:cs="Arial"/>
                <w:sz w:val="11"/>
                <w:szCs w:val="11"/>
                <w:shd w:val="clear" w:color="auto" w:fill="FFFFFF"/>
                <w:lang w:val="en-GB"/>
              </w:rPr>
              <w:t>Medium</w:t>
            </w:r>
          </w:p>
          <w:p w:rsidR="004F69F9" w:rsidRPr="0070716E" w:rsidRDefault="004F69F9" w:rsidP="00697456">
            <w:pPr>
              <w:rPr>
                <w:rFonts w:ascii="Arial" w:hAnsi="Arial" w:cs="Arial"/>
                <w:sz w:val="11"/>
                <w:szCs w:val="11"/>
              </w:rPr>
            </w:pPr>
          </w:p>
        </w:tc>
        <w:tc>
          <w:tcPr>
            <w:tcW w:w="2322"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Requires internal engagement from the entire staff and management team.</w:t>
            </w:r>
          </w:p>
        </w:tc>
        <w:tc>
          <w:tcPr>
            <w:tcW w:w="1291"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sz w:val="11"/>
                <w:szCs w:val="11"/>
                <w:shd w:val="clear" w:color="auto" w:fill="FFFFFF"/>
                <w:lang w:val="en-GB"/>
              </w:rPr>
              <w:t xml:space="preserve">2 </w:t>
            </w:r>
            <w:r>
              <w:rPr>
                <w:rFonts w:ascii="Arial" w:eastAsia="Times New Roman" w:hAnsi="Arial" w:cs="Arial"/>
                <w:sz w:val="11"/>
                <w:szCs w:val="11"/>
                <w:shd w:val="clear" w:color="auto" w:fill="FFFFFF"/>
                <w:lang w:val="en-GB"/>
              </w:rPr>
              <w:t xml:space="preserve">-6 </w:t>
            </w:r>
            <w:r w:rsidRPr="0070716E">
              <w:rPr>
                <w:rFonts w:ascii="Arial" w:eastAsia="Times New Roman" w:hAnsi="Arial" w:cs="Arial"/>
                <w:sz w:val="11"/>
                <w:szCs w:val="11"/>
                <w:shd w:val="clear" w:color="auto" w:fill="FFFFFF"/>
                <w:lang w:val="en-GB"/>
              </w:rPr>
              <w:t>months</w:t>
            </w:r>
          </w:p>
        </w:tc>
        <w:tc>
          <w:tcPr>
            <w:tcW w:w="1604" w:type="dxa"/>
          </w:tcPr>
          <w:p w:rsidR="004F69F9" w:rsidRPr="0070716E" w:rsidRDefault="004F69F9" w:rsidP="00697456">
            <w:pPr>
              <w:rPr>
                <w:rFonts w:ascii="Arial" w:hAnsi="Arial" w:cs="Arial"/>
                <w:sz w:val="11"/>
                <w:szCs w:val="11"/>
              </w:rPr>
            </w:pPr>
          </w:p>
        </w:tc>
      </w:tr>
      <w:tr w:rsidR="004F69F9" w:rsidRPr="0070716E" w:rsidTr="00697456">
        <w:trPr>
          <w:trHeight w:val="948"/>
        </w:trPr>
        <w:tc>
          <w:tcPr>
            <w:tcW w:w="1551" w:type="dxa"/>
          </w:tcPr>
          <w:p w:rsidR="004F69F9" w:rsidRPr="0070716E" w:rsidRDefault="004F69F9" w:rsidP="004F69F9">
            <w:pPr>
              <w:spacing w:before="100" w:beforeAutospacing="1" w:after="100" w:afterAutospacing="1"/>
              <w:ind w:firstLine="0"/>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Employee Satisfaction</w:t>
            </w:r>
          </w:p>
          <w:p w:rsidR="004F69F9" w:rsidRPr="0070716E" w:rsidRDefault="004F69F9" w:rsidP="004F69F9">
            <w:pPr>
              <w:rPr>
                <w:rFonts w:ascii="Arial" w:hAnsi="Arial" w:cs="Arial"/>
                <w:sz w:val="11"/>
                <w:szCs w:val="11"/>
              </w:rPr>
            </w:pP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Response on work-life balance questionnaire.</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 xml:space="preserve">Offer approaches and ways for recognising employees’ contributions. </w:t>
            </w:r>
          </w:p>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Offer guidance and advice to staff</w:t>
            </w:r>
          </w:p>
          <w:p w:rsidR="004F69F9" w:rsidRPr="0070716E" w:rsidRDefault="004F69F9" w:rsidP="00697456">
            <w:pPr>
              <w:pStyle w:val="NoSpacing"/>
              <w:rPr>
                <w:rFonts w:ascii="Arial" w:eastAsia="Times New Roman" w:hAnsi="Arial" w:cs="Arial"/>
                <w:sz w:val="11"/>
                <w:szCs w:val="11"/>
                <w:shd w:val="clear" w:color="auto" w:fill="FFFFFF"/>
                <w:lang w:val="en-GB"/>
              </w:rPr>
            </w:pPr>
          </w:p>
        </w:tc>
        <w:tc>
          <w:tcPr>
            <w:tcW w:w="1285" w:type="dxa"/>
          </w:tcPr>
          <w:p w:rsidR="004F69F9" w:rsidRPr="0070716E" w:rsidRDefault="004F69F9" w:rsidP="004F69F9">
            <w:pPr>
              <w:spacing w:before="100" w:beforeAutospacing="1" w:after="100" w:afterAutospacing="1"/>
              <w:rPr>
                <w:rFonts w:ascii="Arial" w:eastAsia="Times New Roman" w:hAnsi="Arial" w:cs="Arial"/>
                <w:sz w:val="11"/>
                <w:szCs w:val="11"/>
                <w:shd w:val="clear" w:color="auto" w:fill="FFFFFF"/>
                <w:lang w:val="en-GB"/>
              </w:rPr>
            </w:pPr>
            <w:r>
              <w:rPr>
                <w:rFonts w:ascii="Arial" w:eastAsia="Times New Roman" w:hAnsi="Arial" w:cs="Arial"/>
                <w:sz w:val="11"/>
                <w:szCs w:val="11"/>
                <w:shd w:val="clear" w:color="auto" w:fill="FFFFFF"/>
                <w:lang w:val="en-GB"/>
              </w:rPr>
              <w:t>Medium</w:t>
            </w:r>
          </w:p>
          <w:p w:rsidR="004F69F9" w:rsidRPr="0070716E" w:rsidRDefault="004F69F9" w:rsidP="00697456">
            <w:pPr>
              <w:rPr>
                <w:rFonts w:ascii="Arial" w:hAnsi="Arial" w:cs="Arial"/>
                <w:sz w:val="11"/>
                <w:szCs w:val="11"/>
              </w:rPr>
            </w:pPr>
          </w:p>
        </w:tc>
        <w:tc>
          <w:tcPr>
            <w:tcW w:w="2322"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Requires internal analysis through set regulations concerning the promotion of employee satisfaction</w:t>
            </w:r>
          </w:p>
        </w:tc>
        <w:tc>
          <w:tcPr>
            <w:tcW w:w="1291" w:type="dxa"/>
          </w:tcPr>
          <w:p w:rsidR="004F69F9" w:rsidRPr="0070716E" w:rsidRDefault="004F69F9" w:rsidP="004F69F9">
            <w:pPr>
              <w:spacing w:before="100" w:beforeAutospacing="1" w:after="100" w:afterAutospacing="1"/>
              <w:ind w:firstLine="0"/>
              <w:rPr>
                <w:rFonts w:ascii="Arial" w:eastAsia="Times New Roman" w:hAnsi="Arial" w:cs="Arial"/>
                <w:sz w:val="11"/>
                <w:szCs w:val="11"/>
                <w:shd w:val="clear" w:color="auto" w:fill="FFFFFF"/>
                <w:lang w:val="en-GB"/>
              </w:rPr>
            </w:pPr>
            <w:r>
              <w:rPr>
                <w:rFonts w:ascii="Arial" w:eastAsia="Times New Roman" w:hAnsi="Arial" w:cs="Arial"/>
                <w:sz w:val="11"/>
                <w:szCs w:val="11"/>
                <w:shd w:val="clear" w:color="auto" w:fill="FFFFFF"/>
                <w:lang w:val="en-GB"/>
              </w:rPr>
              <w:t>2-6</w:t>
            </w:r>
            <w:r w:rsidRPr="0070716E">
              <w:rPr>
                <w:rFonts w:ascii="Arial" w:eastAsia="Times New Roman" w:hAnsi="Arial" w:cs="Arial"/>
                <w:sz w:val="11"/>
                <w:szCs w:val="11"/>
                <w:shd w:val="clear" w:color="auto" w:fill="FFFFFF"/>
                <w:lang w:val="en-GB"/>
              </w:rPr>
              <w:t xml:space="preserve"> month-intervals.</w:t>
            </w:r>
          </w:p>
          <w:p w:rsidR="004F69F9" w:rsidRPr="0070716E" w:rsidRDefault="004F69F9" w:rsidP="00697456">
            <w:pPr>
              <w:rPr>
                <w:rFonts w:ascii="Arial" w:hAnsi="Arial" w:cs="Arial"/>
                <w:sz w:val="11"/>
                <w:szCs w:val="11"/>
              </w:rPr>
            </w:pPr>
          </w:p>
        </w:tc>
        <w:tc>
          <w:tcPr>
            <w:tcW w:w="1604" w:type="dxa"/>
          </w:tcPr>
          <w:p w:rsidR="004F69F9" w:rsidRPr="0070716E" w:rsidRDefault="004F69F9" w:rsidP="00697456">
            <w:pPr>
              <w:rPr>
                <w:rFonts w:ascii="Arial" w:hAnsi="Arial" w:cs="Arial"/>
                <w:sz w:val="11"/>
                <w:szCs w:val="11"/>
              </w:rPr>
            </w:pPr>
          </w:p>
        </w:tc>
      </w:tr>
      <w:tr w:rsidR="004F69F9" w:rsidRPr="0070716E" w:rsidTr="00697456">
        <w:trPr>
          <w:trHeight w:val="948"/>
        </w:trPr>
        <w:tc>
          <w:tcPr>
            <w:tcW w:w="1551" w:type="dxa"/>
          </w:tcPr>
          <w:p w:rsidR="004F69F9" w:rsidRPr="0070716E" w:rsidRDefault="004F69F9" w:rsidP="004F69F9">
            <w:pPr>
              <w:spacing w:before="100" w:beforeAutospacing="1" w:after="100" w:afterAutospacing="1"/>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People-focused work environment</w:t>
            </w:r>
          </w:p>
          <w:p w:rsidR="004F69F9" w:rsidRPr="0070716E" w:rsidRDefault="004F69F9" w:rsidP="004F69F9">
            <w:pPr>
              <w:rPr>
                <w:rFonts w:ascii="Arial" w:hAnsi="Arial" w:cs="Arial"/>
                <w:sz w:val="11"/>
                <w:szCs w:val="11"/>
              </w:rPr>
            </w:pP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Monitoring employee engagement in the workplace.</w:t>
            </w:r>
          </w:p>
          <w:p w:rsidR="004F69F9" w:rsidRPr="0070716E" w:rsidRDefault="004F69F9" w:rsidP="00697456">
            <w:pPr>
              <w:pStyle w:val="NoSpacing"/>
              <w:rPr>
                <w:rFonts w:ascii="Arial" w:hAnsi="Arial" w:cs="Arial"/>
                <w:sz w:val="11"/>
                <w:szCs w:val="11"/>
              </w:rPr>
            </w:pPr>
          </w:p>
        </w:tc>
        <w:tc>
          <w:tcPr>
            <w:tcW w:w="1285" w:type="dxa"/>
          </w:tcPr>
          <w:p w:rsidR="004F69F9" w:rsidRPr="0070716E" w:rsidRDefault="004F69F9" w:rsidP="00697456">
            <w:pPr>
              <w:spacing w:before="100" w:beforeAutospacing="1" w:after="100" w:afterAutospacing="1"/>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 xml:space="preserve">High. </w:t>
            </w:r>
          </w:p>
          <w:p w:rsidR="004F69F9" w:rsidRPr="0070716E" w:rsidRDefault="004F69F9" w:rsidP="00697456">
            <w:pPr>
              <w:rPr>
                <w:rFonts w:ascii="Arial" w:hAnsi="Arial" w:cs="Arial"/>
                <w:sz w:val="11"/>
                <w:szCs w:val="11"/>
              </w:rPr>
            </w:pPr>
          </w:p>
        </w:tc>
        <w:tc>
          <w:tcPr>
            <w:tcW w:w="2322"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Requires internal analysis through set regulations concerning the promotion of employee satisfaction in the work environment.</w:t>
            </w:r>
          </w:p>
        </w:tc>
        <w:tc>
          <w:tcPr>
            <w:tcW w:w="1291" w:type="dxa"/>
          </w:tcPr>
          <w:p w:rsidR="004F69F9" w:rsidRPr="0070716E" w:rsidRDefault="004F69F9" w:rsidP="004F69F9">
            <w:pPr>
              <w:ind w:firstLine="0"/>
              <w:rPr>
                <w:rFonts w:ascii="Arial" w:hAnsi="Arial" w:cs="Arial"/>
                <w:sz w:val="11"/>
                <w:szCs w:val="11"/>
              </w:rPr>
            </w:pPr>
            <w:r w:rsidRPr="0070716E">
              <w:rPr>
                <w:rFonts w:ascii="Arial" w:eastAsia="Times New Roman" w:hAnsi="Arial" w:cs="Arial"/>
                <w:sz w:val="11"/>
                <w:szCs w:val="11"/>
                <w:shd w:val="clear" w:color="auto" w:fill="FFFFFF"/>
                <w:lang w:val="en-GB"/>
              </w:rPr>
              <w:t>3 month-intervals.</w:t>
            </w:r>
          </w:p>
        </w:tc>
        <w:tc>
          <w:tcPr>
            <w:tcW w:w="1604" w:type="dxa"/>
          </w:tcPr>
          <w:p w:rsidR="004F69F9" w:rsidRPr="0070716E" w:rsidRDefault="004F69F9" w:rsidP="00697456">
            <w:pPr>
              <w:rPr>
                <w:rFonts w:ascii="Arial" w:hAnsi="Arial" w:cs="Arial"/>
                <w:sz w:val="11"/>
                <w:szCs w:val="11"/>
              </w:rPr>
            </w:pPr>
          </w:p>
        </w:tc>
      </w:tr>
      <w:tr w:rsidR="004F69F9" w:rsidRPr="0070716E" w:rsidTr="00697456">
        <w:trPr>
          <w:trHeight w:val="960"/>
        </w:trPr>
        <w:tc>
          <w:tcPr>
            <w:tcW w:w="1551" w:type="dxa"/>
          </w:tcPr>
          <w:p w:rsidR="004F69F9" w:rsidRPr="0070716E" w:rsidRDefault="004F69F9" w:rsidP="004F69F9">
            <w:pPr>
              <w:spacing w:before="100" w:beforeAutospacing="1" w:after="100" w:afterAutospacing="1"/>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Career Growth</w:t>
            </w:r>
          </w:p>
          <w:p w:rsidR="004F69F9" w:rsidRPr="0070716E" w:rsidRDefault="004F69F9" w:rsidP="004F69F9">
            <w:pPr>
              <w:rPr>
                <w:rFonts w:ascii="Arial" w:hAnsi="Arial" w:cs="Arial"/>
                <w:sz w:val="11"/>
                <w:szCs w:val="11"/>
              </w:rPr>
            </w:pP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Analysing employees’ response to employee development programs.2</w:t>
            </w:r>
          </w:p>
          <w:p w:rsidR="004F69F9" w:rsidRPr="0070716E" w:rsidRDefault="004F69F9" w:rsidP="00697456">
            <w:pPr>
              <w:pStyle w:val="NoSpacing"/>
              <w:rPr>
                <w:rFonts w:ascii="Arial" w:hAnsi="Arial" w:cs="Arial"/>
                <w:sz w:val="11"/>
                <w:szCs w:val="11"/>
              </w:rPr>
            </w:pPr>
          </w:p>
        </w:tc>
        <w:tc>
          <w:tcPr>
            <w:tcW w:w="1285" w:type="dxa"/>
          </w:tcPr>
          <w:p w:rsidR="004F69F9" w:rsidRPr="0070716E" w:rsidRDefault="004F69F9" w:rsidP="00697456">
            <w:pPr>
              <w:rPr>
                <w:rFonts w:ascii="Arial" w:hAnsi="Arial" w:cs="Arial"/>
                <w:sz w:val="11"/>
                <w:szCs w:val="11"/>
              </w:rPr>
            </w:pPr>
            <w:r>
              <w:rPr>
                <w:rFonts w:ascii="Arial" w:hAnsi="Arial" w:cs="Arial"/>
                <w:sz w:val="11"/>
                <w:szCs w:val="11"/>
              </w:rPr>
              <w:t>Low</w:t>
            </w:r>
          </w:p>
        </w:tc>
        <w:tc>
          <w:tcPr>
            <w:tcW w:w="2322" w:type="dxa"/>
          </w:tcPr>
          <w:p w:rsidR="004F69F9" w:rsidRPr="0070716E" w:rsidRDefault="004F69F9" w:rsidP="00697456">
            <w:pPr>
              <w:spacing w:before="100" w:beforeAutospacing="1" w:after="100" w:afterAutospacing="1"/>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 xml:space="preserve">Affiliation with education centres is also necessary for networking. </w:t>
            </w:r>
          </w:p>
          <w:p w:rsidR="004F69F9" w:rsidRPr="0070716E" w:rsidRDefault="004F69F9" w:rsidP="00697456">
            <w:pPr>
              <w:rPr>
                <w:rFonts w:ascii="Arial" w:hAnsi="Arial" w:cs="Arial"/>
                <w:sz w:val="11"/>
                <w:szCs w:val="11"/>
              </w:rPr>
            </w:pPr>
          </w:p>
        </w:tc>
        <w:tc>
          <w:tcPr>
            <w:tcW w:w="1291" w:type="dxa"/>
          </w:tcPr>
          <w:p w:rsidR="004F69F9" w:rsidRPr="0070716E" w:rsidRDefault="004F69F9" w:rsidP="004F69F9">
            <w:pPr>
              <w:ind w:firstLine="0"/>
              <w:rPr>
                <w:rFonts w:ascii="Arial" w:hAnsi="Arial" w:cs="Arial"/>
                <w:sz w:val="11"/>
                <w:szCs w:val="11"/>
              </w:rPr>
            </w:pPr>
            <w:r w:rsidRPr="0070716E">
              <w:rPr>
                <w:rFonts w:ascii="Arial" w:hAnsi="Arial" w:cs="Arial"/>
                <w:sz w:val="11"/>
                <w:szCs w:val="11"/>
              </w:rPr>
              <w:t xml:space="preserve">3 </w:t>
            </w:r>
            <w:r>
              <w:rPr>
                <w:rFonts w:ascii="Arial" w:hAnsi="Arial" w:cs="Arial"/>
                <w:sz w:val="11"/>
                <w:szCs w:val="11"/>
              </w:rPr>
              <w:t xml:space="preserve">-12 </w:t>
            </w:r>
            <w:r w:rsidRPr="0070716E">
              <w:rPr>
                <w:rFonts w:ascii="Arial" w:hAnsi="Arial" w:cs="Arial"/>
                <w:sz w:val="11"/>
                <w:szCs w:val="11"/>
              </w:rPr>
              <w:t>month-intervals.</w:t>
            </w:r>
          </w:p>
        </w:tc>
        <w:tc>
          <w:tcPr>
            <w:tcW w:w="1604" w:type="dxa"/>
          </w:tcPr>
          <w:p w:rsidR="004F69F9" w:rsidRPr="0070716E" w:rsidRDefault="004F69F9" w:rsidP="00697456">
            <w:pPr>
              <w:rPr>
                <w:rFonts w:ascii="Arial" w:hAnsi="Arial" w:cs="Arial"/>
                <w:sz w:val="11"/>
                <w:szCs w:val="11"/>
              </w:rPr>
            </w:pPr>
          </w:p>
        </w:tc>
      </w:tr>
      <w:tr w:rsidR="004F69F9" w:rsidRPr="0070716E" w:rsidTr="00697456">
        <w:trPr>
          <w:trHeight w:val="2823"/>
        </w:trPr>
        <w:tc>
          <w:tcPr>
            <w:tcW w:w="1551" w:type="dxa"/>
          </w:tcPr>
          <w:p w:rsidR="004F69F9" w:rsidRPr="0070716E" w:rsidRDefault="004F69F9" w:rsidP="004F69F9">
            <w:pPr>
              <w:rPr>
                <w:rFonts w:ascii="Arial" w:hAnsi="Arial" w:cs="Arial"/>
                <w:sz w:val="11"/>
                <w:szCs w:val="11"/>
              </w:rPr>
            </w:pPr>
            <w:r w:rsidRPr="0070716E">
              <w:rPr>
                <w:rFonts w:ascii="Arial" w:eastAsia="Times New Roman" w:hAnsi="Arial" w:cs="Arial"/>
                <w:sz w:val="11"/>
                <w:szCs w:val="11"/>
                <w:shd w:val="clear" w:color="auto" w:fill="FFFFFF"/>
                <w:lang w:val="en-GB"/>
              </w:rPr>
              <w:t>Goal clarity</w:t>
            </w:r>
          </w:p>
        </w:tc>
        <w:tc>
          <w:tcPr>
            <w:tcW w:w="2591" w:type="dxa"/>
          </w:tcPr>
          <w:p w:rsidR="004F69F9" w:rsidRPr="0070716E" w:rsidRDefault="004F69F9" w:rsidP="00697456">
            <w:pPr>
              <w:pStyle w:val="NoSpacing"/>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Develop precise roles and instructions for individual employees.</w:t>
            </w:r>
          </w:p>
          <w:p w:rsidR="004F69F9" w:rsidRPr="0070716E" w:rsidRDefault="004F69F9" w:rsidP="00697456">
            <w:pPr>
              <w:pStyle w:val="NoSpacing"/>
              <w:rPr>
                <w:rFonts w:ascii="Arial" w:hAnsi="Arial" w:cs="Arial"/>
                <w:sz w:val="11"/>
                <w:szCs w:val="11"/>
              </w:rPr>
            </w:pPr>
            <w:r w:rsidRPr="0070716E">
              <w:rPr>
                <w:rFonts w:ascii="Arial" w:eastAsia="Times New Roman" w:hAnsi="Arial" w:cs="Arial"/>
                <w:sz w:val="11"/>
                <w:szCs w:val="11"/>
                <w:shd w:val="clear" w:color="auto" w:fill="FFFFFF"/>
                <w:lang w:val="en-GB"/>
              </w:rPr>
              <w:t>Promoting individual contribution to group assessment through effective goals setting.</w:t>
            </w:r>
          </w:p>
        </w:tc>
        <w:tc>
          <w:tcPr>
            <w:tcW w:w="1285" w:type="dxa"/>
          </w:tcPr>
          <w:p w:rsidR="004F69F9" w:rsidRPr="0070716E" w:rsidRDefault="004F69F9" w:rsidP="00697456">
            <w:pPr>
              <w:rPr>
                <w:rFonts w:ascii="Arial" w:hAnsi="Arial" w:cs="Arial"/>
                <w:sz w:val="11"/>
                <w:szCs w:val="11"/>
              </w:rPr>
            </w:pPr>
            <w:r w:rsidRPr="0070716E">
              <w:rPr>
                <w:rFonts w:ascii="Arial" w:hAnsi="Arial" w:cs="Arial"/>
                <w:sz w:val="11"/>
                <w:szCs w:val="11"/>
              </w:rPr>
              <w:t>High</w:t>
            </w:r>
          </w:p>
        </w:tc>
        <w:tc>
          <w:tcPr>
            <w:tcW w:w="2322" w:type="dxa"/>
          </w:tcPr>
          <w:p w:rsidR="004F69F9" w:rsidRPr="0070716E" w:rsidRDefault="004F69F9" w:rsidP="00697456">
            <w:pPr>
              <w:rPr>
                <w:rFonts w:ascii="Arial" w:hAnsi="Arial" w:cs="Arial"/>
                <w:sz w:val="11"/>
                <w:szCs w:val="11"/>
              </w:rPr>
            </w:pPr>
            <w:r w:rsidRPr="0070716E">
              <w:rPr>
                <w:rFonts w:ascii="Arial" w:eastAsia="Times New Roman" w:hAnsi="Arial" w:cs="Arial"/>
                <w:sz w:val="11"/>
                <w:szCs w:val="11"/>
                <w:shd w:val="clear" w:color="auto" w:fill="FFFFFF"/>
                <w:lang w:val="en-GB"/>
              </w:rPr>
              <w:t>Requires development from the internal work environment but effort and integration through employees.</w:t>
            </w:r>
          </w:p>
        </w:tc>
        <w:tc>
          <w:tcPr>
            <w:tcW w:w="1291" w:type="dxa"/>
          </w:tcPr>
          <w:p w:rsidR="004F69F9" w:rsidRPr="0070716E" w:rsidRDefault="004F69F9" w:rsidP="004F69F9">
            <w:pPr>
              <w:spacing w:before="100" w:beforeAutospacing="1" w:after="100" w:afterAutospacing="1"/>
              <w:ind w:firstLine="0"/>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Weekly analysis for short term goals.</w:t>
            </w:r>
          </w:p>
          <w:p w:rsidR="004F69F9" w:rsidRPr="0070716E" w:rsidRDefault="004F69F9" w:rsidP="004F69F9">
            <w:pPr>
              <w:spacing w:before="100" w:beforeAutospacing="1" w:after="100" w:afterAutospacing="1"/>
              <w:ind w:firstLine="0"/>
              <w:rPr>
                <w:rFonts w:ascii="Arial" w:eastAsia="Times New Roman" w:hAnsi="Arial" w:cs="Arial"/>
                <w:sz w:val="11"/>
                <w:szCs w:val="11"/>
                <w:shd w:val="clear" w:color="auto" w:fill="FFFFFF"/>
                <w:lang w:val="en-GB"/>
              </w:rPr>
            </w:pPr>
            <w:r w:rsidRPr="0070716E">
              <w:rPr>
                <w:rFonts w:ascii="Arial" w:eastAsia="Times New Roman" w:hAnsi="Arial" w:cs="Arial"/>
                <w:sz w:val="11"/>
                <w:szCs w:val="11"/>
                <w:shd w:val="clear" w:color="auto" w:fill="FFFFFF"/>
                <w:lang w:val="en-GB"/>
              </w:rPr>
              <w:t>6-month intervals for intermediate goals.</w:t>
            </w:r>
          </w:p>
          <w:p w:rsidR="004F69F9" w:rsidRPr="0070716E" w:rsidRDefault="004F69F9" w:rsidP="004F69F9">
            <w:pPr>
              <w:ind w:firstLine="0"/>
              <w:rPr>
                <w:rFonts w:ascii="Arial" w:hAnsi="Arial" w:cs="Arial"/>
                <w:sz w:val="11"/>
                <w:szCs w:val="11"/>
              </w:rPr>
            </w:pPr>
            <w:r w:rsidRPr="0070716E">
              <w:rPr>
                <w:rFonts w:ascii="Arial" w:eastAsia="Times New Roman" w:hAnsi="Arial" w:cs="Arial"/>
                <w:sz w:val="11"/>
                <w:szCs w:val="11"/>
                <w:shd w:val="clear" w:color="auto" w:fill="FFFFFF"/>
                <w:lang w:val="en-GB"/>
              </w:rPr>
              <w:t>2-year intervals for long-term goals.</w:t>
            </w:r>
          </w:p>
        </w:tc>
        <w:tc>
          <w:tcPr>
            <w:tcW w:w="1604" w:type="dxa"/>
          </w:tcPr>
          <w:p w:rsidR="004F69F9" w:rsidRPr="0070716E" w:rsidRDefault="004F69F9" w:rsidP="00697456">
            <w:pPr>
              <w:rPr>
                <w:rFonts w:ascii="Arial" w:hAnsi="Arial" w:cs="Arial"/>
                <w:sz w:val="11"/>
                <w:szCs w:val="11"/>
              </w:rPr>
            </w:pPr>
          </w:p>
        </w:tc>
      </w:tr>
    </w:tbl>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Pr="004F69F9" w:rsidRDefault="004F69F9" w:rsidP="004F69F9">
      <w:pPr>
        <w:pStyle w:val="BodyTextFirstIndent"/>
      </w:pPr>
    </w:p>
    <w:p w:rsidR="007052EC" w:rsidRDefault="00356424">
      <w:pPr>
        <w:pStyle w:val="Heading1"/>
      </w:pPr>
      <w:bookmarkStart w:id="56" w:name="_MV3TD_PT8H00M00S_44"/>
      <w:bookmarkStart w:id="57" w:name="BRANCH_14"/>
      <w:bookmarkStart w:id="58" w:name="_Toc4400065"/>
      <w:bookmarkStart w:id="59" w:name="_MV3BS_14"/>
      <w:bookmarkEnd w:id="55"/>
      <w:bookmarkEnd w:id="56"/>
      <w:r>
        <w:lastRenderedPageBreak/>
        <w:t>Conclusion</w:t>
      </w:r>
      <w:bookmarkEnd w:id="57"/>
      <w:bookmarkEnd w:id="58"/>
    </w:p>
    <w:p w:rsidR="00000000" w:rsidRDefault="00356424">
      <w:pPr>
        <w:widowControl w:val="0"/>
        <w:autoSpaceDE w:val="0"/>
        <w:autoSpaceDN w:val="0"/>
        <w:adjustRightInd w:val="0"/>
        <w:spacing w:before="100" w:after="100"/>
        <w:ind w:right="-720" w:firstLine="720"/>
        <w:rPr>
          <w:rFonts w:ascii="Times" w:hAnsi="Times" w:cs="Times"/>
        </w:rPr>
      </w:pPr>
      <w:bookmarkStart w:id="60" w:name="_MV3TD_PT8H00M00S_47"/>
      <w:bookmarkEnd w:id="60"/>
      <w:r>
        <w:rPr>
          <w:rFonts w:ascii="Times" w:eastAsiaTheme="minorEastAsia" w:hAnsi="Times" w:cs="Times"/>
          <w:szCs w:val="24"/>
          <w:lang w:val="en-GB" w:eastAsia="en-GB"/>
        </w:rPr>
        <w:t>Employee engagement is a concept that involves personal development, training, and appraisal of employees regarding performance. Employers have the responsibility of offering their employees productive work environments without harassment, unsafe condition</w:t>
      </w:r>
      <w:r>
        <w:rPr>
          <w:rFonts w:ascii="Times" w:eastAsiaTheme="minorEastAsia" w:hAnsi="Times" w:cs="Times"/>
          <w:szCs w:val="24"/>
          <w:lang w:val="en-GB" w:eastAsia="en-GB"/>
        </w:rPr>
        <w:t>s, and discrimination. Meeting purposes, accepting feedback, promoting equality and stability is essential in helping employee satisfaction. Increased contributions from employees, in turn, encourage the profitability of the firm.</w:t>
      </w:r>
    </w:p>
    <w:p w:rsidR="004F69F9" w:rsidRDefault="004F69F9">
      <w:pPr>
        <w:pStyle w:val="Heading1"/>
      </w:pPr>
      <w:bookmarkStart w:id="61" w:name="BRANCH_15"/>
      <w:bookmarkStart w:id="62" w:name="_Toc4400066"/>
      <w:bookmarkStart w:id="63" w:name="_MV3BS_15"/>
      <w:bookmarkEnd w:id="59"/>
    </w:p>
    <w:p w:rsidR="004F69F9" w:rsidRDefault="004F69F9">
      <w:pPr>
        <w:pStyle w:val="Heading1"/>
      </w:pPr>
    </w:p>
    <w:p w:rsidR="004F69F9" w:rsidRDefault="004F69F9">
      <w:pPr>
        <w:pStyle w:val="Heading1"/>
      </w:pPr>
    </w:p>
    <w:p w:rsidR="004F69F9" w:rsidRDefault="004F69F9" w:rsidP="004F69F9">
      <w:pPr>
        <w:pStyle w:val="Heading1"/>
      </w:pPr>
    </w:p>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Default="004F69F9" w:rsidP="004F69F9">
      <w:pPr>
        <w:pStyle w:val="BodyTextFirstIndent"/>
      </w:pPr>
    </w:p>
    <w:p w:rsidR="004F69F9" w:rsidRPr="004F69F9" w:rsidRDefault="004F69F9" w:rsidP="004F69F9">
      <w:pPr>
        <w:pStyle w:val="BodyTextFirstIndent"/>
      </w:pPr>
    </w:p>
    <w:bookmarkEnd w:id="61"/>
    <w:bookmarkEnd w:id="62"/>
    <w:bookmarkEnd w:id="63"/>
    <w:p w:rsidR="004359B9" w:rsidRPr="00DF50CD" w:rsidRDefault="004359B9" w:rsidP="00DF50CD">
      <w:pPr>
        <w:spacing w:after="200"/>
        <w:rPr>
          <w:rFonts w:cs="Times New Roman"/>
        </w:rPr>
      </w:pPr>
      <w:r w:rsidRPr="00DF50CD">
        <w:rPr>
          <w:rFonts w:cs="Times New Roman"/>
        </w:rPr>
        <w:br w:type="page"/>
      </w:r>
    </w:p>
    <w:bookmarkStart w:id="64" w:name="_Toc4400067" w:displacedByCustomXml="next"/>
    <w:sdt>
      <w:sdtPr>
        <w:rPr>
          <w:rFonts w:eastAsiaTheme="minorHAnsi" w:cstheme="minorBidi"/>
          <w:b w:val="0"/>
          <w:bCs w:val="0"/>
          <w:szCs w:val="22"/>
        </w:rPr>
        <w:id w:val="641383670"/>
        <w:docPartObj>
          <w:docPartGallery w:val="Bibliographies"/>
          <w:docPartUnique/>
        </w:docPartObj>
      </w:sdtPr>
      <w:sdtEndPr>
        <w:rPr>
          <w:rFonts w:cs="Times New Roman"/>
        </w:rPr>
      </w:sdtEndPr>
      <w:sdtContent>
        <w:p w:rsidR="008B46CF" w:rsidRDefault="008B46CF">
          <w:pPr>
            <w:pStyle w:val="Heading1"/>
          </w:pPr>
          <w:r>
            <w:t>Refere</w:t>
          </w:r>
          <w:bookmarkStart w:id="65" w:name="_GoBack"/>
          <w:bookmarkEnd w:id="65"/>
          <w:r>
            <w:t>nces</w:t>
          </w:r>
          <w:bookmarkEnd w:id="64"/>
        </w:p>
        <w:sdt>
          <w:sdtPr>
            <w:rPr>
              <w:rFonts w:cs="Times New Roman"/>
            </w:rPr>
            <w:id w:val="111145805"/>
            <w:bibliography/>
          </w:sdtPr>
          <w:sdtEndPr/>
          <w:sdtContent>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Bal, P.M., and de Jong, S.B., 2017. From human resource management to human dignity development: a dignity perspective on HRM and the role of workplace democracy. In </w:t>
              </w:r>
              <w:r>
                <w:rPr>
                  <w:rFonts w:ascii="Times" w:eastAsiaTheme="minorEastAsia" w:hAnsi="Times" w:cs="Times"/>
                  <w:i/>
                  <w:iCs/>
                  <w:szCs w:val="24"/>
                  <w:lang w:val="en-GB" w:eastAsia="en-GB"/>
                </w:rPr>
                <w:t xml:space="preserve">Dignity and the Organisation </w:t>
              </w:r>
              <w:r>
                <w:rPr>
                  <w:rFonts w:ascii="Times" w:eastAsiaTheme="minorEastAsia" w:hAnsi="Times" w:cs="Times"/>
                  <w:szCs w:val="24"/>
                  <w:lang w:val="en-GB" w:eastAsia="en-GB"/>
                </w:rPr>
                <w:t>(pp. 173-195). Palgrave Macmillan, London.</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Barik, S., and </w:t>
              </w:r>
              <w:proofErr w:type="spellStart"/>
              <w:r>
                <w:rPr>
                  <w:rFonts w:ascii="Times" w:eastAsiaTheme="minorEastAsia" w:hAnsi="Times" w:cs="Times"/>
                  <w:szCs w:val="24"/>
                  <w:lang w:val="en-GB" w:eastAsia="en-GB"/>
                </w:rPr>
                <w:t>Kochar</w:t>
              </w:r>
              <w:proofErr w:type="spellEnd"/>
              <w:r>
                <w:rPr>
                  <w:rFonts w:ascii="Times" w:eastAsiaTheme="minorEastAsia" w:hAnsi="Times" w:cs="Times"/>
                  <w:szCs w:val="24"/>
                  <w:lang w:val="en-GB" w:eastAsia="en-GB"/>
                </w:rPr>
                <w:t xml:space="preserve">, A., 2017. Antecedents and consequences of employee engagement: a literature review. </w:t>
              </w:r>
              <w:r>
                <w:rPr>
                  <w:rFonts w:ascii="Times" w:eastAsiaTheme="minorEastAsia" w:hAnsi="Times" w:cs="Times"/>
                  <w:i/>
                  <w:iCs/>
                  <w:szCs w:val="24"/>
                  <w:lang w:val="en-GB" w:eastAsia="en-GB"/>
                </w:rPr>
                <w:t>International Journal of Latest Technology in Engineering, Management, and Applied Science</w:t>
              </w:r>
              <w:r>
                <w:rPr>
                  <w:rFonts w:ascii="Times" w:eastAsiaTheme="minorEastAsia" w:hAnsi="Times" w:cs="Times"/>
                  <w:szCs w:val="24"/>
                  <w:lang w:val="en-GB" w:eastAsia="en-GB"/>
                </w:rPr>
                <w:t>.</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proofErr w:type="spellStart"/>
              <w:r>
                <w:rPr>
                  <w:rFonts w:ascii="Times" w:eastAsiaTheme="minorEastAsia" w:hAnsi="Times" w:cs="Times"/>
                  <w:szCs w:val="24"/>
                  <w:lang w:val="en-GB" w:eastAsia="en-GB"/>
                </w:rPr>
                <w:t>Djurdjevic</w:t>
              </w:r>
              <w:proofErr w:type="spellEnd"/>
              <w:r>
                <w:rPr>
                  <w:rFonts w:ascii="Times" w:eastAsiaTheme="minorEastAsia" w:hAnsi="Times" w:cs="Times"/>
                  <w:szCs w:val="24"/>
                  <w:lang w:val="en-GB" w:eastAsia="en-GB"/>
                </w:rPr>
                <w:t xml:space="preserve">, E., </w:t>
              </w:r>
              <w:proofErr w:type="spellStart"/>
              <w:r>
                <w:rPr>
                  <w:rFonts w:ascii="Times" w:eastAsiaTheme="minorEastAsia" w:hAnsi="Times" w:cs="Times"/>
                  <w:szCs w:val="24"/>
                  <w:lang w:val="en-GB" w:eastAsia="en-GB"/>
                </w:rPr>
                <w:t>Stoverink</w:t>
              </w:r>
              <w:proofErr w:type="spellEnd"/>
              <w:r>
                <w:rPr>
                  <w:rFonts w:ascii="Times" w:eastAsiaTheme="minorEastAsia" w:hAnsi="Times" w:cs="Times"/>
                  <w:szCs w:val="24"/>
                  <w:lang w:val="en-GB" w:eastAsia="en-GB"/>
                </w:rPr>
                <w:t xml:space="preserve">, A.C., Klotz, A.C., Koopman, J., da Motta </w:t>
              </w:r>
              <w:proofErr w:type="spellStart"/>
              <w:r>
                <w:rPr>
                  <w:rFonts w:ascii="Times" w:eastAsiaTheme="minorEastAsia" w:hAnsi="Times" w:cs="Times"/>
                  <w:szCs w:val="24"/>
                  <w:lang w:val="en-GB" w:eastAsia="en-GB"/>
                </w:rPr>
                <w:t>Veiga</w:t>
              </w:r>
              <w:proofErr w:type="spellEnd"/>
              <w:r>
                <w:rPr>
                  <w:rFonts w:ascii="Times" w:eastAsiaTheme="minorEastAsia" w:hAnsi="Times" w:cs="Times"/>
                  <w:szCs w:val="24"/>
                  <w:lang w:val="en-GB" w:eastAsia="en-GB"/>
                </w:rPr>
                <w:t xml:space="preserve">, S.P., Yam, K.C. and Chiang, J.T.J., 2017. Workplace status: the development and validation of a scale. </w:t>
              </w:r>
              <w:r>
                <w:rPr>
                  <w:rFonts w:ascii="Times" w:eastAsiaTheme="minorEastAsia" w:hAnsi="Times" w:cs="Times"/>
                  <w:i/>
                  <w:iCs/>
                  <w:szCs w:val="24"/>
                  <w:lang w:val="en-GB" w:eastAsia="en-GB"/>
                </w:rPr>
                <w:t xml:space="preserve">Journal of Applied Psychology, </w:t>
              </w:r>
              <w:r>
                <w:rPr>
                  <w:rFonts w:ascii="Times" w:eastAsiaTheme="minorEastAsia" w:hAnsi="Times" w:cs="Times"/>
                  <w:szCs w:val="24"/>
                  <w:lang w:val="en-GB" w:eastAsia="en-GB"/>
                </w:rPr>
                <w:t>102(7), p. 1124.</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Dutton, J.E. and </w:t>
              </w:r>
              <w:proofErr w:type="spellStart"/>
              <w:r>
                <w:rPr>
                  <w:rFonts w:ascii="Times" w:eastAsiaTheme="minorEastAsia" w:hAnsi="Times" w:cs="Times"/>
                  <w:szCs w:val="24"/>
                  <w:lang w:val="en-GB" w:eastAsia="en-GB"/>
                </w:rPr>
                <w:t>Ragins</w:t>
              </w:r>
              <w:proofErr w:type="spellEnd"/>
              <w:r>
                <w:rPr>
                  <w:rFonts w:ascii="Times" w:eastAsiaTheme="minorEastAsia" w:hAnsi="Times" w:cs="Times"/>
                  <w:szCs w:val="24"/>
                  <w:lang w:val="en-GB" w:eastAsia="en-GB"/>
                </w:rPr>
                <w:t xml:space="preserve">, B.R., 2017. Positive relationships at work: an introduction and invitation. In </w:t>
              </w:r>
              <w:r>
                <w:rPr>
                  <w:rFonts w:ascii="Times" w:eastAsiaTheme="minorEastAsia" w:hAnsi="Times" w:cs="Times"/>
                  <w:i/>
                  <w:iCs/>
                  <w:szCs w:val="24"/>
                  <w:lang w:val="en-GB" w:eastAsia="en-GB"/>
                </w:rPr>
                <w:t xml:space="preserve">Exploring positive relationships at work </w:t>
              </w:r>
              <w:r>
                <w:rPr>
                  <w:rFonts w:ascii="Times" w:eastAsiaTheme="minorEastAsia" w:hAnsi="Times" w:cs="Times"/>
                  <w:szCs w:val="24"/>
                  <w:lang w:val="en-GB" w:eastAsia="en-GB"/>
                </w:rPr>
                <w:t>(pp. 2-24). Psychology Press.</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Evans, A.B., Carter, A., Middleton, G., and Bishop, D.C., 2016. Personal goals, group performance, and 'social 'networks: participants' negotiation of virtual and embodied relationships in the 'Workplace Challenge' physical activity programme. </w:t>
              </w:r>
              <w:r>
                <w:rPr>
                  <w:rFonts w:ascii="Times" w:eastAsiaTheme="minorEastAsia" w:hAnsi="Times" w:cs="Times"/>
                  <w:i/>
                  <w:iCs/>
                  <w:szCs w:val="24"/>
                  <w:lang w:val="en-GB" w:eastAsia="en-GB"/>
                </w:rPr>
                <w:t xml:space="preserve">Qualitative Research in Sport, Exercise and Health, </w:t>
              </w:r>
              <w:r>
                <w:rPr>
                  <w:rFonts w:ascii="Times" w:eastAsiaTheme="minorEastAsia" w:hAnsi="Times" w:cs="Times"/>
                  <w:szCs w:val="24"/>
                  <w:lang w:val="en-GB" w:eastAsia="en-GB"/>
                </w:rPr>
                <w:t>8(3), pp. 301-318.</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Jones, R.J., Woods, S.A., and Guillaume, Y.R., 2016. The effectiveness of workplace coaching: a meta-analysis of learning and performance outcomes from coaching. </w:t>
              </w:r>
              <w:r>
                <w:rPr>
                  <w:rFonts w:ascii="Times" w:eastAsiaTheme="minorEastAsia" w:hAnsi="Times" w:cs="Times"/>
                  <w:i/>
                  <w:iCs/>
                  <w:szCs w:val="24"/>
                  <w:lang w:val="en-GB" w:eastAsia="en-GB"/>
                </w:rPr>
                <w:t xml:space="preserve">Journal of Occupational and Organisational Psychology, </w:t>
              </w:r>
              <w:r>
                <w:rPr>
                  <w:rFonts w:ascii="Times" w:eastAsiaTheme="minorEastAsia" w:hAnsi="Times" w:cs="Times"/>
                  <w:szCs w:val="24"/>
                  <w:lang w:val="en-GB" w:eastAsia="en-GB"/>
                </w:rPr>
                <w:t>89(2), pp. 249-277.</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Koon, V.Y. and Chong, K.N., 2018. Workplace flexibility and organisational citizenship behaviour: an investigation of the mediating role of engagement and the moderating role of perceived fairness. </w:t>
              </w:r>
              <w:r>
                <w:rPr>
                  <w:rFonts w:ascii="Times" w:eastAsiaTheme="minorEastAsia" w:hAnsi="Times" w:cs="Times"/>
                  <w:i/>
                  <w:iCs/>
                  <w:szCs w:val="24"/>
                  <w:lang w:val="en-GB" w:eastAsia="en-GB"/>
                </w:rPr>
                <w:lastRenderedPageBreak/>
                <w:t>International Journal of Work Organisation and Emotion</w:t>
              </w:r>
              <w:r>
                <w:rPr>
                  <w:rFonts w:ascii="Times" w:eastAsiaTheme="minorEastAsia" w:hAnsi="Times" w:cs="Times"/>
                  <w:szCs w:val="24"/>
                  <w:lang w:val="en-GB" w:eastAsia="en-GB"/>
                </w:rPr>
                <w:t>, </w:t>
              </w:r>
              <w:r>
                <w:rPr>
                  <w:rFonts w:ascii="Times" w:eastAsiaTheme="minorEastAsia" w:hAnsi="Times" w:cs="Times"/>
                  <w:i/>
                  <w:iCs/>
                  <w:szCs w:val="24"/>
                  <w:lang w:val="en-GB" w:eastAsia="en-GB"/>
                </w:rPr>
                <w:t>9</w:t>
              </w:r>
              <w:r>
                <w:rPr>
                  <w:rFonts w:ascii="Times" w:eastAsiaTheme="minorEastAsia" w:hAnsi="Times" w:cs="Times"/>
                  <w:szCs w:val="24"/>
                  <w:lang w:val="en-GB" w:eastAsia="en-GB"/>
                </w:rPr>
                <w:t xml:space="preserve">(1), pp. 45-62.,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proofErr w:type="spellStart"/>
              <w:r>
                <w:rPr>
                  <w:rFonts w:ascii="Times" w:eastAsiaTheme="minorEastAsia" w:hAnsi="Times" w:cs="Times"/>
                  <w:szCs w:val="24"/>
                  <w:lang w:val="en-GB" w:eastAsia="en-GB"/>
                </w:rPr>
                <w:t>Kyu</w:t>
              </w:r>
              <w:proofErr w:type="spellEnd"/>
              <w:r>
                <w:rPr>
                  <w:rFonts w:ascii="Times" w:eastAsiaTheme="minorEastAsia" w:hAnsi="Times" w:cs="Times"/>
                  <w:szCs w:val="24"/>
                  <w:lang w:val="en-GB" w:eastAsia="en-GB"/>
                </w:rPr>
                <w:t xml:space="preserve"> Wang, T., Fu, K. J., and Yang, K., 2018. Do good workplace relationships encourage employee </w:t>
              </w:r>
              <w:proofErr w:type="gramStart"/>
              <w:r>
                <w:rPr>
                  <w:rFonts w:ascii="Times" w:eastAsiaTheme="minorEastAsia" w:hAnsi="Times" w:cs="Times"/>
                  <w:szCs w:val="24"/>
                  <w:lang w:val="en-GB" w:eastAsia="en-GB"/>
                </w:rPr>
                <w:t>whistle-blowing</w:t>
              </w:r>
              <w:proofErr w:type="gramEnd"/>
              <w:r>
                <w:rPr>
                  <w:rFonts w:ascii="Times" w:eastAsiaTheme="minorEastAsia" w:hAnsi="Times" w:cs="Times"/>
                  <w:szCs w:val="24"/>
                  <w:lang w:val="en-GB" w:eastAsia="en-GB"/>
                </w:rPr>
                <w:t xml:space="preserve">? </w:t>
              </w:r>
              <w:r>
                <w:rPr>
                  <w:rFonts w:ascii="Times" w:eastAsiaTheme="minorEastAsia" w:hAnsi="Times" w:cs="Times"/>
                  <w:i/>
                  <w:iCs/>
                  <w:szCs w:val="24"/>
                  <w:lang w:val="en-GB" w:eastAsia="en-GB"/>
                </w:rPr>
                <w:t>Public Performance and Management Review, 41</w:t>
              </w:r>
              <w:r>
                <w:rPr>
                  <w:rFonts w:ascii="Times" w:eastAsiaTheme="minorEastAsia" w:hAnsi="Times" w:cs="Times"/>
                  <w:szCs w:val="24"/>
                  <w:lang w:val="en-GB" w:eastAsia="en-GB"/>
                </w:rPr>
                <w:t xml:space="preserve">(4), pp. 768-769.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Liden, R.C., Anand, S., and </w:t>
              </w:r>
              <w:proofErr w:type="spellStart"/>
              <w:r>
                <w:rPr>
                  <w:rFonts w:ascii="Times" w:eastAsiaTheme="minorEastAsia" w:hAnsi="Times" w:cs="Times"/>
                  <w:szCs w:val="24"/>
                  <w:lang w:val="en-GB" w:eastAsia="en-GB"/>
                </w:rPr>
                <w:t>Vidyarthi</w:t>
              </w:r>
              <w:proofErr w:type="spellEnd"/>
              <w:r>
                <w:rPr>
                  <w:rFonts w:ascii="Times" w:eastAsiaTheme="minorEastAsia" w:hAnsi="Times" w:cs="Times"/>
                  <w:szCs w:val="24"/>
                  <w:lang w:val="en-GB" w:eastAsia="en-GB"/>
                </w:rPr>
                <w:t xml:space="preserve">, P., 2016. Dyadic relationships. </w:t>
              </w:r>
              <w:r>
                <w:rPr>
                  <w:rFonts w:ascii="Times" w:eastAsiaTheme="minorEastAsia" w:hAnsi="Times" w:cs="Times"/>
                  <w:i/>
                  <w:iCs/>
                  <w:szCs w:val="24"/>
                  <w:lang w:val="en-GB" w:eastAsia="en-GB"/>
                </w:rPr>
                <w:t xml:space="preserve">Annual Review of Organizational Psychology and Organisational </w:t>
              </w:r>
              <w:proofErr w:type="spellStart"/>
              <w:r>
                <w:rPr>
                  <w:rFonts w:ascii="Times" w:eastAsiaTheme="minorEastAsia" w:hAnsi="Times" w:cs="Times"/>
                  <w:i/>
                  <w:iCs/>
                  <w:szCs w:val="24"/>
                  <w:lang w:val="en-GB" w:eastAsia="en-GB"/>
                </w:rPr>
                <w:t>Behavior</w:t>
              </w:r>
              <w:proofErr w:type="spellEnd"/>
              <w:r>
                <w:rPr>
                  <w:rFonts w:ascii="Times" w:eastAsiaTheme="minorEastAsia" w:hAnsi="Times" w:cs="Times"/>
                  <w:i/>
                  <w:iCs/>
                  <w:szCs w:val="24"/>
                  <w:lang w:val="en-GB" w:eastAsia="en-GB"/>
                </w:rPr>
                <w:t xml:space="preserve">, </w:t>
              </w:r>
              <w:r>
                <w:rPr>
                  <w:rFonts w:ascii="Times" w:eastAsiaTheme="minorEastAsia" w:hAnsi="Times" w:cs="Times"/>
                  <w:szCs w:val="24"/>
                  <w:lang w:val="en-GB" w:eastAsia="en-GB"/>
                </w:rPr>
                <w:t xml:space="preserve">3, pp. 139-166.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Lopez-Kidwell, V., Niven, K., and </w:t>
              </w:r>
              <w:proofErr w:type="spellStart"/>
              <w:r>
                <w:rPr>
                  <w:rFonts w:ascii="Times" w:eastAsiaTheme="minorEastAsia" w:hAnsi="Times" w:cs="Times"/>
                  <w:szCs w:val="24"/>
                  <w:lang w:val="en-GB" w:eastAsia="en-GB"/>
                </w:rPr>
                <w:t>Labianca</w:t>
              </w:r>
              <w:proofErr w:type="spellEnd"/>
              <w:r>
                <w:rPr>
                  <w:rFonts w:ascii="Times" w:eastAsiaTheme="minorEastAsia" w:hAnsi="Times" w:cs="Times"/>
                  <w:szCs w:val="24"/>
                  <w:lang w:val="en-GB" w:eastAsia="en-GB"/>
                </w:rPr>
                <w:t xml:space="preserve">, G., 2018. Predicting workplace relational dynamics using a useful model of relationships. </w:t>
              </w:r>
              <w:r>
                <w:rPr>
                  <w:rFonts w:ascii="Times" w:eastAsiaTheme="minorEastAsia" w:hAnsi="Times" w:cs="Times"/>
                  <w:i/>
                  <w:iCs/>
                  <w:szCs w:val="24"/>
                  <w:lang w:val="en-GB" w:eastAsia="en-GB"/>
                </w:rPr>
                <w:t xml:space="preserve">Journal of Organisational </w:t>
              </w:r>
              <w:proofErr w:type="spellStart"/>
              <w:r>
                <w:rPr>
                  <w:rFonts w:ascii="Times" w:eastAsiaTheme="minorEastAsia" w:hAnsi="Times" w:cs="Times"/>
                  <w:i/>
                  <w:iCs/>
                  <w:szCs w:val="24"/>
                  <w:lang w:val="en-GB" w:eastAsia="en-GB"/>
                </w:rPr>
                <w:t>Behavior</w:t>
              </w:r>
              <w:proofErr w:type="spellEnd"/>
              <w:r>
                <w:rPr>
                  <w:rFonts w:ascii="Times" w:eastAsiaTheme="minorEastAsia" w:hAnsi="Times" w:cs="Times"/>
                  <w:i/>
                  <w:iCs/>
                  <w:szCs w:val="24"/>
                  <w:lang w:val="en-GB" w:eastAsia="en-GB"/>
                </w:rPr>
                <w:t xml:space="preserve">, </w:t>
              </w:r>
              <w:r>
                <w:rPr>
                  <w:rFonts w:ascii="Times" w:eastAsiaTheme="minorEastAsia" w:hAnsi="Times" w:cs="Times"/>
                  <w:szCs w:val="24"/>
                  <w:lang w:val="en-GB" w:eastAsia="en-GB"/>
                </w:rPr>
                <w:t xml:space="preserve">39(9), pp. 1129-1141.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Osborne, S., and Hammoud, M.S., 2017. Effective employee engagement in the workplace. </w:t>
              </w:r>
              <w:r>
                <w:rPr>
                  <w:rFonts w:ascii="Times" w:eastAsiaTheme="minorEastAsia" w:hAnsi="Times" w:cs="Times"/>
                  <w:i/>
                  <w:iCs/>
                  <w:szCs w:val="24"/>
                  <w:lang w:val="en-GB" w:eastAsia="en-GB"/>
                </w:rPr>
                <w:t>International Journal of Applied Management and Technology</w:t>
              </w:r>
              <w:r>
                <w:rPr>
                  <w:rFonts w:ascii="Times" w:eastAsiaTheme="minorEastAsia" w:hAnsi="Times" w:cs="Times"/>
                  <w:szCs w:val="24"/>
                  <w:lang w:val="en-GB" w:eastAsia="en-GB"/>
                </w:rPr>
                <w:t>, </w:t>
              </w:r>
              <w:r>
                <w:rPr>
                  <w:rFonts w:ascii="Times" w:eastAsiaTheme="minorEastAsia" w:hAnsi="Times" w:cs="Times"/>
                  <w:i/>
                  <w:iCs/>
                  <w:szCs w:val="24"/>
                  <w:lang w:val="en-GB" w:eastAsia="en-GB"/>
                </w:rPr>
                <w:t>16</w:t>
              </w:r>
              <w:r>
                <w:rPr>
                  <w:rFonts w:ascii="Times" w:eastAsiaTheme="minorEastAsia" w:hAnsi="Times" w:cs="Times"/>
                  <w:szCs w:val="24"/>
                  <w:lang w:val="en-GB" w:eastAsia="en-GB"/>
                </w:rPr>
                <w:t>(1), p. 4.</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proofErr w:type="spellStart"/>
              <w:r>
                <w:rPr>
                  <w:rFonts w:ascii="Times" w:eastAsiaTheme="minorEastAsia" w:hAnsi="Times" w:cs="Times"/>
                  <w:szCs w:val="24"/>
                  <w:lang w:val="en-GB" w:eastAsia="en-GB"/>
                </w:rPr>
                <w:t>Ozuem</w:t>
              </w:r>
              <w:proofErr w:type="spellEnd"/>
              <w:r>
                <w:rPr>
                  <w:rFonts w:ascii="Times" w:eastAsiaTheme="minorEastAsia" w:hAnsi="Times" w:cs="Times"/>
                  <w:szCs w:val="24"/>
                  <w:lang w:val="en-GB" w:eastAsia="en-GB"/>
                </w:rPr>
                <w:t xml:space="preserve">, W., Lancaster, G., and Sharma, H., 2016. In search of balance between talent management and employee engagement in human resource management. In </w:t>
              </w:r>
              <w:r>
                <w:rPr>
                  <w:rFonts w:ascii="Times" w:eastAsiaTheme="minorEastAsia" w:hAnsi="Times" w:cs="Times"/>
                  <w:i/>
                  <w:iCs/>
                  <w:szCs w:val="24"/>
                  <w:lang w:val="en-GB" w:eastAsia="en-GB"/>
                </w:rPr>
                <w:t xml:space="preserve">Strategic </w:t>
              </w:r>
              <w:proofErr w:type="spellStart"/>
              <w:r>
                <w:rPr>
                  <w:rFonts w:ascii="Times" w:eastAsiaTheme="minorEastAsia" w:hAnsi="Times" w:cs="Times"/>
                  <w:i/>
                  <w:iCs/>
                  <w:szCs w:val="24"/>
                  <w:lang w:val="en-GB" w:eastAsia="en-GB"/>
                </w:rPr>
                <w:t>Labor</w:t>
              </w:r>
              <w:proofErr w:type="spellEnd"/>
              <w:r>
                <w:rPr>
                  <w:rFonts w:ascii="Times" w:eastAsiaTheme="minorEastAsia" w:hAnsi="Times" w:cs="Times"/>
                  <w:i/>
                  <w:iCs/>
                  <w:szCs w:val="24"/>
                  <w:lang w:val="en-GB" w:eastAsia="en-GB"/>
                </w:rPr>
                <w:t xml:space="preserve"> Relations Management in Modern Organisations</w:t>
              </w:r>
              <w:r>
                <w:rPr>
                  <w:rFonts w:ascii="Times" w:eastAsiaTheme="minorEastAsia" w:hAnsi="Times" w:cs="Times"/>
                  <w:szCs w:val="24"/>
                  <w:lang w:val="en-GB" w:eastAsia="en-GB"/>
                </w:rPr>
                <w:t> (pp. 49-75). IGI Global.</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Ritter, B.A., Small, E.E., Mortimer, J.W. and Doll, J.L., 2018. Designing management curriculum for workplace readiness: Developing students’ soft skills. </w:t>
              </w:r>
              <w:r>
                <w:rPr>
                  <w:rFonts w:ascii="Times" w:eastAsiaTheme="minorEastAsia" w:hAnsi="Times" w:cs="Times"/>
                  <w:i/>
                  <w:iCs/>
                  <w:szCs w:val="24"/>
                  <w:lang w:val="en-GB" w:eastAsia="en-GB"/>
                </w:rPr>
                <w:t xml:space="preserve">Journal of Management Education, </w:t>
              </w:r>
              <w:r>
                <w:rPr>
                  <w:rFonts w:ascii="Times" w:eastAsiaTheme="minorEastAsia" w:hAnsi="Times" w:cs="Times"/>
                  <w:szCs w:val="24"/>
                  <w:lang w:val="en-GB" w:eastAsia="en-GB"/>
                </w:rPr>
                <w:t xml:space="preserve">42(1), pp. 80-103.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proofErr w:type="spellStart"/>
              <w:r>
                <w:rPr>
                  <w:rFonts w:ascii="Times" w:eastAsiaTheme="minorEastAsia" w:hAnsi="Times" w:cs="Times"/>
                  <w:szCs w:val="24"/>
                  <w:lang w:val="en-GB" w:eastAsia="en-GB"/>
                </w:rPr>
                <w:t>Rožman</w:t>
              </w:r>
              <w:proofErr w:type="spellEnd"/>
              <w:r>
                <w:rPr>
                  <w:rFonts w:ascii="Times" w:eastAsiaTheme="minorEastAsia" w:hAnsi="Times" w:cs="Times"/>
                  <w:szCs w:val="24"/>
                  <w:lang w:val="en-GB" w:eastAsia="en-GB"/>
                </w:rPr>
                <w:t xml:space="preserve">, M., </w:t>
              </w:r>
              <w:proofErr w:type="spellStart"/>
              <w:r>
                <w:rPr>
                  <w:rFonts w:ascii="Times" w:eastAsiaTheme="minorEastAsia" w:hAnsi="Times" w:cs="Times"/>
                  <w:szCs w:val="24"/>
                  <w:lang w:val="en-GB" w:eastAsia="en-GB"/>
                </w:rPr>
                <w:t>Treven</w:t>
              </w:r>
              <w:proofErr w:type="spellEnd"/>
              <w:r>
                <w:rPr>
                  <w:rFonts w:ascii="Times" w:eastAsiaTheme="minorEastAsia" w:hAnsi="Times" w:cs="Times"/>
                  <w:szCs w:val="24"/>
                  <w:lang w:val="en-GB" w:eastAsia="en-GB"/>
                </w:rPr>
                <w:t xml:space="preserve">, S, and </w:t>
              </w:r>
              <w:proofErr w:type="spellStart"/>
              <w:r>
                <w:rPr>
                  <w:rFonts w:ascii="Times" w:eastAsiaTheme="minorEastAsia" w:hAnsi="Times" w:cs="Times"/>
                  <w:szCs w:val="24"/>
                  <w:lang w:val="en-GB" w:eastAsia="en-GB"/>
                </w:rPr>
                <w:t>Čančer</w:t>
              </w:r>
              <w:proofErr w:type="spellEnd"/>
              <w:r>
                <w:rPr>
                  <w:rFonts w:ascii="Times" w:eastAsiaTheme="minorEastAsia" w:hAnsi="Times" w:cs="Times"/>
                  <w:szCs w:val="24"/>
                  <w:lang w:val="en-GB" w:eastAsia="en-GB"/>
                </w:rPr>
                <w:t xml:space="preserve">, V., 2017. Motivation and satisfaction of employees in the workplace. </w:t>
              </w:r>
              <w:r>
                <w:rPr>
                  <w:rFonts w:ascii="Times" w:eastAsiaTheme="minorEastAsia" w:hAnsi="Times" w:cs="Times"/>
                  <w:i/>
                  <w:iCs/>
                  <w:szCs w:val="24"/>
                  <w:lang w:val="en-GB" w:eastAsia="en-GB"/>
                </w:rPr>
                <w:t xml:space="preserve">Business Systems Research Journal, </w:t>
              </w:r>
              <w:r>
                <w:rPr>
                  <w:rFonts w:ascii="Times" w:eastAsiaTheme="minorEastAsia" w:hAnsi="Times" w:cs="Times"/>
                  <w:szCs w:val="24"/>
                  <w:lang w:val="en-GB" w:eastAsia="en-GB"/>
                </w:rPr>
                <w:t xml:space="preserve">8(2), pp. 14-25. </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Ruck, K., Welch, M. and Menara, B., 2017. Employee voice: an antecedent to organisational </w:t>
              </w:r>
              <w:proofErr w:type="gramStart"/>
              <w:r>
                <w:rPr>
                  <w:rFonts w:ascii="Times" w:eastAsiaTheme="minorEastAsia" w:hAnsi="Times" w:cs="Times"/>
                  <w:szCs w:val="24"/>
                  <w:lang w:val="en-GB" w:eastAsia="en-GB"/>
                </w:rPr>
                <w:t>engagement?.</w:t>
              </w:r>
              <w:proofErr w:type="gramEnd"/>
              <w:r>
                <w:rPr>
                  <w:rFonts w:ascii="Times" w:eastAsiaTheme="minorEastAsia" w:hAnsi="Times" w:cs="Times"/>
                  <w:szCs w:val="24"/>
                  <w:lang w:val="en-GB" w:eastAsia="en-GB"/>
                </w:rPr>
                <w:t> </w:t>
              </w:r>
              <w:r>
                <w:rPr>
                  <w:rFonts w:ascii="Times" w:eastAsiaTheme="minorEastAsia" w:hAnsi="Times" w:cs="Times"/>
                  <w:i/>
                  <w:iCs/>
                  <w:szCs w:val="24"/>
                  <w:lang w:val="en-GB" w:eastAsia="en-GB"/>
                </w:rPr>
                <w:t>Public Relations Review</w:t>
              </w:r>
              <w:r>
                <w:rPr>
                  <w:rFonts w:ascii="Times" w:eastAsiaTheme="minorEastAsia" w:hAnsi="Times" w:cs="Times"/>
                  <w:szCs w:val="24"/>
                  <w:lang w:val="en-GB" w:eastAsia="en-GB"/>
                </w:rPr>
                <w:t>, </w:t>
              </w:r>
              <w:r>
                <w:rPr>
                  <w:rFonts w:ascii="Times" w:eastAsiaTheme="minorEastAsia" w:hAnsi="Times" w:cs="Times"/>
                  <w:i/>
                  <w:iCs/>
                  <w:szCs w:val="24"/>
                  <w:lang w:val="en-GB" w:eastAsia="en-GB"/>
                </w:rPr>
                <w:t>43</w:t>
              </w:r>
              <w:r>
                <w:rPr>
                  <w:rFonts w:ascii="Times" w:eastAsiaTheme="minorEastAsia" w:hAnsi="Times" w:cs="Times"/>
                  <w:szCs w:val="24"/>
                  <w:lang w:val="en-GB" w:eastAsia="en-GB"/>
                </w:rPr>
                <w:t>(5), pp. 904-914.</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Segura-Camacho, A., García-Orozco, J.J. and </w:t>
              </w:r>
              <w:proofErr w:type="spellStart"/>
              <w:r>
                <w:rPr>
                  <w:rFonts w:ascii="Times" w:eastAsiaTheme="minorEastAsia" w:hAnsi="Times" w:cs="Times"/>
                  <w:szCs w:val="24"/>
                  <w:lang w:val="en-GB" w:eastAsia="en-GB"/>
                </w:rPr>
                <w:t>Topa</w:t>
              </w:r>
              <w:proofErr w:type="spellEnd"/>
              <w:r>
                <w:rPr>
                  <w:rFonts w:ascii="Times" w:eastAsiaTheme="minorEastAsia" w:hAnsi="Times" w:cs="Times"/>
                  <w:szCs w:val="24"/>
                  <w:lang w:val="en-GB" w:eastAsia="en-GB"/>
                </w:rPr>
                <w:t xml:space="preserve">, G., 2018. Sustainable and healthy organisations promote employee well-being: the moderating role of selection, optimisation, and compensation </w:t>
              </w:r>
              <w:r>
                <w:rPr>
                  <w:rFonts w:ascii="Times" w:eastAsiaTheme="minorEastAsia" w:hAnsi="Times" w:cs="Times"/>
                  <w:szCs w:val="24"/>
                  <w:lang w:val="en-GB" w:eastAsia="en-GB"/>
                </w:rPr>
                <w:lastRenderedPageBreak/>
                <w:t>strategies. </w:t>
              </w:r>
              <w:r>
                <w:rPr>
                  <w:rFonts w:ascii="Times" w:eastAsiaTheme="minorEastAsia" w:hAnsi="Times" w:cs="Times"/>
                  <w:i/>
                  <w:iCs/>
                  <w:szCs w:val="24"/>
                  <w:lang w:val="en-GB" w:eastAsia="en-GB"/>
                </w:rPr>
                <w:t>Sustainability</w:t>
              </w:r>
              <w:r>
                <w:rPr>
                  <w:rFonts w:ascii="Times" w:eastAsiaTheme="minorEastAsia" w:hAnsi="Times" w:cs="Times"/>
                  <w:szCs w:val="24"/>
                  <w:lang w:val="en-GB" w:eastAsia="en-GB"/>
                </w:rPr>
                <w:t>, </w:t>
              </w:r>
              <w:r>
                <w:rPr>
                  <w:rFonts w:ascii="Times" w:eastAsiaTheme="minorEastAsia" w:hAnsi="Times" w:cs="Times"/>
                  <w:i/>
                  <w:iCs/>
                  <w:szCs w:val="24"/>
                  <w:lang w:val="en-GB" w:eastAsia="en-GB"/>
                </w:rPr>
                <w:t>10</w:t>
              </w:r>
              <w:r>
                <w:rPr>
                  <w:rFonts w:ascii="Times" w:eastAsiaTheme="minorEastAsia" w:hAnsi="Times" w:cs="Times"/>
                  <w:szCs w:val="24"/>
                  <w:lang w:val="en-GB" w:eastAsia="en-GB"/>
                </w:rPr>
                <w:t>(10), p.3411.</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Singh, S.K., Burgess, T.F., Heap, J. and Al </w:t>
              </w:r>
              <w:proofErr w:type="spellStart"/>
              <w:r>
                <w:rPr>
                  <w:rFonts w:ascii="Times" w:eastAsiaTheme="minorEastAsia" w:hAnsi="Times" w:cs="Times"/>
                  <w:szCs w:val="24"/>
                  <w:lang w:val="en-GB" w:eastAsia="en-GB"/>
                </w:rPr>
                <w:t>Mehrzi</w:t>
              </w:r>
              <w:proofErr w:type="spellEnd"/>
              <w:r>
                <w:rPr>
                  <w:rFonts w:ascii="Times" w:eastAsiaTheme="minorEastAsia" w:hAnsi="Times" w:cs="Times"/>
                  <w:szCs w:val="24"/>
                  <w:lang w:val="en-GB" w:eastAsia="en-GB"/>
                </w:rPr>
                <w:t>, N., 2016. Competing through employee engagement: a proposed framework. </w:t>
              </w:r>
              <w:r>
                <w:rPr>
                  <w:rFonts w:ascii="Times" w:eastAsiaTheme="minorEastAsia" w:hAnsi="Times" w:cs="Times"/>
                  <w:i/>
                  <w:iCs/>
                  <w:szCs w:val="24"/>
                  <w:lang w:val="en-GB" w:eastAsia="en-GB"/>
                </w:rPr>
                <w:t>International Journal of Productivity and Performance Management</w:t>
              </w:r>
              <w:r>
                <w:rPr>
                  <w:rFonts w:ascii="Times" w:eastAsiaTheme="minorEastAsia" w:hAnsi="Times" w:cs="Times"/>
                  <w:szCs w:val="24"/>
                  <w:lang w:val="en-GB" w:eastAsia="en-GB"/>
                </w:rPr>
                <w:t>.</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r>
                <w:rPr>
                  <w:rFonts w:ascii="Times" w:eastAsiaTheme="minorEastAsia" w:hAnsi="Times" w:cs="Times"/>
                  <w:szCs w:val="24"/>
                  <w:lang w:val="en-GB" w:eastAsia="en-GB"/>
                </w:rPr>
                <w:t xml:space="preserve">Stone, R.P., </w:t>
              </w:r>
              <w:proofErr w:type="spellStart"/>
              <w:r>
                <w:rPr>
                  <w:rFonts w:ascii="Times" w:eastAsiaTheme="minorEastAsia" w:hAnsi="Times" w:cs="Times"/>
                  <w:szCs w:val="24"/>
                  <w:lang w:val="en-GB" w:eastAsia="en-GB"/>
                </w:rPr>
                <w:t>Leuty</w:t>
              </w:r>
              <w:proofErr w:type="spellEnd"/>
              <w:r>
                <w:rPr>
                  <w:rFonts w:ascii="Times" w:eastAsiaTheme="minorEastAsia" w:hAnsi="Times" w:cs="Times"/>
                  <w:szCs w:val="24"/>
                  <w:lang w:val="en-GB" w:eastAsia="en-GB"/>
                </w:rPr>
                <w:t xml:space="preserve">, M.E., Rayburn, R. and Wu, B.H. 2019. Person-environment fit at work: Relationships with workplace behaviours. </w:t>
              </w:r>
              <w:r>
                <w:rPr>
                  <w:rFonts w:ascii="Times" w:eastAsiaTheme="minorEastAsia" w:hAnsi="Times" w:cs="Times"/>
                  <w:i/>
                  <w:iCs/>
                  <w:szCs w:val="24"/>
                  <w:lang w:val="en-GB" w:eastAsia="en-GB"/>
                </w:rPr>
                <w:t>Australian Journal of Career Development. 28</w:t>
              </w:r>
              <w:r>
                <w:rPr>
                  <w:rFonts w:ascii="Times" w:eastAsiaTheme="minorEastAsia" w:hAnsi="Times" w:cs="Times"/>
                  <w:szCs w:val="24"/>
                  <w:lang w:val="en-GB" w:eastAsia="en-GB"/>
                </w:rPr>
                <w:t>(3), pp. 234-44.</w:t>
              </w:r>
            </w:p>
            <w:p w:rsidR="004F69F9" w:rsidRDefault="004F69F9" w:rsidP="004F69F9">
              <w:pPr>
                <w:widowControl w:val="0"/>
                <w:autoSpaceDE w:val="0"/>
                <w:autoSpaceDN w:val="0"/>
                <w:adjustRightInd w:val="0"/>
                <w:spacing w:before="100" w:after="100"/>
                <w:ind w:left="720" w:right="-720" w:hanging="720"/>
                <w:rPr>
                  <w:rFonts w:ascii="Times" w:eastAsiaTheme="minorEastAsia" w:hAnsi="Times" w:cs="Times"/>
                  <w:szCs w:val="24"/>
                  <w:lang w:val="en-GB" w:eastAsia="en-GB"/>
                </w:rPr>
              </w:pPr>
              <w:proofErr w:type="spellStart"/>
              <w:r>
                <w:rPr>
                  <w:rFonts w:ascii="Times" w:eastAsiaTheme="minorEastAsia" w:hAnsi="Times" w:cs="Times"/>
                  <w:szCs w:val="24"/>
                  <w:lang w:val="en-GB" w:eastAsia="en-GB"/>
                </w:rPr>
                <w:t>Tararukhina</w:t>
              </w:r>
              <w:proofErr w:type="spellEnd"/>
              <w:r>
                <w:rPr>
                  <w:rFonts w:ascii="Times" w:eastAsiaTheme="minorEastAsia" w:hAnsi="Times" w:cs="Times"/>
                  <w:szCs w:val="24"/>
                  <w:lang w:val="en-GB" w:eastAsia="en-GB"/>
                </w:rPr>
                <w:t xml:space="preserve">, O, and </w:t>
              </w:r>
              <w:proofErr w:type="spellStart"/>
              <w:r>
                <w:rPr>
                  <w:rFonts w:ascii="Times" w:eastAsiaTheme="minorEastAsia" w:hAnsi="Times" w:cs="Times"/>
                  <w:szCs w:val="24"/>
                  <w:lang w:val="en-GB" w:eastAsia="en-GB"/>
                </w:rPr>
                <w:t>Gurieva</w:t>
              </w:r>
              <w:proofErr w:type="spellEnd"/>
              <w:r>
                <w:rPr>
                  <w:rFonts w:ascii="Times" w:eastAsiaTheme="minorEastAsia" w:hAnsi="Times" w:cs="Times"/>
                  <w:szCs w:val="24"/>
                  <w:lang w:val="en-GB" w:eastAsia="en-GB"/>
                </w:rPr>
                <w:t xml:space="preserve"> S., 2018. Identifying the factors of satisfaction with workplace relationships. </w:t>
              </w:r>
              <w:r>
                <w:rPr>
                  <w:rFonts w:ascii="Times" w:eastAsiaTheme="minorEastAsia" w:hAnsi="Times" w:cs="Times"/>
                  <w:i/>
                  <w:iCs/>
                  <w:szCs w:val="24"/>
                  <w:lang w:val="en-GB" w:eastAsia="en-GB"/>
                </w:rPr>
                <w:t xml:space="preserve">Education, 1000, </w:t>
              </w:r>
              <w:r>
                <w:rPr>
                  <w:rFonts w:ascii="Times" w:eastAsiaTheme="minorEastAsia" w:hAnsi="Times" w:cs="Times"/>
                  <w:szCs w:val="24"/>
                  <w:lang w:val="en-GB" w:eastAsia="en-GB"/>
                </w:rPr>
                <w:t>pp. 36-37.</w:t>
              </w:r>
            </w:p>
            <w:p w:rsidR="004F69F9" w:rsidRDefault="004F69F9" w:rsidP="004F69F9">
              <w:pPr>
                <w:widowControl w:val="0"/>
                <w:autoSpaceDE w:val="0"/>
                <w:autoSpaceDN w:val="0"/>
                <w:adjustRightInd w:val="0"/>
                <w:spacing w:before="100" w:after="100"/>
                <w:ind w:left="720" w:right="-720" w:hanging="720"/>
                <w:rPr>
                  <w:rFonts w:ascii="Times" w:hAnsi="Times" w:cs="Times"/>
                </w:rPr>
              </w:pPr>
              <w:r>
                <w:rPr>
                  <w:rFonts w:ascii="Times" w:eastAsiaTheme="minorEastAsia" w:hAnsi="Times" w:cs="Times"/>
                  <w:szCs w:val="24"/>
                  <w:lang w:val="en-GB" w:eastAsia="en-GB"/>
                </w:rPr>
                <w:t>Vithayaporn, S. and Ashton, A.S., 2019. Employee engagement and innovative work behaviour: a case study of Thai Airways International. </w:t>
              </w:r>
              <w:r>
                <w:rPr>
                  <w:rFonts w:ascii="Times" w:eastAsiaTheme="minorEastAsia" w:hAnsi="Times" w:cs="Times"/>
                  <w:i/>
                  <w:iCs/>
                  <w:szCs w:val="24"/>
                  <w:lang w:val="en-GB" w:eastAsia="en-GB"/>
                </w:rPr>
                <w:t>ABAC ODI Journal Vision. Action. Outcome.</w:t>
              </w:r>
              <w:r>
                <w:rPr>
                  <w:rFonts w:ascii="Times" w:eastAsiaTheme="minorEastAsia" w:hAnsi="Times" w:cs="Times"/>
                  <w:szCs w:val="24"/>
                  <w:lang w:val="en-GB" w:eastAsia="en-GB"/>
                </w:rPr>
                <w:t>, </w:t>
              </w:r>
              <w:r>
                <w:rPr>
                  <w:rFonts w:ascii="Times" w:eastAsiaTheme="minorEastAsia" w:hAnsi="Times" w:cs="Times"/>
                  <w:i/>
                  <w:iCs/>
                  <w:szCs w:val="24"/>
                  <w:lang w:val="en-GB" w:eastAsia="en-GB"/>
                </w:rPr>
                <w:t>6</w:t>
              </w:r>
              <w:r>
                <w:rPr>
                  <w:rFonts w:ascii="Times" w:eastAsiaTheme="minorEastAsia" w:hAnsi="Times" w:cs="Times"/>
                  <w:szCs w:val="24"/>
                  <w:lang w:val="en-GB" w:eastAsia="en-GB"/>
                </w:rPr>
                <w:t>(2), pp. 45-62.</w:t>
              </w:r>
            </w:p>
            <w:p w:rsidR="008B46CF" w:rsidRPr="00DF50CD" w:rsidRDefault="00356424" w:rsidP="00DF50CD">
              <w:pPr>
                <w:rPr>
                  <w:rFonts w:cs="Times New Roman"/>
                </w:rPr>
              </w:pPr>
            </w:p>
          </w:sdtContent>
        </w:sdt>
      </w:sdtContent>
    </w:sdt>
    <w:sectPr w:rsidR="008B46CF" w:rsidRPr="00DF50CD"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424" w:rsidRDefault="00356424" w:rsidP="00844365">
      <w:pPr>
        <w:spacing w:line="240" w:lineRule="auto"/>
      </w:pPr>
      <w:r>
        <w:separator/>
      </w:r>
    </w:p>
  </w:endnote>
  <w:endnote w:type="continuationSeparator" w:id="0">
    <w:p w:rsidR="00356424" w:rsidRDefault="00356424" w:rsidP="00844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424" w:rsidRDefault="00356424" w:rsidP="00844365">
      <w:pPr>
        <w:spacing w:line="240" w:lineRule="auto"/>
      </w:pPr>
      <w:r>
        <w:separator/>
      </w:r>
    </w:p>
  </w:footnote>
  <w:footnote w:type="continuationSeparator" w:id="0">
    <w:p w:rsidR="00356424" w:rsidRDefault="00356424" w:rsidP="008443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7242"/>
      <w:docPartObj>
        <w:docPartGallery w:val="Page Numbers (Top of Page)"/>
        <w:docPartUnique/>
      </w:docPartObj>
    </w:sdtPr>
    <w:sdtEndPr>
      <w:rPr>
        <w:rFonts w:cs="Times New Roman"/>
        <w:szCs w:val="24"/>
      </w:rPr>
    </w:sdtEndPr>
    <w:sdtContent>
      <w:p w:rsidR="00263177" w:rsidRDefault="00263177">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rsidTr="00A61DAA">
          <w:tc>
            <w:tcPr>
              <w:tcW w:w="8028" w:type="dxa"/>
            </w:tcPr>
            <w:p w:rsidR="00A61DAA" w:rsidRDefault="00A61DAA" w:rsidP="00E57329">
              <w:pPr>
                <w:pStyle w:val="Header"/>
              </w:pPr>
            </w:p>
          </w:tc>
          <w:tc>
            <w:tcPr>
              <w:tcW w:w="1548" w:type="dxa"/>
            </w:tcPr>
            <w:p w:rsidR="00A61DAA" w:rsidRDefault="00965FC5">
              <w:pPr>
                <w:pStyle w:val="Header"/>
                <w:jc w:val="right"/>
              </w:pPr>
              <w:r w:rsidRPr="00604BEB">
                <w:rPr>
                  <w:rFonts w:cs="Times New Roman"/>
                  <w:szCs w:val="24"/>
                </w:rPr>
                <w:fldChar w:fldCharType="begin"/>
              </w:r>
              <w:r w:rsidR="00A61DAA"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1</w:t>
              </w:r>
              <w:r w:rsidRPr="00604BEB">
                <w:rPr>
                  <w:rFonts w:cs="Times New Roman"/>
                  <w:szCs w:val="24"/>
                </w:rPr>
                <w:fldChar w:fldCharType="end"/>
              </w:r>
            </w:p>
          </w:tc>
        </w:tr>
      </w:tbl>
      <w:p w:rsidR="00604BEB" w:rsidRPr="00604BEB" w:rsidRDefault="00604BEB">
        <w:pPr>
          <w:pStyle w:val="Header"/>
          <w:jc w:val="right"/>
          <w:rPr>
            <w:rFonts w:cs="Times New Roman"/>
            <w:szCs w:val="24"/>
          </w:rPr>
        </w:pPr>
        <w:r>
          <w:rPr>
            <w:rFonts w:cs="Times New Roman"/>
            <w:szCs w:val="24"/>
          </w:rPr>
          <w:t xml:space="preserve">         </w:t>
        </w:r>
        <w:r w:rsidRPr="00604BEB">
          <w:rPr>
            <w:rFonts w:cs="Times New Roman"/>
            <w:szCs w:val="24"/>
          </w:rPr>
          <w:t xml:space="preserve">                                                          </w:t>
        </w:r>
        <w:r w:rsidR="000E372C">
          <w:rPr>
            <w:rFonts w:cs="Times New Roman"/>
            <w:szCs w:val="24"/>
          </w:rPr>
          <w:t xml:space="preserve">                                                 </w:t>
        </w:r>
      </w:p>
    </w:sdtContent>
  </w:sdt>
  <w:p w:rsidR="00EB51F7" w:rsidRDefault="00EB5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4736293"/>
      <w:docPartObj>
        <w:docPartGallery w:val="Page Numbers (Top of Page)"/>
        <w:docPartUnique/>
      </w:docPartObj>
    </w:sdtPr>
    <w:sdtEndPr>
      <w:rPr>
        <w:rFonts w:cs="Times New Roman"/>
        <w:szCs w:val="24"/>
      </w:rPr>
    </w:sdtEndPr>
    <w:sdtContent>
      <w:p w:rsidR="00E57329" w:rsidRDefault="00E57329"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rsidTr="003A4609">
          <w:tc>
            <w:tcPr>
              <w:tcW w:w="8028" w:type="dxa"/>
            </w:tcPr>
            <w:p w:rsidR="00E57329" w:rsidRDefault="00E57329" w:rsidP="00E57329">
              <w:pPr>
                <w:pStyle w:val="Header"/>
              </w:pPr>
            </w:p>
          </w:tc>
          <w:tc>
            <w:tcPr>
              <w:tcW w:w="1548" w:type="dxa"/>
            </w:tcPr>
            <w:p w:rsidR="00E57329" w:rsidRDefault="00E57329"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2</w:t>
              </w:r>
              <w:r w:rsidRPr="00604BEB">
                <w:rPr>
                  <w:rFonts w:cs="Times New Roman"/>
                  <w:szCs w:val="24"/>
                </w:rPr>
                <w:fldChar w:fldCharType="end"/>
              </w:r>
            </w:p>
          </w:tc>
        </w:tr>
      </w:tbl>
      <w:p w:rsidR="003F1E66" w:rsidRPr="00E57329" w:rsidRDefault="00E57329"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094F"/>
    <w:multiLevelType w:val="hybridMultilevel"/>
    <w:tmpl w:val="B5CA9A24"/>
    <w:lvl w:ilvl="0" w:tplc="7A046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F6F2E"/>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5241513D"/>
    <w:multiLevelType w:val="hybridMultilevel"/>
    <w:tmpl w:val="D2024676"/>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65"/>
    <w:rsid w:val="000152B7"/>
    <w:rsid w:val="0002233C"/>
    <w:rsid w:val="00057F24"/>
    <w:rsid w:val="0007047B"/>
    <w:rsid w:val="000D45EB"/>
    <w:rsid w:val="000E372C"/>
    <w:rsid w:val="00117596"/>
    <w:rsid w:val="001263F9"/>
    <w:rsid w:val="00143F9E"/>
    <w:rsid w:val="00153F3B"/>
    <w:rsid w:val="00172598"/>
    <w:rsid w:val="00177925"/>
    <w:rsid w:val="001C646C"/>
    <w:rsid w:val="001C6488"/>
    <w:rsid w:val="001F1800"/>
    <w:rsid w:val="00237BB0"/>
    <w:rsid w:val="002459F7"/>
    <w:rsid w:val="00263177"/>
    <w:rsid w:val="00267DE7"/>
    <w:rsid w:val="002709BA"/>
    <w:rsid w:val="003074EE"/>
    <w:rsid w:val="00351FD4"/>
    <w:rsid w:val="00356424"/>
    <w:rsid w:val="00373962"/>
    <w:rsid w:val="00392D01"/>
    <w:rsid w:val="003A57C8"/>
    <w:rsid w:val="003B0059"/>
    <w:rsid w:val="003B35B7"/>
    <w:rsid w:val="003D1928"/>
    <w:rsid w:val="003E4666"/>
    <w:rsid w:val="003E7815"/>
    <w:rsid w:val="003F1E66"/>
    <w:rsid w:val="003F6AE4"/>
    <w:rsid w:val="004359B9"/>
    <w:rsid w:val="004B2DE4"/>
    <w:rsid w:val="004F69F9"/>
    <w:rsid w:val="00506BDC"/>
    <w:rsid w:val="005373B8"/>
    <w:rsid w:val="0058188A"/>
    <w:rsid w:val="005868BF"/>
    <w:rsid w:val="00592B91"/>
    <w:rsid w:val="00592E7F"/>
    <w:rsid w:val="005A16AA"/>
    <w:rsid w:val="005B243F"/>
    <w:rsid w:val="005D1D70"/>
    <w:rsid w:val="00604BEB"/>
    <w:rsid w:val="00611CFB"/>
    <w:rsid w:val="006A6925"/>
    <w:rsid w:val="006C2553"/>
    <w:rsid w:val="006D2673"/>
    <w:rsid w:val="007052EC"/>
    <w:rsid w:val="00705A83"/>
    <w:rsid w:val="00743E7A"/>
    <w:rsid w:val="00753F7A"/>
    <w:rsid w:val="00760A3C"/>
    <w:rsid w:val="00764748"/>
    <w:rsid w:val="00777C98"/>
    <w:rsid w:val="007A4281"/>
    <w:rsid w:val="00842D4E"/>
    <w:rsid w:val="00843247"/>
    <w:rsid w:val="00844365"/>
    <w:rsid w:val="008A10E9"/>
    <w:rsid w:val="008B46CF"/>
    <w:rsid w:val="008B75D6"/>
    <w:rsid w:val="008C08D1"/>
    <w:rsid w:val="008C23D1"/>
    <w:rsid w:val="008E7305"/>
    <w:rsid w:val="008F0AF7"/>
    <w:rsid w:val="008F5E83"/>
    <w:rsid w:val="009106FE"/>
    <w:rsid w:val="0092245C"/>
    <w:rsid w:val="00933D29"/>
    <w:rsid w:val="00937581"/>
    <w:rsid w:val="00965FC5"/>
    <w:rsid w:val="00972208"/>
    <w:rsid w:val="009952FD"/>
    <w:rsid w:val="009C006A"/>
    <w:rsid w:val="009C2B64"/>
    <w:rsid w:val="009F690E"/>
    <w:rsid w:val="00A07BAE"/>
    <w:rsid w:val="00A37644"/>
    <w:rsid w:val="00A55B26"/>
    <w:rsid w:val="00A61DAA"/>
    <w:rsid w:val="00A8063C"/>
    <w:rsid w:val="00A924BB"/>
    <w:rsid w:val="00AB6DD8"/>
    <w:rsid w:val="00AF4218"/>
    <w:rsid w:val="00B20E16"/>
    <w:rsid w:val="00B41BA7"/>
    <w:rsid w:val="00B45AC1"/>
    <w:rsid w:val="00B53A87"/>
    <w:rsid w:val="00B72433"/>
    <w:rsid w:val="00B90C12"/>
    <w:rsid w:val="00BC5B02"/>
    <w:rsid w:val="00BE186F"/>
    <w:rsid w:val="00BF1A37"/>
    <w:rsid w:val="00BF3014"/>
    <w:rsid w:val="00C36904"/>
    <w:rsid w:val="00C54ED4"/>
    <w:rsid w:val="00C5537A"/>
    <w:rsid w:val="00C57F83"/>
    <w:rsid w:val="00C65F57"/>
    <w:rsid w:val="00C74E87"/>
    <w:rsid w:val="00C90F4B"/>
    <w:rsid w:val="00C95D15"/>
    <w:rsid w:val="00CA5DBE"/>
    <w:rsid w:val="00D00FEC"/>
    <w:rsid w:val="00D03FAB"/>
    <w:rsid w:val="00D153FE"/>
    <w:rsid w:val="00D523A0"/>
    <w:rsid w:val="00DC726F"/>
    <w:rsid w:val="00DD4E21"/>
    <w:rsid w:val="00DE2CD1"/>
    <w:rsid w:val="00DF50CD"/>
    <w:rsid w:val="00E52044"/>
    <w:rsid w:val="00E530AE"/>
    <w:rsid w:val="00E57329"/>
    <w:rsid w:val="00E61BF5"/>
    <w:rsid w:val="00E6691F"/>
    <w:rsid w:val="00E7451D"/>
    <w:rsid w:val="00EA5732"/>
    <w:rsid w:val="00EB51F7"/>
    <w:rsid w:val="00EE7CF1"/>
    <w:rsid w:val="00F22B58"/>
    <w:rsid w:val="00F24542"/>
    <w:rsid w:val="00F26702"/>
    <w:rsid w:val="00F30FB8"/>
    <w:rsid w:val="00F343DF"/>
    <w:rsid w:val="00F4304F"/>
    <w:rsid w:val="00F47265"/>
    <w:rsid w:val="00FA7E49"/>
    <w:rsid w:val="00FB278F"/>
    <w:rsid w:val="00FD3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E5832"/>
  <w15:docId w15:val="{AA6A50EF-446D-1849-84EF-2764D1EC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9F9"/>
    <w:pPr>
      <w:spacing w:after="0" w:line="480" w:lineRule="auto"/>
      <w:ind w:firstLine="539"/>
    </w:pPr>
    <w:rPr>
      <w:rFonts w:ascii="Times New Roman" w:hAnsi="Times New Roman"/>
      <w:sz w:val="24"/>
    </w:rPr>
  </w:style>
  <w:style w:type="paragraph" w:styleId="Heading1">
    <w:name w:val="heading 1"/>
    <w:basedOn w:val="Normal"/>
    <w:next w:val="BodyTextFirstIndent"/>
    <w:link w:val="Heading1Char"/>
    <w:uiPriority w:val="9"/>
    <w:qFormat/>
    <w:rsid w:val="00B20E16"/>
    <w:pPr>
      <w:keepNext/>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B20E16"/>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506BDC"/>
    <w:pPr>
      <w:keepNext/>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506BDC"/>
    <w:pPr>
      <w:keepNext/>
      <w:keepLines/>
      <w:ind w:left="72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506BDC"/>
    <w:pPr>
      <w:keepNext/>
      <w:keepLines/>
      <w:ind w:left="720" w:firstLine="720"/>
      <w:outlineLvl w:val="4"/>
    </w:pPr>
    <w:rPr>
      <w:rFonts w:eastAsiaTheme="majorEastAsia" w:cstheme="majorBidi"/>
      <w:i/>
    </w:rPr>
  </w:style>
  <w:style w:type="paragraph" w:styleId="Heading6">
    <w:name w:val="heading 6"/>
    <w:basedOn w:val="Heading5"/>
    <w:next w:val="Normal"/>
    <w:link w:val="Heading6Char"/>
    <w:uiPriority w:val="9"/>
    <w:unhideWhenUsed/>
    <w:qFormat/>
    <w:rsid w:val="00C54ED4"/>
    <w:pPr>
      <w:outlineLvl w:val="5"/>
    </w:pPr>
  </w:style>
  <w:style w:type="paragraph" w:styleId="Heading7">
    <w:name w:val="heading 7"/>
    <w:basedOn w:val="Heading6"/>
    <w:next w:val="Normal"/>
    <w:link w:val="Heading7Char"/>
    <w:uiPriority w:val="9"/>
    <w:unhideWhenUsed/>
    <w:qFormat/>
    <w:rsid w:val="00C54ED4"/>
    <w:pPr>
      <w:outlineLvl w:val="6"/>
    </w:pPr>
  </w:style>
  <w:style w:type="paragraph" w:styleId="Heading8">
    <w:name w:val="heading 8"/>
    <w:basedOn w:val="Heading7"/>
    <w:next w:val="Normal"/>
    <w:link w:val="Heading8Char"/>
    <w:uiPriority w:val="9"/>
    <w:unhideWhenUsed/>
    <w:qFormat/>
    <w:rsid w:val="00C54ED4"/>
    <w:pPr>
      <w:outlineLvl w:val="7"/>
    </w:pPr>
  </w:style>
  <w:style w:type="paragraph" w:styleId="Heading9">
    <w:name w:val="heading 9"/>
    <w:basedOn w:val="Heading8"/>
    <w:next w:val="Normal"/>
    <w:link w:val="Heading9Char"/>
    <w:uiPriority w:val="9"/>
    <w:unhideWhenUsed/>
    <w:qFormat/>
    <w:rsid w:val="00C54E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365"/>
    <w:pPr>
      <w:tabs>
        <w:tab w:val="center" w:pos="4680"/>
        <w:tab w:val="right" w:pos="9360"/>
      </w:tabs>
      <w:spacing w:line="240" w:lineRule="auto"/>
    </w:pPr>
  </w:style>
  <w:style w:type="character" w:customStyle="1" w:styleId="HeaderChar">
    <w:name w:val="Header Char"/>
    <w:basedOn w:val="DefaultParagraphFont"/>
    <w:link w:val="Header"/>
    <w:uiPriority w:val="99"/>
    <w:rsid w:val="00844365"/>
  </w:style>
  <w:style w:type="paragraph" w:styleId="Footer">
    <w:name w:val="footer"/>
    <w:basedOn w:val="Normal"/>
    <w:link w:val="FooterChar"/>
    <w:uiPriority w:val="99"/>
    <w:unhideWhenUsed/>
    <w:rsid w:val="00844365"/>
    <w:pPr>
      <w:tabs>
        <w:tab w:val="center" w:pos="4680"/>
        <w:tab w:val="right" w:pos="9360"/>
      </w:tabs>
      <w:spacing w:line="240" w:lineRule="auto"/>
    </w:pPr>
  </w:style>
  <w:style w:type="character" w:customStyle="1" w:styleId="FooterChar">
    <w:name w:val="Footer Char"/>
    <w:basedOn w:val="DefaultParagraphFont"/>
    <w:link w:val="Footer"/>
    <w:uiPriority w:val="99"/>
    <w:rsid w:val="00844365"/>
  </w:style>
  <w:style w:type="character" w:customStyle="1" w:styleId="Heading1Char">
    <w:name w:val="Heading 1 Char"/>
    <w:basedOn w:val="DefaultParagraphFont"/>
    <w:link w:val="Heading1"/>
    <w:uiPriority w:val="9"/>
    <w:rsid w:val="00B20E1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20E16"/>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506BDC"/>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506BDC"/>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rsid w:val="00506BDC"/>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C54ED4"/>
    <w:rPr>
      <w:rFonts w:ascii="Times New Roman" w:eastAsiaTheme="majorEastAsia" w:hAnsi="Times New Roman" w:cstheme="majorBidi"/>
      <w:i/>
      <w:sz w:val="24"/>
    </w:rPr>
  </w:style>
  <w:style w:type="character" w:customStyle="1" w:styleId="Heading7Char">
    <w:name w:val="Heading 7 Char"/>
    <w:basedOn w:val="DefaultParagraphFont"/>
    <w:link w:val="Heading7"/>
    <w:uiPriority w:val="9"/>
    <w:rsid w:val="00C54ED4"/>
    <w:rPr>
      <w:rFonts w:ascii="Times New Roman" w:eastAsiaTheme="majorEastAsia" w:hAnsi="Times New Roman" w:cstheme="majorBidi"/>
      <w:i/>
      <w:sz w:val="24"/>
    </w:rPr>
  </w:style>
  <w:style w:type="character" w:customStyle="1" w:styleId="Heading8Char">
    <w:name w:val="Heading 8 Char"/>
    <w:basedOn w:val="DefaultParagraphFont"/>
    <w:link w:val="Heading8"/>
    <w:uiPriority w:val="9"/>
    <w:rsid w:val="00C54ED4"/>
    <w:rPr>
      <w:rFonts w:ascii="Times New Roman" w:eastAsiaTheme="majorEastAsia" w:hAnsi="Times New Roman" w:cstheme="majorBidi"/>
      <w:i/>
      <w:sz w:val="24"/>
    </w:rPr>
  </w:style>
  <w:style w:type="character" w:customStyle="1" w:styleId="Heading9Char">
    <w:name w:val="Heading 9 Char"/>
    <w:basedOn w:val="DefaultParagraphFont"/>
    <w:link w:val="Heading9"/>
    <w:uiPriority w:val="9"/>
    <w:rsid w:val="00C54ED4"/>
    <w:rPr>
      <w:rFonts w:ascii="Times New Roman" w:eastAsiaTheme="majorEastAsia" w:hAnsi="Times New Roman" w:cstheme="majorBidi"/>
      <w:i/>
      <w:sz w:val="24"/>
    </w:rPr>
  </w:style>
  <w:style w:type="paragraph" w:styleId="ListParagraph">
    <w:name w:val="List Paragraph"/>
    <w:basedOn w:val="Normal"/>
    <w:next w:val="Normal"/>
    <w:uiPriority w:val="34"/>
    <w:qFormat/>
    <w:rsid w:val="00D00FEC"/>
    <w:pPr>
      <w:ind w:firstLine="720"/>
      <w:contextualSpacing/>
    </w:pPr>
  </w:style>
  <w:style w:type="paragraph" w:customStyle="1" w:styleId="Default">
    <w:name w:val="Default"/>
    <w:rsid w:val="00604BE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604BEB"/>
    <w:rPr>
      <w:color w:val="0000FF" w:themeColor="hyperlink"/>
      <w:u w:val="single"/>
    </w:rPr>
  </w:style>
  <w:style w:type="paragraph" w:styleId="Title">
    <w:name w:val="Title"/>
    <w:basedOn w:val="Normal"/>
    <w:next w:val="Normal"/>
    <w:link w:val="TitleChar"/>
    <w:uiPriority w:val="10"/>
    <w:qFormat/>
    <w:rsid w:val="00057F24"/>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057F24"/>
    <w:rPr>
      <w:rFonts w:ascii="Times New Roman" w:eastAsiaTheme="majorEastAsia" w:hAnsi="Times New Roman" w:cstheme="majorBidi"/>
      <w:spacing w:val="5"/>
      <w:kern w:val="28"/>
      <w:sz w:val="24"/>
      <w:szCs w:val="52"/>
    </w:rPr>
  </w:style>
  <w:style w:type="character" w:styleId="PlaceholderText">
    <w:name w:val="Placeholder Text"/>
    <w:basedOn w:val="DefaultParagraphFont"/>
    <w:uiPriority w:val="99"/>
    <w:semiHidden/>
    <w:rsid w:val="000E372C"/>
    <w:rPr>
      <w:color w:val="808080"/>
    </w:rPr>
  </w:style>
  <w:style w:type="paragraph" w:styleId="BalloonText">
    <w:name w:val="Balloon Text"/>
    <w:basedOn w:val="Normal"/>
    <w:link w:val="BalloonTextChar"/>
    <w:uiPriority w:val="99"/>
    <w:semiHidden/>
    <w:unhideWhenUsed/>
    <w:rsid w:val="000E37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2C"/>
    <w:rPr>
      <w:rFonts w:ascii="Tahoma" w:hAnsi="Tahoma" w:cs="Tahoma"/>
      <w:sz w:val="16"/>
      <w:szCs w:val="16"/>
    </w:rPr>
  </w:style>
  <w:style w:type="paragraph" w:styleId="BodyText">
    <w:name w:val="Body Text"/>
    <w:basedOn w:val="Normal"/>
    <w:next w:val="Normal"/>
    <w:link w:val="BodyTextChar"/>
    <w:uiPriority w:val="99"/>
    <w:unhideWhenUsed/>
    <w:qFormat/>
    <w:rsid w:val="00C90F4B"/>
    <w:pPr>
      <w:ind w:firstLine="720"/>
    </w:pPr>
  </w:style>
  <w:style w:type="character" w:customStyle="1" w:styleId="BodyTextChar">
    <w:name w:val="Body Text Char"/>
    <w:basedOn w:val="DefaultParagraphFont"/>
    <w:link w:val="BodyText"/>
    <w:uiPriority w:val="99"/>
    <w:rsid w:val="00C90F4B"/>
    <w:rPr>
      <w:rFonts w:ascii="Times New Roman" w:hAnsi="Times New Roman"/>
      <w:sz w:val="24"/>
    </w:rPr>
  </w:style>
  <w:style w:type="paragraph" w:styleId="BodyTextFirstIndent">
    <w:name w:val="Body Text First Indent"/>
    <w:basedOn w:val="BodyText"/>
    <w:link w:val="BodyTextFirstIndentChar"/>
    <w:uiPriority w:val="99"/>
    <w:semiHidden/>
    <w:unhideWhenUsed/>
    <w:rsid w:val="00E530AE"/>
    <w:pPr>
      <w:spacing w:after="200"/>
      <w:ind w:firstLine="360"/>
    </w:pPr>
  </w:style>
  <w:style w:type="character" w:customStyle="1" w:styleId="BodyTextFirstIndentChar">
    <w:name w:val="Body Text First Indent Char"/>
    <w:basedOn w:val="BodyTextChar"/>
    <w:link w:val="BodyTextFirstIndent"/>
    <w:uiPriority w:val="99"/>
    <w:semiHidden/>
    <w:rsid w:val="00E530AE"/>
    <w:rPr>
      <w:rFonts w:ascii="Times New Roman" w:hAnsi="Times New Roman"/>
      <w:sz w:val="24"/>
    </w:rPr>
  </w:style>
  <w:style w:type="table" w:styleId="TableGrid">
    <w:name w:val="Table Grid"/>
    <w:basedOn w:val="TableNormal"/>
    <w:uiPriority w:val="59"/>
    <w:rsid w:val="002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Pr>
      <w:smallCaps/>
      <w:color w:val="C0504D" w:themeColor="accent2"/>
      <w:u w:val="single"/>
    </w:rPr>
  </w:style>
  <w:style w:type="paragraph" w:styleId="NoSpacing">
    <w:name w:val="No Spacing"/>
    <w:uiPriority w:val="1"/>
    <w:qFormat/>
    <w:rsid w:val="004F69F9"/>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6F8D42E-EB57-4B45-BDFF-A806DA87D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3685</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APA template</vt:lpstr>
    </vt:vector>
  </TitlesOfParts>
  <Manager/>
  <Company>University of Wales Trinity Saint David</Company>
  <LinksUpToDate>false</LinksUpToDate>
  <CharactersWithSpaces>24647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INDIVIDUAL S BELIEFS, ATTITUDES AND VALUES IMPACT ON WORKPLACE BEHAVIOUR</dc:title>
  <dc:subject/>
  <dc:creator>Costel Grigorean</dc:creator>
  <cp:keywords/>
  <dc:description/>
  <cp:lastModifiedBy>Costel Grigorean (1812755)</cp:lastModifiedBy>
  <cp:revision>2</cp:revision>
  <dcterms:created xsi:type="dcterms:W3CDTF">2020-03-30T17:16:00Z</dcterms:created>
  <dcterms:modified xsi:type="dcterms:W3CDTF">2020-03-30T17:16:00Z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