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CB437" w14:textId="04B5A61F" w:rsidR="006419C3" w:rsidRDefault="00832242" w:rsidP="00D83A40">
      <w:pPr>
        <w:pStyle w:val="AssignHeader"/>
      </w:pPr>
      <w:r>
        <w:t>In what way does practicing Welsh orally improve the understanding of the language in Key Stage 2 pupils?</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bookmarkStart w:id="0" w:name="_GoBack"/>
            <w:proofErr w:type="spellStart"/>
            <w:r>
              <w:t>Targed</w:t>
            </w:r>
            <w:bookmarkEnd w:id="0"/>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1" w:name="cysill"/>
            <w:bookmarkEnd w:id="1"/>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0B75D50D" w:rsidR="00755E37" w:rsidRDefault="00832242">
            <w:pPr>
              <w:pStyle w:val="AssignBody"/>
            </w:pPr>
            <w:r>
              <w:rPr>
                <w:rFonts w:ascii="Helvetica" w:hAnsi="Helvetica"/>
                <w:color w:val="283041"/>
                <w:sz w:val="21"/>
                <w:szCs w:val="21"/>
                <w:shd w:val="clear" w:color="auto" w:fill="FFFFFF"/>
              </w:rPr>
              <w:t>Ensure you apply the same level of analysis that you used for literature discussion to your own teaching/actions; this will allow you to identify even more specific areas for development. </w:t>
            </w:r>
          </w:p>
        </w:tc>
        <w:tc>
          <w:tcPr>
            <w:tcW w:w="3647" w:type="dxa"/>
            <w:tcBorders>
              <w:top w:val="single" w:sz="4" w:space="0" w:color="auto"/>
              <w:left w:val="single" w:sz="4" w:space="0" w:color="auto"/>
              <w:bottom w:val="single" w:sz="4" w:space="0" w:color="auto"/>
              <w:right w:val="single" w:sz="4" w:space="0" w:color="auto"/>
            </w:tcBorders>
          </w:tcPr>
          <w:p w14:paraId="342A62A2" w14:textId="5B495C3C" w:rsidR="00755E37" w:rsidRDefault="00832242">
            <w:pPr>
              <w:pStyle w:val="AssignBody"/>
            </w:pPr>
            <w:r>
              <w:t>I ensured to re-read my analysis when completed to try and include the same level of analysis throughout.  I used the assignment session available on Moodle to assist with the critical reflection and layout.</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5D2F1871" w:rsidR="00755E37" w:rsidRDefault="00832242">
            <w:pPr>
              <w:pStyle w:val="AssignBody"/>
            </w:pPr>
            <w:r>
              <w:rPr>
                <w:rFonts w:ascii="Helvetica" w:hAnsi="Helvetica"/>
                <w:color w:val="283041"/>
                <w:sz w:val="21"/>
                <w:szCs w:val="21"/>
                <w:shd w:val="clear" w:color="auto" w:fill="FFFFFF"/>
              </w:rPr>
              <w:t>Watch your terminology/word choice in places - and proof read sentences to ensure each sentence is grammatically correct. </w:t>
            </w:r>
          </w:p>
        </w:tc>
        <w:tc>
          <w:tcPr>
            <w:tcW w:w="3647" w:type="dxa"/>
            <w:tcBorders>
              <w:top w:val="single" w:sz="4" w:space="0" w:color="auto"/>
              <w:left w:val="single" w:sz="4" w:space="0" w:color="auto"/>
              <w:bottom w:val="single" w:sz="4" w:space="0" w:color="auto"/>
              <w:right w:val="single" w:sz="4" w:space="0" w:color="auto"/>
            </w:tcBorders>
          </w:tcPr>
          <w:p w14:paraId="0E186AA1" w14:textId="7DEA2C6F" w:rsidR="00755E37" w:rsidRDefault="00832242">
            <w:pPr>
              <w:pStyle w:val="AssignBody"/>
            </w:pPr>
            <w:r>
              <w:t>I ensured to read my work when completed to ensure all grammatical errors were rectified.  I also used online resources such as the Manchester Phrase Bank to assist with the terminology needing to be utilised within this assignment.</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07B0FFAE" w14:textId="4396ADA5" w:rsidR="00755E37" w:rsidRDefault="00755E37" w:rsidP="00755E37">
      <w:pPr>
        <w:pStyle w:val="AssignBody"/>
      </w:pPr>
    </w:p>
    <w:p w14:paraId="06907C98" w14:textId="0CB9B64B" w:rsidR="00755E37" w:rsidRDefault="00755E37" w:rsidP="00755E37">
      <w:pPr>
        <w:pStyle w:val="AssignBody"/>
      </w:pPr>
    </w:p>
    <w:p w14:paraId="4B9318D6" w14:textId="77777777" w:rsidR="00755E37" w:rsidRPr="00755E37" w:rsidRDefault="00755E37" w:rsidP="00755E37">
      <w:pPr>
        <w:pStyle w:val="AssignBody"/>
      </w:pPr>
    </w:p>
    <w:p w14:paraId="73B6D644" w14:textId="77777777" w:rsidR="00832242" w:rsidRPr="00832242" w:rsidRDefault="00832242" w:rsidP="00832242">
      <w:pPr>
        <w:pStyle w:val="AssignBody"/>
      </w:pPr>
    </w:p>
    <w:p w14:paraId="09223D49" w14:textId="77777777" w:rsidR="0012532C" w:rsidRDefault="0012532C" w:rsidP="00832242">
      <w:pPr>
        <w:pStyle w:val="AssignSubHeader"/>
      </w:pPr>
    </w:p>
    <w:p w14:paraId="6DC32354" w14:textId="77777777" w:rsidR="0012532C" w:rsidRDefault="0012532C" w:rsidP="00832242">
      <w:pPr>
        <w:pStyle w:val="AssignSubHeader"/>
      </w:pPr>
    </w:p>
    <w:p w14:paraId="197263D4" w14:textId="77777777" w:rsidR="0012532C" w:rsidRDefault="0012532C" w:rsidP="00832242">
      <w:pPr>
        <w:pStyle w:val="AssignSubHeader"/>
      </w:pPr>
    </w:p>
    <w:p w14:paraId="0D2F6EA6" w14:textId="722F3E35" w:rsidR="00E611D9" w:rsidRDefault="00832242" w:rsidP="00832242">
      <w:pPr>
        <w:pStyle w:val="AssignSubHeader"/>
      </w:pPr>
      <w:r>
        <w:lastRenderedPageBreak/>
        <w:t xml:space="preserve">Aims, </w:t>
      </w:r>
      <w:r w:rsidR="0012532C">
        <w:t>F</w:t>
      </w:r>
      <w:r>
        <w:t xml:space="preserve">ocus and </w:t>
      </w:r>
      <w:r w:rsidR="0012532C">
        <w:t>P</w:t>
      </w:r>
      <w:r>
        <w:t xml:space="preserve">urpose of the </w:t>
      </w:r>
      <w:r w:rsidR="0012532C">
        <w:t>R</w:t>
      </w:r>
      <w:r>
        <w:t>esearch</w:t>
      </w:r>
    </w:p>
    <w:p w14:paraId="79E6E6CC" w14:textId="77777777" w:rsidR="00832242" w:rsidRDefault="00832242" w:rsidP="0012532C">
      <w:pPr>
        <w:spacing w:line="360" w:lineRule="auto"/>
      </w:pPr>
      <w:r>
        <w:t>The Welsh Government have a vision which entails having a million Welsh speakers by 2050 (Gov.Wales, 2018).  An efficient way to begin to implement this change is to ensure the Welsh language is being taught to a high level in educational settings with a particular focus on primary school learners.   To this end, the government are planning on bringing in more Welsh-medium nurseries (Gov.Wales, 2018) which concurs with my previous point made about the efficient nature of implementing high levels of Welsh in education settings.  Being on placement in an English-</w:t>
      </w:r>
      <w:r w:rsidRPr="00B56B51">
        <w:t>medium</w:t>
      </w:r>
      <w:r>
        <w:t xml:space="preserve"> school gave me an insight into how the language is taught to second language Welsh learners, leading to an interest in the discussion surrounding Welsh language development.  This research aims to answer the research question of ‘In what way does practising Welsh orally improve the understanding of the language in Key Stage 2 pupils?’ providing further insight into how children learn, and retain their Welsh language skills and also into what the most effective way to teach the language is.</w:t>
      </w:r>
    </w:p>
    <w:p w14:paraId="3720342E" w14:textId="0652C9C2" w:rsidR="00832242" w:rsidRDefault="00832242" w:rsidP="00832242">
      <w:pPr>
        <w:pStyle w:val="AssignSubHeader"/>
      </w:pPr>
      <w:r>
        <w:t xml:space="preserve">Research </w:t>
      </w:r>
      <w:r w:rsidR="0012532C">
        <w:t>C</w:t>
      </w:r>
      <w:r>
        <w:t>ontext</w:t>
      </w:r>
    </w:p>
    <w:p w14:paraId="3B215E42" w14:textId="77777777" w:rsidR="00832242" w:rsidRDefault="00832242" w:rsidP="0012532C">
      <w:pPr>
        <w:spacing w:line="360" w:lineRule="auto"/>
      </w:pPr>
      <w:r>
        <w:t>This research takes place in an English-medium mixed ability Key Stage 2 classroom of 30 pupils between the ages of eight and nine.  The school resides in a small town in South Wales where very few pupils having Welsh as their first language (ESTYN, 2014).  During the research lesson, the children will be placed into ability groupings, based on initial testing at the start of the academic year, for the task given and their Welsh language skills will be observed by myself, and my research partner.</w:t>
      </w:r>
    </w:p>
    <w:p w14:paraId="3C7DB698" w14:textId="742C35D5" w:rsidR="00832242" w:rsidRDefault="00832242" w:rsidP="00832242">
      <w:pPr>
        <w:pStyle w:val="AssignSubHeader"/>
      </w:pPr>
      <w:r>
        <w:t>Literature Review</w:t>
      </w:r>
    </w:p>
    <w:p w14:paraId="00BFE103" w14:textId="77777777" w:rsidR="00832242" w:rsidRDefault="00832242" w:rsidP="0012532C">
      <w:pPr>
        <w:spacing w:line="360" w:lineRule="auto"/>
        <w:rPr>
          <w:rFonts w:cstheme="minorHAnsi"/>
          <w:color w:val="000000"/>
        </w:rPr>
      </w:pPr>
      <w:r>
        <w:rPr>
          <w:rFonts w:cstheme="minorHAnsi"/>
        </w:rPr>
        <w:t>This research used lesson study to collect data in the classroom.</w:t>
      </w:r>
      <w:r w:rsidRPr="00C24B65">
        <w:rPr>
          <w:rFonts w:cstheme="minorHAnsi"/>
        </w:rPr>
        <w:t xml:space="preserve">  Lesson study </w:t>
      </w:r>
      <w:r>
        <w:rPr>
          <w:rFonts w:cstheme="minorHAnsi"/>
        </w:rPr>
        <w:t>originates</w:t>
      </w:r>
      <w:r w:rsidRPr="00C24B65">
        <w:rPr>
          <w:rFonts w:cstheme="minorHAnsi"/>
        </w:rPr>
        <w:t xml:space="preserve"> from Japan and has been a key aspect of </w:t>
      </w:r>
      <w:r>
        <w:rPr>
          <w:rFonts w:cstheme="minorHAnsi"/>
        </w:rPr>
        <w:t>Japanese</w:t>
      </w:r>
      <w:r w:rsidRPr="00C24B65">
        <w:rPr>
          <w:rFonts w:cstheme="minorHAnsi"/>
        </w:rPr>
        <w:t xml:space="preserve"> teaching since the 1870s (Dudley, 20</w:t>
      </w:r>
      <w:r>
        <w:rPr>
          <w:rFonts w:cstheme="minorHAnsi"/>
        </w:rPr>
        <w:t>14)</w:t>
      </w:r>
      <w:r w:rsidRPr="00C24B65">
        <w:rPr>
          <w:rFonts w:cstheme="minorHAnsi"/>
        </w:rPr>
        <w:t xml:space="preserve">. </w:t>
      </w:r>
      <w:r>
        <w:rPr>
          <w:rFonts w:cstheme="minorHAnsi"/>
        </w:rPr>
        <w:t xml:space="preserve">  It was popularised in the United Kingdom by Pete Dudley in 2001 who received high recognition for his contribution to research such as being shortlisted by BERA for their National Doctoral Award in 2013.  </w:t>
      </w:r>
      <w:r w:rsidRPr="00C24B65">
        <w:rPr>
          <w:rFonts w:cstheme="minorHAnsi"/>
          <w:color w:val="000000"/>
        </w:rPr>
        <w:t>Cordingly et al (20</w:t>
      </w:r>
      <w:r>
        <w:rPr>
          <w:rFonts w:cstheme="minorHAnsi"/>
          <w:color w:val="000000"/>
        </w:rPr>
        <w:t>0</w:t>
      </w:r>
      <w:r w:rsidRPr="00C24B65">
        <w:rPr>
          <w:rFonts w:cstheme="minorHAnsi"/>
          <w:color w:val="000000"/>
        </w:rPr>
        <w:t xml:space="preserve">4) </w:t>
      </w:r>
      <w:r>
        <w:rPr>
          <w:rFonts w:cstheme="minorHAnsi"/>
          <w:color w:val="000000"/>
        </w:rPr>
        <w:t>state</w:t>
      </w:r>
      <w:r w:rsidRPr="00C24B65">
        <w:rPr>
          <w:rFonts w:cstheme="minorHAnsi"/>
          <w:color w:val="000000"/>
        </w:rPr>
        <w:t xml:space="preserve"> that lesson study encompasses all the features of professional learning that can impa</w:t>
      </w:r>
      <w:r>
        <w:rPr>
          <w:rFonts w:cstheme="minorHAnsi"/>
          <w:color w:val="000000"/>
        </w:rPr>
        <w:t>ct</w:t>
      </w:r>
      <w:r w:rsidRPr="00C24B65">
        <w:rPr>
          <w:rFonts w:cstheme="minorHAnsi"/>
          <w:color w:val="000000"/>
        </w:rPr>
        <w:t xml:space="preserve"> teaching and learning the most</w:t>
      </w:r>
      <w:r>
        <w:rPr>
          <w:rFonts w:cstheme="minorHAnsi"/>
          <w:color w:val="000000"/>
        </w:rPr>
        <w:t xml:space="preserve"> highlighting its effectiveness as it takes place in real classrooms with the pupils rather than a constructed setting.  The research by Cordingly et al (2004) concurs with Robinson, Hohepa, and Lloyd’s (2009) suggestion that lesson study is the “single most impactful action a school leader can take to improve educational outcomes.” These comments offer an insightful view of lesson study and how it can be used effectively in the classroom to enhance learning.  It is clearly an important means of collaboration with other practitioners and therefore, </w:t>
      </w:r>
      <w:r>
        <w:rPr>
          <w:rFonts w:cstheme="minorHAnsi"/>
          <w:color w:val="000000"/>
        </w:rPr>
        <w:lastRenderedPageBreak/>
        <w:t>has a crucial place in research surrounding teaching and learning.  Furthermore, a study by Dudley et al., (2019) concluded that lesson study promoted ‘meaning oriented teaching learning’ which focusses on why and how aspects of lessons work for the learners.  They go on to discuss how it is a ‘high-quality, deep mode of teacher learning’ (page 213) and is a key aspect of reflection and progression within the teaching practice.  This further supports lesson study as an effective means to reflect on the teaching practice and also, as previously mentioned, enhance the learning of the pupils within the classroom.  The means of collaboration entrenched within the lesson study format allow practitioners to share good teaching and ultimately, improve their classrooms.</w:t>
      </w:r>
    </w:p>
    <w:p w14:paraId="5C27DF71" w14:textId="351786AF" w:rsidR="00832242" w:rsidRDefault="00832242" w:rsidP="0012532C">
      <w:pPr>
        <w:spacing w:line="360" w:lineRule="auto"/>
        <w:rPr>
          <w:rFonts w:cstheme="minorHAnsi"/>
          <w:color w:val="000000"/>
        </w:rPr>
      </w:pPr>
      <w:r>
        <w:rPr>
          <w:rFonts w:cstheme="minorHAnsi"/>
          <w:color w:val="000000"/>
        </w:rPr>
        <w:t xml:space="preserve">There is a growing body of literature surrounding how children learn language in primary school and how that can assist with language learning further along in their education.  Language acquisition was first characterised by Skinner (1957) who proposed that children learn language based on reinforcement principles suggesting that positive enforcement of attempts at speech encourage the child to realise the meaning of words and phrases.  In contrast, Chomsky (1965) proposed Universal Grammar as an alternative language acquisition theory.  He suggested that we have innate categories, such as noun or verb categories, that facilitate language development in children and the research into this theory is still ongoing.  It is important to consider these views in the discussion of language acquisition and bilingualism within children.  Until the mid-1900s, it was thought that growing up bilingually could overload a child’s cognitive capacities and cause issues for the learners (Darcy, 1963; MacNamara, 1966).  However, the current prevailing view is that bilingualism offers significant cognitive benefits (Grosjean, 2010) such as performing better in problem solving activities.  This benefit is reiterated in a recent study by Sorge et al. (2017) who show that bilingual pupils from the ages of 8 to 11 exhibit an increased ability to solve problems compared to non-bilingual pupils.  In addition, the research shows that improved problem solving is also visible in bilingual adults offering an insight in to how learning languages in primary school can benefit children in later life which concurs with one of Donaldson’s Core Purposes (2015) of ‘ambitious capable learners who are ready to learn throughout their lives.’  Further benefits of bilingualism is discussed by Merritt (2013) who states how bilingual learners have a better memory, they can build their multitasking skills, and also the average age for acquiring dementia and </w:t>
      </w:r>
      <w:r w:rsidR="0012532C">
        <w:rPr>
          <w:rFonts w:cstheme="minorHAnsi"/>
          <w:color w:val="000000"/>
        </w:rPr>
        <w:t>Alzheimer’s</w:t>
      </w:r>
      <w:r>
        <w:rPr>
          <w:rFonts w:cstheme="minorHAnsi"/>
          <w:color w:val="000000"/>
        </w:rPr>
        <w:t xml:space="preserve"> is higher.</w:t>
      </w:r>
    </w:p>
    <w:p w14:paraId="00B3EA77" w14:textId="77777777" w:rsidR="00832242" w:rsidRDefault="00832242" w:rsidP="0012532C">
      <w:pPr>
        <w:spacing w:line="360" w:lineRule="auto"/>
        <w:rPr>
          <w:rFonts w:cstheme="minorHAnsi"/>
          <w:color w:val="000000"/>
        </w:rPr>
      </w:pPr>
      <w:r>
        <w:rPr>
          <w:rFonts w:cstheme="minorHAnsi"/>
          <w:color w:val="000000"/>
        </w:rPr>
        <w:t xml:space="preserve">According to McCaul (2016), language learners must be exposed to ‘comprehensible input’ which they define as experience with interesting and understandable listening and reading materials.  By providing the learners with these resources, it can encourage learning as a ‘fun’ activity.  Also as the resources are understandable, it could engender more confidence to begin learning that language.  McCaul continues to say how the comprehensible input needs to be at the appropriate level for the </w:t>
      </w:r>
      <w:r>
        <w:rPr>
          <w:rFonts w:cstheme="minorHAnsi"/>
          <w:color w:val="000000"/>
        </w:rPr>
        <w:lastRenderedPageBreak/>
        <w:t xml:space="preserve">learners, ideally just higher than their current level.  He refers to this level as ‘i+1’ and offers resources such as graded readers as a good example of this level.  This reiterates the earlier point made of acquiring confidence in order to be able to begin learning the language and the comprehensible input resources available can highly affect that learning.  </w:t>
      </w:r>
    </w:p>
    <w:p w14:paraId="7593867E" w14:textId="6D099CDF" w:rsidR="00832242" w:rsidRDefault="00832242" w:rsidP="0012532C">
      <w:pPr>
        <w:spacing w:line="360" w:lineRule="auto"/>
        <w:rPr>
          <w:rFonts w:cstheme="minorHAnsi"/>
          <w:color w:val="000000"/>
        </w:rPr>
      </w:pPr>
      <w:r>
        <w:rPr>
          <w:rFonts w:cstheme="minorHAnsi"/>
          <w:color w:val="000000"/>
        </w:rPr>
        <w:t>Further to this, MacLeod (2011) stated that we often remember words better when they are read aloud compared to reading the same words.  This is in agreement with the ‘production effect’ reported by Hopkins and Edwards (1972) that ‘indicates the improved recall for any information which is produced actively compared to the one which is heard or read silently.’  Both pieces of research suggest that learning actively can assist you in remembering the language.  This piece of evidence was considered when formulating the aforementioned research question.  It was hypothesised that oracy skills would be the key approach to successfully learning a second language.  The benefits of speaking a new language are discussed by Czekala (2018) as speaking is repetitive and more natural than writing.  He goes on to discuss how speaking a language can assist with your memory skills and Forrin, MacLeod, and Ozubko (2012) concur with this point as they discuss how there is advantage for handwriting and spelling but none are as large as for speaking.</w:t>
      </w:r>
    </w:p>
    <w:p w14:paraId="579C7063" w14:textId="2E2EA96B" w:rsidR="00832242" w:rsidRPr="00832242" w:rsidRDefault="00832242" w:rsidP="00832242">
      <w:pPr>
        <w:pStyle w:val="AssignSubHeader"/>
      </w:pPr>
      <w:r>
        <w:t>Methodology</w:t>
      </w:r>
    </w:p>
    <w:p w14:paraId="379B7E8E" w14:textId="78FA6444" w:rsidR="00832242" w:rsidRPr="00832854" w:rsidRDefault="00832242" w:rsidP="0012532C">
      <w:pPr>
        <w:spacing w:line="360" w:lineRule="auto"/>
        <w:rPr>
          <w:rFonts w:cstheme="minorHAnsi"/>
          <w:color w:val="000000"/>
        </w:rPr>
      </w:pPr>
      <w:r>
        <w:rPr>
          <w:rFonts w:cstheme="minorHAnsi"/>
          <w:color w:val="000000"/>
        </w:rPr>
        <w:t>As previously mentioned, lesson study was the method used to gather the research within the classroom.  Lesson study is a highly regarded means of research within the classroom and it was purposefully selected for this research as it needed to be collaborative and improve the teaching practice of both myself and my research partner.  A lesson study cycle involves small groups of teachers planning a research lesson which is then delivered by one practitioner while the other members of the group observe both them and the learning of three case pupils (Dudley, 2013).  Following each lesson, the teachers collaboratively decide whether that lesson needs to be altered using reflective models which will be discussed later in this assignment (Hiebert and Stigler, 2000).  We created a second-language Welsh lesson based on the topic of questioning.  I went to a partner school to observe my research partner deliver the lesson to a Year 3 class and then my partner came to observe my Year 4 class for the same lesson after alteration following our reflective process.  Ho and Kane (2013) discuss that two observers are more reliable as they can collaborate with their findings and be able to see a holistic nature of the observed environment.  The three case pupils selected were chosen include a high attaining English as an Additional Language (EAL) student, a middle attaining student, and a low attaining student.  These children were observed throughout the lesson using the observation schedule (</w:t>
      </w:r>
      <w:r w:rsidR="00AA1058">
        <w:rPr>
          <w:rFonts w:cstheme="minorHAnsi"/>
          <w:color w:val="000000"/>
        </w:rPr>
        <w:t>Appendices 4 and 6)</w:t>
      </w:r>
      <w:r>
        <w:rPr>
          <w:rFonts w:cstheme="minorHAnsi"/>
          <w:color w:val="000000"/>
        </w:rPr>
        <w:t xml:space="preserve"> to note which criteria they satisfied relating to the topic of the lesson.  The three case pupils were interviewed using predesigned </w:t>
      </w:r>
      <w:r>
        <w:rPr>
          <w:rFonts w:cstheme="minorHAnsi"/>
          <w:color w:val="000000"/>
        </w:rPr>
        <w:lastRenderedPageBreak/>
        <w:t>questions (</w:t>
      </w:r>
      <w:r w:rsidR="00AA1058">
        <w:rPr>
          <w:rFonts w:cstheme="minorHAnsi"/>
          <w:color w:val="000000"/>
        </w:rPr>
        <w:t xml:space="preserve">Appendix 3) </w:t>
      </w:r>
      <w:r>
        <w:rPr>
          <w:rFonts w:cstheme="minorHAnsi"/>
          <w:color w:val="000000"/>
        </w:rPr>
        <w:t xml:space="preserve">immediately after the lesson to ensure the pupils did not lose their thoughts or opinions (Cohen, Manion, and Morrison, 2009).  These questions are designed to analyse the level of Welsh that the learners had acquired during the lesson and if they could successfully recall and translate the phrases given. </w:t>
      </w:r>
    </w:p>
    <w:p w14:paraId="6352E9AC" w14:textId="3275D115" w:rsidR="00832242" w:rsidRPr="00B07434" w:rsidRDefault="00832242" w:rsidP="0012532C">
      <w:pPr>
        <w:spacing w:line="360" w:lineRule="auto"/>
        <w:rPr>
          <w:rFonts w:cstheme="minorHAnsi"/>
          <w:color w:val="000000"/>
        </w:rPr>
      </w:pPr>
      <w:r>
        <w:rPr>
          <w:rFonts w:cstheme="minorHAnsi"/>
          <w:color w:val="000000"/>
        </w:rPr>
        <w:t xml:space="preserve">Kumar (2014) discusses how observation is a “purposeful, systematic and selective way of watching and listening to an interaction or phenomenon as it takes place” (page 73) outlining two key methods of </w:t>
      </w:r>
      <w:r w:rsidR="0019619A">
        <w:rPr>
          <w:rFonts w:cstheme="minorHAnsi"/>
          <w:color w:val="000000"/>
        </w:rPr>
        <w:t>observation:</w:t>
      </w:r>
      <w:r>
        <w:rPr>
          <w:rFonts w:cstheme="minorHAnsi"/>
          <w:color w:val="000000"/>
        </w:rPr>
        <w:t xml:space="preserve"> participant observation and non-participant observation.  During this research, I opted to use the participant observation method as I observed my research partner’s class as I felt it allowed me to be more involved within the environment and view the ‘backstage culture’ (deMunck and Sobo, 1998: 43) of the classroom.  Additionally, deMunck and Sobo (1998) discuss how participant observation allows for detailed description of the events occurring within the classroom and the opportunity to view unscheduled events.  A limitation to this method is that the observer may be focussed on one specific task rather than the holistic nature of the classroom, but in this case, the researcher did not need to be aware of the entire classroom environment since they were focussing on three core individuals.  There is a possibility when observing that the Hawthorne Effect (Kumar, 2014) may appear and the learners may become conscious that they are being observed leading to biased results.  This is less likely to occur using the participant observation model and is a key reason as to why this method was selected for this research.</w:t>
      </w:r>
    </w:p>
    <w:p w14:paraId="0B43DBE4" w14:textId="453D70CA" w:rsidR="00832242" w:rsidRPr="0012532C" w:rsidRDefault="00832242" w:rsidP="0012532C">
      <w:pPr>
        <w:spacing w:line="360" w:lineRule="auto"/>
        <w:rPr>
          <w:rFonts w:cstheme="minorHAnsi"/>
          <w:color w:val="000000"/>
        </w:rPr>
      </w:pPr>
      <w:r>
        <w:rPr>
          <w:rFonts w:cstheme="minorHAnsi"/>
          <w:color w:val="000000"/>
        </w:rPr>
        <w:t xml:space="preserve">Gibbs’ Reflective Cycle (1998) was used when reflecting on the lessons planned and taught during this study.  This was developed by Gibbs in 1998 and offers six stages of reflection; description of the experience; feelings and thoughts about the experience; evaluation of the experience; analysis of the situation with links to literature; conclusions about what have been found and what could have been done differently; and an action plan for future recommendations or changes.  This model of reflection allows the systematic consideration of all aspects of your experience (Oelofsen, 2012).  Furthermore, Gibbs (1988) states that if you do not reflect on your experience, it may quickly be forgotten or you could lose the learning potential.  I felt it was important to use a model of reflection that could easily split the phases of the research and the six aspects of the Gibbs’ Reflective Model allowed me to critically analyse the experience.  It was effective following the research and I ensured I filled the form out immediately to concur with the point made by Gibbs about immediate reflection so I did not lose any thoughts following the experience.  The model is easy to both understand and utilise and is one of the reasons it was chosen as it is deemed to be effective for those who are new to reflection.  Other reflective models considered for this research included Kolb’s Learning Cycle (1984), Brookfield (1995), and the Assisted Reflective Conclusions Model (ARC).  I felt that Gibbs’ </w:t>
      </w:r>
      <w:r>
        <w:rPr>
          <w:rFonts w:cstheme="minorHAnsi"/>
          <w:color w:val="000000"/>
        </w:rPr>
        <w:lastRenderedPageBreak/>
        <w:t xml:space="preserve">Reflective Model was the best to use during this task as it was influenced by Kolb and offered more distinctive phases providing a more thorough way of reflecting. </w:t>
      </w:r>
    </w:p>
    <w:p w14:paraId="455775FF" w14:textId="60233941" w:rsidR="00832242" w:rsidRDefault="00832242" w:rsidP="00832242">
      <w:pPr>
        <w:pStyle w:val="AssignSubHeader"/>
      </w:pPr>
      <w:r>
        <w:t xml:space="preserve">Ethical </w:t>
      </w:r>
      <w:r w:rsidR="0012532C">
        <w:t>C</w:t>
      </w:r>
      <w:r>
        <w:t>onsiderations</w:t>
      </w:r>
    </w:p>
    <w:p w14:paraId="49614EE3" w14:textId="05A3D183" w:rsidR="00832242" w:rsidRPr="00CF08E3" w:rsidRDefault="00832242" w:rsidP="0012532C">
      <w:pPr>
        <w:spacing w:line="360" w:lineRule="auto"/>
        <w:rPr>
          <w:rFonts w:cstheme="minorHAnsi"/>
          <w:color w:val="000000"/>
        </w:rPr>
      </w:pPr>
      <w:r>
        <w:rPr>
          <w:rFonts w:cstheme="minorHAnsi"/>
          <w:color w:val="000000"/>
        </w:rPr>
        <w:t>In education, the ethical code to which researchers must adhere to is outlined by the British Educational Research Association (BERA, 2018)</w:t>
      </w:r>
      <w:r>
        <w:rPr>
          <w:rFonts w:cstheme="minorHAnsi"/>
          <w:b/>
          <w:bCs/>
          <w:color w:val="000000"/>
        </w:rPr>
        <w:t xml:space="preserve">.  </w:t>
      </w:r>
      <w:r>
        <w:rPr>
          <w:rFonts w:cstheme="minorHAnsi"/>
          <w:color w:val="000000"/>
        </w:rPr>
        <w:t xml:space="preserve">The Education Workforce Council has a Code of Professional Conduct </w:t>
      </w:r>
      <w:r>
        <w:rPr>
          <w:rFonts w:ascii="Arial" w:hAnsi="Arial" w:cs="Arial"/>
          <w:color w:val="000000"/>
          <w:sz w:val="20"/>
          <w:szCs w:val="20"/>
          <w:shd w:val="clear" w:color="auto" w:fill="FFFFFF"/>
        </w:rPr>
        <w:t xml:space="preserve">(EWC.wales, 2018) </w:t>
      </w:r>
      <w:r>
        <w:rPr>
          <w:rFonts w:cstheme="minorHAnsi"/>
          <w:color w:val="000000"/>
        </w:rPr>
        <w:t>that registered teachers must abide by which outlines that registered teachers must; base their relationships with pupils on trust and respect; have regard to the safety of the children in their care; and work collaboratively with teachers and other professional, and also create and maintain strong relationships with guardians of the children in their care.  I endeavoured to consider and adhere to these guidelines when conducting the research.  I completed an ethics form which was sent for review by the University of South Wales Trinity Saint David’s ethic review board clearly outlining what I was anticipating on when carrying out my research and it also stated my proposed methods of data collection and storage.  Furthermore, I created an information sheet for the guardians of the learners outlining who I was, what my study entailed, and discussing their right to withdraw their child from the study</w:t>
      </w:r>
      <w:r w:rsidR="007E4B46">
        <w:rPr>
          <w:rFonts w:cstheme="minorHAnsi"/>
          <w:color w:val="000000"/>
        </w:rPr>
        <w:t xml:space="preserve"> (Appendix 1)</w:t>
      </w:r>
      <w:r>
        <w:rPr>
          <w:rFonts w:cstheme="minorHAnsi"/>
          <w:color w:val="000000"/>
        </w:rPr>
        <w:t>.  I attached a consent form to the sheet that the parents had to sign and return to myself for the child to be considered for the interview stage of the research</w:t>
      </w:r>
      <w:r w:rsidR="007E4B46">
        <w:rPr>
          <w:rFonts w:cstheme="minorHAnsi"/>
          <w:color w:val="000000"/>
        </w:rPr>
        <w:t xml:space="preserve"> (Appendix 2)</w:t>
      </w:r>
      <w:r>
        <w:rPr>
          <w:rFonts w:cstheme="minorHAnsi"/>
          <w:color w:val="000000"/>
        </w:rPr>
        <w:t>.  I also outlined these aspects verbally to the learners in the group and ensured they were clear on purpose of the study and able to give their verbal assent before they participated in the interview stage following the research lesson. The concept of assent draws on the United Nations Convention on the Rights of the Child Article 12 (UNICEF, 2015) which states that children should have a say in matters that affect them.  In order for assent to be collected, I asked my three individual students in front of my research partner if they would be happy to participate and also discussed their right to withdraw so my partner was able to see the ethical considerations I had undertaken.  The data taken from this research has been stored on a password protected device and also on the University’s encrypted online storage database which only I can access using my specific log on.</w:t>
      </w:r>
    </w:p>
    <w:p w14:paraId="1CC8AC18" w14:textId="46E751C4" w:rsidR="00832242" w:rsidRDefault="00832242" w:rsidP="00832242">
      <w:pPr>
        <w:pStyle w:val="AssignSubHeader"/>
      </w:pPr>
      <w:r>
        <w:t>Lesson Study 1: Results and Analysis</w:t>
      </w:r>
    </w:p>
    <w:p w14:paraId="16688200" w14:textId="77777777" w:rsidR="00832242" w:rsidRDefault="00832242" w:rsidP="0012532C">
      <w:pPr>
        <w:spacing w:line="360" w:lineRule="auto"/>
      </w:pPr>
      <w:r>
        <w:t>During the lesson study research, three pupils were asked to be our core participants and observed during the lesson and to participate in the following interviews.  These learners included a high attaining EAL child, a middle attaining child, and a low attaining child.  These learners are identified herein as Child 1, Child 2, and Child 3 respectively to maintain confidentiality and anonymity of the learners.</w:t>
      </w:r>
    </w:p>
    <w:p w14:paraId="425006BA" w14:textId="05B7914A" w:rsidR="00832242" w:rsidRDefault="00832242" w:rsidP="0012532C">
      <w:pPr>
        <w:spacing w:line="360" w:lineRule="auto"/>
      </w:pPr>
      <w:r>
        <w:lastRenderedPageBreak/>
        <w:t>Child 1 expressed a high level of enthusiasm for the lesson and had an excellent grasp of the questioning and answering techniques (</w:t>
      </w:r>
      <w:r w:rsidR="00AA1058">
        <w:t xml:space="preserve">Appendix 4).  </w:t>
      </w:r>
      <w:r>
        <w:t>They continually satisfied the criteria outlined in the observation schedule (</w:t>
      </w:r>
      <w:r w:rsidR="00AA1058">
        <w:t xml:space="preserve">Appendix 4) </w:t>
      </w:r>
      <w:r>
        <w:t>and further comments made during the observation schedule demonstrated how they were successfully able to use all the sentence structures including the 3</w:t>
      </w:r>
      <w:r w:rsidRPr="000C114D">
        <w:rPr>
          <w:vertAlign w:val="superscript"/>
        </w:rPr>
        <w:t>rd</w:t>
      </w:r>
      <w:r>
        <w:t xml:space="preserve"> person structure demonstrated later in the lesson.  Child 1 spoke with confidence and actively encouraged others in their learning to use the correct phrases and to assist with their understanding.  There were several occurrences of Child 1 correcting another member of their group who was either speaking in English or unable to use the correct structures.  This further demonstrates their level of understanding of the lesson context and Welsh language.  The interview transcripts, which have not been attached for confidentiality and anonymity reasons (BERA, 2018), demonstrate Child 1’s ability to offer immediate clarification on questions with few sentence fillers compared to Child 2 and Child 3.  Following the question of whether or not the learners would be confident in using these sentences outside of the classroom, Child 1 was the only learner to give a definitive positive answer that they would definitely be confident.  Child 2 also gave a positive answer but they had to consider first whether or not they could.</w:t>
      </w:r>
    </w:p>
    <w:p w14:paraId="131EE76A" w14:textId="5F36139C" w:rsidR="00832242" w:rsidRDefault="00832242" w:rsidP="0012532C">
      <w:pPr>
        <w:spacing w:line="360" w:lineRule="auto"/>
      </w:pPr>
      <w:r>
        <w:t xml:space="preserve">Child 2 satisfied many of the different criteria outlined in the observation schedule except for speaking Welsh with confidence.  This is described in </w:t>
      </w:r>
      <w:r w:rsidR="00AA1058">
        <w:t>Appendix 4</w:t>
      </w:r>
      <w:r w:rsidR="004A528F">
        <w:rPr>
          <w:b/>
          <w:bCs/>
        </w:rPr>
        <w:t xml:space="preserve">, </w:t>
      </w:r>
      <w:r>
        <w:t>point number eight as ‘evidence of low confidence such as mumbling or being unable to answer the question asked.’  This learner struggled with the phrases and questions during the task but was able to offer translations and understanding of the questions asked with good recall surrounding the topic of the lesson during the interview, similarly to Child 1.  It could be suggested that this is a confidence issue and also seemed to affect the learner moving around the group to ask questions and therefore, affected their completion of the task.  Despite their low confidence levels, Child 2 seemed to be engaged in the task and enthusiastic about the Welsh language.  They responded positively when asked if they enjoyed the lesson and did not change their answer even when Child 3 offered some negative feedback and ways that the lesson could be altered.  They did suggest an extra activity which would involve the learners going to different classrooms to ask the questions given which is a task they have completed previously.  This added answer was still positive as it did not criticise the structure of the lesson delivered.  As previously discussed, Child 2 said they would feel confident using these sentences structures outside of the classroom but they needed to first think about their answer.  This could be connected to the previous confident issues discussed of this participant.</w:t>
      </w:r>
    </w:p>
    <w:p w14:paraId="23A078D2" w14:textId="77777777" w:rsidR="00832242" w:rsidRPr="001A42E0" w:rsidRDefault="00832242" w:rsidP="0012532C">
      <w:pPr>
        <w:spacing w:line="360" w:lineRule="auto"/>
        <w:rPr>
          <w:b/>
          <w:bCs/>
        </w:rPr>
      </w:pPr>
      <w:r>
        <w:t xml:space="preserve">Child 3 was extremely enthusiastic during the task.  They offered assistance to others in their group and when given help and support, were able to use the question and answer structures with </w:t>
      </w:r>
      <w:r>
        <w:lastRenderedPageBreak/>
        <w:t xml:space="preserve">confidence.  Child 3 was emphatically more confident using the answer structures compared to the question structure but required a lot more support than Child 1 and Child 2.  Their recall during the interview process was limited as they struggled to remember the phrases used in the lesson with at least three instances of being unable to give an answer or offering the incorrect answer.  Child 3 also used a lot of sentence fillers such as ‘um’ when giving their answers.  This could be evidence of confidence issues similarly to Child 2 or could be a means of giving themselves more time to consider and answer the question asked.  Furthermore, Child 3 immediately said they felt the lesson could have more improvements when asked how they felt about the lesson.  When questioned about their answer, they suggested that the lesson needs to be repetitive with the phrases being practiced everyday so they do not forget them. </w:t>
      </w:r>
    </w:p>
    <w:p w14:paraId="5E47C350" w14:textId="62330CD1" w:rsidR="00832242" w:rsidRPr="00983820" w:rsidRDefault="00832242" w:rsidP="0012532C">
      <w:pPr>
        <w:spacing w:line="360" w:lineRule="auto"/>
      </w:pPr>
      <w:r>
        <w:t>Child 1 and Child 2 stated they believed that speaking Welsh was the best way to learn the language.  However, Child 3 stated they felt that reading Welsh was the best method.  Child 2 then altered their answer following Child 3’s statement to say a mixture of the two methods would be the most successful.  These statements are interesting to consider compared to the hypothesis discussed earlier in the essay where I believed speaking Welsh would be the most effective method to use when teaching and learning the language.  This lesson was then altered for the second phase of our research with the introduction of a word bank being created collaboratively with the learners during the introduction phase of the lesson and clarification of some uncertain terms.  This came from the learners being taught the phrase ‘sut wyt ti?’ but ‘teimlo’ was their prompt on their worksheet</w:t>
      </w:r>
      <w:r w:rsidR="0012532C">
        <w:t xml:space="preserve"> (</w:t>
      </w:r>
      <w:r w:rsidR="00AA1058">
        <w:t>Appendices 12-14)</w:t>
      </w:r>
      <w:r>
        <w:t xml:space="preserve">.  Therefore, we edited the question </w:t>
      </w:r>
      <w:r w:rsidR="0012532C">
        <w:t xml:space="preserve">on the power-point </w:t>
      </w:r>
      <w:r>
        <w:t>to read ‘sut wyt ti’n teimlo heddiw?’ to coincide with their prompt in order to clear up any confusion caused within the classroom.  This can be seen in appendi</w:t>
      </w:r>
      <w:r w:rsidR="00AA1058">
        <w:t>ces 8 and 9,</w:t>
      </w:r>
      <w:r>
        <w:rPr>
          <w:b/>
          <w:bCs/>
        </w:rPr>
        <w:t xml:space="preserve"> </w:t>
      </w:r>
      <w:r w:rsidR="00AA1058">
        <w:t>and appendices 10 and 11</w:t>
      </w:r>
      <w:r>
        <w:rPr>
          <w:b/>
          <w:bCs/>
        </w:rPr>
        <w:t xml:space="preserve"> </w:t>
      </w:r>
      <w:r>
        <w:t xml:space="preserve">which show the original and altered </w:t>
      </w:r>
      <w:r w:rsidR="007E4B46">
        <w:t xml:space="preserve">power-points </w:t>
      </w:r>
      <w:r>
        <w:t xml:space="preserve">as well as the original and altered </w:t>
      </w:r>
      <w:r w:rsidR="007E4B46">
        <w:t>lesson plan</w:t>
      </w:r>
      <w:r>
        <w:t>.</w:t>
      </w:r>
      <w:r w:rsidR="007E4B46">
        <w:t xml:space="preserve">  The changes in the lesson plan are outlined in red to demonstrate what has been altered.  This has also been referred to in Appendix 5, section 6 where the researchers reflected on their lesson and considered future actions to improve.</w:t>
      </w:r>
    </w:p>
    <w:p w14:paraId="33389A34" w14:textId="49A17243" w:rsidR="00832242" w:rsidRDefault="00832242" w:rsidP="00832242">
      <w:pPr>
        <w:pStyle w:val="AssignSubHeader"/>
      </w:pPr>
      <w:r>
        <w:t>Lesson Study 2: Results and Analysis</w:t>
      </w:r>
    </w:p>
    <w:p w14:paraId="254A7A6C" w14:textId="163EB8F6" w:rsidR="00832242" w:rsidRDefault="00832242" w:rsidP="0012532C">
      <w:pPr>
        <w:spacing w:line="360" w:lineRule="auto"/>
      </w:pPr>
      <w:r>
        <w:t>Similarly to Child 1 during the first lesson study, Child 1 in the second class satisfied the majority of the criteria outlined in the observation schedule (</w:t>
      </w:r>
      <w:r w:rsidR="00AA1058">
        <w:t xml:space="preserve">Appendix 6).  </w:t>
      </w:r>
      <w:r>
        <w:t xml:space="preserve">Child 1 was very enthusiastic about the task and consistently tried to answer the questions during every phase of the lesson including the interviews.  However, Child 1 did not speak with much confidence which could be anticipated due to the fact they are an EAL learner.  This means that Welsh would be their third language and could be difficult to grasp.  The learner made use of the prompts given on the board when </w:t>
      </w:r>
      <w:r>
        <w:lastRenderedPageBreak/>
        <w:t xml:space="preserve">completing the main aspect of the task and use of the prompts assisted massively with their confidence.  They sometimes were unsure on the question and at one point, was corrected by their partner when they missed out a word of an answer.  During the interview, Child 1 did not talk as much as the other learners and only responded if they were directly asked a question.  However, when asked questions, they were able to give the answers confidently despite them stating they felt a little nervous about speaking Welsh to other members of the classroom.  Child 1 continued to state they would be confident using the structures learned outside of the classroom but expressed worry that their parents would not understand them due to them having Polish as their first language.  </w:t>
      </w:r>
    </w:p>
    <w:p w14:paraId="35474D37" w14:textId="5007651C" w:rsidR="00832242" w:rsidRDefault="00832242" w:rsidP="0012532C">
      <w:pPr>
        <w:spacing w:line="360" w:lineRule="auto"/>
      </w:pPr>
      <w:r>
        <w:t>Child 2 satisfied all of the criteria in the observation schedule (</w:t>
      </w:r>
      <w:r w:rsidR="00AA1058">
        <w:t xml:space="preserve">Appendix 6).  </w:t>
      </w:r>
      <w:r>
        <w:t>They were able to use all the structures confidently including the third person structures on the board in the plenary of the lesson.  They relied on the prompts to assist them but spoke with confidence when translating particularly during the interview.  Child 2 was able to assist others within the classroom, similarly to Child 1 in Lesson 1.  Child 2 translated a question to English for a classroom peer during the activity and also was able to self-correct themselves when they forgot certain aspects of the question and answer structure.  During the interview, Child 2 was able to answer a lot of the questions and was confident in doing so.  When Child 1 could not remember a question structure and they were seen to struggle, Child 2 was able to offer the correct structure in a considerate manner as they cautiously raised their hand rather than immediately interrupting.  Child 2 did this again later in the interview when Child 3 stated they needed some assistance to answer a translating question.  They also commented on how their confidence has risen throughout the academic year relating to the use of the Welsh language and would be able to use the learned structures outside of the classroom.</w:t>
      </w:r>
    </w:p>
    <w:p w14:paraId="0B6A0882" w14:textId="77777777" w:rsidR="00832242" w:rsidRPr="00405C1C" w:rsidRDefault="00832242" w:rsidP="0012532C">
      <w:pPr>
        <w:spacing w:line="360" w:lineRule="auto"/>
        <w:rPr>
          <w:b/>
          <w:bCs/>
        </w:rPr>
      </w:pPr>
      <w:r>
        <w:t xml:space="preserve">Child 3 offered high enthusiasm within the lesson and put a lot of effort into pronouncing the correct phrases.  They relied heavily on the prompts given including the phrases on the board which led to confident speaking of some Welsh.  However, they often used one word rather than full sentences to answer the questions and they were unable to answer many of the questions during the interview.  Child 3 discussed how they required some help during the task and was able to understand that their Welsh needed assistance.  The interview demonstrated that Child 3 often got confused between the question and answer structures.  They did, however, state how they enjoyed talking to others in the classroom in Welsh and would use these phrases in their family home but not when talking to their wider family.  Despite Child 3 requiring assistance from the prompts on the board, they stated how they felt the lesson could be changed by removing the prompts from the screen so they could be challenged further.  The other learners in this group did not offer any </w:t>
      </w:r>
      <w:r>
        <w:lastRenderedPageBreak/>
        <w:t>changes to the lesson.  The prompts may have had a negative effect on the learning as the children were aware that they could rely on them if they were struggling.</w:t>
      </w:r>
    </w:p>
    <w:p w14:paraId="7DD50850" w14:textId="77777777" w:rsidR="00832242" w:rsidRDefault="00832242" w:rsidP="0012532C">
      <w:pPr>
        <w:spacing w:line="360" w:lineRule="auto"/>
      </w:pPr>
      <w:r>
        <w:t>All three learners in the second part of this lesson study stated they felt that reading was the best way to learn Welsh.  Child 2 offered a valuable insight into their answer by suggesting they would use the Welsh dictionary to help them understand and read the words they were unsure of.</w:t>
      </w:r>
    </w:p>
    <w:p w14:paraId="5805BFC5" w14:textId="0F2B5153" w:rsidR="00832242" w:rsidRDefault="00832242" w:rsidP="00832242">
      <w:pPr>
        <w:pStyle w:val="AssignSubHeader"/>
      </w:pPr>
      <w:r>
        <w:t>Discussion of Research Findings and Link to Literature</w:t>
      </w:r>
    </w:p>
    <w:p w14:paraId="3362D958" w14:textId="64C7E754" w:rsidR="00832242" w:rsidRDefault="00832242" w:rsidP="0012532C">
      <w:pPr>
        <w:spacing w:line="360" w:lineRule="auto"/>
      </w:pPr>
      <w:r>
        <w:t xml:space="preserve">Firstly, the finding that the majority of the learners stated they would use reading as their main form of learning a language is surprising.  Sulzberger (2009) discusses how the best way to learn a language is frequent exposure to the sounds such as listening to a native speaker talk, or in this case, being in a bilingual lesson using that new language.  He reiterates his point regarding listening to the sounds as he suggests that you must immerse yourself into the sounds and culture of the language and therefore, he concludes that the way languages are taught in schools needs to be rethought.  The concept of immersing oneself into a language through immersion programs are further discussed by Cleaver (2013).  Immersion programmes primarily have the overall goal of promoting bilingualism and can be separated into; total immersion where all the instruction is in the second language; partial immersion which offers a more bilingual approach of sharing both language equally; and </w:t>
      </w:r>
      <w:r w:rsidR="00D92793">
        <w:t>two-way</w:t>
      </w:r>
      <w:r>
        <w:t xml:space="preserve"> immersion where learners of both languages collaborate to help each other.  Nanchen (2017) states that partial immersion is the preferred method of students.  They state that immersion programs are highly successful in developing students’ fluency and skills and can be implemented in all schools through immersion work in the classroom with no need for a full course.  However, these immersion courses concur with the finding made within the research as the learners stated reading was the best way for them to learn as the courses incorporate both speaking and reading techniques to assist learners.</w:t>
      </w:r>
    </w:p>
    <w:p w14:paraId="7238E600" w14:textId="64026159" w:rsidR="00832242" w:rsidRPr="005D7E57" w:rsidRDefault="00832242" w:rsidP="0012532C">
      <w:pPr>
        <w:spacing w:line="360" w:lineRule="auto"/>
      </w:pPr>
      <w:r>
        <w:t>Furthermore, as suggested in the first interview by Child 3, the learning of language needs to be a continual process with repetition available to the learners.  Weiler (2018) considers that repetition is highly valued by teachers and learners discussing a spectrum of repetition that all practice should sit upon at some point.  This includes mindful repetition which considers how the word is said and what sounds it consists of.  This helps to allow learners to fully understand the language and the utterances they are making.  However, Weiler (2018) also argues that ‘mindless’ repetition needs to be discouraged and the words or phrases need to be repeated in different contexts for the learners to fully understand.  This is supported by a study at the University of Maryland (</w:t>
      </w:r>
      <w:r>
        <w:rPr>
          <w:rFonts w:ascii="Arial" w:hAnsi="Arial" w:cs="Arial"/>
          <w:color w:val="000000"/>
          <w:sz w:val="20"/>
          <w:szCs w:val="20"/>
          <w:shd w:val="clear" w:color="auto" w:fill="FFFFFF"/>
        </w:rPr>
        <w:t xml:space="preserve">Newman et al., 2015) </w:t>
      </w:r>
      <w:r>
        <w:t xml:space="preserve">about mothers teaching their children how to talk.  They discussed how a mother needed to repeat </w:t>
      </w:r>
      <w:r>
        <w:lastRenderedPageBreak/>
        <w:t>the word in different types of sentences so the child could become familiar with the word in different contexts.  They modelled this using the word ‘ball.’</w:t>
      </w:r>
    </w:p>
    <w:p w14:paraId="0BDC7076" w14:textId="77777777" w:rsidR="00832242" w:rsidRDefault="00832242" w:rsidP="0012532C">
      <w:pPr>
        <w:spacing w:line="360" w:lineRule="auto"/>
      </w:pPr>
      <w:r>
        <w:t>Another interesting finding was how there was a variety of confidence levels within the classroom.  In the first phase, the middle attaining learner expressed low confidence levels in speaking Welsh, while the low attaining learner and the high attaining EAL learner expressed low confidence in the second phase of the research.  However, all the learners who displayed low confidence were comfortable in expressing their uncertainty of certain answers and did not seem to be embarrassed.  Brown (2000) suggests that confidence factors have important roles in one’s ability to communicate which is then projected into their language learning.  It has been suggested further by Brown that learners who maintained high levels of communication in their first and second language progress quicker than their peers who interacted very little in the classroom.  This is demonstrated by Child 2 in the second phase of the research, a middle attaining learner, who displayed high levels of enthusiasm and confidence which was portrayed in the interview stage where they were confidently able to answer questions and correct their peers.</w:t>
      </w:r>
    </w:p>
    <w:p w14:paraId="014E01E8" w14:textId="2ABB3EA9" w:rsidR="00832242" w:rsidRPr="0012532C" w:rsidRDefault="00832242" w:rsidP="0012532C">
      <w:pPr>
        <w:spacing w:line="360" w:lineRule="auto"/>
      </w:pPr>
      <w:r>
        <w:t>The first limitation of this study, similarly to any small study, is the sample size of the classroom.  It was not possible to adhere to the Lesson Study Handbook (Dudley, 2014) which recommends using three lessons for the study.  Further observation of the classes detailed in this study would provide a more thorough approach and offer a holistic view of Welsh second-language acquisition.  Additionally, the research was undertaken by student-teachers which could have affected the research due to lack of experience in both the classroom and the research field.  However, Dudley (2014) discusses how lesson study is a valid tool for teachers of all experience levels highlighting a counter argument that the lack of experience could actually be beneficial to the research due to no prior judgements being made by the researchers.</w:t>
      </w:r>
      <w:r w:rsidR="007E4B46">
        <w:t xml:space="preserve">  Appendices 5 and 7, section 2 demonstrate how both researchers felt apprehensive about the research due to their lack of experience of research and observing a peer.  This reflection could suggest that Lesson Study research does need to be completed by more experienced professionals and would be more beneficial later in our careers.</w:t>
      </w:r>
    </w:p>
    <w:p w14:paraId="28ABCC11" w14:textId="56C68E76" w:rsidR="00832242" w:rsidRDefault="00832242" w:rsidP="00832242">
      <w:pPr>
        <w:pStyle w:val="AssignSubHeader"/>
      </w:pPr>
      <w:r>
        <w:t>Conclusion</w:t>
      </w:r>
    </w:p>
    <w:p w14:paraId="44A515E6" w14:textId="77777777" w:rsidR="00832242" w:rsidRDefault="00832242" w:rsidP="0012532C">
      <w:pPr>
        <w:spacing w:line="360" w:lineRule="auto"/>
      </w:pPr>
      <w:r>
        <w:t xml:space="preserve">The hypothesis set at the beginning of this research that stated that oracy would be the best way for children to learn language.  The evidence herein does not support this hypothesis.  It is not the viewpoint that oral skills are impractical, but a combination of approaches is required for successful learning to occur.  These findings concur with the assertation made by the Scottish Government </w:t>
      </w:r>
      <w:r>
        <w:lastRenderedPageBreak/>
        <w:t xml:space="preserve">(gov.scot, 2015) who discuss embedding language into classroom routines including taking the register and also in resources – promoting oracy and reading skills respectively.  </w:t>
      </w:r>
    </w:p>
    <w:p w14:paraId="0C45F612" w14:textId="7DE5B48C" w:rsidR="00832242" w:rsidRDefault="00832242" w:rsidP="0012532C">
      <w:pPr>
        <w:spacing w:line="360" w:lineRule="auto"/>
      </w:pPr>
      <w:r>
        <w:t>The methods used to collect data were sufficient but as mentioned, the small sample size made it difficult to collate a large dataset.  The lesson study method is a well-trusted concept within this field and this was clearly seen during this research study</w:t>
      </w:r>
      <w:r>
        <w:t xml:space="preserve"> as it was able to offer interesting findings that will further my own development</w:t>
      </w:r>
      <w:r>
        <w:t>.</w:t>
      </w:r>
      <w:r>
        <w:t xml:space="preserve">  </w:t>
      </w:r>
      <w:r>
        <w:t>Furthermore, the use of focus group interviews and Gibbs’ Reflective Cycle (1998) were deemed successful as it allowed an insight into the learning that occurred during the lesson but also into my own feelings about the lesson as well as linking it to relevant literature.</w:t>
      </w:r>
    </w:p>
    <w:p w14:paraId="72FDB806" w14:textId="033DEC78" w:rsidR="00832242" w:rsidRDefault="00832242" w:rsidP="0012532C">
      <w:pPr>
        <w:spacing w:line="360" w:lineRule="auto"/>
      </w:pPr>
      <w:r>
        <w:t xml:space="preserve">This was my first opportunity to carry out research at this level.  It was interesting to use the methods and to analyse the findings which will be used to inform my teaching practice further into my professional development.  Though Dudley (2014) states that Lesson Study is </w:t>
      </w:r>
      <w:r>
        <w:t>accessible</w:t>
      </w:r>
      <w:r>
        <w:t xml:space="preserve"> to all practitioners irrespective of experience, I believe that, with more experience in teaching and carrying out research, I would be able to repeat this experiment at a higher level and with more confidence.</w:t>
      </w:r>
      <w:r w:rsidR="007E4B46">
        <w:t xml:space="preserve">  </w:t>
      </w:r>
    </w:p>
    <w:p w14:paraId="0A89B3D2" w14:textId="1A541F9C" w:rsidR="00832242" w:rsidRDefault="00832242" w:rsidP="0012532C">
      <w:pPr>
        <w:spacing w:line="360" w:lineRule="auto"/>
      </w:pPr>
      <w:r>
        <w:t>If this lesson was repeated, I would endeavour to include the feedback given from both sets of focus group interviews to ensure that the learners views were being considered.  Furthermore, I would strive to ensure that there was a mixture of techniques used in the classroom to coincide with the findings made in this research that reading and oracy need to be combined in order to offer the pupils the best opportunities for learning a language.  I will also try to implement this in future language lessons with particular focus on my next placement school.  This will aid my own personal development of the Welsh language as outlined by the Professional Teacher Standards (</w:t>
      </w:r>
      <w:r>
        <w:rPr>
          <w:rFonts w:ascii="Arial" w:hAnsi="Arial" w:cs="Arial"/>
          <w:color w:val="000000"/>
          <w:sz w:val="20"/>
          <w:szCs w:val="20"/>
          <w:shd w:val="clear" w:color="auto" w:fill="FFFFFF"/>
        </w:rPr>
        <w:t>Hwb.gov.wales, 2017)</w:t>
      </w:r>
      <w:r>
        <w:t>.</w:t>
      </w:r>
    </w:p>
    <w:p w14:paraId="284D55E0" w14:textId="0FA412C2" w:rsidR="00832242" w:rsidRPr="00832242" w:rsidRDefault="00832242" w:rsidP="00832242">
      <w:pPr>
        <w:pStyle w:val="AssignSubHeader"/>
      </w:pPr>
      <w:r>
        <w:t>Further Recommendations</w:t>
      </w:r>
    </w:p>
    <w:p w14:paraId="05E4CEFB" w14:textId="77777777" w:rsidR="00832242" w:rsidRDefault="00832242" w:rsidP="0012532C">
      <w:pPr>
        <w:spacing w:line="360" w:lineRule="auto"/>
      </w:pPr>
      <w:r>
        <w:t>If I was to repeat this research again, it would be interesting to expand the sample size and possibly integrate more than two lessons to deliver more holistic results.  This conclusion comes from recommendations in the Lesson Study Handbook about the amount of lessons undertaken and other research by Grigg (2014) who outlines an action research cycle, like lesson study, as having multiple research lessons.</w:t>
      </w:r>
    </w:p>
    <w:p w14:paraId="35E52AB5" w14:textId="77777777" w:rsidR="00832242" w:rsidRDefault="00832242" w:rsidP="0012532C">
      <w:pPr>
        <w:spacing w:line="360" w:lineRule="auto"/>
      </w:pPr>
      <w:r>
        <w:t xml:space="preserve">The findings collated from this research offer an insightful look into how children learn and acquire language with specific focus on the use of resources needed in the classroom to encourage learning </w:t>
      </w:r>
      <w:r>
        <w:lastRenderedPageBreak/>
        <w:t>coinciding with the mixed approach of practicing Welsh through oracy and also reading skills.  It will assist with lesson planning as I am more aware of what is required for the learners especially considering the perspectives of learners in the classroom who know how they would like to learn.</w:t>
      </w:r>
    </w:p>
    <w:p w14:paraId="33A42C15" w14:textId="48D2BADB" w:rsidR="00832242" w:rsidRDefault="00832242" w:rsidP="0012532C">
      <w:pPr>
        <w:spacing w:line="360" w:lineRule="auto"/>
      </w:pPr>
      <w:r>
        <w:t>Furthermore, it demonstrates that research is crucial to the practice of teaching as a great deal of information has been gathered from this small research study which will assist with the practice of the student-teachers involved.  This research must be continued throughout the profession with assertations made by Grigg (2014) that teachers must continue to research in order to benefit themselves and their students.  This practice can then be shared between other professionals.</w:t>
      </w:r>
    </w:p>
    <w:p w14:paraId="57575260" w14:textId="4C001F84" w:rsidR="0012532C" w:rsidRDefault="0012532C" w:rsidP="0012532C">
      <w:pPr>
        <w:spacing w:line="360" w:lineRule="auto"/>
      </w:pPr>
    </w:p>
    <w:p w14:paraId="3BC5E159" w14:textId="3162D75E" w:rsidR="0012532C" w:rsidRDefault="0012532C" w:rsidP="0012532C">
      <w:pPr>
        <w:spacing w:line="360" w:lineRule="auto"/>
      </w:pPr>
    </w:p>
    <w:p w14:paraId="37ED084A" w14:textId="1B63E23E" w:rsidR="0012532C" w:rsidRDefault="0012532C" w:rsidP="0012532C">
      <w:pPr>
        <w:spacing w:line="360" w:lineRule="auto"/>
      </w:pPr>
    </w:p>
    <w:p w14:paraId="61EB1274" w14:textId="77777777" w:rsidR="0012532C" w:rsidRDefault="0012532C" w:rsidP="0012532C">
      <w:pPr>
        <w:spacing w:line="360" w:lineRule="auto"/>
      </w:pPr>
    </w:p>
    <w:p w14:paraId="3C3C02A9" w14:textId="122FD33F" w:rsidR="00832242" w:rsidRDefault="00832242" w:rsidP="00832242"/>
    <w:p w14:paraId="4FC7C8F7" w14:textId="3E758499" w:rsidR="0012532C" w:rsidRDefault="0012532C" w:rsidP="00832242"/>
    <w:p w14:paraId="3D6CA565" w14:textId="0C11D5EE" w:rsidR="0012532C" w:rsidRDefault="0012532C" w:rsidP="00832242"/>
    <w:p w14:paraId="2348D4D1" w14:textId="3C192919" w:rsidR="0012532C" w:rsidRDefault="0012532C" w:rsidP="00832242"/>
    <w:p w14:paraId="2C4A6F63" w14:textId="3E9FF17F" w:rsidR="0012532C" w:rsidRDefault="0012532C" w:rsidP="00832242"/>
    <w:p w14:paraId="19006862" w14:textId="3FB149E0" w:rsidR="0012532C" w:rsidRDefault="0012532C" w:rsidP="00832242"/>
    <w:p w14:paraId="0F6BDACA" w14:textId="37B524A4" w:rsidR="0012532C" w:rsidRDefault="0012532C" w:rsidP="00832242"/>
    <w:p w14:paraId="3B4B7654" w14:textId="59074AAF" w:rsidR="0012532C" w:rsidRDefault="0012532C" w:rsidP="00832242"/>
    <w:p w14:paraId="07C8F112" w14:textId="42D4FCAE" w:rsidR="0012532C" w:rsidRDefault="0012532C" w:rsidP="00832242"/>
    <w:p w14:paraId="7FEE8170" w14:textId="7BE8AAE8" w:rsidR="0012532C" w:rsidRDefault="0012532C" w:rsidP="00832242"/>
    <w:p w14:paraId="27F184FD" w14:textId="77879761" w:rsidR="0012532C" w:rsidRDefault="0012532C" w:rsidP="00832242"/>
    <w:p w14:paraId="27C74A4B" w14:textId="2379E202" w:rsidR="0012532C" w:rsidRDefault="0012532C" w:rsidP="00832242"/>
    <w:p w14:paraId="15E03A80" w14:textId="5630F6D2" w:rsidR="0012532C" w:rsidRDefault="0012532C" w:rsidP="00832242"/>
    <w:p w14:paraId="2F79CA94" w14:textId="6E5D6601" w:rsidR="0012532C" w:rsidRDefault="0012532C" w:rsidP="00832242"/>
    <w:p w14:paraId="101F3731" w14:textId="18950BF9" w:rsidR="0012532C" w:rsidRDefault="0012532C" w:rsidP="00832242"/>
    <w:p w14:paraId="28F919A3" w14:textId="7759554F" w:rsidR="0012532C" w:rsidRDefault="0012532C" w:rsidP="00832242"/>
    <w:p w14:paraId="47431378" w14:textId="77777777" w:rsidR="007E4B46" w:rsidRDefault="007E4B46" w:rsidP="0012532C">
      <w:pPr>
        <w:pStyle w:val="AssignSubHeader"/>
      </w:pPr>
    </w:p>
    <w:p w14:paraId="5517A8EB" w14:textId="5B7F8CA2" w:rsidR="0012532C" w:rsidRDefault="0012532C" w:rsidP="0012532C">
      <w:pPr>
        <w:pStyle w:val="AssignSubHeader"/>
      </w:pPr>
      <w:r>
        <w:lastRenderedPageBreak/>
        <w:t>References</w:t>
      </w:r>
    </w:p>
    <w:p w14:paraId="1B3B1A3C" w14:textId="77777777" w:rsidR="0012532C" w:rsidRPr="002D112E" w:rsidRDefault="0012532C" w:rsidP="0012532C">
      <w:pPr>
        <w:shd w:val="clear" w:color="auto" w:fill="FFFFFF"/>
        <w:spacing w:before="330" w:after="330" w:line="240" w:lineRule="auto"/>
        <w:outlineLvl w:val="2"/>
        <w:rPr>
          <w:rFonts w:cstheme="minorHAnsi"/>
          <w:shd w:val="clear" w:color="auto" w:fill="FFFFFF"/>
        </w:rPr>
      </w:pPr>
      <w:r w:rsidRPr="002D112E">
        <w:rPr>
          <w:rFonts w:cstheme="minorHAnsi"/>
          <w:shd w:val="clear" w:color="auto" w:fill="FFFFFF"/>
        </w:rPr>
        <w:t>British Educational Research Association (BERA) (2018) </w:t>
      </w:r>
      <w:r w:rsidRPr="002D112E">
        <w:rPr>
          <w:rStyle w:val="Emphasis"/>
          <w:rFonts w:cstheme="minorHAnsi"/>
          <w:shd w:val="clear" w:color="auto" w:fill="FFFFFF"/>
        </w:rPr>
        <w:t>Ethical Guidelines for Educational Research</w:t>
      </w:r>
      <w:r w:rsidRPr="002D112E">
        <w:rPr>
          <w:rFonts w:cstheme="minorHAnsi"/>
          <w:shd w:val="clear" w:color="auto" w:fill="FFFFFF"/>
        </w:rPr>
        <w:t>. 4th edn. Available at: </w:t>
      </w:r>
      <w:hyperlink r:id="rId9" w:history="1">
        <w:r w:rsidRPr="002D112E">
          <w:rPr>
            <w:rStyle w:val="Hyperlink"/>
            <w:rFonts w:cstheme="minorHAnsi"/>
            <w:shd w:val="clear" w:color="auto" w:fill="FFFFFF"/>
          </w:rPr>
          <w:t>https://www.bera.ac.uk/researchers-resources/publications/ethical-guidelines-for-educational-research-2018</w:t>
        </w:r>
      </w:hyperlink>
      <w:r w:rsidRPr="002D112E">
        <w:rPr>
          <w:rFonts w:cstheme="minorHAnsi"/>
          <w:shd w:val="clear" w:color="auto" w:fill="FFFFFF"/>
        </w:rPr>
        <w:t> (Accessed: 10</w:t>
      </w:r>
      <w:r w:rsidRPr="002D112E">
        <w:rPr>
          <w:rFonts w:cstheme="minorHAnsi"/>
          <w:shd w:val="clear" w:color="auto" w:fill="FFFFFF"/>
          <w:vertAlign w:val="superscript"/>
        </w:rPr>
        <w:t>th</w:t>
      </w:r>
      <w:r w:rsidRPr="002D112E">
        <w:rPr>
          <w:rFonts w:cstheme="minorHAnsi"/>
          <w:shd w:val="clear" w:color="auto" w:fill="FFFFFF"/>
        </w:rPr>
        <w:t xml:space="preserve"> February 2020).</w:t>
      </w:r>
    </w:p>
    <w:p w14:paraId="456A2213" w14:textId="77777777" w:rsidR="0012532C" w:rsidRPr="002D112E" w:rsidRDefault="0012532C" w:rsidP="0012532C">
      <w:pPr>
        <w:rPr>
          <w:rFonts w:cstheme="minorHAnsi"/>
        </w:rPr>
      </w:pPr>
      <w:r w:rsidRPr="002D112E">
        <w:rPr>
          <w:rFonts w:cstheme="minorHAnsi"/>
        </w:rPr>
        <w:t>Brookfield, S. (1995).</w:t>
      </w:r>
      <w:r w:rsidRPr="002D112E">
        <w:rPr>
          <w:rStyle w:val="Emphasis"/>
          <w:rFonts w:cstheme="minorHAnsi"/>
          <w:bdr w:val="none" w:sz="0" w:space="0" w:color="auto" w:frame="1"/>
        </w:rPr>
        <w:t> Becoming a Critically Reflective Teacher</w:t>
      </w:r>
      <w:r w:rsidRPr="002D112E">
        <w:rPr>
          <w:rFonts w:cstheme="minorHAnsi"/>
        </w:rPr>
        <w:t>. San-Francisco: Jossey-Bass.</w:t>
      </w:r>
    </w:p>
    <w:p w14:paraId="13AA082C" w14:textId="77777777" w:rsidR="0012532C" w:rsidRPr="002D112E" w:rsidRDefault="0012532C" w:rsidP="0012532C">
      <w:pPr>
        <w:rPr>
          <w:rFonts w:cstheme="minorHAnsi"/>
        </w:rPr>
      </w:pPr>
      <w:r w:rsidRPr="002D112E">
        <w:rPr>
          <w:rFonts w:cstheme="minorHAnsi"/>
        </w:rPr>
        <w:t xml:space="preserve">Brown, D. H. (2000). </w:t>
      </w:r>
      <w:r w:rsidRPr="002D112E">
        <w:rPr>
          <w:rFonts w:cstheme="minorHAnsi"/>
          <w:i/>
          <w:iCs/>
        </w:rPr>
        <w:t>Principles of language learning &amp; teaching</w:t>
      </w:r>
      <w:r w:rsidRPr="002D112E">
        <w:rPr>
          <w:rFonts w:cstheme="minorHAnsi"/>
        </w:rPr>
        <w:t>. (4th ed.). New York: Longman.</w:t>
      </w:r>
    </w:p>
    <w:p w14:paraId="7D084E95" w14:textId="77777777" w:rsidR="0012532C" w:rsidRPr="002D112E" w:rsidRDefault="0012532C" w:rsidP="0012532C">
      <w:pPr>
        <w:rPr>
          <w:rFonts w:cstheme="minorHAnsi"/>
          <w:shd w:val="clear" w:color="auto" w:fill="FFFFFF"/>
        </w:rPr>
      </w:pPr>
      <w:r w:rsidRPr="002D112E">
        <w:rPr>
          <w:rFonts w:cstheme="minorHAnsi"/>
          <w:shd w:val="clear" w:color="auto" w:fill="FFFFFF"/>
        </w:rPr>
        <w:t>Chomsky, N. (1965). </w:t>
      </w:r>
      <w:r w:rsidRPr="002D112E">
        <w:rPr>
          <w:rStyle w:val="Emphasis"/>
          <w:rFonts w:cstheme="minorHAnsi"/>
          <w:shd w:val="clear" w:color="auto" w:fill="FFFFFF"/>
        </w:rPr>
        <w:t>Aspects of the Theory of Syntax</w:t>
      </w:r>
      <w:r w:rsidRPr="002D112E">
        <w:rPr>
          <w:rFonts w:cstheme="minorHAnsi"/>
          <w:shd w:val="clear" w:color="auto" w:fill="FFFFFF"/>
        </w:rPr>
        <w:t>. MIT Press.</w:t>
      </w:r>
    </w:p>
    <w:p w14:paraId="42BB98B9" w14:textId="77777777" w:rsidR="0012532C" w:rsidRPr="002D112E" w:rsidRDefault="0012532C" w:rsidP="0012532C">
      <w:pPr>
        <w:rPr>
          <w:rFonts w:cstheme="minorHAnsi"/>
          <w:shd w:val="clear" w:color="auto" w:fill="FFFFFF"/>
        </w:rPr>
      </w:pPr>
      <w:r w:rsidRPr="002D112E">
        <w:rPr>
          <w:rFonts w:cstheme="minorHAnsi"/>
          <w:shd w:val="clear" w:color="auto" w:fill="FFFFFF"/>
        </w:rPr>
        <w:t>Cleaver, S. (2013). </w:t>
      </w:r>
      <w:r w:rsidRPr="002D112E">
        <w:rPr>
          <w:rFonts w:cstheme="minorHAnsi"/>
          <w:i/>
          <w:iCs/>
          <w:shd w:val="clear" w:color="auto" w:fill="FFFFFF"/>
        </w:rPr>
        <w:t>Why Immersion May Be the Key to Foreign Language Learning - WeAreTeachers</w:t>
      </w:r>
      <w:r w:rsidRPr="002D112E">
        <w:rPr>
          <w:rFonts w:cstheme="minorHAnsi"/>
          <w:shd w:val="clear" w:color="auto" w:fill="FFFFFF"/>
        </w:rPr>
        <w:t>. [online] WeAreTeachers. Available at: https://www.weareteachers.com/why-immersion-may-be-the-key-to-foreign-language-learning/ [Accessed 13 Feb. 2020].</w:t>
      </w:r>
    </w:p>
    <w:p w14:paraId="31DECEF2" w14:textId="77777777" w:rsidR="0012532C" w:rsidRPr="002D112E" w:rsidRDefault="0012532C" w:rsidP="0012532C">
      <w:pPr>
        <w:rPr>
          <w:rFonts w:cstheme="minorHAnsi"/>
        </w:rPr>
      </w:pPr>
      <w:r w:rsidRPr="002D112E">
        <w:rPr>
          <w:rFonts w:cstheme="minorHAnsi"/>
          <w:shd w:val="clear" w:color="auto" w:fill="FFFFFF"/>
        </w:rPr>
        <w:t>Cohen, L., Manion, L. and Morrison, K. (2009). </w:t>
      </w:r>
      <w:r w:rsidRPr="002D112E">
        <w:rPr>
          <w:rFonts w:cstheme="minorHAnsi"/>
          <w:i/>
          <w:iCs/>
          <w:shd w:val="clear" w:color="auto" w:fill="FFFFFF"/>
        </w:rPr>
        <w:t>Research methods in education</w:t>
      </w:r>
      <w:r w:rsidRPr="002D112E">
        <w:rPr>
          <w:rFonts w:cstheme="minorHAnsi"/>
          <w:shd w:val="clear" w:color="auto" w:fill="FFFFFF"/>
        </w:rPr>
        <w:t>. 7th ed. London: Routledge.</w:t>
      </w:r>
    </w:p>
    <w:p w14:paraId="4BB5D64E" w14:textId="77777777" w:rsidR="0012532C" w:rsidRPr="002D112E" w:rsidRDefault="0012532C" w:rsidP="0012532C">
      <w:pPr>
        <w:rPr>
          <w:rFonts w:cstheme="minorHAnsi"/>
          <w:shd w:val="clear" w:color="auto" w:fill="FFFFFF"/>
        </w:rPr>
      </w:pPr>
      <w:r w:rsidRPr="002D112E">
        <w:rPr>
          <w:rFonts w:cstheme="minorHAnsi"/>
        </w:rPr>
        <w:t xml:space="preserve">Cordingley, P., Bell, M., Rundell, B., Evans, D., &amp; Curtis, A. (2004). </w:t>
      </w:r>
      <w:r w:rsidRPr="002D112E">
        <w:rPr>
          <w:rFonts w:cstheme="minorHAnsi"/>
          <w:i/>
          <w:iCs/>
        </w:rPr>
        <w:t>How do collaborative and sustained CPD and sustained but not collaborative CPD affect teaching and learning?</w:t>
      </w:r>
      <w:r w:rsidRPr="002D112E">
        <w:rPr>
          <w:rFonts w:cstheme="minorHAnsi"/>
        </w:rPr>
        <w:t xml:space="preserve"> London: EPPI-Centre, Institute of Education</w:t>
      </w:r>
    </w:p>
    <w:p w14:paraId="19EB579D" w14:textId="77777777" w:rsidR="0012532C" w:rsidRPr="002D112E" w:rsidRDefault="0012532C" w:rsidP="0012532C">
      <w:pPr>
        <w:rPr>
          <w:rFonts w:cstheme="minorHAnsi"/>
          <w:shd w:val="clear" w:color="auto" w:fill="FFFFFF"/>
        </w:rPr>
      </w:pPr>
      <w:r w:rsidRPr="002D112E">
        <w:rPr>
          <w:rFonts w:cstheme="minorHAnsi"/>
          <w:shd w:val="clear" w:color="auto" w:fill="FFFFFF"/>
        </w:rPr>
        <w:t>Czekala, B. (2018). </w:t>
      </w:r>
      <w:r w:rsidRPr="002D112E">
        <w:rPr>
          <w:rFonts w:cstheme="minorHAnsi"/>
          <w:i/>
          <w:iCs/>
          <w:shd w:val="clear" w:color="auto" w:fill="FFFFFF"/>
        </w:rPr>
        <w:t>Writing or speaking - what is better for learning languages?</w:t>
      </w:r>
      <w:r w:rsidRPr="002D112E">
        <w:rPr>
          <w:rFonts w:cstheme="minorHAnsi"/>
          <w:shd w:val="clear" w:color="auto" w:fill="FFFFFF"/>
        </w:rPr>
        <w:t>. [online] The Universe Of Memory. Available at: https://universeofmemory.com/writing-or-speaking/ [Accessed 1 Feb. 2020].</w:t>
      </w:r>
    </w:p>
    <w:p w14:paraId="748CDD60" w14:textId="77777777" w:rsidR="0012532C" w:rsidRPr="002D112E" w:rsidRDefault="0012532C" w:rsidP="0012532C">
      <w:pPr>
        <w:rPr>
          <w:rFonts w:cstheme="minorHAnsi"/>
        </w:rPr>
      </w:pPr>
      <w:r w:rsidRPr="002D112E">
        <w:rPr>
          <w:rFonts w:cstheme="minorHAnsi"/>
        </w:rPr>
        <w:t xml:space="preserve">Darcy N. T. (1963) </w:t>
      </w:r>
      <w:r w:rsidRPr="002D112E">
        <w:rPr>
          <w:rFonts w:cstheme="minorHAnsi"/>
          <w:i/>
          <w:iCs/>
        </w:rPr>
        <w:t xml:space="preserve">Bilingualism and the measurement of intelligence: Review of a decade of research. </w:t>
      </w:r>
      <w:r w:rsidRPr="002D112E">
        <w:rPr>
          <w:rFonts w:cstheme="minorHAnsi"/>
        </w:rPr>
        <w:t>Journal of Genetic Psychology, 103, 259–282.</w:t>
      </w:r>
    </w:p>
    <w:p w14:paraId="5B15A6AE" w14:textId="77777777" w:rsidR="0012532C" w:rsidRPr="002D112E" w:rsidRDefault="0012532C" w:rsidP="0012532C">
      <w:pPr>
        <w:shd w:val="clear" w:color="auto" w:fill="FFFFFF"/>
        <w:spacing w:before="330" w:after="330" w:line="240" w:lineRule="auto"/>
        <w:outlineLvl w:val="2"/>
        <w:rPr>
          <w:rFonts w:cstheme="minorHAnsi"/>
        </w:rPr>
      </w:pPr>
      <w:r w:rsidRPr="002D112E">
        <w:rPr>
          <w:rFonts w:cstheme="minorHAnsi"/>
          <w:shd w:val="clear" w:color="auto" w:fill="FFFFFF"/>
        </w:rPr>
        <w:t>deMunck, V. &amp; Sobo, E (Eds) (1998). </w:t>
      </w:r>
      <w:r w:rsidRPr="002D112E">
        <w:rPr>
          <w:rFonts w:cstheme="minorHAnsi"/>
          <w:i/>
          <w:iCs/>
          <w:shd w:val="clear" w:color="auto" w:fill="FFFFFF"/>
        </w:rPr>
        <w:t>Using Methods in the Field: A Practical Introduction and Casebook</w:t>
      </w:r>
      <w:r w:rsidRPr="002D112E">
        <w:rPr>
          <w:rFonts w:cstheme="minorHAnsi"/>
          <w:shd w:val="clear" w:color="auto" w:fill="FFFFFF"/>
        </w:rPr>
        <w:t>. Walnut Creek, CA: AltaMira Press</w:t>
      </w:r>
    </w:p>
    <w:p w14:paraId="68A85652" w14:textId="77777777" w:rsidR="0012532C" w:rsidRPr="002D112E" w:rsidRDefault="0012532C" w:rsidP="0012532C">
      <w:pPr>
        <w:shd w:val="clear" w:color="auto" w:fill="FFFFFF"/>
        <w:spacing w:before="330" w:after="330" w:line="240" w:lineRule="auto"/>
        <w:outlineLvl w:val="2"/>
        <w:rPr>
          <w:rFonts w:cstheme="minorHAnsi"/>
          <w:shd w:val="clear" w:color="auto" w:fill="FFFFFF"/>
        </w:rPr>
      </w:pPr>
      <w:r w:rsidRPr="002D112E">
        <w:rPr>
          <w:rFonts w:cstheme="minorHAnsi"/>
          <w:shd w:val="clear" w:color="auto" w:fill="FFFFFF"/>
        </w:rPr>
        <w:t>Donaldson, G. (2015). </w:t>
      </w:r>
      <w:r w:rsidRPr="002D112E">
        <w:rPr>
          <w:rFonts w:cstheme="minorHAnsi"/>
          <w:i/>
          <w:iCs/>
          <w:shd w:val="clear" w:color="auto" w:fill="FFFFFF"/>
        </w:rPr>
        <w:t>Successful Futures</w:t>
      </w:r>
      <w:r w:rsidRPr="002D112E">
        <w:rPr>
          <w:rFonts w:cstheme="minorHAnsi"/>
          <w:shd w:val="clear" w:color="auto" w:fill="FFFFFF"/>
        </w:rPr>
        <w:t>. [online] Gov.wales. Available at: https://gov.wales/sites/default/files/publications/2018-03/succesful-futures-a-summary-of-professor-graham-donaldsons-report.pdf [Accessed 1</w:t>
      </w:r>
      <w:r w:rsidRPr="002D112E">
        <w:rPr>
          <w:rFonts w:cstheme="minorHAnsi"/>
          <w:shd w:val="clear" w:color="auto" w:fill="FFFFFF"/>
          <w:vertAlign w:val="superscript"/>
        </w:rPr>
        <w:t>st</w:t>
      </w:r>
      <w:r w:rsidRPr="002D112E">
        <w:rPr>
          <w:rFonts w:cstheme="minorHAnsi"/>
          <w:shd w:val="clear" w:color="auto" w:fill="FFFFFF"/>
        </w:rPr>
        <w:t xml:space="preserve"> February, 2020].</w:t>
      </w:r>
    </w:p>
    <w:p w14:paraId="1D048453" w14:textId="77777777" w:rsidR="0012532C" w:rsidRPr="002D112E" w:rsidRDefault="0012532C" w:rsidP="0012532C">
      <w:pPr>
        <w:shd w:val="clear" w:color="auto" w:fill="FFFFFF"/>
        <w:spacing w:before="330" w:after="330" w:line="240" w:lineRule="auto"/>
        <w:outlineLvl w:val="2"/>
        <w:rPr>
          <w:rFonts w:cstheme="minorHAnsi"/>
        </w:rPr>
      </w:pPr>
      <w:r w:rsidRPr="002D112E">
        <w:rPr>
          <w:rFonts w:cstheme="minorHAnsi"/>
        </w:rPr>
        <w:t xml:space="preserve">Dudley, P. (2013) </w:t>
      </w:r>
      <w:r w:rsidRPr="002D112E">
        <w:rPr>
          <w:rFonts w:cstheme="minorHAnsi"/>
          <w:i/>
          <w:iCs/>
        </w:rPr>
        <w:t>Teacher Learning in Lesson Study: What interaction level discourse analysis revealed about how teachers utilised imagination, tacit knowledge of</w:t>
      </w:r>
      <w:r w:rsidRPr="002D112E">
        <w:rPr>
          <w:rFonts w:cstheme="minorHAnsi"/>
          <w:i/>
          <w:iCs/>
        </w:rPr>
        <w:br/>
        <w:t>teaching and fresh evidence of pupils learning, to develop practice knowledge and so enhance their pupils learning.</w:t>
      </w:r>
      <w:r w:rsidRPr="002D112E">
        <w:rPr>
          <w:rFonts w:cstheme="minorHAnsi"/>
        </w:rPr>
        <w:t> </w:t>
      </w:r>
      <w:r w:rsidRPr="002D112E">
        <w:rPr>
          <w:rStyle w:val="Emphasis"/>
          <w:rFonts w:cstheme="minorHAnsi"/>
        </w:rPr>
        <w:t>Teaching and Teacher Education </w:t>
      </w:r>
      <w:r w:rsidRPr="002D112E">
        <w:rPr>
          <w:rFonts w:cstheme="minorHAnsi"/>
        </w:rPr>
        <w:t>34(1), 107-121.</w:t>
      </w:r>
    </w:p>
    <w:p w14:paraId="51551348" w14:textId="77777777" w:rsidR="0012532C" w:rsidRPr="002D112E" w:rsidRDefault="0012532C" w:rsidP="0012532C">
      <w:pPr>
        <w:shd w:val="clear" w:color="auto" w:fill="FFFFFF"/>
        <w:spacing w:before="330" w:after="330" w:line="240" w:lineRule="auto"/>
        <w:outlineLvl w:val="2"/>
        <w:rPr>
          <w:rFonts w:cstheme="minorHAnsi"/>
          <w:shd w:val="clear" w:color="auto" w:fill="FFFFFF"/>
        </w:rPr>
      </w:pPr>
      <w:r w:rsidRPr="002D112E">
        <w:rPr>
          <w:rFonts w:cstheme="minorHAnsi"/>
          <w:shd w:val="clear" w:color="auto" w:fill="FFFFFF"/>
        </w:rPr>
        <w:t>Dudley, P. (2014). </w:t>
      </w:r>
      <w:r w:rsidRPr="002D112E">
        <w:rPr>
          <w:rFonts w:cstheme="minorHAnsi"/>
          <w:i/>
          <w:iCs/>
          <w:shd w:val="clear" w:color="auto" w:fill="FFFFFF"/>
        </w:rPr>
        <w:t>Lesson Study Handbook</w:t>
      </w:r>
      <w:r w:rsidRPr="002D112E">
        <w:rPr>
          <w:rFonts w:cstheme="minorHAnsi"/>
          <w:shd w:val="clear" w:color="auto" w:fill="FFFFFF"/>
        </w:rPr>
        <w:t>. [online] Lessonstudy.co.uk. Available at: http://lessonstudy.co.uk/wp-content/uploads/2012/03/new-handbook-revisedMay14.pdf [Accessed 1 Feb. 2020].</w:t>
      </w:r>
    </w:p>
    <w:p w14:paraId="4E40F9A0" w14:textId="145F732B" w:rsidR="0012532C" w:rsidRPr="002D112E" w:rsidRDefault="0012532C" w:rsidP="0012532C">
      <w:pPr>
        <w:rPr>
          <w:rFonts w:cstheme="minorHAnsi"/>
        </w:rPr>
      </w:pPr>
      <w:r w:rsidRPr="002D112E">
        <w:rPr>
          <w:rFonts w:cstheme="minorHAnsi"/>
        </w:rPr>
        <w:t>Dudley, P., Xu, H., Vermunt, J. D., Lang, J. (2019). ‘</w:t>
      </w:r>
      <w:r w:rsidRPr="002D112E">
        <w:rPr>
          <w:rFonts w:cstheme="minorHAnsi"/>
          <w:i/>
          <w:iCs/>
        </w:rPr>
        <w:t xml:space="preserve">Empirical evidence of the impact of lesson study on: students’ achievement, teachers’ professional learning and on institutional and system evolution: </w:t>
      </w:r>
      <w:r w:rsidRPr="002D112E">
        <w:rPr>
          <w:rFonts w:cstheme="minorHAnsi"/>
          <w:i/>
          <w:iCs/>
        </w:rPr>
        <w:lastRenderedPageBreak/>
        <w:t>an illustrative, complex case-development exemplar in London’</w:t>
      </w:r>
      <w:r w:rsidRPr="002D112E">
        <w:rPr>
          <w:rFonts w:cstheme="minorHAnsi"/>
        </w:rPr>
        <w:t>, European Journal of Education 54.2. 202-217</w:t>
      </w:r>
    </w:p>
    <w:p w14:paraId="2DB54DFC" w14:textId="77777777" w:rsidR="0012532C" w:rsidRPr="002D112E" w:rsidRDefault="0012532C" w:rsidP="0012532C">
      <w:pPr>
        <w:spacing w:line="240" w:lineRule="auto"/>
        <w:rPr>
          <w:rFonts w:cstheme="minorHAnsi"/>
          <w:shd w:val="clear" w:color="auto" w:fill="FFFFFF"/>
        </w:rPr>
      </w:pPr>
      <w:r w:rsidRPr="002D112E">
        <w:rPr>
          <w:rFonts w:cstheme="minorHAnsi"/>
          <w:noProof/>
        </w:rPr>
        <mc:AlternateContent>
          <mc:Choice Requires="wps">
            <w:drawing>
              <wp:anchor distT="0" distB="0" distL="114300" distR="114300" simplePos="0" relativeHeight="251660288" behindDoc="0" locked="0" layoutInCell="1" allowOverlap="1" wp14:anchorId="2A726DD4" wp14:editId="02EC3A1B">
                <wp:simplePos x="0" y="0"/>
                <wp:positionH relativeFrom="column">
                  <wp:posOffset>83820</wp:posOffset>
                </wp:positionH>
                <wp:positionV relativeFrom="paragraph">
                  <wp:posOffset>374015</wp:posOffset>
                </wp:positionV>
                <wp:extent cx="1775638" cy="116826"/>
                <wp:effectExtent l="0" t="0" r="15240" b="17145"/>
                <wp:wrapNone/>
                <wp:docPr id="17" name="Rectangle 17"/>
                <wp:cNvGraphicFramePr/>
                <a:graphic xmlns:a="http://schemas.openxmlformats.org/drawingml/2006/main">
                  <a:graphicData uri="http://schemas.microsoft.com/office/word/2010/wordprocessingShape">
                    <wps:wsp>
                      <wps:cNvSpPr/>
                      <wps:spPr>
                        <a:xfrm>
                          <a:off x="0" y="0"/>
                          <a:ext cx="1775638" cy="11682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DE7A4F" id="Rectangle 17" o:spid="_x0000_s1026" style="position:absolute;margin-left:6.6pt;margin-top:29.45pt;width:139.8pt;height:9.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" fillcolor="black [3200]" strokecolor="black [1600]" strokeweight="1pt"/>
            </w:pict>
          </mc:Fallback>
        </mc:AlternateContent>
      </w:r>
      <w:r w:rsidRPr="002D112E">
        <w:rPr>
          <w:rFonts w:cstheme="minorHAnsi"/>
          <w:noProof/>
        </w:rPr>
        <mc:AlternateContent>
          <mc:Choice Requires="wps">
            <w:drawing>
              <wp:anchor distT="0" distB="0" distL="114300" distR="114300" simplePos="0" relativeHeight="251659264" behindDoc="0" locked="0" layoutInCell="1" allowOverlap="1" wp14:anchorId="3B7DDA5A" wp14:editId="662E7F8B">
                <wp:simplePos x="0" y="0"/>
                <wp:positionH relativeFrom="column">
                  <wp:posOffset>1362075</wp:posOffset>
                </wp:positionH>
                <wp:positionV relativeFrom="paragraph">
                  <wp:posOffset>57785</wp:posOffset>
                </wp:positionV>
                <wp:extent cx="1152525" cy="952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152525"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FC159D" id="Rectangle 16" o:spid="_x0000_s1026" style="position:absolute;margin-left:107.25pt;margin-top:4.55pt;width:90.75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" fillcolor="black [3200]" strokecolor="black [1600]" strokeweight="1pt"/>
            </w:pict>
          </mc:Fallback>
        </mc:AlternateContent>
      </w:r>
      <w:r w:rsidRPr="002D112E">
        <w:rPr>
          <w:rFonts w:cstheme="minorHAnsi"/>
          <w:shd w:val="clear" w:color="auto" w:fill="FFFFFF"/>
        </w:rPr>
        <w:t>Estyn.gov.wales. (2014). </w:t>
      </w:r>
      <w:r w:rsidRPr="002D112E">
        <w:rPr>
          <w:rFonts w:cstheme="minorHAnsi"/>
          <w:i/>
          <w:iCs/>
          <w:shd w:val="clear" w:color="auto" w:fill="FFFFFF"/>
        </w:rPr>
        <w:t>Halfway C.P School</w:t>
      </w:r>
      <w:r w:rsidRPr="002D112E">
        <w:rPr>
          <w:rFonts w:cstheme="minorHAnsi"/>
          <w:shd w:val="clear" w:color="auto" w:fill="FFFFFF"/>
        </w:rPr>
        <w:t>. [online] Available at: https://www.estyn.gov.wales/sites/www.estyn.gov.wales/files/documents/Inspection%20report%20Halfway%20C.P.%20School%202014%20%28English%20only%29_0.pdf.pdf.pdf.pdf.pdf.pdf.pdf.pdf [Accessed 1</w:t>
      </w:r>
      <w:r w:rsidRPr="002D112E">
        <w:rPr>
          <w:rFonts w:cstheme="minorHAnsi"/>
          <w:shd w:val="clear" w:color="auto" w:fill="FFFFFF"/>
          <w:vertAlign w:val="superscript"/>
        </w:rPr>
        <w:t>st</w:t>
      </w:r>
      <w:r w:rsidRPr="002D112E">
        <w:rPr>
          <w:rFonts w:cstheme="minorHAnsi"/>
          <w:shd w:val="clear" w:color="auto" w:fill="FFFFFF"/>
        </w:rPr>
        <w:t xml:space="preserve"> February, 2020].</w:t>
      </w:r>
    </w:p>
    <w:p w14:paraId="1F7D94BD" w14:textId="77777777" w:rsidR="0012532C" w:rsidRPr="002D112E" w:rsidRDefault="0012532C" w:rsidP="0012532C">
      <w:pPr>
        <w:spacing w:line="240" w:lineRule="auto"/>
        <w:rPr>
          <w:rFonts w:cstheme="minorHAnsi"/>
          <w:shd w:val="clear" w:color="auto" w:fill="FFFFFF"/>
        </w:rPr>
      </w:pPr>
      <w:r w:rsidRPr="002D112E">
        <w:rPr>
          <w:rFonts w:cstheme="minorHAnsi"/>
          <w:shd w:val="clear" w:color="auto" w:fill="FFFFFF"/>
        </w:rPr>
        <w:t>Ewc.wales. (2018). </w:t>
      </w:r>
      <w:r w:rsidRPr="002D112E">
        <w:rPr>
          <w:rFonts w:cstheme="minorHAnsi"/>
          <w:i/>
          <w:iCs/>
          <w:shd w:val="clear" w:color="auto" w:fill="FFFFFF"/>
        </w:rPr>
        <w:t>Code of Professional Conduct and Practice for registrants with the Education Workforce Council (EWC)</w:t>
      </w:r>
      <w:r w:rsidRPr="002D112E">
        <w:rPr>
          <w:rFonts w:cstheme="minorHAnsi"/>
          <w:shd w:val="clear" w:color="auto" w:fill="FFFFFF"/>
        </w:rPr>
        <w:t>. [online] Available at: https://www.ewc.wales/site/index.php/en/registration/applying-for-registration [Accessed 1 Feb. 2020].</w:t>
      </w:r>
    </w:p>
    <w:p w14:paraId="2FBFE87C" w14:textId="77777777" w:rsidR="0012532C" w:rsidRPr="002D112E" w:rsidRDefault="0012532C" w:rsidP="0012532C">
      <w:pPr>
        <w:spacing w:line="240" w:lineRule="auto"/>
        <w:rPr>
          <w:rFonts w:cstheme="minorHAnsi"/>
          <w:shd w:val="clear" w:color="auto" w:fill="FFFFFF"/>
        </w:rPr>
      </w:pPr>
      <w:r w:rsidRPr="002D112E">
        <w:rPr>
          <w:rFonts w:cstheme="minorHAnsi"/>
          <w:shd w:val="clear" w:color="auto" w:fill="FFFFFF"/>
        </w:rPr>
        <w:t xml:space="preserve">Forrin, N. D., MacLeod, C. M., and Ozubko, J. D. (2012). </w:t>
      </w:r>
      <w:r w:rsidRPr="002D112E">
        <w:rPr>
          <w:rFonts w:cstheme="minorHAnsi"/>
          <w:i/>
          <w:iCs/>
          <w:shd w:val="clear" w:color="auto" w:fill="FFFFFF"/>
        </w:rPr>
        <w:t>Widening the boundaries of the production effect</w:t>
      </w:r>
      <w:r w:rsidRPr="002D112E">
        <w:rPr>
          <w:rFonts w:cstheme="minorHAnsi"/>
          <w:shd w:val="clear" w:color="auto" w:fill="FFFFFF"/>
        </w:rPr>
        <w:t>. </w:t>
      </w:r>
      <w:r w:rsidRPr="002D112E">
        <w:rPr>
          <w:rFonts w:cstheme="minorHAnsi"/>
          <w:i/>
          <w:iCs/>
          <w:shd w:val="clear" w:color="auto" w:fill="FFFFFF"/>
        </w:rPr>
        <w:t>Mem. Cogn.</w:t>
      </w:r>
      <w:r w:rsidRPr="002D112E">
        <w:rPr>
          <w:rFonts w:cstheme="minorHAnsi"/>
          <w:shd w:val="clear" w:color="auto" w:fill="FFFFFF"/>
        </w:rPr>
        <w:t> 40, 1046–1055.</w:t>
      </w:r>
    </w:p>
    <w:p w14:paraId="70469E02" w14:textId="77777777" w:rsidR="0012532C" w:rsidRPr="002D112E" w:rsidRDefault="0012532C" w:rsidP="0012532C">
      <w:pPr>
        <w:rPr>
          <w:rFonts w:cstheme="minorHAnsi"/>
        </w:rPr>
      </w:pPr>
      <w:r w:rsidRPr="002D112E">
        <w:rPr>
          <w:rFonts w:cstheme="minorHAnsi"/>
        </w:rPr>
        <w:t xml:space="preserve">Gibbs, G. (1988). </w:t>
      </w:r>
      <w:r w:rsidRPr="002D112E">
        <w:rPr>
          <w:rFonts w:cstheme="minorHAnsi"/>
          <w:i/>
          <w:iCs/>
        </w:rPr>
        <w:t>Learning by Doing: A Guide to Teaching and Learning Methods</w:t>
      </w:r>
      <w:r w:rsidRPr="002D112E">
        <w:rPr>
          <w:rFonts w:cstheme="minorHAnsi"/>
        </w:rPr>
        <w:t>. Oxford: Oxford Further Education Unit</w:t>
      </w:r>
    </w:p>
    <w:p w14:paraId="60289F12" w14:textId="77777777" w:rsidR="0012532C" w:rsidRPr="002D112E" w:rsidRDefault="0012532C" w:rsidP="0012532C">
      <w:pPr>
        <w:rPr>
          <w:rFonts w:cstheme="minorHAnsi"/>
          <w:shd w:val="clear" w:color="auto" w:fill="FFFFFF"/>
        </w:rPr>
      </w:pPr>
      <w:r w:rsidRPr="002D112E">
        <w:rPr>
          <w:rFonts w:cstheme="minorHAnsi"/>
          <w:shd w:val="clear" w:color="auto" w:fill="FFFFFF"/>
        </w:rPr>
        <w:t>Gov.scot. (2015). </w:t>
      </w:r>
      <w:r w:rsidRPr="002D112E">
        <w:rPr>
          <w:rFonts w:cstheme="minorHAnsi"/>
          <w:i/>
          <w:iCs/>
          <w:shd w:val="clear" w:color="auto" w:fill="FFFFFF"/>
        </w:rPr>
        <w:t>Language Learning in Scotland A 1+2 Approach Scottish Government Languages Working Group Report and Recommendations</w:t>
      </w:r>
      <w:r w:rsidRPr="002D112E">
        <w:rPr>
          <w:rFonts w:cstheme="minorHAnsi"/>
          <w:shd w:val="clear" w:color="auto" w:fill="FFFFFF"/>
        </w:rPr>
        <w:t>. [online] Available at: https://www.gov.scot/binaries/content/documents/govscot/publications/corporate-report/2012/05/language-learning-scotland-12-approach/documents/00393435-pdf/00393435-pdf/govscot%3Adocument/00393435.pdf [Accessed 1 Feb. 2020].</w:t>
      </w:r>
    </w:p>
    <w:p w14:paraId="116B688F" w14:textId="77777777" w:rsidR="0012532C" w:rsidRPr="002D112E" w:rsidRDefault="0012532C" w:rsidP="0012532C">
      <w:pPr>
        <w:rPr>
          <w:rFonts w:cstheme="minorHAnsi"/>
          <w:shd w:val="clear" w:color="auto" w:fill="FFFFFF"/>
        </w:rPr>
      </w:pPr>
      <w:r w:rsidRPr="002D112E">
        <w:rPr>
          <w:rFonts w:cstheme="minorHAnsi"/>
          <w:shd w:val="clear" w:color="auto" w:fill="FFFFFF"/>
        </w:rPr>
        <w:t>Gov.wales. (2018). </w:t>
      </w:r>
      <w:r w:rsidRPr="002D112E">
        <w:rPr>
          <w:rFonts w:cstheme="minorHAnsi"/>
          <w:i/>
          <w:iCs/>
          <w:shd w:val="clear" w:color="auto" w:fill="FFFFFF"/>
        </w:rPr>
        <w:t>Cymraeg 2050: A million Welsh speakers. Annual Report 2017-2018.</w:t>
      </w:r>
      <w:r w:rsidRPr="002D112E">
        <w:rPr>
          <w:rFonts w:cstheme="minorHAnsi"/>
          <w:shd w:val="clear" w:color="auto" w:fill="FFFFFF"/>
        </w:rPr>
        <w:t>. [online] Available at: https://gov.wales/sites/default/files/publications/2019-03/cymraeg-2050-a-million-welsh-speakers-annual-report-2017-18.pdf [Accessed 1 Feb. 2020].</w:t>
      </w:r>
    </w:p>
    <w:p w14:paraId="6096E274" w14:textId="77777777" w:rsidR="0012532C" w:rsidRPr="002D112E" w:rsidRDefault="0012532C" w:rsidP="0012532C">
      <w:pPr>
        <w:rPr>
          <w:rFonts w:cstheme="minorHAnsi"/>
        </w:rPr>
      </w:pPr>
      <w:r w:rsidRPr="002D112E">
        <w:rPr>
          <w:rFonts w:cstheme="minorHAnsi"/>
          <w:shd w:val="clear" w:color="auto" w:fill="FFFFFF"/>
        </w:rPr>
        <w:t>Grigg, R. (2014). </w:t>
      </w:r>
      <w:r w:rsidRPr="002D112E">
        <w:rPr>
          <w:rFonts w:cstheme="minorHAnsi"/>
          <w:i/>
          <w:iCs/>
          <w:shd w:val="clear" w:color="auto" w:fill="FFFFFF"/>
        </w:rPr>
        <w:t>Becoming an outstanding primary school teacher</w:t>
      </w:r>
      <w:r w:rsidRPr="002D112E">
        <w:rPr>
          <w:rFonts w:cstheme="minorHAnsi"/>
          <w:shd w:val="clear" w:color="auto" w:fill="FFFFFF"/>
        </w:rPr>
        <w:t>. 2nd ed. Routledge.</w:t>
      </w:r>
    </w:p>
    <w:p w14:paraId="177A784D" w14:textId="77777777" w:rsidR="0012532C" w:rsidRPr="002D112E" w:rsidRDefault="0012532C" w:rsidP="0012532C">
      <w:pPr>
        <w:rPr>
          <w:rFonts w:cstheme="minorHAnsi"/>
        </w:rPr>
      </w:pPr>
      <w:r w:rsidRPr="002D112E">
        <w:rPr>
          <w:rFonts w:cstheme="minorHAnsi"/>
        </w:rPr>
        <w:t xml:space="preserve">Grosjean, F. (2010). </w:t>
      </w:r>
      <w:r w:rsidRPr="002D112E">
        <w:rPr>
          <w:rFonts w:cstheme="minorHAnsi"/>
          <w:i/>
          <w:iCs/>
        </w:rPr>
        <w:t>Bilingual: Life and Reality.</w:t>
      </w:r>
      <w:r w:rsidRPr="002D112E">
        <w:rPr>
          <w:rFonts w:cstheme="minorHAnsi"/>
        </w:rPr>
        <w:t xml:space="preserve"> Cambridge, Mass: Harvard University Press</w:t>
      </w:r>
    </w:p>
    <w:p w14:paraId="5065D4A0" w14:textId="772B58C7" w:rsidR="0012532C" w:rsidRPr="002D112E" w:rsidRDefault="00ED351E" w:rsidP="0012532C">
      <w:pPr>
        <w:rPr>
          <w:rFonts w:cstheme="minorHAnsi"/>
        </w:rPr>
      </w:pPr>
      <w:r w:rsidRPr="002D112E">
        <w:rPr>
          <w:rFonts w:cstheme="minorHAnsi"/>
        </w:rPr>
        <w:t>Hiebert, J.</w:t>
      </w:r>
      <w:r w:rsidR="0012532C" w:rsidRPr="002D112E">
        <w:rPr>
          <w:rFonts w:cstheme="minorHAnsi"/>
        </w:rPr>
        <w:t xml:space="preserve"> and Stigler, J. W. (2000) A Proposal for Improving Classroom Teaching: Lessons from the TIMSS Video. </w:t>
      </w:r>
      <w:r w:rsidR="0012532C" w:rsidRPr="002D112E">
        <w:rPr>
          <w:rStyle w:val="Emphasis"/>
          <w:rFonts w:cstheme="minorHAnsi"/>
        </w:rPr>
        <w:t>The Elementary School Journal </w:t>
      </w:r>
      <w:r w:rsidR="0012532C" w:rsidRPr="002D112E">
        <w:rPr>
          <w:rFonts w:cstheme="minorHAnsi"/>
        </w:rPr>
        <w:t>101(1), 3-20. </w:t>
      </w:r>
    </w:p>
    <w:p w14:paraId="6D9ACFDF" w14:textId="77777777" w:rsidR="0012532C" w:rsidRPr="002D112E" w:rsidRDefault="0012532C" w:rsidP="0012532C">
      <w:pPr>
        <w:rPr>
          <w:rFonts w:cstheme="minorHAnsi"/>
          <w:shd w:val="clear" w:color="auto" w:fill="FFFFFF"/>
        </w:rPr>
      </w:pPr>
      <w:r w:rsidRPr="002D112E">
        <w:rPr>
          <w:rFonts w:cstheme="minorHAnsi"/>
        </w:rPr>
        <w:t xml:space="preserve">Ho, A. D. &amp; Kane, T. J. (2013). </w:t>
      </w:r>
      <w:r w:rsidRPr="002D112E">
        <w:rPr>
          <w:rFonts w:cstheme="minorHAnsi"/>
          <w:i/>
          <w:iCs/>
        </w:rPr>
        <w:t>The reliability of classroom observations by school personnel</w:t>
      </w:r>
      <w:r w:rsidRPr="002D112E">
        <w:rPr>
          <w:rFonts w:cstheme="minorHAnsi"/>
        </w:rPr>
        <w:t>. Bill and Melinda Gates Foundation. MET Project Research Paper.</w:t>
      </w:r>
    </w:p>
    <w:p w14:paraId="67257E5E" w14:textId="77777777" w:rsidR="0012532C" w:rsidRPr="002D112E" w:rsidRDefault="0012532C" w:rsidP="0012532C">
      <w:pPr>
        <w:rPr>
          <w:rFonts w:cstheme="minorHAnsi"/>
          <w:shd w:val="clear" w:color="auto" w:fill="FFFFFF"/>
        </w:rPr>
      </w:pPr>
      <w:r w:rsidRPr="002D112E">
        <w:rPr>
          <w:rFonts w:cstheme="minorHAnsi"/>
          <w:shd w:val="clear" w:color="auto" w:fill="FFFFFF"/>
        </w:rPr>
        <w:t>Hopkins, R. H., and Edwards, R. E. (1972). Pronunciation effects in recognition memory. </w:t>
      </w:r>
      <w:r w:rsidRPr="002D112E">
        <w:rPr>
          <w:rFonts w:cstheme="minorHAnsi"/>
          <w:i/>
          <w:iCs/>
          <w:shd w:val="clear" w:color="auto" w:fill="FFFFFF"/>
        </w:rPr>
        <w:t>J. Verbal Learn. Verbal Behav.</w:t>
      </w:r>
      <w:r w:rsidRPr="002D112E">
        <w:rPr>
          <w:rFonts w:cstheme="minorHAnsi"/>
          <w:shd w:val="clear" w:color="auto" w:fill="FFFFFF"/>
        </w:rPr>
        <w:t> 11, 534–537</w:t>
      </w:r>
    </w:p>
    <w:p w14:paraId="246DCCC5" w14:textId="77777777" w:rsidR="0012532C" w:rsidRPr="002D112E" w:rsidRDefault="0012532C" w:rsidP="0012532C">
      <w:pPr>
        <w:rPr>
          <w:rFonts w:cstheme="minorHAnsi"/>
          <w:shd w:val="clear" w:color="auto" w:fill="FFFFFF"/>
        </w:rPr>
      </w:pPr>
      <w:r w:rsidRPr="002D112E">
        <w:rPr>
          <w:rFonts w:cstheme="minorHAnsi"/>
          <w:shd w:val="clear" w:color="auto" w:fill="FFFFFF"/>
        </w:rPr>
        <w:t>Hwb.gov.wales. (2017). </w:t>
      </w:r>
      <w:r w:rsidRPr="002D112E">
        <w:rPr>
          <w:rFonts w:cstheme="minorHAnsi"/>
          <w:i/>
          <w:iCs/>
          <w:shd w:val="clear" w:color="auto" w:fill="FFFFFF"/>
        </w:rPr>
        <w:t>Professional standards for further education teachers and work-based learning practitioners in Wales</w:t>
      </w:r>
      <w:r w:rsidRPr="002D112E">
        <w:rPr>
          <w:rFonts w:cstheme="minorHAnsi"/>
          <w:shd w:val="clear" w:color="auto" w:fill="FFFFFF"/>
        </w:rPr>
        <w:t>. [online] Available at: https://hwb.gov.wales/storage/460a740a-7bf1-4c7b-b4ae-348ae380879b/professional-standards-further-education-teachers-work-based-learning-practitioners-wales.pdf [Accessed 20 Feb. 2020].</w:t>
      </w:r>
    </w:p>
    <w:p w14:paraId="23555545" w14:textId="36DC63E5" w:rsidR="0012532C" w:rsidRPr="002D112E" w:rsidRDefault="0012532C" w:rsidP="0012532C">
      <w:pPr>
        <w:pStyle w:val="AssignBody"/>
        <w:spacing w:line="240" w:lineRule="auto"/>
        <w:rPr>
          <w:rFonts w:asciiTheme="minorHAnsi" w:hAnsiTheme="minorHAnsi" w:cstheme="minorHAnsi"/>
          <w:shd w:val="clear" w:color="auto" w:fill="FFFFFF"/>
        </w:rPr>
      </w:pPr>
      <w:r w:rsidRPr="002D112E">
        <w:rPr>
          <w:rFonts w:asciiTheme="minorHAnsi" w:hAnsiTheme="minorHAnsi" w:cstheme="minorHAnsi"/>
          <w:color w:val="000000"/>
          <w:shd w:val="clear" w:color="auto" w:fill="FFFFFF"/>
        </w:rPr>
        <w:t>Kolb, D. A. (1984). </w:t>
      </w:r>
      <w:r w:rsidRPr="002D112E">
        <w:rPr>
          <w:rStyle w:val="Emphasis"/>
          <w:rFonts w:asciiTheme="minorHAnsi" w:hAnsiTheme="minorHAnsi" w:cstheme="minorHAnsi"/>
          <w:color w:val="000000"/>
          <w:shd w:val="clear" w:color="auto" w:fill="FFFFFF"/>
        </w:rPr>
        <w:t>Experiential learning: Experience as the source of learning and development</w:t>
      </w:r>
      <w:r w:rsidRPr="002D112E">
        <w:rPr>
          <w:rFonts w:asciiTheme="minorHAnsi" w:hAnsiTheme="minorHAnsi" w:cstheme="minorHAnsi"/>
          <w:color w:val="000000"/>
          <w:shd w:val="clear" w:color="auto" w:fill="FFFFFF"/>
        </w:rPr>
        <w:t> (Vol. 1). Englewood Cliffs, NJ: Prentice-</w:t>
      </w:r>
      <w:r w:rsidR="009B0001" w:rsidRPr="002D112E">
        <w:rPr>
          <w:rFonts w:asciiTheme="minorHAnsi" w:hAnsiTheme="minorHAnsi" w:cstheme="minorHAnsi"/>
          <w:color w:val="000000"/>
          <w:shd w:val="clear" w:color="auto" w:fill="FFFFFF"/>
        </w:rPr>
        <w:t>Hall.</w:t>
      </w:r>
      <w:r w:rsidR="009B0001" w:rsidRPr="002D112E">
        <w:rPr>
          <w:rStyle w:val="normaltextrun"/>
          <w:rFonts w:asciiTheme="minorHAnsi" w:hAnsiTheme="minorHAnsi" w:cstheme="minorHAnsi"/>
          <w:shd w:val="clear" w:color="auto" w:fill="FFFFFF"/>
        </w:rPr>
        <w:t xml:space="preserve"> Kumar</w:t>
      </w:r>
      <w:r w:rsidRPr="002D112E">
        <w:rPr>
          <w:rStyle w:val="normaltextrun"/>
          <w:rFonts w:asciiTheme="minorHAnsi" w:hAnsiTheme="minorHAnsi" w:cstheme="minorHAnsi"/>
          <w:shd w:val="clear" w:color="auto" w:fill="FFFFFF"/>
        </w:rPr>
        <w:t xml:space="preserve">, R. (2014) </w:t>
      </w:r>
      <w:r w:rsidRPr="002D112E">
        <w:rPr>
          <w:rStyle w:val="normaltextrun"/>
          <w:rFonts w:asciiTheme="minorHAnsi" w:hAnsiTheme="minorHAnsi" w:cstheme="minorHAnsi"/>
          <w:i/>
          <w:iCs/>
          <w:shd w:val="clear" w:color="auto" w:fill="FFFFFF"/>
        </w:rPr>
        <w:t>Research Methodology</w:t>
      </w:r>
      <w:r w:rsidRPr="002D112E">
        <w:rPr>
          <w:rStyle w:val="normaltextrun"/>
          <w:rFonts w:asciiTheme="minorHAnsi" w:hAnsiTheme="minorHAnsi" w:cstheme="minorHAnsi"/>
          <w:shd w:val="clear" w:color="auto" w:fill="FFFFFF"/>
        </w:rPr>
        <w:t>. London: SAGE.</w:t>
      </w:r>
      <w:r w:rsidRPr="002D112E">
        <w:rPr>
          <w:rStyle w:val="normaltextrun"/>
          <w:rFonts w:asciiTheme="minorHAnsi" w:hAnsiTheme="minorHAnsi" w:cstheme="minorHAnsi"/>
          <w:shd w:val="clear" w:color="auto" w:fill="FFFFFF"/>
        </w:rPr>
        <w:br/>
      </w:r>
    </w:p>
    <w:p w14:paraId="1BB4F848" w14:textId="77777777" w:rsidR="0012532C" w:rsidRPr="002D112E" w:rsidRDefault="0012532C" w:rsidP="0012532C">
      <w:pPr>
        <w:rPr>
          <w:rFonts w:cstheme="minorHAnsi"/>
        </w:rPr>
      </w:pPr>
      <w:r w:rsidRPr="002D112E">
        <w:rPr>
          <w:rFonts w:cstheme="minorHAnsi"/>
          <w:shd w:val="clear" w:color="auto" w:fill="FFFFFF"/>
        </w:rPr>
        <w:t xml:space="preserve">MacLeod, C. M. (2011). </w:t>
      </w:r>
      <w:r w:rsidRPr="002D112E">
        <w:rPr>
          <w:rFonts w:cstheme="minorHAnsi"/>
          <w:i/>
          <w:iCs/>
          <w:shd w:val="clear" w:color="auto" w:fill="FFFFFF"/>
        </w:rPr>
        <w:t>I said, you said: the production effect gets personal</w:t>
      </w:r>
      <w:r w:rsidRPr="002D112E">
        <w:rPr>
          <w:rFonts w:cstheme="minorHAnsi"/>
          <w:shd w:val="clear" w:color="auto" w:fill="FFFFFF"/>
        </w:rPr>
        <w:t>. </w:t>
      </w:r>
      <w:r w:rsidRPr="002D112E">
        <w:rPr>
          <w:rFonts w:cstheme="minorHAnsi"/>
          <w:i/>
          <w:iCs/>
          <w:shd w:val="clear" w:color="auto" w:fill="FFFFFF"/>
        </w:rPr>
        <w:t>Psychon. Bull. Rev.</w:t>
      </w:r>
      <w:r w:rsidRPr="002D112E">
        <w:rPr>
          <w:rFonts w:cstheme="minorHAnsi"/>
          <w:shd w:val="clear" w:color="auto" w:fill="FFFFFF"/>
        </w:rPr>
        <w:t> 18, 1197–1202</w:t>
      </w:r>
    </w:p>
    <w:p w14:paraId="08A5AF30" w14:textId="77777777" w:rsidR="0012532C" w:rsidRPr="002D112E" w:rsidRDefault="0012532C" w:rsidP="0012532C">
      <w:pPr>
        <w:rPr>
          <w:rFonts w:cstheme="minorHAnsi"/>
        </w:rPr>
      </w:pPr>
      <w:r w:rsidRPr="002D112E">
        <w:rPr>
          <w:rFonts w:cstheme="minorHAnsi"/>
        </w:rPr>
        <w:t xml:space="preserve">MacNamara, J. (1966). </w:t>
      </w:r>
      <w:r w:rsidRPr="002D112E">
        <w:rPr>
          <w:rFonts w:cstheme="minorHAnsi"/>
          <w:i/>
          <w:iCs/>
        </w:rPr>
        <w:t>Bilingualism and Primary Education</w:t>
      </w:r>
      <w:r w:rsidRPr="002D112E">
        <w:rPr>
          <w:rFonts w:cstheme="minorHAnsi"/>
        </w:rPr>
        <w:t>. Edinburgh: Edinburgh University Press.</w:t>
      </w:r>
    </w:p>
    <w:p w14:paraId="573E6D6C" w14:textId="77777777" w:rsidR="0012532C" w:rsidRPr="002D112E" w:rsidRDefault="0012532C" w:rsidP="0012532C">
      <w:pPr>
        <w:rPr>
          <w:rFonts w:cstheme="minorHAnsi"/>
          <w:shd w:val="clear" w:color="auto" w:fill="FFFFFF"/>
        </w:rPr>
      </w:pPr>
      <w:r w:rsidRPr="002D112E">
        <w:rPr>
          <w:rFonts w:cstheme="minorHAnsi"/>
          <w:shd w:val="clear" w:color="auto" w:fill="FFFFFF"/>
        </w:rPr>
        <w:lastRenderedPageBreak/>
        <w:t>McCaul, R. (2016). </w:t>
      </w:r>
      <w:r w:rsidRPr="002D112E">
        <w:rPr>
          <w:rFonts w:cstheme="minorHAnsi"/>
          <w:i/>
          <w:iCs/>
          <w:shd w:val="clear" w:color="auto" w:fill="FFFFFF"/>
        </w:rPr>
        <w:t>Can we learn a second language like we learned our first? | British Council</w:t>
      </w:r>
      <w:r w:rsidRPr="002D112E">
        <w:rPr>
          <w:rFonts w:cstheme="minorHAnsi"/>
          <w:shd w:val="clear" w:color="auto" w:fill="FFFFFF"/>
        </w:rPr>
        <w:t>. [online] Britishcouncil.org. Available at: https://www.britishcouncil.org/voices-magazine/can-we-learn-second-language-we-learned-our-first [Accessed 2 Feb. 2020].</w:t>
      </w:r>
    </w:p>
    <w:p w14:paraId="10F8AFCA" w14:textId="77777777" w:rsidR="0012532C" w:rsidRDefault="0012532C" w:rsidP="0012532C">
      <w:pPr>
        <w:rPr>
          <w:rFonts w:cstheme="minorHAnsi"/>
          <w:shd w:val="clear" w:color="auto" w:fill="FFFFFF"/>
        </w:rPr>
      </w:pPr>
      <w:r w:rsidRPr="002D112E">
        <w:rPr>
          <w:rFonts w:cstheme="minorHAnsi"/>
          <w:shd w:val="clear" w:color="auto" w:fill="FFFFFF"/>
        </w:rPr>
        <w:t>Merritt, A. (2013). </w:t>
      </w:r>
      <w:r w:rsidRPr="002D112E">
        <w:rPr>
          <w:rFonts w:cstheme="minorHAnsi"/>
          <w:i/>
          <w:iCs/>
          <w:shd w:val="clear" w:color="auto" w:fill="FFFFFF"/>
        </w:rPr>
        <w:t>Why Learn a Foreign Language? Benefits of Bilingualism</w:t>
      </w:r>
      <w:r w:rsidRPr="002D112E">
        <w:rPr>
          <w:rFonts w:cstheme="minorHAnsi"/>
          <w:shd w:val="clear" w:color="auto" w:fill="FFFFFF"/>
        </w:rPr>
        <w:t>. [online] www.telegraph.co.uk. Available at: https://www.sandiegounified.org/schools/sites/default/files_link/schools/files/Domain/18742/WORLD%20LANGUAGES%20Benefits%20of%20bilingualismarticle.pdf [Accessed 12 Feb. 2020].</w:t>
      </w:r>
    </w:p>
    <w:p w14:paraId="2F7C8CE9" w14:textId="77777777" w:rsidR="0012532C" w:rsidRPr="002D112E" w:rsidRDefault="0012532C" w:rsidP="0012532C">
      <w:pPr>
        <w:rPr>
          <w:rFonts w:cstheme="minorHAnsi"/>
          <w:shd w:val="clear" w:color="auto" w:fill="FFFFFF"/>
        </w:rPr>
      </w:pPr>
      <w:r w:rsidRPr="00B067E3">
        <w:rPr>
          <w:rFonts w:cstheme="minorHAnsi"/>
          <w:shd w:val="clear" w:color="auto" w:fill="FFFFFF"/>
        </w:rPr>
        <w:t>Nanchen, G</w:t>
      </w:r>
      <w:r>
        <w:rPr>
          <w:rFonts w:cstheme="minorHAnsi"/>
          <w:shd w:val="clear" w:color="auto" w:fill="FFFFFF"/>
        </w:rPr>
        <w:t>.</w:t>
      </w:r>
      <w:r w:rsidRPr="00B067E3">
        <w:rPr>
          <w:rFonts w:cstheme="minorHAnsi"/>
          <w:shd w:val="clear" w:color="auto" w:fill="FFFFFF"/>
        </w:rPr>
        <w:t xml:space="preserve"> (2017). "Second language performances in elderly bilinguals and individuals with dementia: The role of L2 immersion" (PDF). Journal of Neurolinguistics. 43: 49–58. doi:10.1016/j.jneuroling.2016.09.004.</w:t>
      </w:r>
    </w:p>
    <w:p w14:paraId="583686C8" w14:textId="77777777" w:rsidR="0012532C" w:rsidRPr="002D112E" w:rsidRDefault="0012532C" w:rsidP="0012532C">
      <w:pPr>
        <w:rPr>
          <w:rFonts w:cstheme="minorHAnsi"/>
          <w:shd w:val="clear" w:color="auto" w:fill="FFFFFF"/>
        </w:rPr>
      </w:pPr>
      <w:r w:rsidRPr="002D112E">
        <w:rPr>
          <w:rFonts w:cstheme="minorHAnsi"/>
          <w:shd w:val="clear" w:color="auto" w:fill="FFFFFF"/>
        </w:rPr>
        <w:t>Newman, R., Rowe, M. and Bernstein Ratner, N. (2015). Input and uptake at 7 months predicts toddler vocabulary: the role of child-directed speech and infant processing skills in language development. </w:t>
      </w:r>
      <w:r w:rsidRPr="002D112E">
        <w:rPr>
          <w:rFonts w:cstheme="minorHAnsi"/>
          <w:i/>
          <w:iCs/>
          <w:shd w:val="clear" w:color="auto" w:fill="FFFFFF"/>
        </w:rPr>
        <w:t>Journal of Child Language</w:t>
      </w:r>
      <w:r w:rsidRPr="002D112E">
        <w:rPr>
          <w:rFonts w:cstheme="minorHAnsi"/>
          <w:shd w:val="clear" w:color="auto" w:fill="FFFFFF"/>
        </w:rPr>
        <w:t>, 43(5), pp.1158-1173.</w:t>
      </w:r>
    </w:p>
    <w:p w14:paraId="3EDD9314" w14:textId="77777777" w:rsidR="0012532C" w:rsidRPr="002D112E" w:rsidRDefault="0012532C" w:rsidP="0012532C">
      <w:pPr>
        <w:rPr>
          <w:rFonts w:cstheme="minorHAnsi"/>
          <w:shd w:val="clear" w:color="auto" w:fill="FFFFFF"/>
        </w:rPr>
      </w:pPr>
      <w:r w:rsidRPr="002D112E">
        <w:rPr>
          <w:rFonts w:cstheme="minorHAnsi"/>
          <w:shd w:val="clear" w:color="auto" w:fill="FFFFFF"/>
        </w:rPr>
        <w:t>Oelofsen, N. (2012). </w:t>
      </w:r>
      <w:r w:rsidRPr="002D112E">
        <w:rPr>
          <w:rFonts w:cstheme="minorHAnsi"/>
          <w:i/>
          <w:iCs/>
          <w:shd w:val="clear" w:color="auto" w:fill="FFFFFF"/>
        </w:rPr>
        <w:t>Developing Reflective Practice</w:t>
      </w:r>
      <w:r w:rsidRPr="002D112E">
        <w:rPr>
          <w:rFonts w:cstheme="minorHAnsi"/>
          <w:shd w:val="clear" w:color="auto" w:fill="FFFFFF"/>
        </w:rPr>
        <w:t>. Banbury: Lantern.</w:t>
      </w:r>
    </w:p>
    <w:p w14:paraId="556039BC" w14:textId="77777777" w:rsidR="0012532C" w:rsidRPr="002D112E" w:rsidRDefault="0012532C" w:rsidP="0012532C">
      <w:pPr>
        <w:rPr>
          <w:rFonts w:cstheme="minorHAnsi"/>
        </w:rPr>
      </w:pPr>
      <w:r w:rsidRPr="002D112E">
        <w:rPr>
          <w:rFonts w:cstheme="minorHAnsi"/>
        </w:rPr>
        <w:t xml:space="preserve">Robinson, V., Hohepa, M., &amp; Lloyd, C. (2009). </w:t>
      </w:r>
      <w:r w:rsidRPr="002D112E">
        <w:rPr>
          <w:rFonts w:cstheme="minorHAnsi"/>
          <w:i/>
          <w:iCs/>
        </w:rPr>
        <w:t>School leadership and student outcomes: identifying what works and why best evidence synthesis.</w:t>
      </w:r>
      <w:r w:rsidRPr="002D112E">
        <w:rPr>
          <w:rFonts w:cstheme="minorHAnsi"/>
        </w:rPr>
        <w:t xml:space="preserve"> Auckland: New Zealand Ministry of Education.</w:t>
      </w:r>
    </w:p>
    <w:p w14:paraId="6793C879" w14:textId="77777777" w:rsidR="0012532C" w:rsidRPr="002D112E" w:rsidRDefault="0012532C" w:rsidP="0012532C">
      <w:pPr>
        <w:rPr>
          <w:rFonts w:cstheme="minorHAnsi"/>
        </w:rPr>
      </w:pPr>
      <w:r w:rsidRPr="002D112E">
        <w:rPr>
          <w:rFonts w:cstheme="minorHAnsi"/>
          <w:shd w:val="clear" w:color="auto" w:fill="FFFFFF"/>
        </w:rPr>
        <w:t>Skinner, B.F. (1957). </w:t>
      </w:r>
      <w:r w:rsidRPr="002D112E">
        <w:rPr>
          <w:rStyle w:val="Emphasis"/>
          <w:rFonts w:cstheme="minorHAnsi"/>
          <w:shd w:val="clear" w:color="auto" w:fill="FFFFFF"/>
        </w:rPr>
        <w:t>Verbal Behaviour</w:t>
      </w:r>
      <w:r w:rsidRPr="002D112E">
        <w:rPr>
          <w:rFonts w:cstheme="minorHAnsi"/>
          <w:shd w:val="clear" w:color="auto" w:fill="FFFFFF"/>
        </w:rPr>
        <w:t>. Acton, MA: Copley Publishing Group.</w:t>
      </w:r>
    </w:p>
    <w:p w14:paraId="2B7EA85E" w14:textId="77777777" w:rsidR="0012532C" w:rsidRPr="002D112E" w:rsidRDefault="0012532C" w:rsidP="0012532C">
      <w:pPr>
        <w:rPr>
          <w:rFonts w:cstheme="minorHAnsi"/>
        </w:rPr>
      </w:pPr>
      <w:r w:rsidRPr="002D112E">
        <w:rPr>
          <w:rFonts w:cstheme="minorHAnsi"/>
        </w:rPr>
        <w:t xml:space="preserve">Sorge, G. B., Toplak, M. E., &amp; Bialystok, E. (2017). </w:t>
      </w:r>
      <w:r w:rsidRPr="002D112E">
        <w:rPr>
          <w:rFonts w:cstheme="minorHAnsi"/>
          <w:i/>
          <w:iCs/>
        </w:rPr>
        <w:t>Interactions between levels of attention ability and levels of bilingualism in children’s executive functioning.</w:t>
      </w:r>
      <w:r w:rsidRPr="002D112E">
        <w:rPr>
          <w:rFonts w:cstheme="minorHAnsi"/>
        </w:rPr>
        <w:t xml:space="preserve"> Developmental Science, 20(1), 1-16.</w:t>
      </w:r>
    </w:p>
    <w:p w14:paraId="350DF2E5" w14:textId="77777777" w:rsidR="0012532C" w:rsidRPr="002D112E" w:rsidRDefault="0012532C" w:rsidP="0012532C">
      <w:pPr>
        <w:rPr>
          <w:rFonts w:cstheme="minorHAnsi"/>
        </w:rPr>
      </w:pPr>
      <w:r w:rsidRPr="002D112E">
        <w:rPr>
          <w:rFonts w:cstheme="minorHAnsi"/>
          <w:shd w:val="clear" w:color="auto" w:fill="FFFFFF"/>
        </w:rPr>
        <w:t>UNICEF. (2015). </w:t>
      </w:r>
      <w:r w:rsidRPr="002D112E">
        <w:rPr>
          <w:rFonts w:cstheme="minorHAnsi"/>
          <w:i/>
          <w:iCs/>
          <w:shd w:val="clear" w:color="auto" w:fill="FFFFFF"/>
        </w:rPr>
        <w:t>FACT SHEET: A summary of the rights under the Convention on the Rights of the Child</w:t>
      </w:r>
      <w:r w:rsidRPr="002D112E">
        <w:rPr>
          <w:rFonts w:cstheme="minorHAnsi"/>
          <w:shd w:val="clear" w:color="auto" w:fill="FFFFFF"/>
        </w:rPr>
        <w:t>. [online] Available at: http://www.unicef.org/crc/files/Rights_overview.pdf [Accessed: 1</w:t>
      </w:r>
      <w:r w:rsidRPr="002D112E">
        <w:rPr>
          <w:rFonts w:cstheme="minorHAnsi"/>
          <w:shd w:val="clear" w:color="auto" w:fill="FFFFFF"/>
          <w:vertAlign w:val="superscript"/>
        </w:rPr>
        <w:t>st</w:t>
      </w:r>
      <w:r w:rsidRPr="002D112E">
        <w:rPr>
          <w:rFonts w:cstheme="minorHAnsi"/>
          <w:shd w:val="clear" w:color="auto" w:fill="FFFFFF"/>
        </w:rPr>
        <w:t xml:space="preserve"> February, 2020].</w:t>
      </w:r>
    </w:p>
    <w:p w14:paraId="732BFF60" w14:textId="77777777" w:rsidR="0012532C" w:rsidRDefault="0012532C" w:rsidP="0012532C">
      <w:pPr>
        <w:rPr>
          <w:rFonts w:cstheme="minorHAnsi"/>
          <w:shd w:val="clear" w:color="auto" w:fill="FFFFFF"/>
        </w:rPr>
      </w:pPr>
      <w:r w:rsidRPr="002D112E">
        <w:rPr>
          <w:rFonts w:cstheme="minorHAnsi"/>
          <w:shd w:val="clear" w:color="auto" w:fill="FFFFFF"/>
        </w:rPr>
        <w:t>Weiler, A. (2018). </w:t>
      </w:r>
      <w:r w:rsidRPr="002D112E">
        <w:rPr>
          <w:rFonts w:cstheme="minorHAnsi"/>
          <w:i/>
          <w:iCs/>
          <w:shd w:val="clear" w:color="auto" w:fill="FFFFFF"/>
        </w:rPr>
        <w:t>Repetition in Language Learning</w:t>
      </w:r>
      <w:r w:rsidRPr="002D112E">
        <w:rPr>
          <w:rFonts w:cstheme="minorHAnsi"/>
          <w:shd w:val="clear" w:color="auto" w:fill="FFFFFF"/>
        </w:rPr>
        <w:t>. [online] Strategies in Language Learning. Available at: https://www.strategiesinlanguagelearning.com/repetition-in-language-learning/ [Accessed 13 Feb. 2020].</w:t>
      </w:r>
    </w:p>
    <w:p w14:paraId="79F0EAF3" w14:textId="77777777" w:rsidR="0012532C" w:rsidRPr="002D112E" w:rsidRDefault="0012532C" w:rsidP="0012532C">
      <w:pPr>
        <w:rPr>
          <w:rFonts w:cstheme="minorHAnsi"/>
        </w:rPr>
      </w:pPr>
    </w:p>
    <w:p w14:paraId="63FA7A85" w14:textId="77777777" w:rsidR="0012532C" w:rsidRPr="00D13EF6" w:rsidRDefault="0012532C" w:rsidP="00832242"/>
    <w:p w14:paraId="653EEFD9" w14:textId="77777777" w:rsidR="00832242" w:rsidRDefault="00832242" w:rsidP="00832242"/>
    <w:p w14:paraId="3A844B99" w14:textId="77777777" w:rsidR="00832242" w:rsidRPr="00D95942" w:rsidRDefault="00832242" w:rsidP="00832242"/>
    <w:p w14:paraId="6B51CA48" w14:textId="77777777" w:rsidR="00832242" w:rsidRPr="00832242" w:rsidRDefault="00832242" w:rsidP="00832242">
      <w:pPr>
        <w:pStyle w:val="AssignBody"/>
      </w:pPr>
    </w:p>
    <w:p w14:paraId="63B5728C" w14:textId="77777777" w:rsidR="00832242" w:rsidRPr="00832242" w:rsidRDefault="00832242" w:rsidP="00832242">
      <w:pPr>
        <w:pStyle w:val="AssignBody"/>
      </w:pPr>
    </w:p>
    <w:sectPr w:rsidR="00832242" w:rsidRPr="0083224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CDA83" w14:textId="77777777" w:rsidR="00340A18" w:rsidRDefault="00340A18" w:rsidP="00E611D9">
      <w:pPr>
        <w:spacing w:after="0" w:line="240" w:lineRule="auto"/>
      </w:pPr>
      <w:r>
        <w:separator/>
      </w:r>
    </w:p>
  </w:endnote>
  <w:endnote w:type="continuationSeparator" w:id="0">
    <w:p w14:paraId="0D30FB64" w14:textId="77777777" w:rsidR="00340A18" w:rsidRDefault="00340A1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446F2" w14:textId="77777777" w:rsidR="00340A18" w:rsidRDefault="00340A18" w:rsidP="00E611D9">
      <w:pPr>
        <w:spacing w:after="0" w:line="240" w:lineRule="auto"/>
      </w:pPr>
      <w:r>
        <w:separator/>
      </w:r>
    </w:p>
  </w:footnote>
  <w:footnote w:type="continuationSeparator" w:id="0">
    <w:p w14:paraId="092AC4E6" w14:textId="77777777" w:rsidR="00340A18" w:rsidRDefault="00340A1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5CEC0558" w:rsidR="00755E37" w:rsidRDefault="00755E37">
    <w:pPr>
      <w:pStyle w:val="Header"/>
    </w:pPr>
    <w:r>
      <w:t>ECAD7004</w:t>
    </w:r>
  </w:p>
  <w:p w14:paraId="6595EA04" w14:textId="192D6D6C" w:rsidR="0012532C" w:rsidRDefault="0012532C">
    <w:pPr>
      <w:pStyle w:val="Header"/>
    </w:pPr>
    <w:r>
      <w:t>Student ID: 1900764</w:t>
    </w:r>
  </w:p>
  <w:p w14:paraId="7ECB7A6F" w14:textId="5838DFD8" w:rsidR="0012532C" w:rsidRDefault="0012532C">
    <w:pPr>
      <w:pStyle w:val="Header"/>
    </w:pPr>
    <w:r>
      <w:t xml:space="preserve">Word Count: </w:t>
    </w:r>
    <w:r w:rsidR="007E4B46">
      <w:t>5391</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2532C"/>
    <w:rsid w:val="0019619A"/>
    <w:rsid w:val="002229F0"/>
    <w:rsid w:val="00340A18"/>
    <w:rsid w:val="004A528F"/>
    <w:rsid w:val="006419C3"/>
    <w:rsid w:val="006B5861"/>
    <w:rsid w:val="00755E37"/>
    <w:rsid w:val="007E4B46"/>
    <w:rsid w:val="00817F7A"/>
    <w:rsid w:val="00832242"/>
    <w:rsid w:val="009B0001"/>
    <w:rsid w:val="00AA1058"/>
    <w:rsid w:val="00B457F0"/>
    <w:rsid w:val="00BC651E"/>
    <w:rsid w:val="00CD1240"/>
    <w:rsid w:val="00D638DF"/>
    <w:rsid w:val="00D83A40"/>
    <w:rsid w:val="00D92793"/>
    <w:rsid w:val="00E611D9"/>
    <w:rsid w:val="00ED3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532C"/>
    <w:rPr>
      <w:i/>
      <w:iCs/>
    </w:rPr>
  </w:style>
  <w:style w:type="character" w:customStyle="1" w:styleId="normaltextrun">
    <w:name w:val="normaltextrun"/>
    <w:basedOn w:val="DefaultParagraphFont"/>
    <w:rsid w:val="0012532C"/>
  </w:style>
  <w:style w:type="character" w:styleId="Hyperlink">
    <w:name w:val="Hyperlink"/>
    <w:basedOn w:val="DefaultParagraphFont"/>
    <w:uiPriority w:val="99"/>
    <w:semiHidden/>
    <w:unhideWhenUsed/>
    <w:rsid w:val="001253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6309</Words>
  <Characters>35966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me</cp:lastModifiedBy>
  <cp:revision>7</cp:revision>
  <dcterms:created xsi:type="dcterms:W3CDTF">2020-02-21T10:59:00Z</dcterms:created>
  <dcterms:modified xsi:type="dcterms:W3CDTF">2020-02-21T11:02:00Z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