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673C880B" w:rsidR="003F7DD7" w:rsidRDefault="003F7DD7" w:rsidP="00CD5ED5">
      <w:pPr>
        <w:pStyle w:val="NoSpacing"/>
      </w:pPr>
    </w:p>
    <w:p w14:paraId="699D6C5B" w14:textId="77777777" w:rsidR="003F7DD7" w:rsidRDefault="003F7DD7" w:rsidP="003F7DD7">
      <w:pPr>
        <w:rPr>
          <w:sz w:val="24"/>
          <w:szCs w:val="24"/>
        </w:rPr>
      </w:pPr>
    </w:p>
    <w:p w14:paraId="5752CF86" w14:textId="465A8001" w:rsidR="003F7DD7" w:rsidRDefault="003F7DD7" w:rsidP="003F7DD7">
      <w:pPr>
        <w:rPr>
          <w:sz w:val="24"/>
          <w:szCs w:val="24"/>
        </w:rPr>
      </w:pPr>
      <w:r w:rsidRPr="006C2F1B">
        <w:rPr>
          <w:sz w:val="36"/>
          <w:szCs w:val="36"/>
        </w:rPr>
        <w:t>Name:</w:t>
      </w:r>
      <w:r w:rsidR="00DF3FDE">
        <w:rPr>
          <w:sz w:val="36"/>
          <w:szCs w:val="36"/>
        </w:rPr>
        <w:t xml:space="preserve"> Md Ismail Sheikh</w:t>
      </w:r>
    </w:p>
    <w:p w14:paraId="1EF03A2C" w14:textId="77777777" w:rsidR="003F7DD7" w:rsidRDefault="003F7DD7" w:rsidP="003F7DD7">
      <w:pPr>
        <w:rPr>
          <w:sz w:val="24"/>
          <w:szCs w:val="24"/>
        </w:rPr>
      </w:pPr>
    </w:p>
    <w:p w14:paraId="00F47272" w14:textId="7E642DAB" w:rsidR="003F7DD7" w:rsidRPr="00626D81" w:rsidRDefault="003F7DD7" w:rsidP="003F7DD7">
      <w:r w:rsidRPr="00626D81">
        <w:rPr>
          <w:sz w:val="32"/>
          <w:szCs w:val="32"/>
        </w:rPr>
        <w:t>Student ID:</w:t>
      </w:r>
      <w:r w:rsidR="00DF3FDE">
        <w:rPr>
          <w:sz w:val="32"/>
          <w:szCs w:val="32"/>
        </w:rPr>
        <w:t xml:space="preserve"> 2541516</w:t>
      </w:r>
    </w:p>
    <w:p w14:paraId="3CD72554" w14:textId="77777777" w:rsidR="003F7DD7" w:rsidRDefault="003F7DD7" w:rsidP="003F7DD7">
      <w:pPr>
        <w:rPr>
          <w:sz w:val="24"/>
          <w:szCs w:val="24"/>
        </w:rPr>
      </w:pPr>
    </w:p>
    <w:p w14:paraId="32C6D023" w14:textId="6C304A04" w:rsidR="00DF3FDE" w:rsidRPr="00DF3FDE" w:rsidRDefault="003F7DD7" w:rsidP="00DF3FDE">
      <w:pPr>
        <w:rPr>
          <w:b/>
          <w:bCs/>
          <w:sz w:val="32"/>
          <w:szCs w:val="32"/>
        </w:rPr>
      </w:pPr>
      <w:r w:rsidRPr="006C2F1B">
        <w:rPr>
          <w:sz w:val="32"/>
          <w:szCs w:val="32"/>
        </w:rPr>
        <w:t>Module Name</w:t>
      </w:r>
      <w:r w:rsidRPr="00DF3FDE">
        <w:rPr>
          <w:sz w:val="32"/>
          <w:szCs w:val="32"/>
        </w:rPr>
        <w:t>:</w:t>
      </w:r>
      <w:r w:rsidR="00DF3FDE" w:rsidRPr="00DF3FDE">
        <w:rPr>
          <w:sz w:val="32"/>
          <w:szCs w:val="32"/>
        </w:rPr>
        <w:t xml:space="preserve"> Effective Teamworking and</w:t>
      </w:r>
      <w:r w:rsidR="00DF3FDE">
        <w:rPr>
          <w:sz w:val="32"/>
          <w:szCs w:val="32"/>
        </w:rPr>
        <w:t xml:space="preserve"> </w:t>
      </w:r>
      <w:r w:rsidR="00DF3FDE" w:rsidRPr="00DF3FDE">
        <w:rPr>
          <w:sz w:val="32"/>
          <w:szCs w:val="32"/>
        </w:rPr>
        <w:t>Communication (LCLM4003</w:t>
      </w:r>
      <w:r w:rsidR="00DF3FDE" w:rsidRPr="00DF3FDE">
        <w:rPr>
          <w:b/>
          <w:bCs/>
          <w:sz w:val="32"/>
          <w:szCs w:val="32"/>
        </w:rPr>
        <w:t>)</w:t>
      </w:r>
    </w:p>
    <w:p w14:paraId="24BFDDE9" w14:textId="102BAD34" w:rsidR="003F7DD7" w:rsidRDefault="003F7DD7" w:rsidP="003F7DD7">
      <w:pPr>
        <w:rPr>
          <w:sz w:val="32"/>
          <w:szCs w:val="32"/>
        </w:rPr>
      </w:pPr>
    </w:p>
    <w:p w14:paraId="1AA5BBB0" w14:textId="543B161A" w:rsidR="008D2E35" w:rsidRPr="002203CA" w:rsidRDefault="003F7DD7" w:rsidP="00DF3FDE">
      <w:pPr>
        <w:rPr>
          <w:sz w:val="24"/>
          <w:szCs w:val="24"/>
        </w:rPr>
      </w:pPr>
      <w:r>
        <w:rPr>
          <w:sz w:val="32"/>
          <w:szCs w:val="32"/>
        </w:rPr>
        <w:t>Lecturer’s Name:</w:t>
      </w:r>
      <w:r w:rsidR="00DF3FDE">
        <w:rPr>
          <w:sz w:val="32"/>
          <w:szCs w:val="32"/>
        </w:rPr>
        <w:t xml:space="preserve"> Fatima Hashmi</w:t>
      </w:r>
      <w:r w:rsidR="006C2F1B">
        <w:rPr>
          <w:sz w:val="24"/>
          <w:szCs w:val="24"/>
        </w:rPr>
        <w:br w:type="page"/>
      </w:r>
      <w:r w:rsidR="006F1A94" w:rsidRPr="002203CA">
        <w:rPr>
          <w:sz w:val="24"/>
          <w:szCs w:val="24"/>
        </w:rPr>
        <w:lastRenderedPageBreak/>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03155BB" w14:textId="31AA8081" w:rsidR="00891FB9" w:rsidRPr="002203CA" w:rsidRDefault="0080668F" w:rsidP="006F1A94">
            <w:pPr>
              <w:jc w:val="both"/>
              <w:rPr>
                <w:rFonts w:cstheme="minorHAnsi"/>
                <w:sz w:val="24"/>
                <w:szCs w:val="24"/>
              </w:rPr>
            </w:pPr>
            <w:r w:rsidRPr="0080668F">
              <w:rPr>
                <w:rFonts w:cstheme="minorHAnsi"/>
                <w:sz w:val="24"/>
                <w:szCs w:val="24"/>
              </w:rPr>
              <w:t>Teamwork is the process by which individuals work collaboratively, combining their different skills, knowledge and perspectives to achieve a shared objective. Effective teamwork requires communication, cooperation, mutual respect, shared responsibility and constructive conflict resolution. In the video, the team demonstrates teamwork by discussing a problem and considering different approaches. Omar appears to advocate a framework, while Lena questions the approach and emphasises the importance of verifying the data. Priya attempts to bridge their positions by supporting the framework while allowing Lena 48 hours to check the evidence</w:t>
            </w:r>
            <w:r>
              <w:rPr>
                <w:rFonts w:cstheme="minorHAnsi"/>
                <w:sz w:val="24"/>
                <w:szCs w:val="24"/>
              </w:rPr>
              <w:t xml:space="preserve"> </w:t>
            </w:r>
            <w:r w:rsidRPr="0080668F">
              <w:rPr>
                <w:rFonts w:cstheme="minorHAnsi"/>
                <w:sz w:val="24"/>
                <w:szCs w:val="24"/>
              </w:rPr>
              <w:t>and Hannah and Kenji offer careful evaluation and support. This illustrates how team members can contribute different strengths towards a common goal.</w:t>
            </w:r>
            <w:r w:rsidRPr="0080668F">
              <w:t xml:space="preserve"> </w:t>
            </w:r>
            <w:r w:rsidRPr="0080668F">
              <w:rPr>
                <w:rFonts w:cstheme="minorHAnsi"/>
                <w:sz w:val="24"/>
                <w:szCs w:val="24"/>
              </w:rPr>
              <w:t>Effective teamwork requires every member to feel heard and valued (Katzenbach and Smith, 1993; Belbin, 2010).</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2755945A" w:rsidR="00773777" w:rsidRPr="002203CA" w:rsidRDefault="00115EFA" w:rsidP="00A80797">
            <w:pPr>
              <w:jc w:val="both"/>
              <w:rPr>
                <w:rFonts w:cstheme="minorHAnsi"/>
                <w:sz w:val="24"/>
                <w:szCs w:val="24"/>
              </w:rPr>
            </w:pPr>
            <w:r w:rsidRPr="00115EFA">
              <w:rPr>
                <w:rFonts w:cstheme="minorHAnsi"/>
                <w:sz w:val="24"/>
                <w:szCs w:val="24"/>
              </w:rPr>
              <w:t>The scene between 2:00 and 2:56 represents the storming stage of Tuckman’s Team Development Model. This stage is characterised by disagreements, competing opinions, interpersonal tension and challenges to other members’ ideas. Omar states that the team has been debating for two hours, while Lena challenges his position and Omar responds again. Their disagreement and the worried expressions of other members suggest that the team is struggling to reconcile different perspectives. Hannah’s troubled reaction also indicates that the conflict is affecting the group’s emotional atmosphere. According to Tuckman (1965), storming occurs as members express differences and negotiate their roles, influence and approaches to the task. Although uncomfortable, this stage can be productive if the team manages disagreement constructively and establishes clearer communication, mutual respect and shared expectations.</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57D95585" w14:textId="77777777" w:rsidR="00EA1DE8" w:rsidRDefault="00EA1DE8" w:rsidP="00F0469F">
      <w:pPr>
        <w:rPr>
          <w:rFonts w:cstheme="minorHAnsi"/>
          <w:b/>
          <w:bCs/>
          <w:sz w:val="24"/>
          <w:szCs w:val="24"/>
        </w:rPr>
      </w:pPr>
    </w:p>
    <w:p w14:paraId="2D0D29D3" w14:textId="77777777" w:rsidR="00EA1DE8" w:rsidRDefault="00EA1DE8" w:rsidP="00F0469F">
      <w:pPr>
        <w:rPr>
          <w:rFonts w:cstheme="minorHAnsi"/>
          <w:b/>
          <w:bCs/>
          <w:sz w:val="24"/>
          <w:szCs w:val="24"/>
        </w:rPr>
      </w:pPr>
    </w:p>
    <w:p w14:paraId="3F055B3A" w14:textId="77777777" w:rsidR="00EA1DE8" w:rsidRDefault="00EA1DE8" w:rsidP="00F0469F">
      <w:pPr>
        <w:rPr>
          <w:rFonts w:cstheme="minorHAnsi"/>
          <w:b/>
          <w:bCs/>
          <w:sz w:val="24"/>
          <w:szCs w:val="24"/>
        </w:rPr>
      </w:pPr>
    </w:p>
    <w:p w14:paraId="7652EECD" w14:textId="77777777" w:rsidR="00EA1DE8" w:rsidRDefault="00EA1DE8" w:rsidP="00F0469F">
      <w:pPr>
        <w:rPr>
          <w:rFonts w:cstheme="minorHAnsi"/>
          <w:b/>
          <w:bCs/>
          <w:sz w:val="24"/>
          <w:szCs w:val="24"/>
        </w:rPr>
      </w:pPr>
    </w:p>
    <w:p w14:paraId="272ED6FF" w14:textId="77777777" w:rsidR="00EA1DE8" w:rsidRDefault="00EA1DE8" w:rsidP="00F0469F">
      <w:pPr>
        <w:rPr>
          <w:rFonts w:cstheme="minorHAnsi"/>
          <w:b/>
          <w:bCs/>
          <w:sz w:val="24"/>
          <w:szCs w:val="24"/>
        </w:rPr>
      </w:pPr>
    </w:p>
    <w:p w14:paraId="121B14ED" w14:textId="66A01ABE"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53704489" w:rsidR="00773777" w:rsidRPr="002203CA" w:rsidRDefault="00EE719B" w:rsidP="00A80797">
            <w:pPr>
              <w:jc w:val="both"/>
              <w:rPr>
                <w:rFonts w:cstheme="minorHAnsi"/>
                <w:sz w:val="24"/>
                <w:szCs w:val="24"/>
              </w:rPr>
            </w:pPr>
            <w:r w:rsidRPr="00EE719B">
              <w:rPr>
                <w:rFonts w:cstheme="minorHAnsi"/>
                <w:sz w:val="24"/>
                <w:szCs w:val="24"/>
              </w:rPr>
              <w:t>The final two minutes appear to represent the norming stage, potentially progressing towards performing, depending on how the team concludes its discussion. In Tuckman’s model, norming occurs when team members begin resolving disagreements, developing mutual understanding and establishing agreed ways of working</w:t>
            </w:r>
            <w:r w:rsidR="00F743AB" w:rsidRPr="00F743AB">
              <w:rPr>
                <w:rFonts w:ascii="Arial" w:hAnsi="Arial" w:cs="Arial"/>
                <w:color w:val="000000"/>
              </w:rPr>
              <w:t xml:space="preserve"> </w:t>
            </w:r>
            <w:r w:rsidR="00F743AB" w:rsidRPr="00F743AB">
              <w:rPr>
                <w:rFonts w:cstheme="minorHAnsi"/>
                <w:sz w:val="24"/>
                <w:szCs w:val="24"/>
              </w:rPr>
              <w:t>(Tuckman &amp; Jensen, 1977)</w:t>
            </w:r>
            <w:r w:rsidRPr="00EE719B">
              <w:rPr>
                <w:rFonts w:cstheme="minorHAnsi"/>
                <w:sz w:val="24"/>
                <w:szCs w:val="24"/>
              </w:rPr>
              <w:t>. At 3:20–3:36, Priya states, “We do not have to choose between being brilliant or being thorough.” She supports Omar’s framework while giving Lena 48 hours to verify the data. This approach acknowledges both perspectives and introduces a practical compromise.</w:t>
            </w:r>
            <w:r w:rsidR="00F743AB" w:rsidRPr="00F743AB">
              <w:rPr>
                <w:rFonts w:ascii="Arial" w:hAnsi="Arial" w:cs="Arial"/>
                <w:color w:val="000000"/>
              </w:rPr>
              <w:t xml:space="preserve"> </w:t>
            </w:r>
            <w:r w:rsidR="00F743AB" w:rsidRPr="00F743AB">
              <w:rPr>
                <w:rFonts w:cstheme="minorHAnsi"/>
                <w:sz w:val="24"/>
                <w:szCs w:val="24"/>
              </w:rPr>
              <w:t>There is visible relief and renewed focus — the group now operates with agreed norms. While full Performing involves mature, autonomous functioning, the team here demonstrates the core Norming characteristics: aligned purpose, restored psychological safety, and collaborative problem-solving that accommodates everyone’s concerns rather than favouring one person’s approach.</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22693BF2" w:rsidR="00773777" w:rsidRPr="002203CA" w:rsidRDefault="00F743AB" w:rsidP="00A80797">
            <w:pPr>
              <w:jc w:val="both"/>
              <w:rPr>
                <w:rFonts w:cstheme="minorHAnsi"/>
                <w:sz w:val="24"/>
                <w:szCs w:val="24"/>
              </w:rPr>
            </w:pPr>
            <w:r w:rsidRPr="00F743AB">
              <w:rPr>
                <w:rFonts w:cstheme="minorHAnsi"/>
                <w:sz w:val="24"/>
                <w:szCs w:val="24"/>
              </w:rPr>
              <w:t>Group decision-making is a process in which two or more people share information, evaluate alternatives and select a course of action to achieve a common objective. It can improve decisions by bringing together different experiences, knowledge and perspectives, although disagreements and unequal participation may slow progress. In the video, Omar supports a particular framework, while Lena questions it and wants the data verified. Priya responds by supporting Omar’s framework while giving Lena 48 hours to check the evidence. This illustrates how different viewpoints can be considered before a decision is implemented. Priya’s response attempts to balance progress with accuracy rather than allowing one perspective to dominate completely. Effective group decision-making should encourage participation, evaluate evidence objectively and clarify responsibilities (Robbins and Judge, 2019).</w:t>
            </w:r>
          </w:p>
          <w:p w14:paraId="26063C82" w14:textId="77777777" w:rsidR="00773777" w:rsidRPr="002203CA" w:rsidRDefault="00773777" w:rsidP="00A80797">
            <w:pPr>
              <w:jc w:val="both"/>
              <w:rPr>
                <w:rFonts w:cstheme="minorHAnsi"/>
                <w:sz w:val="24"/>
                <w:szCs w:val="24"/>
              </w:rPr>
            </w:pP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6B2F60">
        <w:trPr>
          <w:cantSplit/>
          <w:trHeight w:hRule="exact" w:val="4123"/>
        </w:trPr>
        <w:tc>
          <w:tcPr>
            <w:tcW w:w="9350" w:type="dxa"/>
            <w:noWrap/>
          </w:tcPr>
          <w:p w14:paraId="60588203" w14:textId="1D550A1B" w:rsidR="00773777" w:rsidRPr="002203CA" w:rsidRDefault="006B2F60" w:rsidP="00A80797">
            <w:pPr>
              <w:jc w:val="both"/>
              <w:rPr>
                <w:rFonts w:cstheme="minorHAnsi"/>
                <w:sz w:val="24"/>
                <w:szCs w:val="24"/>
              </w:rPr>
            </w:pPr>
            <w:r w:rsidRPr="006B2F60">
              <w:rPr>
                <w:rFonts w:cstheme="minorHAnsi"/>
                <w:sz w:val="24"/>
                <w:szCs w:val="24"/>
              </w:rPr>
              <w:t xml:space="preserve">The Nominal Group Technique (NGT) is a structured group decision-making method designed to ensure equal participation, reduce dominance by a few individuals, and generate high-quality solutions through a systematic sequence of idea generation, discussion, and ranked voting </w:t>
            </w:r>
            <w:r w:rsidR="00ED2C67" w:rsidRPr="00ED2C67">
              <w:rPr>
                <w:rFonts w:cstheme="minorHAnsi"/>
                <w:sz w:val="24"/>
                <w:szCs w:val="24"/>
              </w:rPr>
              <w:t>(Horton, 1980)</w:t>
            </w:r>
            <w:r w:rsidRPr="006B2F60">
              <w:rPr>
                <w:rFonts w:cstheme="minorHAnsi"/>
                <w:sz w:val="24"/>
                <w:szCs w:val="24"/>
              </w:rPr>
              <w:t>. Members first contribute ideas silently and independently, then share them without immediate criticism, clarify points collectively, and finally prioritise options — minimising pressure to conform and preventing forceful personalities from overriding quieter voices. In the video, while not a formal voting procedure, Priya applies nominal principles when she frames the discussion to include all perspectives rather than allowing the debate to remain a two-person contest between Omar and Lena. She explicitly restates and validates both positions — “we do not have to choose between being brilliant or being thorough” — ensuring each viewpoint is heard and documented before the group evaluates them, giving quieter members like Hannah and Kenji the space to contribute without being overshadowed.</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45E256E7" w:rsidR="00773777" w:rsidRPr="002203CA" w:rsidRDefault="006B2F60" w:rsidP="00A80797">
            <w:pPr>
              <w:jc w:val="both"/>
              <w:rPr>
                <w:rFonts w:cstheme="minorHAnsi"/>
                <w:sz w:val="24"/>
                <w:szCs w:val="24"/>
              </w:rPr>
            </w:pPr>
            <w:r w:rsidRPr="006B2F60">
              <w:rPr>
                <w:rFonts w:cstheme="minorHAnsi"/>
                <w:sz w:val="24"/>
                <w:szCs w:val="24"/>
              </w:rPr>
              <w:t>Priya primarily demonstrates the collaborating conflict mode of the Thomas–Kilmann model. Collaboration involves high assertiveness and high cooperativeness: individuals seek a solution that addresses the important concerns of everyone involved. When Priya states, “We do not have to choose between being brilliant or being thorough,” she challenges the assumption that innovation and accuracy are mutually exclusive. By supporting Omar’s framework while allowing Lena 48 hours to verify the data, she attempts to preserve progress without dismissing the need for reliable evidence. Her intervention recognises the underlying interests of both colleagues and seeks an outcome that accommodates both. Although the time limit introduces a practical compromise, her overall approach is collaborative because she tries to integrate the two positions rather than simply choosing one side (Thomas and Kilmann, 1974).</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6744BD03" w14:textId="7B959058" w:rsidR="006F1A94" w:rsidRDefault="006F1A94" w:rsidP="006B2F60">
      <w:pPr>
        <w:rPr>
          <w:rFonts w:cstheme="minorHAnsi"/>
          <w:b/>
          <w:bCs/>
          <w:sz w:val="24"/>
          <w:szCs w:val="24"/>
        </w:rPr>
      </w:pPr>
      <w:r w:rsidRPr="002203CA">
        <w:rPr>
          <w:rFonts w:cstheme="minorHAnsi"/>
          <w:b/>
          <w:bCs/>
          <w:sz w:val="24"/>
          <w:szCs w:val="24"/>
        </w:rPr>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3D9FFE5E" w:rsidR="00773777" w:rsidRPr="002203CA" w:rsidRDefault="00C57924" w:rsidP="00A80797">
            <w:pPr>
              <w:jc w:val="both"/>
              <w:rPr>
                <w:rFonts w:cstheme="minorHAnsi"/>
                <w:sz w:val="24"/>
                <w:szCs w:val="24"/>
              </w:rPr>
            </w:pPr>
            <w:r w:rsidRPr="00C57924">
              <w:rPr>
                <w:rFonts w:cstheme="minorHAnsi"/>
                <w:sz w:val="24"/>
                <w:szCs w:val="24"/>
              </w:rPr>
              <w:t>Hannah displays the Avoiding conflict mode. In the Thomas-Kilmann model, Avoiding is characterised by low assertiveness and low cooperativeness; the individual withdraws from the situation, sidesteps confrontation, or defers decisions to others rather than expressing their own needs or seeking resolution (Kilmann &amp; Thomas, 1977). Behavioural signs include physical withdrawal, silence when spoken over, and reluctance to enter the fray — all evident here. As the debate between Omar and Lena intensifies, Hannah “shrinks back slightly in her chair” and trails off when interrupted, signalling she is ceding the floor rather than persisting. She does not advocate her position, propose alternatives, or attempt to mediate; instead, she removes herself from the conflict dynamic. While her quiet nature and thoughtful approach are strengths, in this moment the avoidance means her perspective is not heard, limiting the range of ideas the team can draw upon to resolve their impasse.</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C57924">
        <w:trPr>
          <w:cantSplit/>
          <w:trHeight w:hRule="exact" w:val="3901"/>
        </w:trPr>
        <w:tc>
          <w:tcPr>
            <w:tcW w:w="9350" w:type="dxa"/>
            <w:noWrap/>
          </w:tcPr>
          <w:p w14:paraId="745BC792" w14:textId="77777777" w:rsidR="00C57924" w:rsidRPr="00C57924" w:rsidRDefault="00C57924" w:rsidP="00C57924">
            <w:pPr>
              <w:jc w:val="both"/>
              <w:rPr>
                <w:rFonts w:cstheme="minorHAnsi"/>
                <w:sz w:val="24"/>
                <w:szCs w:val="24"/>
              </w:rPr>
            </w:pPr>
            <w:r w:rsidRPr="00C57924">
              <w:rPr>
                <w:rFonts w:cstheme="minorHAnsi"/>
                <w:b/>
                <w:bCs/>
                <w:sz w:val="24"/>
                <w:szCs w:val="24"/>
              </w:rPr>
              <w:t>Alex</w:t>
            </w:r>
            <w:r w:rsidRPr="00C57924">
              <w:rPr>
                <w:rFonts w:cstheme="minorHAnsi"/>
                <w:sz w:val="24"/>
                <w:szCs w:val="24"/>
              </w:rPr>
              <w:t xml:space="preserve"> best fits </w:t>
            </w:r>
            <w:r w:rsidRPr="00C57924">
              <w:rPr>
                <w:rFonts w:cstheme="minorHAnsi"/>
                <w:b/>
                <w:bCs/>
                <w:sz w:val="24"/>
                <w:szCs w:val="24"/>
              </w:rPr>
              <w:t>the Implementer</w:t>
            </w:r>
            <w:r w:rsidRPr="00C57924">
              <w:rPr>
                <w:rFonts w:cstheme="minorHAnsi"/>
                <w:sz w:val="24"/>
                <w:szCs w:val="24"/>
              </w:rPr>
              <w:t xml:space="preserve"> role. Implementers are practical, reliable, and systematic; they turn abstract concepts into actionable plans and organise processes to ensure efficient delivery (Belbin, 1981). As a computer science major, Alex approaches work with a systematic mindset, organises project data, streamlines workflows, and applies digital tools to improve efficiency — all classic Implementer strengths. He grounds the team in practical execution rather than just ideas, ensuring smooth operation.</w:t>
            </w:r>
          </w:p>
          <w:p w14:paraId="00042534" w14:textId="77777777" w:rsidR="00C57924" w:rsidRPr="00C57924" w:rsidRDefault="00C57924" w:rsidP="00C57924">
            <w:pPr>
              <w:jc w:val="both"/>
              <w:rPr>
                <w:rFonts w:cstheme="minorHAnsi"/>
                <w:sz w:val="24"/>
                <w:szCs w:val="24"/>
              </w:rPr>
            </w:pPr>
            <w:r w:rsidRPr="00C57924">
              <w:rPr>
                <w:rFonts w:cstheme="minorHAnsi"/>
                <w:b/>
                <w:bCs/>
                <w:sz w:val="24"/>
                <w:szCs w:val="24"/>
              </w:rPr>
              <w:t>Priya</w:t>
            </w:r>
            <w:r w:rsidRPr="00C57924">
              <w:rPr>
                <w:rFonts w:cstheme="minorHAnsi"/>
                <w:sz w:val="24"/>
                <w:szCs w:val="24"/>
              </w:rPr>
              <w:t xml:space="preserve"> demonstrates </w:t>
            </w:r>
            <w:r w:rsidRPr="00C57924">
              <w:rPr>
                <w:rFonts w:cstheme="minorHAnsi"/>
                <w:b/>
                <w:bCs/>
                <w:sz w:val="24"/>
                <w:szCs w:val="24"/>
              </w:rPr>
              <w:t>the Resource Investigator</w:t>
            </w:r>
            <w:r w:rsidRPr="00C57924">
              <w:rPr>
                <w:rFonts w:cstheme="minorHAnsi"/>
                <w:sz w:val="24"/>
                <w:szCs w:val="24"/>
              </w:rPr>
              <w:t xml:space="preserve"> role. Resource Investigators are energetic, outward-looking networkers who explore possibilities, build connections, and bring fresh perspectives back to the group (Belbin Associates, 2023). Priya’s “vibrant energy and dynamic resourcefulness,” combined with her ability to find practical, creative ways forward and bridge divides, matches this profile. She acts as the team’s link between differing viewpoints, exploring how to combine options and maintaining enthusiasm — the key contribution of a Resource Investigator.</w:t>
            </w:r>
          </w:p>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EA1DE8">
      <w:pPr>
        <w:spacing w:line="240" w:lineRule="auto"/>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EA1DE8">
      <w:pPr>
        <w:spacing w:line="240" w:lineRule="auto"/>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7724C6">
        <w:trPr>
          <w:trHeight w:val="3641"/>
        </w:trPr>
        <w:tc>
          <w:tcPr>
            <w:tcW w:w="9350" w:type="dxa"/>
          </w:tcPr>
          <w:p w14:paraId="10F35061" w14:textId="77777777" w:rsidR="00C57924" w:rsidRDefault="00C57924" w:rsidP="00EA1DE8">
            <w:pPr>
              <w:jc w:val="both"/>
              <w:rPr>
                <w:rFonts w:cstheme="minorHAnsi"/>
                <w:sz w:val="24"/>
                <w:szCs w:val="24"/>
              </w:rPr>
            </w:pPr>
            <w:r w:rsidRPr="00C57924">
              <w:rPr>
                <w:rFonts w:cstheme="minorHAnsi"/>
                <w:b/>
                <w:bCs/>
                <w:sz w:val="24"/>
                <w:szCs w:val="24"/>
              </w:rPr>
              <w:t>Omar</w:t>
            </w:r>
            <w:r w:rsidRPr="00C57924">
              <w:rPr>
                <w:rFonts w:cstheme="minorHAnsi"/>
                <w:sz w:val="24"/>
                <w:szCs w:val="24"/>
              </w:rPr>
              <w:t xml:space="preserve"> most likely demonstrates the </w:t>
            </w:r>
            <w:r w:rsidRPr="00C57924">
              <w:rPr>
                <w:rFonts w:cstheme="minorHAnsi"/>
                <w:b/>
                <w:bCs/>
                <w:sz w:val="24"/>
                <w:szCs w:val="24"/>
              </w:rPr>
              <w:t>Shaper</w:t>
            </w:r>
            <w:r w:rsidRPr="00C57924">
              <w:rPr>
                <w:rFonts w:cstheme="minorHAnsi"/>
                <w:sz w:val="24"/>
                <w:szCs w:val="24"/>
              </w:rPr>
              <w:t xml:space="preserve"> role in Belbin’s Team Role theory. His confidence, persuasive communication, decisiveness and ability to motivate others reflect a task-focused individual who pushes the team towards progress. Shapers challenge obstacles and maintain momentum, although they can sometimes appear confrontational during disagreements.</w:t>
            </w:r>
          </w:p>
          <w:p w14:paraId="349C0423" w14:textId="615F5062" w:rsidR="00EF4387" w:rsidRDefault="00C57924" w:rsidP="00EA1DE8">
            <w:pPr>
              <w:jc w:val="both"/>
              <w:rPr>
                <w:rFonts w:cstheme="minorHAnsi"/>
                <w:sz w:val="24"/>
                <w:szCs w:val="24"/>
              </w:rPr>
            </w:pPr>
            <w:r w:rsidRPr="00C57924">
              <w:rPr>
                <w:rFonts w:cstheme="minorHAnsi"/>
                <w:b/>
                <w:bCs/>
                <w:sz w:val="24"/>
                <w:szCs w:val="24"/>
              </w:rPr>
              <w:t>Lena</w:t>
            </w:r>
            <w:r w:rsidRPr="00C57924">
              <w:rPr>
                <w:rFonts w:cstheme="minorHAnsi"/>
                <w:sz w:val="24"/>
                <w:szCs w:val="24"/>
              </w:rPr>
              <w:t xml:space="preserve"> most likely demonstrates the </w:t>
            </w:r>
            <w:r w:rsidRPr="00C57924">
              <w:rPr>
                <w:rFonts w:cstheme="minorHAnsi"/>
                <w:b/>
                <w:bCs/>
                <w:sz w:val="24"/>
                <w:szCs w:val="24"/>
              </w:rPr>
              <w:t>Completer Finisher</w:t>
            </w:r>
            <w:r w:rsidRPr="00C57924">
              <w:rPr>
                <w:rFonts w:cstheme="minorHAnsi"/>
                <w:sz w:val="24"/>
                <w:szCs w:val="24"/>
              </w:rPr>
              <w:t xml:space="preserve"> role because she values precision, empirical evidence, detailed research and consistently high-quality work. Completer Finishers identify errors, check details and ensure that work meets appropriate standards. Lena may also demonstrate the Monitor Evaluator role when she critically assesses Omar’s framework and requests data verification. Omar’s drive and Lena’s attention to accuracy can complement one another: his decisiveness encourages progress, while her careful evaluation reduces the risk of mistakes (Belbin, 2010).</w:t>
            </w: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8C42E2">
      <w:pPr>
        <w:spacing w:line="240" w:lineRule="auto"/>
        <w:jc w:val="both"/>
        <w:rPr>
          <w:rFonts w:cstheme="minorHAnsi"/>
          <w:sz w:val="24"/>
          <w:szCs w:val="24"/>
        </w:rPr>
      </w:pPr>
    </w:p>
    <w:p w14:paraId="0CC8C669" w14:textId="2D5714C9" w:rsidR="00A77C0E" w:rsidRDefault="00594AA4" w:rsidP="008C42E2">
      <w:pPr>
        <w:spacing w:line="240" w:lineRule="auto"/>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8C42E2">
      <w:pPr>
        <w:spacing w:line="240" w:lineRule="auto"/>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635C77EE" w:rsidR="007F16AF" w:rsidRDefault="007724C6" w:rsidP="008C42E2">
            <w:pPr>
              <w:jc w:val="both"/>
              <w:rPr>
                <w:rFonts w:cstheme="minorHAnsi"/>
                <w:sz w:val="24"/>
                <w:szCs w:val="24"/>
              </w:rPr>
            </w:pPr>
            <w:r w:rsidRPr="007724C6">
              <w:rPr>
                <w:rFonts w:cstheme="minorHAnsi"/>
                <w:sz w:val="24"/>
                <w:szCs w:val="24"/>
              </w:rPr>
              <w:t xml:space="preserve">I would naturally take the </w:t>
            </w:r>
            <w:r w:rsidR="00067170" w:rsidRPr="00067170">
              <w:rPr>
                <w:rFonts w:cstheme="minorHAnsi"/>
                <w:b/>
                <w:bCs/>
                <w:sz w:val="24"/>
                <w:szCs w:val="24"/>
              </w:rPr>
              <w:t>Team worker</w:t>
            </w:r>
            <w:r w:rsidRPr="007724C6">
              <w:rPr>
                <w:rFonts w:cstheme="minorHAnsi"/>
                <w:sz w:val="24"/>
                <w:szCs w:val="24"/>
              </w:rPr>
              <w:t xml:space="preserve"> role because I value cooperation, active listening and maintaining positive relationships within a team. In the video, the disagreement between Omar and Lena demonstrates how differences of opinion can create tension and prevent progress when team members do not listen to one another. As a </w:t>
            </w:r>
            <w:r w:rsidR="00067170" w:rsidRPr="007724C6">
              <w:rPr>
                <w:rFonts w:cstheme="minorHAnsi"/>
                <w:sz w:val="24"/>
                <w:szCs w:val="24"/>
              </w:rPr>
              <w:t>Team worker</w:t>
            </w:r>
            <w:r w:rsidRPr="007724C6">
              <w:rPr>
                <w:rFonts w:cstheme="minorHAnsi"/>
                <w:sz w:val="24"/>
                <w:szCs w:val="24"/>
              </w:rPr>
              <w:t xml:space="preserve">, I would encourage everyone, including Hannah, to express their views without interruption. I would acknowledge Omar’s desire to move forward while recognising Lena’s concerns about data accuracy. I would also support Priya’s efforts to find a balanced solution. Belbin (2010) describes </w:t>
            </w:r>
            <w:r w:rsidR="00067170" w:rsidRPr="007724C6">
              <w:rPr>
                <w:rFonts w:cstheme="minorHAnsi"/>
                <w:sz w:val="24"/>
                <w:szCs w:val="24"/>
              </w:rPr>
              <w:t>Team workers</w:t>
            </w:r>
            <w:r w:rsidRPr="007724C6">
              <w:rPr>
                <w:rFonts w:cstheme="minorHAnsi"/>
                <w:sz w:val="24"/>
                <w:szCs w:val="24"/>
              </w:rPr>
              <w:t xml:space="preserve"> as cooperative, perceptive and diplomatic individuals who help prevent friction. I believe this role would strengthen trust, improve communication and enable the team to reach decisions collectively while respecting each member’s contribution.</w:t>
            </w:r>
          </w:p>
          <w:p w14:paraId="5C932814" w14:textId="77777777" w:rsidR="007F16AF" w:rsidRDefault="007F16AF" w:rsidP="008C42E2">
            <w:pPr>
              <w:jc w:val="both"/>
              <w:rPr>
                <w:rFonts w:cstheme="minorHAnsi"/>
                <w:sz w:val="24"/>
                <w:szCs w:val="24"/>
              </w:rPr>
            </w:pPr>
          </w:p>
          <w:p w14:paraId="71932275" w14:textId="77777777" w:rsidR="007F16AF" w:rsidRDefault="007F16AF" w:rsidP="008C42E2">
            <w:pPr>
              <w:jc w:val="both"/>
              <w:rPr>
                <w:rFonts w:cstheme="minorHAnsi"/>
                <w:sz w:val="24"/>
                <w:szCs w:val="24"/>
              </w:rPr>
            </w:pPr>
          </w:p>
          <w:p w14:paraId="22338820" w14:textId="77777777" w:rsidR="007F16AF" w:rsidRDefault="007F16AF" w:rsidP="008C42E2">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4A3470" w:rsidRDefault="005A7CFA" w:rsidP="004A3470">
      <w:pPr>
        <w:pStyle w:val="ListParagraph"/>
        <w:numPr>
          <w:ilvl w:val="0"/>
          <w:numId w:val="2"/>
        </w:numPr>
        <w:spacing w:line="360" w:lineRule="auto"/>
        <w:jc w:val="both"/>
        <w:rPr>
          <w:rFonts w:cstheme="minorHAnsi"/>
          <w:b/>
          <w:bCs/>
          <w:sz w:val="24"/>
          <w:szCs w:val="24"/>
        </w:rPr>
      </w:pPr>
      <w:r w:rsidRPr="004A3470">
        <w:rPr>
          <w:rFonts w:cstheme="minorHAnsi"/>
          <w:b/>
          <w:bCs/>
          <w:sz w:val="24"/>
          <w:szCs w:val="24"/>
        </w:rPr>
        <w:t>R</w:t>
      </w:r>
      <w:r w:rsidR="007F16AF" w:rsidRPr="004A3470">
        <w:rPr>
          <w:rFonts w:cstheme="minorHAnsi"/>
          <w:b/>
          <w:bCs/>
          <w:sz w:val="24"/>
          <w:szCs w:val="24"/>
        </w:rPr>
        <w:t>ef</w:t>
      </w:r>
      <w:r w:rsidR="006B33ED" w:rsidRPr="004A3470">
        <w:rPr>
          <w:rFonts w:cstheme="minorHAnsi"/>
          <w:b/>
          <w:bCs/>
          <w:sz w:val="24"/>
          <w:szCs w:val="24"/>
        </w:rPr>
        <w:t>erences list</w:t>
      </w:r>
    </w:p>
    <w:p w14:paraId="776957C8" w14:textId="77777777" w:rsidR="00F2752E" w:rsidRPr="004A3470" w:rsidRDefault="00F2752E" w:rsidP="004A3470">
      <w:pPr>
        <w:pStyle w:val="ListParagraph"/>
        <w:numPr>
          <w:ilvl w:val="0"/>
          <w:numId w:val="2"/>
        </w:numPr>
        <w:spacing w:line="360" w:lineRule="auto"/>
        <w:jc w:val="both"/>
        <w:rPr>
          <w:rFonts w:cstheme="minorHAnsi"/>
          <w:sz w:val="24"/>
          <w:szCs w:val="24"/>
        </w:rPr>
      </w:pPr>
      <w:r w:rsidRPr="004A3470">
        <w:rPr>
          <w:rFonts w:cstheme="minorHAnsi"/>
          <w:sz w:val="24"/>
          <w:szCs w:val="24"/>
        </w:rPr>
        <w:t>Belbin, R. M. (1981). Management Teams: Why They Succeed or Fail. Butterworth-Heinemann.</w:t>
      </w:r>
    </w:p>
    <w:p w14:paraId="328158D6" w14:textId="4FE76DB7" w:rsidR="00781F6F" w:rsidRPr="004A3470" w:rsidRDefault="00F2752E" w:rsidP="004A3470">
      <w:pPr>
        <w:pStyle w:val="ListParagraph"/>
        <w:numPr>
          <w:ilvl w:val="0"/>
          <w:numId w:val="2"/>
        </w:numPr>
        <w:spacing w:line="360" w:lineRule="auto"/>
        <w:jc w:val="both"/>
        <w:rPr>
          <w:rFonts w:cstheme="minorHAnsi"/>
          <w:sz w:val="24"/>
          <w:szCs w:val="24"/>
        </w:rPr>
      </w:pPr>
      <w:r w:rsidRPr="004A3470">
        <w:rPr>
          <w:rFonts w:cstheme="minorHAnsi"/>
          <w:sz w:val="24"/>
          <w:szCs w:val="24"/>
        </w:rPr>
        <w:t>B</w:t>
      </w:r>
      <w:r w:rsidR="008C42E2" w:rsidRPr="004A3470">
        <w:rPr>
          <w:rFonts w:cstheme="minorHAnsi"/>
          <w:sz w:val="24"/>
          <w:szCs w:val="24"/>
        </w:rPr>
        <w:t>elbin, R.M. (2010)</w:t>
      </w:r>
      <w:r w:rsidR="00ED2C67" w:rsidRPr="004A3470">
        <w:rPr>
          <w:rFonts w:cstheme="minorHAnsi"/>
          <w:sz w:val="24"/>
          <w:szCs w:val="24"/>
        </w:rPr>
        <w:t>.</w:t>
      </w:r>
      <w:r w:rsidR="008C42E2" w:rsidRPr="004A3470">
        <w:rPr>
          <w:rFonts w:cstheme="minorHAnsi"/>
          <w:sz w:val="24"/>
          <w:szCs w:val="24"/>
        </w:rPr>
        <w:t xml:space="preserve"> Team Roles at Work. 2nd </w:t>
      </w:r>
      <w:proofErr w:type="spellStart"/>
      <w:r w:rsidR="008C42E2" w:rsidRPr="004A3470">
        <w:rPr>
          <w:rFonts w:cstheme="minorHAnsi"/>
          <w:sz w:val="24"/>
          <w:szCs w:val="24"/>
        </w:rPr>
        <w:t>edn</w:t>
      </w:r>
      <w:proofErr w:type="spellEnd"/>
      <w:r w:rsidR="008C42E2" w:rsidRPr="004A3470">
        <w:rPr>
          <w:rFonts w:cstheme="minorHAnsi"/>
          <w:sz w:val="24"/>
          <w:szCs w:val="24"/>
        </w:rPr>
        <w:t xml:space="preserve">. Oxford: Butterworth-Heinemann. </w:t>
      </w:r>
    </w:p>
    <w:p w14:paraId="712F1706" w14:textId="760BF301" w:rsidR="008C42E2" w:rsidRPr="004A3470" w:rsidRDefault="00781F6F" w:rsidP="004A3470">
      <w:pPr>
        <w:pStyle w:val="ListParagraph"/>
        <w:numPr>
          <w:ilvl w:val="0"/>
          <w:numId w:val="2"/>
        </w:numPr>
        <w:spacing w:line="360" w:lineRule="auto"/>
        <w:jc w:val="both"/>
        <w:rPr>
          <w:rFonts w:cstheme="minorHAnsi"/>
          <w:sz w:val="24"/>
          <w:szCs w:val="24"/>
        </w:rPr>
      </w:pPr>
      <w:r w:rsidRPr="004A3470">
        <w:rPr>
          <w:rFonts w:cstheme="minorHAnsi"/>
          <w:color w:val="000000"/>
          <w:sz w:val="24"/>
          <w:szCs w:val="24"/>
        </w:rPr>
        <w:t>Belbin Associates (2023). Belbin Team Role Descriptions. Retrieved from</w:t>
      </w:r>
      <w:r w:rsidRPr="004A3470">
        <w:rPr>
          <w:rFonts w:ascii="Arial" w:hAnsi="Arial" w:cs="Arial"/>
          <w:color w:val="000000"/>
          <w:sz w:val="24"/>
          <w:szCs w:val="24"/>
        </w:rPr>
        <w:t xml:space="preserve"> belbin.com</w:t>
      </w:r>
    </w:p>
    <w:p w14:paraId="677D025C" w14:textId="2F9872A7" w:rsidR="008C42E2" w:rsidRPr="004A3470" w:rsidRDefault="008C42E2" w:rsidP="004A3470">
      <w:pPr>
        <w:pStyle w:val="ListParagraph"/>
        <w:numPr>
          <w:ilvl w:val="0"/>
          <w:numId w:val="2"/>
        </w:numPr>
        <w:spacing w:line="360" w:lineRule="auto"/>
        <w:jc w:val="both"/>
        <w:rPr>
          <w:rFonts w:cstheme="minorHAnsi"/>
          <w:sz w:val="24"/>
          <w:szCs w:val="24"/>
        </w:rPr>
      </w:pPr>
      <w:r w:rsidRPr="004A3470">
        <w:rPr>
          <w:rFonts w:cstheme="minorHAnsi"/>
          <w:sz w:val="24"/>
          <w:szCs w:val="24"/>
        </w:rPr>
        <w:t>Horton, J.N. (1980</w:t>
      </w:r>
      <w:r w:rsidR="00ED2C67" w:rsidRPr="004A3470">
        <w:rPr>
          <w:rFonts w:cstheme="minorHAnsi"/>
          <w:sz w:val="24"/>
          <w:szCs w:val="24"/>
        </w:rPr>
        <w:t>). Nominal</w:t>
      </w:r>
      <w:r w:rsidRPr="004A3470">
        <w:rPr>
          <w:rFonts w:cstheme="minorHAnsi"/>
          <w:sz w:val="24"/>
          <w:szCs w:val="24"/>
        </w:rPr>
        <w:t xml:space="preserve"> group technique. A method of decision-making by committee</w:t>
      </w:r>
      <w:r w:rsidR="00ED2C67" w:rsidRPr="004A3470">
        <w:rPr>
          <w:rFonts w:cstheme="minorHAnsi"/>
          <w:sz w:val="24"/>
          <w:szCs w:val="24"/>
        </w:rPr>
        <w:t xml:space="preserve">. </w:t>
      </w:r>
      <w:r w:rsidRPr="004A3470">
        <w:rPr>
          <w:rFonts w:cstheme="minorHAnsi"/>
          <w:sz w:val="24"/>
          <w:szCs w:val="24"/>
        </w:rPr>
        <w:t xml:space="preserve">Anaesthesia, 35(8), pp. 811–814. </w:t>
      </w:r>
      <w:hyperlink r:id="rId14" w:tgtFrame="_blank" w:history="1">
        <w:r w:rsidRPr="004A3470">
          <w:rPr>
            <w:rStyle w:val="Hyperlink"/>
            <w:rFonts w:cstheme="minorHAnsi"/>
            <w:sz w:val="24"/>
            <w:szCs w:val="24"/>
          </w:rPr>
          <w:t>https://doi.o</w:t>
        </w:r>
        <w:r w:rsidRPr="004A3470">
          <w:rPr>
            <w:rStyle w:val="Hyperlink"/>
            <w:rFonts w:cstheme="minorHAnsi"/>
            <w:sz w:val="24"/>
            <w:szCs w:val="24"/>
          </w:rPr>
          <w:t>r</w:t>
        </w:r>
        <w:r w:rsidRPr="004A3470">
          <w:rPr>
            <w:rStyle w:val="Hyperlink"/>
            <w:rFonts w:cstheme="minorHAnsi"/>
            <w:sz w:val="24"/>
            <w:szCs w:val="24"/>
          </w:rPr>
          <w:t>g/10.1111/j.1365-2044.1980.tb03924.x</w:t>
        </w:r>
      </w:hyperlink>
      <w:r w:rsidRPr="004A3470">
        <w:rPr>
          <w:rFonts w:cstheme="minorHAnsi"/>
          <w:sz w:val="24"/>
          <w:szCs w:val="24"/>
        </w:rPr>
        <w:t xml:space="preserve">. </w:t>
      </w:r>
    </w:p>
    <w:p w14:paraId="551EDC49" w14:textId="605574E3" w:rsidR="008C42E2" w:rsidRPr="004A3470" w:rsidRDefault="008C42E2" w:rsidP="004A3470">
      <w:pPr>
        <w:pStyle w:val="ListParagraph"/>
        <w:numPr>
          <w:ilvl w:val="0"/>
          <w:numId w:val="2"/>
        </w:numPr>
        <w:spacing w:line="360" w:lineRule="auto"/>
        <w:jc w:val="both"/>
        <w:rPr>
          <w:rFonts w:cstheme="minorHAnsi"/>
          <w:sz w:val="24"/>
          <w:szCs w:val="24"/>
        </w:rPr>
      </w:pPr>
      <w:r w:rsidRPr="004A3470">
        <w:rPr>
          <w:rFonts w:cstheme="minorHAnsi"/>
          <w:sz w:val="24"/>
          <w:szCs w:val="24"/>
          <w:lang w:val="de-CH"/>
        </w:rPr>
        <w:t>Katzenbach, J.R. and Smith, D.K. (1993)</w:t>
      </w:r>
      <w:r w:rsidR="00ED2C67" w:rsidRPr="004A3470">
        <w:rPr>
          <w:rFonts w:cstheme="minorHAnsi"/>
          <w:sz w:val="24"/>
          <w:szCs w:val="24"/>
          <w:lang w:val="de-CH"/>
        </w:rPr>
        <w:t>.</w:t>
      </w:r>
      <w:r w:rsidRPr="004A3470">
        <w:rPr>
          <w:rFonts w:cstheme="minorHAnsi"/>
          <w:sz w:val="24"/>
          <w:szCs w:val="24"/>
          <w:lang w:val="de-CH"/>
        </w:rPr>
        <w:t xml:space="preserve"> </w:t>
      </w:r>
      <w:r w:rsidRPr="004A3470">
        <w:rPr>
          <w:rFonts w:cstheme="minorHAnsi"/>
          <w:sz w:val="24"/>
          <w:szCs w:val="24"/>
        </w:rPr>
        <w:t xml:space="preserve">The Wisdom of Teams: Creating the High-Performance Organization. Boston, MA: Harvard Business School Press. </w:t>
      </w:r>
    </w:p>
    <w:p w14:paraId="1BF5D1DC" w14:textId="36715A61" w:rsidR="008C42E2" w:rsidRPr="004A3470" w:rsidRDefault="008C42E2" w:rsidP="004A3470">
      <w:pPr>
        <w:pStyle w:val="ListParagraph"/>
        <w:numPr>
          <w:ilvl w:val="0"/>
          <w:numId w:val="2"/>
        </w:numPr>
        <w:spacing w:line="360" w:lineRule="auto"/>
        <w:jc w:val="both"/>
        <w:rPr>
          <w:rFonts w:cstheme="minorHAnsi"/>
          <w:sz w:val="24"/>
          <w:szCs w:val="24"/>
        </w:rPr>
      </w:pPr>
      <w:r w:rsidRPr="004A3470">
        <w:rPr>
          <w:rFonts w:cstheme="minorHAnsi"/>
          <w:sz w:val="24"/>
          <w:szCs w:val="24"/>
        </w:rPr>
        <w:t>Robbins, S.P. and Judge, T.A. (2019)</w:t>
      </w:r>
      <w:r w:rsidR="00F2752E" w:rsidRPr="004A3470">
        <w:rPr>
          <w:rFonts w:cstheme="minorHAnsi"/>
          <w:sz w:val="24"/>
          <w:szCs w:val="24"/>
        </w:rPr>
        <w:t>.</w:t>
      </w:r>
      <w:r w:rsidRPr="004A3470">
        <w:rPr>
          <w:rFonts w:cstheme="minorHAnsi"/>
          <w:sz w:val="24"/>
          <w:szCs w:val="24"/>
        </w:rPr>
        <w:t xml:space="preserve"> Organizational </w:t>
      </w:r>
      <w:proofErr w:type="spellStart"/>
      <w:r w:rsidRPr="004A3470">
        <w:rPr>
          <w:rFonts w:cstheme="minorHAnsi"/>
          <w:sz w:val="24"/>
          <w:szCs w:val="24"/>
        </w:rPr>
        <w:t>Behavior</w:t>
      </w:r>
      <w:proofErr w:type="spellEnd"/>
      <w:r w:rsidRPr="004A3470">
        <w:rPr>
          <w:rFonts w:cstheme="minorHAnsi"/>
          <w:sz w:val="24"/>
          <w:szCs w:val="24"/>
        </w:rPr>
        <w:t xml:space="preserve">. 18th </w:t>
      </w:r>
      <w:proofErr w:type="spellStart"/>
      <w:r w:rsidRPr="004A3470">
        <w:rPr>
          <w:rFonts w:cstheme="minorHAnsi"/>
          <w:sz w:val="24"/>
          <w:szCs w:val="24"/>
        </w:rPr>
        <w:t>edn</w:t>
      </w:r>
      <w:proofErr w:type="spellEnd"/>
      <w:r w:rsidRPr="004A3470">
        <w:rPr>
          <w:rFonts w:cstheme="minorHAnsi"/>
          <w:sz w:val="24"/>
          <w:szCs w:val="24"/>
        </w:rPr>
        <w:t>. Harlow: Pearson.</w:t>
      </w:r>
    </w:p>
    <w:p w14:paraId="6A61F43A" w14:textId="7C68E9CE" w:rsidR="008C42E2" w:rsidRPr="004A3470" w:rsidRDefault="008C42E2" w:rsidP="004A3470">
      <w:pPr>
        <w:pStyle w:val="ListParagraph"/>
        <w:numPr>
          <w:ilvl w:val="0"/>
          <w:numId w:val="2"/>
        </w:numPr>
        <w:spacing w:line="360" w:lineRule="auto"/>
        <w:jc w:val="both"/>
        <w:rPr>
          <w:rFonts w:cstheme="minorHAnsi"/>
          <w:sz w:val="24"/>
          <w:szCs w:val="24"/>
        </w:rPr>
      </w:pPr>
      <w:r w:rsidRPr="004A3470">
        <w:rPr>
          <w:rFonts w:cstheme="minorHAnsi"/>
          <w:sz w:val="24"/>
          <w:szCs w:val="24"/>
        </w:rPr>
        <w:t>Thomas, K.W. and Kilmann, R.H. (1974)</w:t>
      </w:r>
      <w:r w:rsidR="00F2752E" w:rsidRPr="004A3470">
        <w:rPr>
          <w:rFonts w:cstheme="minorHAnsi"/>
          <w:sz w:val="24"/>
          <w:szCs w:val="24"/>
        </w:rPr>
        <w:t>.</w:t>
      </w:r>
      <w:r w:rsidRPr="004A3470">
        <w:rPr>
          <w:rFonts w:cstheme="minorHAnsi"/>
          <w:sz w:val="24"/>
          <w:szCs w:val="24"/>
        </w:rPr>
        <w:t xml:space="preserve"> Thomas-Kilmann Conflict Mode Instrument. Tuxedo, NY: </w:t>
      </w:r>
      <w:proofErr w:type="spellStart"/>
      <w:r w:rsidRPr="004A3470">
        <w:rPr>
          <w:rFonts w:cstheme="minorHAnsi"/>
          <w:sz w:val="24"/>
          <w:szCs w:val="24"/>
        </w:rPr>
        <w:t>Xicom</w:t>
      </w:r>
      <w:proofErr w:type="spellEnd"/>
      <w:r w:rsidRPr="004A3470">
        <w:rPr>
          <w:rFonts w:cstheme="minorHAnsi"/>
          <w:sz w:val="24"/>
          <w:szCs w:val="24"/>
        </w:rPr>
        <w:t xml:space="preserve">. </w:t>
      </w:r>
    </w:p>
    <w:p w14:paraId="4C998416" w14:textId="6B333036" w:rsidR="008C42E2" w:rsidRPr="004A3470" w:rsidRDefault="008C42E2" w:rsidP="004A3470">
      <w:pPr>
        <w:pStyle w:val="ListParagraph"/>
        <w:numPr>
          <w:ilvl w:val="0"/>
          <w:numId w:val="2"/>
        </w:numPr>
        <w:spacing w:line="360" w:lineRule="auto"/>
        <w:jc w:val="both"/>
        <w:rPr>
          <w:rFonts w:cstheme="minorHAnsi"/>
          <w:sz w:val="24"/>
          <w:szCs w:val="24"/>
        </w:rPr>
      </w:pPr>
      <w:r w:rsidRPr="004A3470">
        <w:rPr>
          <w:rFonts w:cstheme="minorHAnsi"/>
          <w:sz w:val="24"/>
          <w:szCs w:val="24"/>
        </w:rPr>
        <w:t>Tuckman, B.W. (1965)</w:t>
      </w:r>
      <w:r w:rsidR="00ED2C67" w:rsidRPr="004A3470">
        <w:rPr>
          <w:rFonts w:cstheme="minorHAnsi"/>
          <w:sz w:val="24"/>
          <w:szCs w:val="24"/>
        </w:rPr>
        <w:t>.</w:t>
      </w:r>
      <w:r w:rsidRPr="004A3470">
        <w:rPr>
          <w:rFonts w:cstheme="minorHAnsi"/>
          <w:sz w:val="24"/>
          <w:szCs w:val="24"/>
        </w:rPr>
        <w:t xml:space="preserve"> Developmental sequence in small groups</w:t>
      </w:r>
      <w:r w:rsidR="00ED2C67" w:rsidRPr="004A3470">
        <w:rPr>
          <w:rFonts w:cstheme="minorHAnsi"/>
          <w:sz w:val="24"/>
          <w:szCs w:val="24"/>
        </w:rPr>
        <w:t>.</w:t>
      </w:r>
      <w:r w:rsidRPr="004A3470">
        <w:rPr>
          <w:rFonts w:cstheme="minorHAnsi"/>
          <w:sz w:val="24"/>
          <w:szCs w:val="24"/>
        </w:rPr>
        <w:t xml:space="preserve"> Psychological Bulletin, 63(6), pp. 384–399. </w:t>
      </w:r>
      <w:hyperlink r:id="rId15" w:tgtFrame="_blank" w:history="1">
        <w:r w:rsidRPr="004A3470">
          <w:rPr>
            <w:rStyle w:val="Hyperlink"/>
            <w:rFonts w:cstheme="minorHAnsi"/>
            <w:sz w:val="24"/>
            <w:szCs w:val="24"/>
          </w:rPr>
          <w:t>https://doi.org/10.1037/h0022100</w:t>
        </w:r>
      </w:hyperlink>
      <w:r w:rsidRPr="004A3470">
        <w:rPr>
          <w:rFonts w:cstheme="minorHAnsi"/>
          <w:sz w:val="24"/>
          <w:szCs w:val="24"/>
        </w:rPr>
        <w:t>.</w:t>
      </w:r>
    </w:p>
    <w:p w14:paraId="386D2239" w14:textId="52B762C8" w:rsidR="008C42E2" w:rsidRPr="004A3470" w:rsidRDefault="008C42E2" w:rsidP="004A3470">
      <w:pPr>
        <w:pStyle w:val="ListParagraph"/>
        <w:numPr>
          <w:ilvl w:val="0"/>
          <w:numId w:val="2"/>
        </w:numPr>
        <w:spacing w:line="360" w:lineRule="auto"/>
        <w:jc w:val="both"/>
        <w:rPr>
          <w:rFonts w:cstheme="minorHAnsi"/>
          <w:sz w:val="24"/>
          <w:szCs w:val="24"/>
        </w:rPr>
      </w:pPr>
      <w:r w:rsidRPr="004A3470">
        <w:rPr>
          <w:rFonts w:cstheme="minorHAnsi"/>
          <w:sz w:val="24"/>
          <w:szCs w:val="24"/>
        </w:rPr>
        <w:t>Tuckman, B.W. and Jensen, M.A.C. (1977)</w:t>
      </w:r>
      <w:r w:rsidR="00ED2C67" w:rsidRPr="004A3470">
        <w:rPr>
          <w:rFonts w:cstheme="minorHAnsi"/>
          <w:sz w:val="24"/>
          <w:szCs w:val="24"/>
        </w:rPr>
        <w:t>.</w:t>
      </w:r>
      <w:r w:rsidRPr="004A3470">
        <w:rPr>
          <w:rFonts w:cstheme="minorHAnsi"/>
          <w:sz w:val="24"/>
          <w:szCs w:val="24"/>
        </w:rPr>
        <w:t xml:space="preserve"> Stages of small-group development revisited</w:t>
      </w:r>
      <w:r w:rsidR="00F2752E" w:rsidRPr="004A3470">
        <w:rPr>
          <w:rFonts w:cstheme="minorHAnsi"/>
          <w:sz w:val="24"/>
          <w:szCs w:val="24"/>
        </w:rPr>
        <w:t xml:space="preserve">. </w:t>
      </w:r>
      <w:r w:rsidRPr="004A3470">
        <w:rPr>
          <w:rFonts w:cstheme="minorHAnsi"/>
          <w:sz w:val="24"/>
          <w:szCs w:val="24"/>
        </w:rPr>
        <w:t>Group &amp; Organization Studies, 2(4), pp. 419–427.</w:t>
      </w: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152B8" w14:textId="77777777" w:rsidR="00772B74" w:rsidRPr="002203CA" w:rsidRDefault="00772B74" w:rsidP="002203CA">
      <w:pPr>
        <w:spacing w:after="0" w:line="240" w:lineRule="auto"/>
      </w:pPr>
      <w:r w:rsidRPr="002203CA">
        <w:separator/>
      </w:r>
    </w:p>
  </w:endnote>
  <w:endnote w:type="continuationSeparator" w:id="0">
    <w:p w14:paraId="09276B2E" w14:textId="77777777" w:rsidR="00772B74" w:rsidRPr="002203CA" w:rsidRDefault="00772B74"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7E625" w14:textId="77777777" w:rsidR="00772B74" w:rsidRPr="002203CA" w:rsidRDefault="00772B74" w:rsidP="002203CA">
      <w:pPr>
        <w:spacing w:after="0" w:line="240" w:lineRule="auto"/>
      </w:pPr>
      <w:r w:rsidRPr="002203CA">
        <w:separator/>
      </w:r>
    </w:p>
  </w:footnote>
  <w:footnote w:type="continuationSeparator" w:id="0">
    <w:p w14:paraId="5917D458" w14:textId="77777777" w:rsidR="00772B74" w:rsidRPr="002203CA" w:rsidRDefault="00772B74"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586349"/>
    <w:multiLevelType w:val="hybridMultilevel"/>
    <w:tmpl w:val="2F646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691DBF"/>
    <w:multiLevelType w:val="hybridMultilevel"/>
    <w:tmpl w:val="BFE2D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0222177">
    <w:abstractNumId w:val="0"/>
  </w:num>
  <w:num w:numId="2" w16cid:durableId="5027408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67170"/>
    <w:rsid w:val="000A6A63"/>
    <w:rsid w:val="000B4D05"/>
    <w:rsid w:val="000D5528"/>
    <w:rsid w:val="000E1E15"/>
    <w:rsid w:val="0010375D"/>
    <w:rsid w:val="001133DD"/>
    <w:rsid w:val="00115EFA"/>
    <w:rsid w:val="00120653"/>
    <w:rsid w:val="00127B92"/>
    <w:rsid w:val="00146AC8"/>
    <w:rsid w:val="00155AFB"/>
    <w:rsid w:val="001657FE"/>
    <w:rsid w:val="0016622C"/>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97966"/>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A3470"/>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2F60"/>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24C6"/>
    <w:rsid w:val="00772B74"/>
    <w:rsid w:val="00773777"/>
    <w:rsid w:val="00774225"/>
    <w:rsid w:val="00781F6F"/>
    <w:rsid w:val="0078766C"/>
    <w:rsid w:val="007C41B6"/>
    <w:rsid w:val="007F16AF"/>
    <w:rsid w:val="007F6A01"/>
    <w:rsid w:val="008004EE"/>
    <w:rsid w:val="0080668F"/>
    <w:rsid w:val="00811B2C"/>
    <w:rsid w:val="008304BB"/>
    <w:rsid w:val="008360DC"/>
    <w:rsid w:val="008403C1"/>
    <w:rsid w:val="00855C5E"/>
    <w:rsid w:val="00884D33"/>
    <w:rsid w:val="00891FB9"/>
    <w:rsid w:val="008A3741"/>
    <w:rsid w:val="008C42E2"/>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44F9D"/>
    <w:rsid w:val="00A60F15"/>
    <w:rsid w:val="00A77C0E"/>
    <w:rsid w:val="00A83C39"/>
    <w:rsid w:val="00A840E7"/>
    <w:rsid w:val="00A9071B"/>
    <w:rsid w:val="00AB777B"/>
    <w:rsid w:val="00AC15C8"/>
    <w:rsid w:val="00AD7AE6"/>
    <w:rsid w:val="00B31E2D"/>
    <w:rsid w:val="00B61356"/>
    <w:rsid w:val="00B950B5"/>
    <w:rsid w:val="00BD5CDC"/>
    <w:rsid w:val="00BD5D25"/>
    <w:rsid w:val="00BE5794"/>
    <w:rsid w:val="00C01EBE"/>
    <w:rsid w:val="00C02555"/>
    <w:rsid w:val="00C352DF"/>
    <w:rsid w:val="00C35BC9"/>
    <w:rsid w:val="00C35F24"/>
    <w:rsid w:val="00C57924"/>
    <w:rsid w:val="00C67B76"/>
    <w:rsid w:val="00C852E6"/>
    <w:rsid w:val="00CC0819"/>
    <w:rsid w:val="00CC5B2C"/>
    <w:rsid w:val="00CD5BD7"/>
    <w:rsid w:val="00CD5ED5"/>
    <w:rsid w:val="00CE2265"/>
    <w:rsid w:val="00CE2FAE"/>
    <w:rsid w:val="00CE41CE"/>
    <w:rsid w:val="00CF0AE8"/>
    <w:rsid w:val="00D20E48"/>
    <w:rsid w:val="00D357F6"/>
    <w:rsid w:val="00D446C3"/>
    <w:rsid w:val="00D55A69"/>
    <w:rsid w:val="00D777B8"/>
    <w:rsid w:val="00D8707E"/>
    <w:rsid w:val="00D9771F"/>
    <w:rsid w:val="00DA4B0A"/>
    <w:rsid w:val="00DA5318"/>
    <w:rsid w:val="00DA5CB0"/>
    <w:rsid w:val="00DB4E54"/>
    <w:rsid w:val="00DF3FDE"/>
    <w:rsid w:val="00E006C0"/>
    <w:rsid w:val="00E154CE"/>
    <w:rsid w:val="00E25F30"/>
    <w:rsid w:val="00E27E5E"/>
    <w:rsid w:val="00E4277A"/>
    <w:rsid w:val="00E64A3D"/>
    <w:rsid w:val="00E83E5E"/>
    <w:rsid w:val="00E86109"/>
    <w:rsid w:val="00E93F41"/>
    <w:rsid w:val="00E95335"/>
    <w:rsid w:val="00EA1DE8"/>
    <w:rsid w:val="00EB0333"/>
    <w:rsid w:val="00EB728E"/>
    <w:rsid w:val="00EC2FA6"/>
    <w:rsid w:val="00ED2C67"/>
    <w:rsid w:val="00ED5248"/>
    <w:rsid w:val="00EE719B"/>
    <w:rsid w:val="00EF152B"/>
    <w:rsid w:val="00EF4387"/>
    <w:rsid w:val="00EF7DF1"/>
    <w:rsid w:val="00F0469F"/>
    <w:rsid w:val="00F126F3"/>
    <w:rsid w:val="00F2752E"/>
    <w:rsid w:val="00F52C45"/>
    <w:rsid w:val="00F62B65"/>
    <w:rsid w:val="00F65D4D"/>
    <w:rsid w:val="00F7091E"/>
    <w:rsid w:val="00F713F7"/>
    <w:rsid w:val="00F743AB"/>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NoSpacing">
    <w:name w:val="No Spacing"/>
    <w:uiPriority w:val="1"/>
    <w:qFormat/>
    <w:rsid w:val="00CD5ED5"/>
    <w:pPr>
      <w:spacing w:after="0" w:line="240" w:lineRule="auto"/>
    </w:pPr>
    <w:rPr>
      <w:lang w:val="en-GB"/>
    </w:rPr>
  </w:style>
  <w:style w:type="character" w:styleId="Hyperlink">
    <w:name w:val="Hyperlink"/>
    <w:basedOn w:val="DefaultParagraphFont"/>
    <w:uiPriority w:val="99"/>
    <w:unhideWhenUsed/>
    <w:rsid w:val="008C42E2"/>
    <w:rPr>
      <w:color w:val="0563C1" w:themeColor="hyperlink"/>
      <w:u w:val="single"/>
    </w:rPr>
  </w:style>
  <w:style w:type="character" w:styleId="UnresolvedMention">
    <w:name w:val="Unresolved Mention"/>
    <w:basedOn w:val="DefaultParagraphFont"/>
    <w:uiPriority w:val="99"/>
    <w:semiHidden/>
    <w:unhideWhenUsed/>
    <w:rsid w:val="008C42E2"/>
    <w:rPr>
      <w:color w:val="605E5C"/>
      <w:shd w:val="clear" w:color="auto" w:fill="E1DFDD"/>
    </w:rPr>
  </w:style>
  <w:style w:type="paragraph" w:styleId="ListParagraph">
    <w:name w:val="List Paragraph"/>
    <w:basedOn w:val="Normal"/>
    <w:uiPriority w:val="34"/>
    <w:qFormat/>
    <w:rsid w:val="00F2752E"/>
    <w:pPr>
      <w:ind w:left="720"/>
      <w:contextualSpacing/>
    </w:pPr>
  </w:style>
  <w:style w:type="character" w:styleId="FollowedHyperlink">
    <w:name w:val="FollowedHyperlink"/>
    <w:basedOn w:val="DefaultParagraphFont"/>
    <w:uiPriority w:val="99"/>
    <w:semiHidden/>
    <w:unhideWhenUsed/>
    <w:rsid w:val="00781F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1037/h0022100"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11/j.1365-2044.1980.tb03924.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2170</Words>
  <Characters>12371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Md Ismail Sheikh (2541516)</cp:lastModifiedBy>
  <cp:revision>5</cp:revision>
  <dcterms:created xsi:type="dcterms:W3CDTF">2026-10-12T20:51:00Z</dcterms:created>
  <dcterms:modified xsi:type="dcterms:W3CDTF">2026-10-12T20:58:00Z</dcterms:modified>
</cp:coreProperties>
</file>