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A1B6F" w14:textId="124652B4" w:rsidR="003F22CF" w:rsidRDefault="00695BC3">
      <w:r>
        <w:rPr>
          <w:u w:val="single"/>
        </w:rPr>
        <w:t>What Things Have Moral Standing and Why?</w:t>
      </w:r>
    </w:p>
    <w:p w14:paraId="2EDF8853" w14:textId="36D6FD2E" w:rsidR="00695BC3" w:rsidRDefault="00695BC3">
      <w:r>
        <w:t xml:space="preserve">  </w:t>
      </w:r>
    </w:p>
    <w:p w14:paraId="4AF2BA5B" w14:textId="77777777" w:rsidR="004646AD" w:rsidRDefault="008F6B4E">
      <w:r>
        <w:t>The question of what has m</w:t>
      </w:r>
      <w:r w:rsidR="00695BC3">
        <w:t>oral standing is</w:t>
      </w:r>
      <w:r>
        <w:t xml:space="preserve"> essentially</w:t>
      </w:r>
      <w:r w:rsidR="00695BC3">
        <w:t xml:space="preserve"> </w:t>
      </w:r>
      <w:r>
        <w:t>the concept of whether our actions should be considered in terms of right and wrong concerning certain groups.</w:t>
      </w:r>
      <w:r>
        <w:rPr>
          <w:rStyle w:val="FootnoteReference"/>
        </w:rPr>
        <w:footnoteReference w:id="1"/>
      </w:r>
      <w:r w:rsidR="00D52A55">
        <w:t xml:space="preserve"> </w:t>
      </w:r>
      <w:r w:rsidR="004D25ED">
        <w:t xml:space="preserve"> </w:t>
      </w:r>
      <w:r w:rsidR="00D52A55">
        <w:t>It is not to be confused with moral significance – the idea of which group’s interests are of more importance than another’s – nor rights.</w:t>
      </w:r>
      <w:r w:rsidR="00FF41A4">
        <w:rPr>
          <w:rStyle w:val="FootnoteReference"/>
        </w:rPr>
        <w:footnoteReference w:id="2"/>
      </w:r>
      <w:r w:rsidR="004D25ED">
        <w:t xml:space="preserve"> </w:t>
      </w:r>
      <w:r w:rsidR="00642D07">
        <w:t xml:space="preserve"> </w:t>
      </w:r>
    </w:p>
    <w:p w14:paraId="70BBB0EA" w14:textId="760410FD" w:rsidR="00695BC3" w:rsidRDefault="004646AD">
      <w:r>
        <w:t xml:space="preserve">  </w:t>
      </w:r>
      <w:r w:rsidR="00737310">
        <w:t xml:space="preserve">In </w:t>
      </w:r>
      <w:r w:rsidR="00FA6467">
        <w:t xml:space="preserve">the last few decades, there </w:t>
      </w:r>
      <w:r w:rsidR="00032F5B">
        <w:t xml:space="preserve">have developed four main schools of thought concerning which </w:t>
      </w:r>
      <w:r w:rsidR="00027841">
        <w:t>groups we should extend this consideration to.</w:t>
      </w:r>
      <w:r w:rsidR="0030060A">
        <w:rPr>
          <w:rStyle w:val="FootnoteReference"/>
        </w:rPr>
        <w:footnoteReference w:id="3"/>
      </w:r>
      <w:r w:rsidR="004B2FF6">
        <w:t xml:space="preserve"> </w:t>
      </w:r>
      <w:r w:rsidR="00547465">
        <w:t xml:space="preserve"> </w:t>
      </w:r>
      <w:r w:rsidR="00F96ACD">
        <w:t>For a long while,</w:t>
      </w:r>
      <w:r w:rsidR="00CA4189">
        <w:t xml:space="preserve"> anthropocentrism</w:t>
      </w:r>
      <w:r w:rsidR="008B0F5B">
        <w:t xml:space="preserve"> was the prevailing view; the idea that all and only humans</w:t>
      </w:r>
      <w:r w:rsidR="00017674">
        <w:t xml:space="preserve"> should</w:t>
      </w:r>
      <w:r w:rsidR="008B0F5B">
        <w:t xml:space="preserve"> have moral standing</w:t>
      </w:r>
      <w:r w:rsidR="00676D0B">
        <w:t xml:space="preserve"> on the basis that th</w:t>
      </w:r>
      <w:r w:rsidR="00541268">
        <w:t xml:space="preserve">ey are </w:t>
      </w:r>
      <w:r w:rsidR="004054DF">
        <w:t>uniquely capable and intelligent</w:t>
      </w:r>
      <w:r w:rsidR="005A159C">
        <w:t>.</w:t>
      </w:r>
      <w:r w:rsidR="005A159C">
        <w:rPr>
          <w:rStyle w:val="FootnoteReference"/>
        </w:rPr>
        <w:footnoteReference w:id="4"/>
      </w:r>
      <w:r w:rsidR="003A5180">
        <w:t xml:space="preserve"> </w:t>
      </w:r>
      <w:r w:rsidR="00547465">
        <w:t xml:space="preserve"> </w:t>
      </w:r>
      <w:r w:rsidR="003A5180">
        <w:t xml:space="preserve">However, </w:t>
      </w:r>
      <w:r w:rsidR="004054DF">
        <w:t>th</w:t>
      </w:r>
      <w:r w:rsidR="000062B3">
        <w:t xml:space="preserve">is argument has been fraying at the edges for years, </w:t>
      </w:r>
      <w:r w:rsidR="000E6C60">
        <w:t>with</w:t>
      </w:r>
      <w:r w:rsidR="000E0F95">
        <w:t xml:space="preserve"> books such as </w:t>
      </w:r>
      <w:r w:rsidR="00647D72">
        <w:t xml:space="preserve">Rachel Carson’s </w:t>
      </w:r>
      <w:r w:rsidR="00647D72">
        <w:rPr>
          <w:i/>
          <w:iCs/>
        </w:rPr>
        <w:t>Silent Spring</w:t>
      </w:r>
      <w:r w:rsidR="00647D72">
        <w:t>, and Paul E</w:t>
      </w:r>
      <w:r w:rsidR="00113386">
        <w:t>hr</w:t>
      </w:r>
      <w:r w:rsidR="00313155">
        <w:t xml:space="preserve">lich’s </w:t>
      </w:r>
      <w:r w:rsidR="00313155">
        <w:rPr>
          <w:i/>
          <w:iCs/>
        </w:rPr>
        <w:t>The Population Bomb</w:t>
      </w:r>
      <w:r w:rsidR="00313155">
        <w:t xml:space="preserve"> addressing a need to </w:t>
      </w:r>
      <w:r w:rsidR="00395F07">
        <w:t>reassess the view that humans are the only things which matter on the planet.</w:t>
      </w:r>
      <w:r w:rsidR="00B11386">
        <w:rPr>
          <w:rStyle w:val="FootnoteReference"/>
        </w:rPr>
        <w:footnoteReference w:id="5"/>
      </w:r>
    </w:p>
    <w:p w14:paraId="379A4725" w14:textId="355C5F41" w:rsidR="003E6658" w:rsidRDefault="00547465">
      <w:r>
        <w:t xml:space="preserve">  </w:t>
      </w:r>
      <w:r w:rsidR="003E6658">
        <w:t>Three</w:t>
      </w:r>
      <w:r w:rsidR="00857011">
        <w:t xml:space="preserve"> concepts arose, largely </w:t>
      </w:r>
      <w:r>
        <w:t>because of</w:t>
      </w:r>
      <w:r w:rsidR="00857011">
        <w:t xml:space="preserve"> this</w:t>
      </w:r>
      <w:r w:rsidR="008166DD">
        <w:t xml:space="preserve"> push against anthropocentrism, </w:t>
      </w:r>
      <w:r w:rsidR="00837779">
        <w:t>attempting to answer the question of what things have moral standing beyond humans</w:t>
      </w:r>
      <w:r w:rsidR="00244F6F">
        <w:t>.</w:t>
      </w:r>
      <w:r w:rsidR="007F281F">
        <w:rPr>
          <w:rStyle w:val="FootnoteReference"/>
        </w:rPr>
        <w:footnoteReference w:id="6"/>
      </w:r>
      <w:r w:rsidR="00244F6F">
        <w:t xml:space="preserve"> </w:t>
      </w:r>
      <w:proofErr w:type="spellStart"/>
      <w:r w:rsidR="001D5C2F">
        <w:t>Sentientism</w:t>
      </w:r>
      <w:proofErr w:type="spellEnd"/>
      <w:r w:rsidR="008E0BA2">
        <w:t xml:space="preserve">, or the notion that all and only sentient life </w:t>
      </w:r>
      <w:r w:rsidR="00491DA6">
        <w:t>deserves consideration morally</w:t>
      </w:r>
      <w:r w:rsidR="0067647B">
        <w:t xml:space="preserve">, biocentrism, the idea of all and only life being </w:t>
      </w:r>
      <w:r w:rsidR="009E1DEA">
        <w:t xml:space="preserve">prerequisite for moral status, and ecocentrism, which </w:t>
      </w:r>
      <w:r w:rsidR="00B372B7">
        <w:t xml:space="preserve">states all and only systems, </w:t>
      </w:r>
      <w:proofErr w:type="gramStart"/>
      <w:r w:rsidR="00B372B7">
        <w:t>collectives</w:t>
      </w:r>
      <w:proofErr w:type="gramEnd"/>
      <w:r w:rsidR="00B372B7">
        <w:t xml:space="preserve"> or species as a whole matter morally.</w:t>
      </w:r>
      <w:r w:rsidR="00697297">
        <w:rPr>
          <w:rStyle w:val="FootnoteReference"/>
        </w:rPr>
        <w:footnoteReference w:id="7"/>
      </w:r>
      <w:r w:rsidR="00011FB8">
        <w:t xml:space="preserve"> </w:t>
      </w:r>
      <w:r w:rsidR="00E06149">
        <w:t xml:space="preserve"> </w:t>
      </w:r>
      <w:r w:rsidR="0009285B">
        <w:t xml:space="preserve">Aside from </w:t>
      </w:r>
      <w:r w:rsidR="009756B5">
        <w:t xml:space="preserve">ecocentrism referring to </w:t>
      </w:r>
      <w:r w:rsidR="00263222">
        <w:t>a framework</w:t>
      </w:r>
      <w:r w:rsidR="00E2140E">
        <w:t xml:space="preserve"> which is in large part created by humans, </w:t>
      </w:r>
      <w:r w:rsidR="00067A12">
        <w:t xml:space="preserve">and </w:t>
      </w:r>
      <w:proofErr w:type="spellStart"/>
      <w:r w:rsidR="00067A12">
        <w:t>sentietism’s</w:t>
      </w:r>
      <w:proofErr w:type="spellEnd"/>
      <w:r w:rsidR="00067A12">
        <w:t xml:space="preserve"> blurry line of </w:t>
      </w:r>
      <w:r w:rsidR="00845609">
        <w:t xml:space="preserve">what can feel pain and thus is sentient, biocentrism offers </w:t>
      </w:r>
      <w:r w:rsidR="00521D2A">
        <w:t xml:space="preserve">the best </w:t>
      </w:r>
      <w:r w:rsidR="000C4EFB">
        <w:t>angle from which to approach the idea of what has moral standing and more importantly, the why of said question.</w:t>
      </w:r>
      <w:r w:rsidR="00E06149">
        <w:rPr>
          <w:rStyle w:val="FootnoteReference"/>
        </w:rPr>
        <w:footnoteReference w:id="8"/>
      </w:r>
    </w:p>
    <w:p w14:paraId="33BF234B" w14:textId="5100540A" w:rsidR="008B6814" w:rsidRDefault="008B6814">
      <w:r>
        <w:t xml:space="preserve">  </w:t>
      </w:r>
      <w:r w:rsidR="00247AFB">
        <w:t xml:space="preserve">A thought experiment put forth by </w:t>
      </w:r>
      <w:r w:rsidR="009012ED">
        <w:t>Donald Scherer</w:t>
      </w:r>
      <w:r w:rsidR="006456A3">
        <w:t xml:space="preserve"> can help illust</w:t>
      </w:r>
      <w:r w:rsidR="001C4B4B">
        <w:t>rate this point</w:t>
      </w:r>
      <w:proofErr w:type="gramStart"/>
      <w:r w:rsidR="001C4B4B">
        <w:t xml:space="preserve">. </w:t>
      </w:r>
      <w:r w:rsidR="00E32DA1">
        <w:t xml:space="preserve"> </w:t>
      </w:r>
      <w:proofErr w:type="gramEnd"/>
      <w:r w:rsidR="001C4B4B">
        <w:t xml:space="preserve">It postulates </w:t>
      </w:r>
      <w:r w:rsidR="00711E2E">
        <w:t>E</w:t>
      </w:r>
      <w:r w:rsidR="001C4B4B">
        <w:t xml:space="preserve">arth and two planets, one with no life, the other with only </w:t>
      </w:r>
      <w:r w:rsidR="00711E2E">
        <w:t>flora:</w:t>
      </w:r>
      <w:r w:rsidR="00C9117C">
        <w:t xml:space="preserve"> </w:t>
      </w:r>
      <w:r w:rsidR="001C4B4B">
        <w:t xml:space="preserve">and by </w:t>
      </w:r>
      <w:r w:rsidR="00C5512F">
        <w:t>assumption some other forms of non-sentient life such as</w:t>
      </w:r>
      <w:r w:rsidR="00B82096">
        <w:t xml:space="preserve"> bacteria</w:t>
      </w:r>
      <w:proofErr w:type="gramStart"/>
      <w:r w:rsidR="00B82096">
        <w:t xml:space="preserve">. </w:t>
      </w:r>
      <w:r w:rsidR="00E32DA1">
        <w:t xml:space="preserve"> </w:t>
      </w:r>
      <w:proofErr w:type="gramEnd"/>
      <w:r w:rsidR="00B82096">
        <w:t xml:space="preserve">Earth has the capability </w:t>
      </w:r>
      <w:r w:rsidR="00B16283">
        <w:t xml:space="preserve">of destroying </w:t>
      </w:r>
      <w:r w:rsidR="0056772F">
        <w:t>either</w:t>
      </w:r>
      <w:r w:rsidR="005A3BF5">
        <w:t xml:space="preserve"> </w:t>
      </w:r>
      <w:r w:rsidR="00C9117C">
        <w:t>‘</w:t>
      </w:r>
      <w:r w:rsidR="005A3BF5">
        <w:t>Planet Flora</w:t>
      </w:r>
      <w:r w:rsidR="00C9117C">
        <w:t>’</w:t>
      </w:r>
      <w:r w:rsidR="0056772F">
        <w:t xml:space="preserve"> or ‘Planet Lifeless’ or both</w:t>
      </w:r>
      <w:r w:rsidR="00953781">
        <w:t xml:space="preserve"> and asks</w:t>
      </w:r>
      <w:r w:rsidR="0056772F">
        <w:t xml:space="preserve">, is it morally right to do so. </w:t>
      </w:r>
      <w:r w:rsidR="00711E2E">
        <w:t>Generally,</w:t>
      </w:r>
      <w:r w:rsidR="00E11D7F">
        <w:t xml:space="preserve"> people</w:t>
      </w:r>
      <w:r w:rsidR="00ED1300">
        <w:t xml:space="preserve"> would not have a problem destroying ‘Lifeless’, but would be more hesitant about ‘Flora’</w:t>
      </w:r>
      <w:r w:rsidR="00E11D7F">
        <w:t>.</w:t>
      </w:r>
      <w:r w:rsidR="008F5C77">
        <w:rPr>
          <w:rStyle w:val="FootnoteReference"/>
        </w:rPr>
        <w:footnoteReference w:id="9"/>
      </w:r>
      <w:r w:rsidR="00E11D7F">
        <w:t xml:space="preserve"> </w:t>
      </w:r>
      <w:r w:rsidR="00E32DA1">
        <w:t xml:space="preserve"> </w:t>
      </w:r>
      <w:r w:rsidR="00CD13AB">
        <w:t xml:space="preserve">Biocentrism </w:t>
      </w:r>
      <w:r w:rsidR="008F5C77">
        <w:t xml:space="preserve">is able to answer </w:t>
      </w:r>
      <w:r w:rsidR="00C2545F">
        <w:t>why most would think it wrong to destroy planet flora</w:t>
      </w:r>
      <w:r w:rsidR="000C5571">
        <w:t xml:space="preserve"> in a more satisfactory manner than either </w:t>
      </w:r>
      <w:proofErr w:type="spellStart"/>
      <w:r w:rsidR="000C5571">
        <w:t>sentientism</w:t>
      </w:r>
      <w:proofErr w:type="spellEnd"/>
      <w:r w:rsidR="000C5571">
        <w:t xml:space="preserve"> </w:t>
      </w:r>
      <w:r w:rsidR="007619B5">
        <w:t>or ecocentrism</w:t>
      </w:r>
      <w:r w:rsidR="00EF52DB">
        <w:t xml:space="preserve">, with </w:t>
      </w:r>
      <w:r w:rsidR="00436468">
        <w:t>its</w:t>
      </w:r>
      <w:r w:rsidR="00EF52DB">
        <w:t xml:space="preserve"> concepts of what has intrinsic value, and </w:t>
      </w:r>
      <w:r w:rsidR="00436468">
        <w:t>what has interests.</w:t>
      </w:r>
      <w:r w:rsidR="003A7895">
        <w:rPr>
          <w:rStyle w:val="FootnoteReference"/>
        </w:rPr>
        <w:footnoteReference w:id="10"/>
      </w:r>
      <w:r w:rsidR="00711E2E">
        <w:t xml:space="preserve"> </w:t>
      </w:r>
      <w:r w:rsidR="00E32DA1">
        <w:t xml:space="preserve"> </w:t>
      </w:r>
      <w:r w:rsidR="00711E2E">
        <w:t>An object that has intrinsic value is something which has worth independent of any other factor, or an innate good, and goes someway to explain why even though destroying ‘Planet Flora’ would have no negative effect on Earth, a majority would still think of doing so as wrong, as Robin Attfield suggests.</w:t>
      </w:r>
      <w:r w:rsidR="00711E2E">
        <w:rPr>
          <w:rStyle w:val="FootnoteReference"/>
        </w:rPr>
        <w:footnoteReference w:id="11"/>
      </w:r>
      <w:r w:rsidR="00000A9A">
        <w:t xml:space="preserve"> </w:t>
      </w:r>
      <w:r w:rsidR="00E32DA1">
        <w:t xml:space="preserve"> </w:t>
      </w:r>
      <w:r w:rsidR="00595219">
        <w:t>Intrinsic</w:t>
      </w:r>
      <w:r w:rsidR="00000A9A">
        <w:t xml:space="preserve"> value is attributed to all living things in biocentrism partly </w:t>
      </w:r>
      <w:r w:rsidR="00000A9A">
        <w:lastRenderedPageBreak/>
        <w:t xml:space="preserve">because of </w:t>
      </w:r>
      <w:r w:rsidR="00595219">
        <w:t xml:space="preserve">the capability for having </w:t>
      </w:r>
      <w:r w:rsidR="00000A9A">
        <w:t>interests</w:t>
      </w:r>
      <w:r w:rsidR="00595219">
        <w:t xml:space="preserve"> which are </w:t>
      </w:r>
      <w:r w:rsidR="00000A9A">
        <w:t xml:space="preserve">attributed to </w:t>
      </w:r>
      <w:r w:rsidR="00595219">
        <w:t>life.</w:t>
      </w:r>
      <w:r w:rsidR="00595219">
        <w:rPr>
          <w:rStyle w:val="FootnoteReference"/>
        </w:rPr>
        <w:footnoteReference w:id="12"/>
      </w:r>
      <w:r w:rsidR="00595219">
        <w:t xml:space="preserve"> </w:t>
      </w:r>
      <w:r w:rsidR="00E32DA1">
        <w:t xml:space="preserve"> </w:t>
      </w:r>
      <w:r w:rsidR="00A75E32">
        <w:t xml:space="preserve">Attfield asserts that beings such as trees, though they are not capable of suffering in anyway we may recognise, still have needs and supports </w:t>
      </w:r>
      <w:proofErr w:type="spellStart"/>
      <w:r w:rsidR="00A75E32">
        <w:t>Goodpast</w:t>
      </w:r>
      <w:r w:rsidR="00FD03E6">
        <w:t>o</w:t>
      </w:r>
      <w:r w:rsidR="00A75E32">
        <w:t>r</w:t>
      </w:r>
      <w:proofErr w:type="spellEnd"/>
      <w:r w:rsidR="00A75E32">
        <w:t xml:space="preserve"> in the view that favourable and unfavourable conditions effect all living things’ abilities to thrive.</w:t>
      </w:r>
      <w:r w:rsidR="00FD03E6">
        <w:rPr>
          <w:rStyle w:val="FootnoteReference"/>
        </w:rPr>
        <w:footnoteReference w:id="13"/>
      </w:r>
      <w:r w:rsidR="00A75E32">
        <w:t xml:space="preserve"> </w:t>
      </w:r>
      <w:r w:rsidR="00E32DA1">
        <w:t xml:space="preserve"> </w:t>
      </w:r>
      <w:r w:rsidR="00A75E32">
        <w:t>He also makes the argument that the</w:t>
      </w:r>
      <w:r w:rsidR="00FD03E6">
        <w:t>se needs</w:t>
      </w:r>
      <w:r w:rsidR="0082272F">
        <w:t xml:space="preserve"> and abilities – to grow, protect ones’ self and </w:t>
      </w:r>
      <w:r w:rsidR="00877ACE">
        <w:t>populate -</w:t>
      </w:r>
      <w:r w:rsidR="0082272F">
        <w:t xml:space="preserve"> </w:t>
      </w:r>
      <w:r w:rsidR="00FD03E6">
        <w:t xml:space="preserve"> would exist regardless of whether humans were on the planet or not</w:t>
      </w:r>
      <w:r w:rsidR="00E32DA1">
        <w:t>; thus they are not only instruments for human use</w:t>
      </w:r>
      <w:r w:rsidR="00FF6B3A">
        <w:t xml:space="preserve"> and our actions towards them should be considered in terms of morality</w:t>
      </w:r>
      <w:r w:rsidR="00FD03E6">
        <w:t>.</w:t>
      </w:r>
      <w:r w:rsidR="00877ACE">
        <w:rPr>
          <w:rStyle w:val="FootnoteReference"/>
        </w:rPr>
        <w:footnoteReference w:id="14"/>
      </w:r>
      <w:r w:rsidR="00E32DA1">
        <w:t xml:space="preserve"> </w:t>
      </w:r>
      <w:r w:rsidR="00B2344F" w:rsidRPr="00350C4B">
        <w:t xml:space="preserve">Whilst some are adamant it is only the act of wanton destruction of ‘Flora’ which </w:t>
      </w:r>
      <w:r w:rsidR="004165FD" w:rsidRPr="00350C4B">
        <w:t>people deem inherently wrong, Attfield counters this by suggesting that something needs to have a value to a person for destruction to be seen as vandalism.</w:t>
      </w:r>
      <w:r w:rsidR="00350C4B">
        <w:rPr>
          <w:rStyle w:val="FootnoteReference"/>
        </w:rPr>
        <w:footnoteReference w:id="15"/>
      </w:r>
    </w:p>
    <w:p w14:paraId="365ADD4A" w14:textId="3BF7DFEA" w:rsidR="00E32DA1" w:rsidRDefault="00E32DA1">
      <w:r>
        <w:t xml:space="preserve">  Several objections have been raised to this theory by those subscribing to other schools of thought.</w:t>
      </w:r>
      <w:r>
        <w:rPr>
          <w:rStyle w:val="FootnoteReference"/>
        </w:rPr>
        <w:footnoteReference w:id="16"/>
      </w:r>
      <w:r>
        <w:t xml:space="preserve"> </w:t>
      </w:r>
      <w:r w:rsidR="00FF6B3A">
        <w:t xml:space="preserve"> </w:t>
      </w:r>
      <w:r>
        <w:t xml:space="preserve">One of the main arguments is </w:t>
      </w:r>
      <w:r w:rsidR="00FF6B3A">
        <w:t>why only living things should have moral standing, suggesting that the scope of this viewpoint is so wide and general that you would need to take every particle into consideration.</w:t>
      </w:r>
      <w:r w:rsidR="00FF6B3A">
        <w:rPr>
          <w:rStyle w:val="FootnoteReference"/>
        </w:rPr>
        <w:footnoteReference w:id="17"/>
      </w:r>
      <w:r w:rsidR="00514CA7">
        <w:t xml:space="preserve"> However, this disregards the premise of biocentrism, that all living things have intrinsic value because they have</w:t>
      </w:r>
      <w:r w:rsidR="00700094">
        <w:t xml:space="preserve"> their own</w:t>
      </w:r>
      <w:r w:rsidR="00514CA7">
        <w:t xml:space="preserve"> </w:t>
      </w:r>
      <w:r w:rsidR="00700094">
        <w:t>interests</w:t>
      </w:r>
      <w:r w:rsidR="00514CA7">
        <w:t xml:space="preserve"> and impact on the</w:t>
      </w:r>
      <w:r w:rsidR="00700094">
        <w:t>ir environment, irrespective of others’ desires or needs.</w:t>
      </w:r>
      <w:r w:rsidR="00700094">
        <w:rPr>
          <w:rStyle w:val="FootnoteReference"/>
        </w:rPr>
        <w:footnoteReference w:id="18"/>
      </w:r>
      <w:r w:rsidR="00700094">
        <w:t xml:space="preserve"> Whereas non-living things do not have these qualities; essentially, things that can act for themselves to one extent or another without influence from another agent deserve to be considered morally.</w:t>
      </w:r>
      <w:r w:rsidR="00B2344F">
        <w:rPr>
          <w:rStyle w:val="FootnoteReference"/>
        </w:rPr>
        <w:footnoteReference w:id="19"/>
      </w:r>
    </w:p>
    <w:p w14:paraId="2F55F531" w14:textId="12BA6D3D" w:rsidR="004165FD" w:rsidRDefault="004165FD">
      <w:r>
        <w:t xml:space="preserve">  Another argument is made that it is impossible to live trying not to harm every blade of grass insect</w:t>
      </w:r>
      <w:r w:rsidR="00DA4DE9">
        <w:t xml:space="preserve"> or all sentient and non-sentient life</w:t>
      </w:r>
      <w:r>
        <w:t>.</w:t>
      </w:r>
      <w:r>
        <w:rPr>
          <w:rStyle w:val="FootnoteReference"/>
        </w:rPr>
        <w:footnoteReference w:id="20"/>
      </w:r>
      <w:r w:rsidR="00DA4DE9">
        <w:t xml:space="preserve">  This once again seem to rise </w:t>
      </w:r>
      <w:r w:rsidR="00C96795">
        <w:t>due to a fundamental lack of education concerning the definition of moral standing, as in this case it is confused with moral significance.</w:t>
      </w:r>
      <w:r w:rsidR="00C96795">
        <w:rPr>
          <w:rStyle w:val="FootnoteReference"/>
        </w:rPr>
        <w:footnoteReference w:id="21"/>
      </w:r>
      <w:r w:rsidR="00852698">
        <w:t xml:space="preserve"> Biocentrism outlines our duty to consider all life and our actions towards them, but does not put all other organisms’ needs above humans’ by default, after all, humans are included in the definition of ‘living things’</w:t>
      </w:r>
      <w:r w:rsidR="004C5227">
        <w:t>, which all interact on a regular basis with conflicting interests with or without humanity</w:t>
      </w:r>
      <w:r w:rsidR="00852698">
        <w:t>.</w:t>
      </w:r>
      <w:r w:rsidR="00852698">
        <w:rPr>
          <w:rStyle w:val="FootnoteReference"/>
        </w:rPr>
        <w:footnoteReference w:id="22"/>
      </w:r>
      <w:r w:rsidR="004C5227">
        <w:t xml:space="preserve"> </w:t>
      </w:r>
    </w:p>
    <w:p w14:paraId="14FD7356" w14:textId="17AF681B" w:rsidR="004C5227" w:rsidRPr="00852698" w:rsidRDefault="004C5227">
      <w:r>
        <w:t xml:space="preserve">  Whilst </w:t>
      </w:r>
      <w:proofErr w:type="spellStart"/>
      <w:r>
        <w:t>sentientism</w:t>
      </w:r>
      <w:proofErr w:type="spellEnd"/>
      <w:r>
        <w:t xml:space="preserve"> and </w:t>
      </w:r>
      <w:r w:rsidR="008F6BC5">
        <w:t xml:space="preserve">ecocentrism offer viable, even appealing alternatives to the egocentric anthropocentrism of the past, they </w:t>
      </w:r>
      <w:r w:rsidR="00350C4B">
        <w:t>appear</w:t>
      </w:r>
      <w:r w:rsidR="00A06361">
        <w:t xml:space="preserve"> to </w:t>
      </w:r>
      <w:r w:rsidR="008F6BC5">
        <w:t xml:space="preserve">offer only a slice of the whole pie, and as a result, there </w:t>
      </w:r>
      <w:r w:rsidR="00350C4B">
        <w:t>seems to be</w:t>
      </w:r>
      <w:r w:rsidR="008F6BC5">
        <w:t xml:space="preserve"> something lacking when answering questions of unnecessary destruction to non-sentient creature, or harm to individuals in defence of a human-made framework.</w:t>
      </w:r>
      <w:r w:rsidR="008F6BC5">
        <w:rPr>
          <w:rStyle w:val="FootnoteReference"/>
        </w:rPr>
        <w:footnoteReference w:id="23"/>
      </w:r>
      <w:r w:rsidR="00A06361">
        <w:t xml:space="preserve"> Meanwhile, biocentrism proposes a way of understanding </w:t>
      </w:r>
      <w:r w:rsidR="00714BB9">
        <w:t xml:space="preserve">why acts such as the vandalism of trees and plants </w:t>
      </w:r>
      <w:r w:rsidR="00714BB9">
        <w:lastRenderedPageBreak/>
        <w:t>feels innately wrong to the majority of people, draw</w:t>
      </w:r>
      <w:r w:rsidR="00350C4B">
        <w:t>ing</w:t>
      </w:r>
      <w:r w:rsidR="00714BB9">
        <w:t xml:space="preserve"> a far less blurry line between what should have moral standing</w:t>
      </w:r>
      <w:r w:rsidR="00350C4B">
        <w:t xml:space="preserve"> and why</w:t>
      </w:r>
      <w:r w:rsidR="00714BB9">
        <w:t>.</w:t>
      </w:r>
      <w:r w:rsidR="00714BB9">
        <w:rPr>
          <w:rStyle w:val="FootnoteReference"/>
        </w:rPr>
        <w:footnoteReference w:id="24"/>
      </w:r>
    </w:p>
    <w:sectPr w:rsidR="004C5227" w:rsidRPr="008526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676A8" w14:textId="77777777" w:rsidR="008F6B4E" w:rsidRDefault="008F6B4E" w:rsidP="008F6B4E">
      <w:pPr>
        <w:spacing w:after="0" w:line="240" w:lineRule="auto"/>
      </w:pPr>
      <w:r>
        <w:separator/>
      </w:r>
    </w:p>
  </w:endnote>
  <w:endnote w:type="continuationSeparator" w:id="0">
    <w:p w14:paraId="3269CAC2" w14:textId="77777777" w:rsidR="008F6B4E" w:rsidRDefault="008F6B4E" w:rsidP="008F6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41B4D" w14:textId="77777777" w:rsidR="008F6B4E" w:rsidRDefault="008F6B4E" w:rsidP="008F6B4E">
      <w:pPr>
        <w:spacing w:after="0" w:line="240" w:lineRule="auto"/>
      </w:pPr>
      <w:r>
        <w:separator/>
      </w:r>
    </w:p>
  </w:footnote>
  <w:footnote w:type="continuationSeparator" w:id="0">
    <w:p w14:paraId="4801B5EC" w14:textId="77777777" w:rsidR="008F6B4E" w:rsidRDefault="008F6B4E" w:rsidP="008F6B4E">
      <w:pPr>
        <w:spacing w:after="0" w:line="240" w:lineRule="auto"/>
      </w:pPr>
      <w:r>
        <w:continuationSeparator/>
      </w:r>
    </w:p>
  </w:footnote>
  <w:footnote w:id="1">
    <w:p w14:paraId="0EE65D4D" w14:textId="5FD0FF00" w:rsidR="008F6B4E" w:rsidRPr="008F6B4E" w:rsidRDefault="008F6B4E">
      <w:pPr>
        <w:pStyle w:val="FootnoteText"/>
      </w:pPr>
      <w:r>
        <w:rPr>
          <w:rStyle w:val="FootnoteReference"/>
        </w:rPr>
        <w:footnoteRef/>
      </w:r>
      <w:r>
        <w:t xml:space="preserve"> John Benson, </w:t>
      </w:r>
      <w:r>
        <w:rPr>
          <w:i/>
          <w:iCs/>
        </w:rPr>
        <w:t>Environmental Ethics: an introduction with readings</w:t>
      </w:r>
      <w:r>
        <w:t xml:space="preserve"> (London,1929), pp.</w:t>
      </w:r>
      <w:r w:rsidR="00D52A55">
        <w:t xml:space="preserve"> 11-15</w:t>
      </w:r>
    </w:p>
  </w:footnote>
  <w:footnote w:id="2">
    <w:p w14:paraId="406E9717" w14:textId="108FE65B" w:rsidR="00FF41A4" w:rsidRPr="00FF41A4" w:rsidRDefault="00FF41A4">
      <w:pPr>
        <w:pStyle w:val="FootnoteText"/>
      </w:pPr>
      <w:r>
        <w:rPr>
          <w:rStyle w:val="FootnoteReference"/>
        </w:rPr>
        <w:footnoteRef/>
      </w:r>
      <w:r>
        <w:t xml:space="preserve"> Kenneth </w:t>
      </w:r>
      <w:proofErr w:type="spellStart"/>
      <w:r>
        <w:t>Goodpaster</w:t>
      </w:r>
      <w:proofErr w:type="spellEnd"/>
      <w:r>
        <w:t xml:space="preserve">, ‘On Being Morally Considerable’ </w:t>
      </w:r>
      <w:r w:rsidR="00AF2960">
        <w:t xml:space="preserve">(pp. 1-11), </w:t>
      </w:r>
      <w:r>
        <w:rPr>
          <w:i/>
          <w:iCs/>
        </w:rPr>
        <w:t xml:space="preserve">Journal of Philosophy </w:t>
      </w:r>
      <w:r>
        <w:t>(</w:t>
      </w:r>
      <w:r w:rsidR="0061596D">
        <w:t>1978), pp.308, 310 - 311</w:t>
      </w:r>
    </w:p>
  </w:footnote>
  <w:footnote w:id="3">
    <w:p w14:paraId="27BE1CC8" w14:textId="56CA0133" w:rsidR="0030060A" w:rsidRPr="004A2A2D" w:rsidRDefault="0030060A">
      <w:pPr>
        <w:pStyle w:val="FootnoteText"/>
      </w:pPr>
      <w:r>
        <w:rPr>
          <w:rStyle w:val="FootnoteReference"/>
        </w:rPr>
        <w:footnoteRef/>
      </w:r>
      <w:r>
        <w:t xml:space="preserve"> </w:t>
      </w:r>
      <w:r w:rsidR="004B1D65">
        <w:t xml:space="preserve">Benson, </w:t>
      </w:r>
      <w:r w:rsidR="004B1D65">
        <w:rPr>
          <w:i/>
          <w:iCs/>
        </w:rPr>
        <w:t>Environmental Ethics: an introduction with readings</w:t>
      </w:r>
      <w:r w:rsidR="004B1D65">
        <w:t>, p</w:t>
      </w:r>
      <w:r w:rsidR="00290358">
        <w:t xml:space="preserve"> 10; Rebekah Humphreys</w:t>
      </w:r>
      <w:r w:rsidR="00EB4C93">
        <w:t xml:space="preserve">, ‘Biocentrism’, </w:t>
      </w:r>
      <w:proofErr w:type="spellStart"/>
      <w:r w:rsidR="00EB4C93">
        <w:rPr>
          <w:i/>
          <w:iCs/>
        </w:rPr>
        <w:t>Encyclopedia</w:t>
      </w:r>
      <w:proofErr w:type="spellEnd"/>
      <w:r w:rsidR="00EB4C93">
        <w:rPr>
          <w:i/>
          <w:iCs/>
        </w:rPr>
        <w:t xml:space="preserve"> of Bioethics</w:t>
      </w:r>
      <w:r w:rsidR="004A2A2D">
        <w:rPr>
          <w:i/>
          <w:iCs/>
        </w:rPr>
        <w:t xml:space="preserve"> </w:t>
      </w:r>
      <w:r w:rsidR="004A2A2D">
        <w:t>(Lampeter,</w:t>
      </w:r>
      <w:r w:rsidR="006A395B">
        <w:t xml:space="preserve"> </w:t>
      </w:r>
      <w:r w:rsidR="004A2A2D">
        <w:t>2014</w:t>
      </w:r>
      <w:r w:rsidR="006A395B">
        <w:t>),</w:t>
      </w:r>
      <w:r w:rsidR="004B2FF6">
        <w:t xml:space="preserve"> pp</w:t>
      </w:r>
      <w:r w:rsidR="003A5180">
        <w:t>.</w:t>
      </w:r>
      <w:r w:rsidR="004B2FF6">
        <w:t xml:space="preserve"> 2-3</w:t>
      </w:r>
    </w:p>
  </w:footnote>
  <w:footnote w:id="4">
    <w:p w14:paraId="3779E602" w14:textId="018C6FB3" w:rsidR="000062B3" w:rsidRDefault="005A159C">
      <w:pPr>
        <w:pStyle w:val="FootnoteText"/>
      </w:pPr>
      <w:r>
        <w:rPr>
          <w:rStyle w:val="FootnoteReference"/>
        </w:rPr>
        <w:footnoteRef/>
      </w:r>
      <w:r>
        <w:t xml:space="preserve"> Humphreys, ‘Biocentrism’, p 1</w:t>
      </w:r>
      <w:r w:rsidR="004054DF">
        <w:t xml:space="preserve">, </w:t>
      </w:r>
      <w:proofErr w:type="spellStart"/>
      <w:r w:rsidR="004054DF">
        <w:t>Goodpaster</w:t>
      </w:r>
      <w:proofErr w:type="spellEnd"/>
      <w:r w:rsidR="00027C2F">
        <w:t>, ‘On Being Morally Considerable’, p 312</w:t>
      </w:r>
    </w:p>
  </w:footnote>
  <w:footnote w:id="5">
    <w:p w14:paraId="17278E70" w14:textId="714A7E80" w:rsidR="00B11386" w:rsidRDefault="00B11386">
      <w:pPr>
        <w:pStyle w:val="FootnoteText"/>
      </w:pPr>
      <w:r>
        <w:rPr>
          <w:rStyle w:val="FootnoteReference"/>
        </w:rPr>
        <w:footnoteRef/>
      </w:r>
      <w:r>
        <w:t xml:space="preserve"> Humphreys, ‘Biocentrism’ pp. 2-3</w:t>
      </w:r>
    </w:p>
  </w:footnote>
  <w:footnote w:id="6">
    <w:p w14:paraId="096E4C12" w14:textId="4752F192" w:rsidR="007F281F" w:rsidRDefault="007F281F">
      <w:pPr>
        <w:pStyle w:val="FootnoteText"/>
      </w:pPr>
      <w:r>
        <w:rPr>
          <w:rStyle w:val="FootnoteReference"/>
        </w:rPr>
        <w:footnoteRef/>
      </w:r>
      <w:r>
        <w:t xml:space="preserve"> </w:t>
      </w:r>
      <w:proofErr w:type="spellStart"/>
      <w:r>
        <w:t>Goodpaster</w:t>
      </w:r>
      <w:proofErr w:type="spellEnd"/>
      <w:r>
        <w:t>, ‘On Being Morally Considerable’,</w:t>
      </w:r>
      <w:r w:rsidR="005C5228">
        <w:t xml:space="preserve"> p 310</w:t>
      </w:r>
    </w:p>
  </w:footnote>
  <w:footnote w:id="7">
    <w:p w14:paraId="0953E693" w14:textId="771694A7" w:rsidR="00E06149" w:rsidRPr="00A76E15" w:rsidRDefault="00697297">
      <w:pPr>
        <w:pStyle w:val="FootnoteText"/>
      </w:pPr>
      <w:r>
        <w:rPr>
          <w:rStyle w:val="FootnoteReference"/>
        </w:rPr>
        <w:footnoteRef/>
      </w:r>
      <w:r>
        <w:t xml:space="preserve"> Pers. Comm. </w:t>
      </w:r>
      <w:r w:rsidR="00A76E15">
        <w:t xml:space="preserve">Rebekah Humphreys, </w:t>
      </w:r>
      <w:r w:rsidR="00A76E15">
        <w:rPr>
          <w:i/>
          <w:iCs/>
        </w:rPr>
        <w:t>Lecture 2: The Sphere of Morality</w:t>
      </w:r>
      <w:r w:rsidR="00A76E15">
        <w:t xml:space="preserve"> </w:t>
      </w:r>
      <w:r w:rsidR="00C946F1">
        <w:t xml:space="preserve">(Lampeter, </w:t>
      </w:r>
      <w:r w:rsidR="00011FB8">
        <w:t>23/11/21)</w:t>
      </w:r>
    </w:p>
  </w:footnote>
  <w:footnote w:id="8">
    <w:p w14:paraId="308D97BC" w14:textId="22A1D45B" w:rsidR="00E06149" w:rsidRDefault="00E06149">
      <w:pPr>
        <w:pStyle w:val="FootnoteText"/>
      </w:pPr>
      <w:r>
        <w:rPr>
          <w:rStyle w:val="FootnoteReference"/>
        </w:rPr>
        <w:footnoteRef/>
      </w:r>
      <w:r>
        <w:t xml:space="preserve"> </w:t>
      </w:r>
      <w:proofErr w:type="gramStart"/>
      <w:r>
        <w:t>Ibid. ;</w:t>
      </w:r>
      <w:proofErr w:type="gramEnd"/>
      <w:r>
        <w:t xml:space="preserve"> </w:t>
      </w:r>
      <w:r w:rsidR="00F54EC5">
        <w:t>Humphreys, ‘Biocentrism’</w:t>
      </w:r>
      <w:r w:rsidR="00F54EC5">
        <w:t xml:space="preserve"> p</w:t>
      </w:r>
      <w:r w:rsidR="007E3841">
        <w:t>p. 11-13</w:t>
      </w:r>
      <w:r w:rsidR="00A46231">
        <w:t xml:space="preserve">; </w:t>
      </w:r>
      <w:proofErr w:type="spellStart"/>
      <w:r w:rsidR="00A46231">
        <w:t>Goodpaster</w:t>
      </w:r>
      <w:proofErr w:type="spellEnd"/>
      <w:r w:rsidR="00A46231">
        <w:t>, ‘On Being Morally Considerable’, p</w:t>
      </w:r>
      <w:r w:rsidR="00525E87">
        <w:t>p. 318-32</w:t>
      </w:r>
      <w:r w:rsidR="008B6814">
        <w:t>0</w:t>
      </w:r>
    </w:p>
  </w:footnote>
  <w:footnote w:id="9">
    <w:p w14:paraId="1197BD7E" w14:textId="7B84EBB9" w:rsidR="008F5C77" w:rsidRPr="00DD4326" w:rsidRDefault="008F5C77">
      <w:pPr>
        <w:pStyle w:val="FootnoteText"/>
      </w:pPr>
      <w:r>
        <w:rPr>
          <w:rStyle w:val="FootnoteReference"/>
        </w:rPr>
        <w:footnoteRef/>
      </w:r>
      <w:r>
        <w:t xml:space="preserve"> </w:t>
      </w:r>
      <w:r w:rsidR="00D75C18">
        <w:t xml:space="preserve">Pers. Comm. Rebekah Humphreys, </w:t>
      </w:r>
      <w:r w:rsidR="00D75C18">
        <w:rPr>
          <w:i/>
          <w:iCs/>
        </w:rPr>
        <w:t>Lecture 2</w:t>
      </w:r>
      <w:r w:rsidR="00D75C18">
        <w:t xml:space="preserve">; </w:t>
      </w:r>
      <w:r w:rsidR="00D75C18">
        <w:t>Humphreys, ‘Biocentrism’</w:t>
      </w:r>
      <w:r w:rsidR="00D75C18">
        <w:t>, p</w:t>
      </w:r>
      <w:r w:rsidR="009637EC">
        <w:t xml:space="preserve"> 7, </w:t>
      </w:r>
      <w:r w:rsidR="0005778F">
        <w:t>Robin Attfield, ‘</w:t>
      </w:r>
      <w:r w:rsidR="00C61961" w:rsidRPr="00C61961">
        <w:t>Climate Change Ethics and the Non-Human World</w:t>
      </w:r>
      <w:r w:rsidR="00C61961">
        <w:t>’</w:t>
      </w:r>
      <w:r w:rsidR="00AC19FE">
        <w:t xml:space="preserve"> (pp. 63-74),</w:t>
      </w:r>
      <w:r w:rsidR="00C61961">
        <w:t xml:space="preserve"> </w:t>
      </w:r>
      <w:r w:rsidR="00DD4326">
        <w:rPr>
          <w:i/>
          <w:iCs/>
        </w:rPr>
        <w:t>The Ethics of Climate Change</w:t>
      </w:r>
      <w:r w:rsidR="00DD4326">
        <w:t xml:space="preserve">, </w:t>
      </w:r>
      <w:r w:rsidR="00C859B5">
        <w:t>(2020)</w:t>
      </w:r>
    </w:p>
  </w:footnote>
  <w:footnote w:id="10">
    <w:p w14:paraId="6ADA09AA" w14:textId="7202F854" w:rsidR="003A7895" w:rsidRPr="00363B7C" w:rsidRDefault="003A7895">
      <w:pPr>
        <w:pStyle w:val="FootnoteText"/>
        <w:rPr>
          <w:i/>
          <w:iCs/>
        </w:rPr>
      </w:pPr>
      <w:r>
        <w:rPr>
          <w:rStyle w:val="FootnoteReference"/>
        </w:rPr>
        <w:footnoteRef/>
      </w:r>
      <w:r>
        <w:t xml:space="preserve"> Robin Attfield, </w:t>
      </w:r>
      <w:r w:rsidR="00363B7C">
        <w:t>‘The Good of Trees’</w:t>
      </w:r>
      <w:r w:rsidR="00485EBE">
        <w:t xml:space="preserve"> (</w:t>
      </w:r>
      <w:r w:rsidR="00A474B8">
        <w:t xml:space="preserve">35-54), </w:t>
      </w:r>
      <w:r w:rsidR="00A474B8">
        <w:rPr>
          <w:i/>
          <w:iCs/>
        </w:rPr>
        <w:t>Environmental Philosophy: Principles and Prospects,</w:t>
      </w:r>
      <w:r w:rsidR="00A474B8">
        <w:t xml:space="preserve"> </w:t>
      </w:r>
      <w:r w:rsidR="00AE4D1B">
        <w:t xml:space="preserve">(Aldershot: </w:t>
      </w:r>
      <w:proofErr w:type="spellStart"/>
      <w:r w:rsidR="00AE4D1B">
        <w:t>Averbury</w:t>
      </w:r>
      <w:proofErr w:type="spellEnd"/>
      <w:r w:rsidR="00AE4D1B">
        <w:t>, 1994), p</w:t>
      </w:r>
      <w:r w:rsidR="008B1DBD">
        <w:t>p142-143</w:t>
      </w:r>
      <w:r w:rsidR="00363B7C">
        <w:t xml:space="preserve"> </w:t>
      </w:r>
    </w:p>
  </w:footnote>
  <w:footnote w:id="11">
    <w:p w14:paraId="42731E1E" w14:textId="27BBBA64" w:rsidR="00000A9A" w:rsidRPr="00000A9A" w:rsidRDefault="00711E2E">
      <w:pPr>
        <w:pStyle w:val="FootnoteText"/>
      </w:pPr>
      <w:r>
        <w:rPr>
          <w:rStyle w:val="FootnoteReference"/>
        </w:rPr>
        <w:footnoteRef/>
      </w:r>
      <w:r>
        <w:t xml:space="preserve"> </w:t>
      </w:r>
      <w:r w:rsidR="00000A9A">
        <w:t>Attfield, ‘Climate change and the Non-Human World’; Attfield, ‘The Good of Trees’, pp. 142, 145</w:t>
      </w:r>
    </w:p>
  </w:footnote>
  <w:footnote w:id="12">
    <w:p w14:paraId="0E59722E" w14:textId="28701B19" w:rsidR="00595219" w:rsidRDefault="00595219">
      <w:pPr>
        <w:pStyle w:val="FootnoteText"/>
      </w:pPr>
      <w:r>
        <w:rPr>
          <w:rStyle w:val="FootnoteReference"/>
        </w:rPr>
        <w:footnoteRef/>
      </w:r>
      <w:r>
        <w:t xml:space="preserve"> </w:t>
      </w:r>
      <w:proofErr w:type="spellStart"/>
      <w:r>
        <w:t>Goodpaster</w:t>
      </w:r>
      <w:proofErr w:type="spellEnd"/>
      <w:r>
        <w:t>, ‘On Being Morally Considerable’, p</w:t>
      </w:r>
      <w:r>
        <w:t>p.</w:t>
      </w:r>
      <w:r>
        <w:t xml:space="preserve"> 31</w:t>
      </w:r>
      <w:r>
        <w:t xml:space="preserve">8-319; </w:t>
      </w:r>
      <w:r w:rsidR="00A75E32">
        <w:t>Humphreys, ‘Biocentrism’, p 11</w:t>
      </w:r>
    </w:p>
  </w:footnote>
  <w:footnote w:id="13">
    <w:p w14:paraId="04449A0E" w14:textId="18E209F7" w:rsidR="00FD03E6" w:rsidRDefault="00FD03E6">
      <w:pPr>
        <w:pStyle w:val="FootnoteText"/>
      </w:pPr>
      <w:r>
        <w:rPr>
          <w:rStyle w:val="FootnoteReference"/>
        </w:rPr>
        <w:footnoteRef/>
      </w:r>
      <w:r>
        <w:t xml:space="preserve"> Attfield, ‘The Good of Trees’, pp. 146-149; </w:t>
      </w:r>
      <w:proofErr w:type="spellStart"/>
      <w:r>
        <w:t>Goodpastor</w:t>
      </w:r>
      <w:proofErr w:type="spellEnd"/>
      <w:r>
        <w:t>, ‘On Being Morally Considerable, p 319</w:t>
      </w:r>
    </w:p>
  </w:footnote>
  <w:footnote w:id="14">
    <w:p w14:paraId="78F2C06F" w14:textId="1D9522B2" w:rsidR="00877ACE" w:rsidRDefault="00877ACE">
      <w:pPr>
        <w:pStyle w:val="FootnoteText"/>
      </w:pPr>
      <w:r>
        <w:rPr>
          <w:rStyle w:val="FootnoteReference"/>
        </w:rPr>
        <w:footnoteRef/>
      </w:r>
      <w:r>
        <w:t xml:space="preserve"> </w:t>
      </w:r>
      <w:r>
        <w:t>Attfield, ‘The Good of Trees’,</w:t>
      </w:r>
      <w:r>
        <w:t xml:space="preserve"> p 156; </w:t>
      </w:r>
      <w:r>
        <w:t xml:space="preserve">Humphreys, ‘Biocentrism’, p </w:t>
      </w:r>
      <w:r>
        <w:t>5</w:t>
      </w:r>
    </w:p>
  </w:footnote>
  <w:footnote w:id="15">
    <w:p w14:paraId="14A4E9B0" w14:textId="4CF6C47F" w:rsidR="00350C4B" w:rsidRDefault="00350C4B">
      <w:pPr>
        <w:pStyle w:val="FootnoteText"/>
      </w:pPr>
      <w:r>
        <w:rPr>
          <w:rStyle w:val="FootnoteReference"/>
        </w:rPr>
        <w:footnoteRef/>
      </w:r>
      <w:r>
        <w:t xml:space="preserve"> Ibid. p 153</w:t>
      </w:r>
    </w:p>
  </w:footnote>
  <w:footnote w:id="16">
    <w:p w14:paraId="73C14E68" w14:textId="48C07FF3" w:rsidR="00E32DA1" w:rsidRPr="00E32DA1" w:rsidRDefault="00E32DA1">
      <w:pPr>
        <w:pStyle w:val="FootnoteText"/>
      </w:pPr>
      <w:r>
        <w:rPr>
          <w:rStyle w:val="FootnoteReference"/>
        </w:rPr>
        <w:footnoteRef/>
      </w:r>
      <w:r>
        <w:t xml:space="preserve"> Pers. Comm. Rebekah Humphreys, </w:t>
      </w:r>
      <w:r>
        <w:rPr>
          <w:i/>
          <w:iCs/>
        </w:rPr>
        <w:t xml:space="preserve">Lecture 1: Introduction: </w:t>
      </w:r>
      <w:proofErr w:type="spellStart"/>
      <w:r>
        <w:rPr>
          <w:i/>
          <w:iCs/>
        </w:rPr>
        <w:t>Emergance</w:t>
      </w:r>
      <w:proofErr w:type="spellEnd"/>
      <w:r>
        <w:rPr>
          <w:i/>
          <w:iCs/>
        </w:rPr>
        <w:t xml:space="preserve"> of Environmental Philosophy</w:t>
      </w:r>
      <w:r>
        <w:t xml:space="preserve"> (Lampeter, 22/11/21)</w:t>
      </w:r>
    </w:p>
  </w:footnote>
  <w:footnote w:id="17">
    <w:p w14:paraId="476FBBEE" w14:textId="63940DE4" w:rsidR="00FF6B3A" w:rsidRDefault="00FF6B3A">
      <w:pPr>
        <w:pStyle w:val="FootnoteText"/>
      </w:pPr>
      <w:r>
        <w:rPr>
          <w:rStyle w:val="FootnoteReference"/>
        </w:rPr>
        <w:footnoteRef/>
      </w:r>
      <w:r>
        <w:t xml:space="preserve"> </w:t>
      </w:r>
      <w:r w:rsidR="00514CA7">
        <w:t>Humphreys, ‘Biocentrism’, p</w:t>
      </w:r>
      <w:r w:rsidR="00514CA7">
        <w:t xml:space="preserve"> 11</w:t>
      </w:r>
    </w:p>
  </w:footnote>
  <w:footnote w:id="18">
    <w:p w14:paraId="79F6636E" w14:textId="375CFE4C" w:rsidR="00700094" w:rsidRDefault="00700094">
      <w:pPr>
        <w:pStyle w:val="FootnoteText"/>
      </w:pPr>
      <w:r>
        <w:rPr>
          <w:rStyle w:val="FootnoteReference"/>
        </w:rPr>
        <w:footnoteRef/>
      </w:r>
      <w:r>
        <w:t xml:space="preserve"> </w:t>
      </w:r>
      <w:proofErr w:type="gramStart"/>
      <w:r>
        <w:t>Ibid. ;</w:t>
      </w:r>
      <w:proofErr w:type="gramEnd"/>
      <w:r>
        <w:t xml:space="preserve"> Attfield, ‘The Good of Trees</w:t>
      </w:r>
      <w:r w:rsidR="00B2344F">
        <w:t>, pp. 145-149</w:t>
      </w:r>
    </w:p>
  </w:footnote>
  <w:footnote w:id="19">
    <w:p w14:paraId="2B5BBD48" w14:textId="61E74C1B" w:rsidR="00B2344F" w:rsidRDefault="00B2344F">
      <w:pPr>
        <w:pStyle w:val="FootnoteText"/>
      </w:pPr>
      <w:r>
        <w:rPr>
          <w:rStyle w:val="FootnoteReference"/>
        </w:rPr>
        <w:footnoteRef/>
      </w:r>
      <w:r>
        <w:t xml:space="preserve"> Ibid. </w:t>
      </w:r>
    </w:p>
  </w:footnote>
  <w:footnote w:id="20">
    <w:p w14:paraId="162BE5BA" w14:textId="752B4555" w:rsidR="004165FD" w:rsidRDefault="004165FD">
      <w:pPr>
        <w:pStyle w:val="FootnoteText"/>
      </w:pPr>
      <w:r>
        <w:rPr>
          <w:rStyle w:val="FootnoteReference"/>
        </w:rPr>
        <w:footnoteRef/>
      </w:r>
      <w:r>
        <w:t xml:space="preserve"> </w:t>
      </w:r>
      <w:proofErr w:type="gramStart"/>
      <w:r>
        <w:t>Humphreys</w:t>
      </w:r>
      <w:proofErr w:type="gramEnd"/>
      <w:r>
        <w:t xml:space="preserve"> </w:t>
      </w:r>
      <w:r w:rsidR="00DA4DE9">
        <w:t>‘</w:t>
      </w:r>
      <w:r>
        <w:t>Biocentrism</w:t>
      </w:r>
      <w:r w:rsidR="00DA4DE9">
        <w:t>’, pp. 8-12</w:t>
      </w:r>
    </w:p>
  </w:footnote>
  <w:footnote w:id="21">
    <w:p w14:paraId="58A61859" w14:textId="4C566569" w:rsidR="00C96795" w:rsidRDefault="00C96795">
      <w:pPr>
        <w:pStyle w:val="FootnoteText"/>
      </w:pPr>
      <w:r>
        <w:rPr>
          <w:rStyle w:val="FootnoteReference"/>
        </w:rPr>
        <w:footnoteRef/>
      </w:r>
      <w:r>
        <w:t xml:space="preserve"> </w:t>
      </w:r>
      <w:proofErr w:type="spellStart"/>
      <w:r>
        <w:t>Goodpastor</w:t>
      </w:r>
      <w:proofErr w:type="spellEnd"/>
      <w:r>
        <w:t xml:space="preserve">, ‘On Being Morally Considerable’, p 311; Attfield, ‘The Good of Trees’, p 157; </w:t>
      </w:r>
      <w:proofErr w:type="gramStart"/>
      <w:r>
        <w:t>Humphreys</w:t>
      </w:r>
      <w:proofErr w:type="gramEnd"/>
      <w:r>
        <w:t xml:space="preserve"> ‘Biocentrism’, pp. 8-1</w:t>
      </w:r>
      <w:r>
        <w:t>3</w:t>
      </w:r>
    </w:p>
  </w:footnote>
  <w:footnote w:id="22">
    <w:p w14:paraId="494E48EE" w14:textId="0BC21F8C" w:rsidR="00852698" w:rsidRPr="00852698" w:rsidRDefault="00852698">
      <w:pPr>
        <w:pStyle w:val="FootnoteText"/>
      </w:pPr>
      <w:r>
        <w:rPr>
          <w:rStyle w:val="FootnoteReference"/>
        </w:rPr>
        <w:footnoteRef/>
      </w:r>
      <w:r>
        <w:t xml:space="preserve"> Benson, </w:t>
      </w:r>
      <w:r>
        <w:rPr>
          <w:i/>
          <w:iCs/>
        </w:rPr>
        <w:t xml:space="preserve">Environmental Ethics: </w:t>
      </w:r>
      <w:proofErr w:type="gramStart"/>
      <w:r>
        <w:rPr>
          <w:i/>
          <w:iCs/>
        </w:rPr>
        <w:t>an</w:t>
      </w:r>
      <w:proofErr w:type="gramEnd"/>
      <w:r>
        <w:rPr>
          <w:i/>
          <w:iCs/>
        </w:rPr>
        <w:t xml:space="preserve"> Introduction with Readings</w:t>
      </w:r>
      <w:r>
        <w:t xml:space="preserve">, pp. 10-12; </w:t>
      </w:r>
      <w:r w:rsidR="004C5227">
        <w:t xml:space="preserve">Humphreys ‘Biocentrism’, pp. </w:t>
      </w:r>
      <w:r w:rsidR="004C5227">
        <w:t>11</w:t>
      </w:r>
      <w:r w:rsidR="004C5227">
        <w:t>-13</w:t>
      </w:r>
    </w:p>
  </w:footnote>
  <w:footnote w:id="23">
    <w:p w14:paraId="0543B837" w14:textId="5378DA49" w:rsidR="008F6BC5" w:rsidRPr="00A06361" w:rsidRDefault="008F6BC5">
      <w:pPr>
        <w:pStyle w:val="FootnoteText"/>
      </w:pPr>
      <w:r>
        <w:rPr>
          <w:rStyle w:val="FootnoteReference"/>
        </w:rPr>
        <w:footnoteRef/>
      </w:r>
      <w:r>
        <w:t xml:space="preserve"> </w:t>
      </w:r>
      <w:proofErr w:type="gramStart"/>
      <w:r>
        <w:t>Humphreys</w:t>
      </w:r>
      <w:proofErr w:type="gramEnd"/>
      <w:r>
        <w:t xml:space="preserve"> ‘Biocentrism’,</w:t>
      </w:r>
      <w:r>
        <w:t xml:space="preserve"> p</w:t>
      </w:r>
      <w:r w:rsidR="00A06361">
        <w:t xml:space="preserve"> 9; </w:t>
      </w:r>
      <w:r w:rsidR="00A06361">
        <w:t xml:space="preserve">Pers. Comm. Rebekah Humphreys, </w:t>
      </w:r>
      <w:r w:rsidR="00A06361">
        <w:rPr>
          <w:i/>
          <w:iCs/>
        </w:rPr>
        <w:t xml:space="preserve">Lecture </w:t>
      </w:r>
      <w:r w:rsidR="00A06361">
        <w:rPr>
          <w:i/>
          <w:iCs/>
        </w:rPr>
        <w:t>2: The Sphere of Morality</w:t>
      </w:r>
      <w:r w:rsidR="00A06361">
        <w:t xml:space="preserve">; Attfield, ‘The Good of Trees’, pp. 144, 146, 153; </w:t>
      </w:r>
      <w:proofErr w:type="spellStart"/>
      <w:r w:rsidR="00A06361">
        <w:t>Goodpastor</w:t>
      </w:r>
      <w:proofErr w:type="spellEnd"/>
      <w:r w:rsidR="00A06361">
        <w:t>, ‘On Being Morally Considerable’, p</w:t>
      </w:r>
      <w:r w:rsidR="00A06361">
        <w:t>p. 311-315</w:t>
      </w:r>
    </w:p>
  </w:footnote>
  <w:footnote w:id="24">
    <w:p w14:paraId="5697683D" w14:textId="25B643AA" w:rsidR="00714BB9" w:rsidRDefault="00714BB9">
      <w:pPr>
        <w:pStyle w:val="FootnoteText"/>
      </w:pPr>
      <w:r>
        <w:rPr>
          <w:rStyle w:val="FootnoteReference"/>
        </w:rPr>
        <w:footnoteRef/>
      </w:r>
      <w:r>
        <w:t xml:space="preserve"> </w:t>
      </w:r>
      <w:proofErr w:type="gramStart"/>
      <w:r>
        <w:t>Humphreys</w:t>
      </w:r>
      <w:proofErr w:type="gramEnd"/>
      <w:r>
        <w:t xml:space="preserve"> ‘Biocentrism’,</w:t>
      </w:r>
      <w:r>
        <w:t xml:space="preserve"> pp. 4, 13; </w:t>
      </w:r>
      <w:r>
        <w:t>Attfield, ‘The Good of Trees’, p</w:t>
      </w:r>
      <w:r>
        <w:t xml:space="preserve"> 145; </w:t>
      </w:r>
      <w:proofErr w:type="spellStart"/>
      <w:r w:rsidR="00350C4B">
        <w:t>Goodpastor</w:t>
      </w:r>
      <w:proofErr w:type="spellEnd"/>
      <w:r w:rsidR="00350C4B">
        <w:t>, ‘On Being Morally Considerable’, p</w:t>
      </w:r>
      <w:r w:rsidR="00350C4B">
        <w:t xml:space="preserve"> 310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BC3"/>
    <w:rsid w:val="00000A9A"/>
    <w:rsid w:val="000062B3"/>
    <w:rsid w:val="00011FB8"/>
    <w:rsid w:val="00017674"/>
    <w:rsid w:val="00027841"/>
    <w:rsid w:val="00027C2F"/>
    <w:rsid w:val="00032F5B"/>
    <w:rsid w:val="0005778F"/>
    <w:rsid w:val="00067A12"/>
    <w:rsid w:val="0009285B"/>
    <w:rsid w:val="000C4EFB"/>
    <w:rsid w:val="000C5571"/>
    <w:rsid w:val="000E0F95"/>
    <w:rsid w:val="000E6C60"/>
    <w:rsid w:val="000F08EC"/>
    <w:rsid w:val="00113386"/>
    <w:rsid w:val="00185759"/>
    <w:rsid w:val="00186E66"/>
    <w:rsid w:val="001B3AAD"/>
    <w:rsid w:val="001C4B4B"/>
    <w:rsid w:val="001D5C2F"/>
    <w:rsid w:val="00244F6F"/>
    <w:rsid w:val="00247AFB"/>
    <w:rsid w:val="002628DD"/>
    <w:rsid w:val="00263222"/>
    <w:rsid w:val="00290358"/>
    <w:rsid w:val="002D265C"/>
    <w:rsid w:val="0030060A"/>
    <w:rsid w:val="00302914"/>
    <w:rsid w:val="00313155"/>
    <w:rsid w:val="00350C4B"/>
    <w:rsid w:val="00363B7C"/>
    <w:rsid w:val="00395F07"/>
    <w:rsid w:val="003A5180"/>
    <w:rsid w:val="003A7895"/>
    <w:rsid w:val="003E6658"/>
    <w:rsid w:val="003F22CF"/>
    <w:rsid w:val="004054DF"/>
    <w:rsid w:val="004165FD"/>
    <w:rsid w:val="00436468"/>
    <w:rsid w:val="004646AD"/>
    <w:rsid w:val="00485EBE"/>
    <w:rsid w:val="00491DA6"/>
    <w:rsid w:val="004A2A2D"/>
    <w:rsid w:val="004B1D65"/>
    <w:rsid w:val="004B2FF6"/>
    <w:rsid w:val="004C5227"/>
    <w:rsid w:val="004D25ED"/>
    <w:rsid w:val="004F232D"/>
    <w:rsid w:val="00514CA7"/>
    <w:rsid w:val="00521D2A"/>
    <w:rsid w:val="00525E87"/>
    <w:rsid w:val="00541268"/>
    <w:rsid w:val="00547465"/>
    <w:rsid w:val="0056772F"/>
    <w:rsid w:val="00595219"/>
    <w:rsid w:val="005A159C"/>
    <w:rsid w:val="005A3BF5"/>
    <w:rsid w:val="005C5228"/>
    <w:rsid w:val="0061596D"/>
    <w:rsid w:val="00642D07"/>
    <w:rsid w:val="006456A3"/>
    <w:rsid w:val="00647D72"/>
    <w:rsid w:val="0067647B"/>
    <w:rsid w:val="00676D0B"/>
    <w:rsid w:val="00695BC3"/>
    <w:rsid w:val="00697297"/>
    <w:rsid w:val="006A395B"/>
    <w:rsid w:val="00700094"/>
    <w:rsid w:val="00711E2E"/>
    <w:rsid w:val="00714BB9"/>
    <w:rsid w:val="00737310"/>
    <w:rsid w:val="007619B5"/>
    <w:rsid w:val="007A78AF"/>
    <w:rsid w:val="007E3841"/>
    <w:rsid w:val="007F281F"/>
    <w:rsid w:val="008166DD"/>
    <w:rsid w:val="0082272F"/>
    <w:rsid w:val="00837779"/>
    <w:rsid w:val="00845609"/>
    <w:rsid w:val="00852698"/>
    <w:rsid w:val="00856B7D"/>
    <w:rsid w:val="00857011"/>
    <w:rsid w:val="00877ACE"/>
    <w:rsid w:val="008B0F5B"/>
    <w:rsid w:val="008B1DBD"/>
    <w:rsid w:val="008B6814"/>
    <w:rsid w:val="008C20A4"/>
    <w:rsid w:val="008E0BA2"/>
    <w:rsid w:val="008F5C77"/>
    <w:rsid w:val="008F6B4E"/>
    <w:rsid w:val="008F6BC5"/>
    <w:rsid w:val="009012ED"/>
    <w:rsid w:val="00953781"/>
    <w:rsid w:val="009637EC"/>
    <w:rsid w:val="009756B5"/>
    <w:rsid w:val="009E129C"/>
    <w:rsid w:val="009E1DEA"/>
    <w:rsid w:val="00A06361"/>
    <w:rsid w:val="00A46231"/>
    <w:rsid w:val="00A474B8"/>
    <w:rsid w:val="00A53DEE"/>
    <w:rsid w:val="00A75E32"/>
    <w:rsid w:val="00A76E15"/>
    <w:rsid w:val="00AC19FE"/>
    <w:rsid w:val="00AC37F3"/>
    <w:rsid w:val="00AE4D1B"/>
    <w:rsid w:val="00AF2960"/>
    <w:rsid w:val="00B11386"/>
    <w:rsid w:val="00B16283"/>
    <w:rsid w:val="00B2344F"/>
    <w:rsid w:val="00B372B7"/>
    <w:rsid w:val="00B6746D"/>
    <w:rsid w:val="00B82096"/>
    <w:rsid w:val="00BF1218"/>
    <w:rsid w:val="00C2545F"/>
    <w:rsid w:val="00C5512F"/>
    <w:rsid w:val="00C61961"/>
    <w:rsid w:val="00C663D7"/>
    <w:rsid w:val="00C749E8"/>
    <w:rsid w:val="00C859B5"/>
    <w:rsid w:val="00C9117C"/>
    <w:rsid w:val="00C946F1"/>
    <w:rsid w:val="00C96795"/>
    <w:rsid w:val="00CA4189"/>
    <w:rsid w:val="00CC307F"/>
    <w:rsid w:val="00CD13AB"/>
    <w:rsid w:val="00D42D46"/>
    <w:rsid w:val="00D52A55"/>
    <w:rsid w:val="00D75C18"/>
    <w:rsid w:val="00DA4DE9"/>
    <w:rsid w:val="00DD4326"/>
    <w:rsid w:val="00E06149"/>
    <w:rsid w:val="00E11D7F"/>
    <w:rsid w:val="00E2140E"/>
    <w:rsid w:val="00E32DA1"/>
    <w:rsid w:val="00EB4C93"/>
    <w:rsid w:val="00ED1300"/>
    <w:rsid w:val="00EF52DB"/>
    <w:rsid w:val="00F54EC5"/>
    <w:rsid w:val="00F6695D"/>
    <w:rsid w:val="00F96ACD"/>
    <w:rsid w:val="00FA6467"/>
    <w:rsid w:val="00FD03E6"/>
    <w:rsid w:val="00FF41A4"/>
    <w:rsid w:val="00FF6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EC71A9"/>
  <w15:chartTrackingRefBased/>
  <w15:docId w15:val="{71EF08B9-4732-4FC6-B059-183AED06A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F6B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6B4E"/>
    <w:rPr>
      <w:sz w:val="20"/>
      <w:szCs w:val="20"/>
    </w:rPr>
  </w:style>
  <w:style w:type="character" w:styleId="FootnoteReference">
    <w:name w:val="footnote reference"/>
    <w:basedOn w:val="DefaultParagraphFont"/>
    <w:uiPriority w:val="99"/>
    <w:semiHidden/>
    <w:unhideWhenUsed/>
    <w:rsid w:val="008F6B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15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B85FD-E0D0-4A4B-911B-6E5E2FF45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904</Words>
  <Characters>4696</Characters>
  <Application>Microsoft Office Word</Application>
  <DocSecurity>0</DocSecurity>
  <Lines>74</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Carder</dc:creator>
  <cp:keywords/>
  <dc:description/>
  <cp:lastModifiedBy>Rebekah Joan Carder (1803266)</cp:lastModifiedBy>
  <cp:revision>2</cp:revision>
  <dcterms:created xsi:type="dcterms:W3CDTF">2021-11-27T18:49:00Z</dcterms:created>
  <dcterms:modified xsi:type="dcterms:W3CDTF">2021-11-27T18:49:00Z</dcterms:modified>
</cp:coreProperties>
</file>