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F44" w:rsidRDefault="00F57F44" w:rsidP="00F57F44">
      <w:pPr>
        <w:spacing w:line="360" w:lineRule="auto"/>
        <w:rPr>
          <w:rFonts w:cstheme="minorHAnsi"/>
          <w:b/>
          <w:sz w:val="24"/>
          <w:szCs w:val="24"/>
        </w:rPr>
      </w:pPr>
      <w:r>
        <w:rPr>
          <w:rFonts w:cstheme="minorHAnsi"/>
          <w:b/>
          <w:noProof/>
          <w:sz w:val="24"/>
          <w:szCs w:val="24"/>
          <w:lang w:eastAsia="en-GB"/>
        </w:rPr>
        <w:drawing>
          <wp:inline distT="0" distB="0" distL="0" distR="0" wp14:anchorId="2D4CB33A" wp14:editId="728483AC">
            <wp:extent cx="2600077" cy="108753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28000" cy="1099211"/>
                    </a:xfrm>
                    <a:prstGeom prst="rect">
                      <a:avLst/>
                    </a:prstGeom>
                  </pic:spPr>
                </pic:pic>
              </a:graphicData>
            </a:graphic>
          </wp:inline>
        </w:drawing>
      </w:r>
    </w:p>
    <w:p w:rsidR="00F57F44" w:rsidRPr="008E2C9A" w:rsidRDefault="00F57F44" w:rsidP="00F57F44">
      <w:pPr>
        <w:spacing w:line="360" w:lineRule="auto"/>
        <w:jc w:val="center"/>
        <w:rPr>
          <w:rFonts w:cstheme="minorHAnsi"/>
          <w:b/>
          <w:sz w:val="32"/>
          <w:szCs w:val="24"/>
        </w:rPr>
      </w:pPr>
      <w:r w:rsidRPr="00F57F44">
        <w:rPr>
          <w:rFonts w:cstheme="minorHAnsi"/>
          <w:b/>
          <w:sz w:val="32"/>
          <w:szCs w:val="24"/>
        </w:rPr>
        <w:t xml:space="preserve">Networks and Cyber Security Essentials </w:t>
      </w:r>
      <w:r>
        <w:rPr>
          <w:rFonts w:cstheme="minorHAnsi"/>
          <w:b/>
          <w:sz w:val="32"/>
          <w:szCs w:val="24"/>
        </w:rPr>
        <w:t>- ACCA4024</w:t>
      </w:r>
    </w:p>
    <w:p w:rsidR="00F57F44" w:rsidRDefault="00F57F44" w:rsidP="00F57F44">
      <w:pPr>
        <w:spacing w:line="360" w:lineRule="auto"/>
        <w:rPr>
          <w:rFonts w:cstheme="minorHAnsi"/>
          <w:b/>
          <w:sz w:val="24"/>
          <w:szCs w:val="24"/>
        </w:rPr>
      </w:pPr>
    </w:p>
    <w:p w:rsidR="00F57F44" w:rsidRDefault="00F57F44" w:rsidP="00F57F44">
      <w:pPr>
        <w:spacing w:line="360" w:lineRule="auto"/>
        <w:jc w:val="center"/>
        <w:rPr>
          <w:rFonts w:cstheme="minorHAnsi"/>
          <w:b/>
          <w:sz w:val="28"/>
          <w:szCs w:val="24"/>
        </w:rPr>
      </w:pPr>
      <w:r w:rsidRPr="008E2C9A">
        <w:rPr>
          <w:rFonts w:cstheme="minorHAnsi"/>
          <w:b/>
          <w:sz w:val="28"/>
          <w:szCs w:val="24"/>
        </w:rPr>
        <w:t xml:space="preserve">Lecturer: </w:t>
      </w:r>
      <w:r w:rsidRPr="00F57F44">
        <w:rPr>
          <w:rFonts w:cstheme="minorHAnsi"/>
          <w:b/>
          <w:sz w:val="28"/>
          <w:szCs w:val="24"/>
        </w:rPr>
        <w:t xml:space="preserve">Muhammad </w:t>
      </w:r>
      <w:proofErr w:type="spellStart"/>
      <w:r w:rsidRPr="00F57F44">
        <w:rPr>
          <w:rFonts w:cstheme="minorHAnsi"/>
          <w:b/>
          <w:sz w:val="28"/>
          <w:szCs w:val="24"/>
        </w:rPr>
        <w:t>Azeem</w:t>
      </w:r>
      <w:proofErr w:type="spellEnd"/>
      <w:r w:rsidRPr="00F57F44">
        <w:rPr>
          <w:rFonts w:cstheme="minorHAnsi"/>
          <w:b/>
          <w:sz w:val="28"/>
          <w:szCs w:val="24"/>
        </w:rPr>
        <w:t xml:space="preserve"> Abbas</w:t>
      </w:r>
    </w:p>
    <w:p w:rsidR="00F57F44" w:rsidRPr="008E2C9A" w:rsidRDefault="00F57F44" w:rsidP="00F57F44">
      <w:pPr>
        <w:spacing w:line="360" w:lineRule="auto"/>
        <w:jc w:val="center"/>
        <w:rPr>
          <w:rFonts w:cstheme="minorHAnsi"/>
          <w:b/>
          <w:sz w:val="28"/>
          <w:szCs w:val="24"/>
        </w:rPr>
      </w:pPr>
    </w:p>
    <w:p w:rsidR="00F57F44" w:rsidRDefault="00BB1A85" w:rsidP="00F57F44">
      <w:pPr>
        <w:spacing w:line="360" w:lineRule="auto"/>
        <w:jc w:val="center"/>
        <w:rPr>
          <w:rFonts w:cstheme="minorHAnsi"/>
          <w:b/>
          <w:sz w:val="28"/>
          <w:szCs w:val="24"/>
        </w:rPr>
      </w:pPr>
      <w:r>
        <w:rPr>
          <w:rFonts w:cstheme="minorHAnsi"/>
          <w:b/>
          <w:sz w:val="28"/>
          <w:szCs w:val="24"/>
        </w:rPr>
        <w:t>Assignment Topic</w:t>
      </w:r>
      <w:r w:rsidR="00F57F44">
        <w:rPr>
          <w:rFonts w:cstheme="minorHAnsi"/>
          <w:b/>
          <w:sz w:val="28"/>
          <w:szCs w:val="24"/>
        </w:rPr>
        <w:t xml:space="preserve"> </w:t>
      </w:r>
    </w:p>
    <w:p w:rsidR="00F57F44" w:rsidRPr="00BB1A85" w:rsidRDefault="00F57F44" w:rsidP="00F57F44">
      <w:pPr>
        <w:spacing w:line="360" w:lineRule="auto"/>
        <w:jc w:val="center"/>
        <w:rPr>
          <w:rFonts w:cstheme="minorHAnsi"/>
          <w:sz w:val="28"/>
          <w:szCs w:val="24"/>
        </w:rPr>
      </w:pPr>
      <w:r w:rsidRPr="00BB1A85">
        <w:rPr>
          <w:rFonts w:cstheme="minorHAnsi"/>
          <w:sz w:val="28"/>
          <w:szCs w:val="24"/>
        </w:rPr>
        <w:t xml:space="preserve">A Cybersecurity and Data Governance: The Case of </w:t>
      </w:r>
      <w:proofErr w:type="spellStart"/>
      <w:r w:rsidRPr="00BB1A85">
        <w:rPr>
          <w:rFonts w:cstheme="minorHAnsi"/>
          <w:sz w:val="28"/>
          <w:szCs w:val="24"/>
        </w:rPr>
        <w:t>SteelForm</w:t>
      </w:r>
      <w:proofErr w:type="spellEnd"/>
      <w:r w:rsidRPr="00BB1A85">
        <w:rPr>
          <w:rFonts w:cstheme="minorHAnsi"/>
          <w:sz w:val="28"/>
          <w:szCs w:val="24"/>
        </w:rPr>
        <w:t xml:space="preserve"> Manufacturing Ltd</w:t>
      </w:r>
    </w:p>
    <w:p w:rsidR="00F57F44" w:rsidRDefault="00F57F44" w:rsidP="00F57F44">
      <w:pPr>
        <w:spacing w:line="360" w:lineRule="auto"/>
        <w:jc w:val="center"/>
        <w:rPr>
          <w:rFonts w:cstheme="minorHAnsi"/>
          <w:b/>
          <w:sz w:val="28"/>
          <w:szCs w:val="24"/>
        </w:rPr>
      </w:pPr>
    </w:p>
    <w:p w:rsidR="00F57F44" w:rsidRPr="008E2C9A" w:rsidRDefault="00F57F44" w:rsidP="00F57F44">
      <w:pPr>
        <w:spacing w:line="360" w:lineRule="auto"/>
        <w:jc w:val="center"/>
        <w:rPr>
          <w:rFonts w:cstheme="minorHAnsi"/>
          <w:b/>
          <w:sz w:val="28"/>
          <w:szCs w:val="24"/>
        </w:rPr>
      </w:pPr>
      <w:r>
        <w:rPr>
          <w:rFonts w:cstheme="minorHAnsi"/>
          <w:b/>
          <w:sz w:val="28"/>
          <w:szCs w:val="24"/>
        </w:rPr>
        <w:t xml:space="preserve">Student: </w:t>
      </w:r>
      <w:proofErr w:type="spellStart"/>
      <w:r>
        <w:rPr>
          <w:rFonts w:cstheme="minorHAnsi"/>
          <w:b/>
          <w:sz w:val="28"/>
          <w:szCs w:val="24"/>
        </w:rPr>
        <w:t>Assadullah</w:t>
      </w:r>
      <w:proofErr w:type="spellEnd"/>
      <w:r>
        <w:rPr>
          <w:rFonts w:cstheme="minorHAnsi"/>
          <w:b/>
          <w:sz w:val="28"/>
          <w:szCs w:val="24"/>
        </w:rPr>
        <w:t xml:space="preserve"> </w:t>
      </w:r>
      <w:proofErr w:type="spellStart"/>
      <w:r>
        <w:rPr>
          <w:rFonts w:cstheme="minorHAnsi"/>
          <w:b/>
          <w:sz w:val="28"/>
          <w:szCs w:val="24"/>
        </w:rPr>
        <w:t>Gulamhussein</w:t>
      </w:r>
      <w:proofErr w:type="spellEnd"/>
      <w:r>
        <w:rPr>
          <w:rFonts w:cstheme="minorHAnsi"/>
          <w:b/>
          <w:sz w:val="28"/>
          <w:szCs w:val="24"/>
        </w:rPr>
        <w:t xml:space="preserve"> (2509693)</w:t>
      </w:r>
    </w:p>
    <w:p w:rsidR="00F57F44" w:rsidRDefault="00F57F44" w:rsidP="00F57F44">
      <w:pPr>
        <w:spacing w:line="360" w:lineRule="auto"/>
        <w:rPr>
          <w:rFonts w:cstheme="minorHAnsi"/>
          <w:b/>
          <w:sz w:val="24"/>
          <w:szCs w:val="24"/>
        </w:rPr>
      </w:pPr>
    </w:p>
    <w:p w:rsidR="00F57F44" w:rsidRDefault="00F57F44" w:rsidP="00F57F44">
      <w:pPr>
        <w:spacing w:line="360" w:lineRule="auto"/>
        <w:jc w:val="center"/>
        <w:rPr>
          <w:rFonts w:cstheme="minorHAnsi"/>
          <w:b/>
          <w:sz w:val="24"/>
          <w:szCs w:val="24"/>
        </w:rPr>
      </w:pPr>
      <w:r>
        <w:rPr>
          <w:rFonts w:cstheme="minorHAnsi"/>
          <w:b/>
          <w:sz w:val="24"/>
          <w:szCs w:val="24"/>
        </w:rPr>
        <w:t xml:space="preserve">Word Count: </w:t>
      </w:r>
      <w:r w:rsidR="000C7524">
        <w:rPr>
          <w:rFonts w:cstheme="minorHAnsi"/>
          <w:b/>
          <w:sz w:val="24"/>
          <w:szCs w:val="24"/>
        </w:rPr>
        <w:t>1,969</w:t>
      </w:r>
    </w:p>
    <w:p w:rsidR="00F57F44" w:rsidRDefault="00F57F44" w:rsidP="00F57F44">
      <w:pPr>
        <w:spacing w:line="360" w:lineRule="auto"/>
        <w:jc w:val="center"/>
        <w:rPr>
          <w:rFonts w:cstheme="minorHAnsi"/>
          <w:b/>
          <w:sz w:val="24"/>
          <w:szCs w:val="24"/>
        </w:rPr>
      </w:pPr>
      <w:r>
        <w:rPr>
          <w:rFonts w:cstheme="minorHAnsi"/>
          <w:b/>
          <w:sz w:val="24"/>
          <w:szCs w:val="24"/>
        </w:rPr>
        <w:t>(</w:t>
      </w:r>
      <w:r w:rsidRPr="003A639E">
        <w:rPr>
          <w:rFonts w:cstheme="minorHAnsi"/>
          <w:sz w:val="24"/>
          <w:szCs w:val="24"/>
        </w:rPr>
        <w:t xml:space="preserve">Excluding title page, </w:t>
      </w:r>
      <w:r>
        <w:rPr>
          <w:rFonts w:cstheme="minorHAnsi"/>
          <w:sz w:val="24"/>
          <w:szCs w:val="24"/>
        </w:rPr>
        <w:t xml:space="preserve">Abstract, </w:t>
      </w:r>
      <w:r w:rsidRPr="003A639E">
        <w:rPr>
          <w:rFonts w:cstheme="minorHAnsi"/>
          <w:sz w:val="24"/>
          <w:szCs w:val="24"/>
        </w:rPr>
        <w:t>content list, list of figures, list of tables, references, appendices</w:t>
      </w:r>
      <w:r>
        <w:rPr>
          <w:rFonts w:cstheme="minorHAnsi"/>
          <w:b/>
          <w:sz w:val="24"/>
          <w:szCs w:val="24"/>
        </w:rPr>
        <w:t>)</w:t>
      </w:r>
    </w:p>
    <w:p w:rsidR="00F57F44" w:rsidRDefault="00F57F44" w:rsidP="00F57F44">
      <w:pPr>
        <w:spacing w:line="360" w:lineRule="auto"/>
        <w:jc w:val="center"/>
        <w:rPr>
          <w:rFonts w:cstheme="minorHAnsi"/>
          <w:b/>
          <w:sz w:val="24"/>
          <w:szCs w:val="24"/>
        </w:rPr>
      </w:pPr>
    </w:p>
    <w:p w:rsidR="00F57F44" w:rsidRDefault="00F57F44" w:rsidP="00F57F44">
      <w:pPr>
        <w:spacing w:line="360" w:lineRule="auto"/>
        <w:jc w:val="center"/>
        <w:rPr>
          <w:rFonts w:cstheme="minorHAnsi"/>
          <w:b/>
          <w:sz w:val="24"/>
          <w:szCs w:val="24"/>
        </w:rPr>
      </w:pPr>
    </w:p>
    <w:p w:rsidR="00F57F44" w:rsidRDefault="00F57F44" w:rsidP="00F57F44">
      <w:pPr>
        <w:spacing w:line="360" w:lineRule="auto"/>
        <w:jc w:val="center"/>
        <w:rPr>
          <w:rFonts w:cstheme="minorHAnsi"/>
          <w:b/>
          <w:sz w:val="24"/>
          <w:szCs w:val="24"/>
        </w:rPr>
      </w:pPr>
    </w:p>
    <w:p w:rsidR="00F57F44" w:rsidRPr="004B5CE1" w:rsidRDefault="00F57F44" w:rsidP="00F57F44">
      <w:pPr>
        <w:spacing w:line="360" w:lineRule="auto"/>
        <w:rPr>
          <w:rFonts w:cstheme="minorHAnsi"/>
          <w:b/>
          <w:sz w:val="24"/>
          <w:szCs w:val="24"/>
        </w:rPr>
      </w:pPr>
    </w:p>
    <w:p w:rsidR="00F57F44" w:rsidRDefault="00F57F44" w:rsidP="00F57F44">
      <w:pPr>
        <w:spacing w:line="360" w:lineRule="auto"/>
        <w:jc w:val="center"/>
        <w:rPr>
          <w:rFonts w:cstheme="minorHAnsi"/>
          <w:b/>
          <w:sz w:val="32"/>
          <w:szCs w:val="24"/>
        </w:rPr>
      </w:pPr>
      <w:r w:rsidRPr="00D864F7">
        <w:rPr>
          <w:rFonts w:cstheme="minorHAnsi"/>
          <w:b/>
          <w:sz w:val="32"/>
          <w:szCs w:val="24"/>
        </w:rPr>
        <w:t>UNIVERSITY OF WALES TRINITY SAINT DAVID</w:t>
      </w:r>
    </w:p>
    <w:p w:rsidR="00F57F44" w:rsidRDefault="00F57F44" w:rsidP="00F57F44"/>
    <w:p w:rsidR="00A9209A" w:rsidRPr="00A9209A" w:rsidRDefault="00A9209A" w:rsidP="00A9209A">
      <w:pPr>
        <w:pStyle w:val="Heading1"/>
        <w:spacing w:line="360" w:lineRule="auto"/>
        <w:jc w:val="both"/>
        <w:rPr>
          <w:rFonts w:asciiTheme="minorHAnsi" w:hAnsiTheme="minorHAnsi" w:cstheme="minorHAnsi"/>
          <w:b/>
          <w:color w:val="000000" w:themeColor="text1"/>
          <w:sz w:val="24"/>
          <w:szCs w:val="24"/>
        </w:rPr>
      </w:pPr>
      <w:bookmarkStart w:id="0" w:name="_Toc235665390"/>
      <w:r w:rsidRPr="00A9209A">
        <w:rPr>
          <w:rFonts w:asciiTheme="minorHAnsi" w:hAnsiTheme="minorHAnsi" w:cstheme="minorHAnsi"/>
          <w:b/>
          <w:color w:val="000000" w:themeColor="text1"/>
          <w:sz w:val="24"/>
          <w:szCs w:val="24"/>
        </w:rPr>
        <w:lastRenderedPageBreak/>
        <w:t>Abstract</w:t>
      </w:r>
      <w:bookmarkEnd w:id="0"/>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 xml:space="preserve">This report outlines a cyber-security and data-governance plan for </w:t>
      </w:r>
      <w:proofErr w:type="spellStart"/>
      <w:r w:rsidRPr="00A9209A">
        <w:rPr>
          <w:rFonts w:cstheme="minorHAnsi"/>
          <w:color w:val="000000" w:themeColor="text1"/>
          <w:sz w:val="24"/>
          <w:szCs w:val="24"/>
        </w:rPr>
        <w:t>SteelForm</w:t>
      </w:r>
      <w:proofErr w:type="spellEnd"/>
      <w:r w:rsidRPr="00A9209A">
        <w:rPr>
          <w:rFonts w:cstheme="minorHAnsi"/>
          <w:color w:val="000000" w:themeColor="text1"/>
          <w:sz w:val="24"/>
          <w:szCs w:val="24"/>
        </w:rPr>
        <w:t xml:space="preserve"> Manufacturing Ltd (SFM), a mid-sized automotive and aerospace parts manufacturer. SFM has implemented smart-manufacturing technologies such as Internet of Things (</w:t>
      </w:r>
      <w:proofErr w:type="spellStart"/>
      <w:r w:rsidRPr="00A9209A">
        <w:rPr>
          <w:rFonts w:cstheme="minorHAnsi"/>
          <w:color w:val="000000" w:themeColor="text1"/>
          <w:sz w:val="24"/>
          <w:szCs w:val="24"/>
        </w:rPr>
        <w:t>IoT</w:t>
      </w:r>
      <w:proofErr w:type="spellEnd"/>
      <w:r w:rsidRPr="00A9209A">
        <w:rPr>
          <w:rFonts w:cstheme="minorHAnsi"/>
          <w:color w:val="000000" w:themeColor="text1"/>
          <w:sz w:val="24"/>
          <w:szCs w:val="24"/>
        </w:rPr>
        <w:t xml:space="preserve">) sensors, automated manufacturing equipment and a cloud-based production system that enhance productivity, but also creates its own body of vulnerabilities. Malware infection, procurement personnel phishing and intruder activity have demonstrated the risk is present right now. The report identifies current internal and external threats and then proposes a layered response built on the CIA triad, the Zero Trust model, ISO/IEC 27001:2022 and the NIST. Cybersecurity Framework 2.0. It outlines security policies, technical and administrative controls, a proactive monitoring and response plan, and a continuous </w:t>
      </w:r>
      <w:proofErr w:type="gramStart"/>
      <w:r w:rsidRPr="00A9209A">
        <w:rPr>
          <w:rFonts w:cstheme="minorHAnsi"/>
          <w:color w:val="000000" w:themeColor="text1"/>
          <w:sz w:val="24"/>
          <w:szCs w:val="24"/>
        </w:rPr>
        <w:t>staff training</w:t>
      </w:r>
      <w:proofErr w:type="gramEnd"/>
      <w:r w:rsidRPr="00A9209A">
        <w:rPr>
          <w:rFonts w:cstheme="minorHAnsi"/>
          <w:color w:val="000000" w:themeColor="text1"/>
          <w:sz w:val="24"/>
          <w:szCs w:val="24"/>
        </w:rPr>
        <w:t xml:space="preserve"> program. Its result is a proportionate, standards-based approach that minimises the risk and effect of attacks, enables compliance with United Kingdom law and safeguards SFM's production and intellectual property.</w:t>
      </w:r>
    </w:p>
    <w:p w:rsid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 </w:t>
      </w: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sdt>
      <w:sdtPr>
        <w:rPr>
          <w:rFonts w:asciiTheme="minorHAnsi" w:eastAsiaTheme="minorHAnsi" w:hAnsiTheme="minorHAnsi" w:cstheme="minorHAnsi"/>
          <w:color w:val="auto"/>
          <w:sz w:val="24"/>
          <w:szCs w:val="24"/>
          <w:lang w:val="en-GB"/>
        </w:rPr>
        <w:id w:val="-440759049"/>
        <w:docPartObj>
          <w:docPartGallery w:val="Table of Contents"/>
          <w:docPartUnique/>
        </w:docPartObj>
      </w:sdtPr>
      <w:sdtEndPr>
        <w:rPr>
          <w:b/>
          <w:bCs/>
          <w:noProof/>
        </w:rPr>
      </w:sdtEndPr>
      <w:sdtContent>
        <w:p w:rsidR="00BB1A85" w:rsidRPr="00BB1A85" w:rsidRDefault="00BB1A85" w:rsidP="00BB1A85">
          <w:pPr>
            <w:pStyle w:val="TOCHeading"/>
            <w:spacing w:line="360" w:lineRule="auto"/>
            <w:jc w:val="center"/>
            <w:rPr>
              <w:rFonts w:asciiTheme="minorHAnsi" w:hAnsiTheme="minorHAnsi" w:cstheme="minorHAnsi"/>
              <w:b/>
              <w:sz w:val="24"/>
              <w:szCs w:val="24"/>
            </w:rPr>
          </w:pPr>
          <w:r w:rsidRPr="00BB1A85">
            <w:rPr>
              <w:rFonts w:asciiTheme="minorHAnsi" w:hAnsiTheme="minorHAnsi" w:cstheme="minorHAnsi"/>
              <w:b/>
              <w:sz w:val="24"/>
              <w:szCs w:val="24"/>
            </w:rPr>
            <w:t>Table of Contents</w:t>
          </w:r>
        </w:p>
        <w:p w:rsidR="00BB1A85" w:rsidRPr="00BB1A85" w:rsidRDefault="00BB1A85" w:rsidP="00BB1A85">
          <w:pPr>
            <w:pStyle w:val="TOC1"/>
            <w:tabs>
              <w:tab w:val="right" w:leader="dot" w:pos="9016"/>
            </w:tabs>
            <w:spacing w:line="360" w:lineRule="auto"/>
            <w:jc w:val="both"/>
            <w:rPr>
              <w:rFonts w:cstheme="minorHAnsi"/>
              <w:noProof/>
              <w:sz w:val="24"/>
              <w:szCs w:val="24"/>
            </w:rPr>
          </w:pPr>
          <w:r w:rsidRPr="00BB1A85">
            <w:rPr>
              <w:rFonts w:cstheme="minorHAnsi"/>
              <w:sz w:val="24"/>
              <w:szCs w:val="24"/>
            </w:rPr>
            <w:fldChar w:fldCharType="begin"/>
          </w:r>
          <w:r w:rsidRPr="00BB1A85">
            <w:rPr>
              <w:rFonts w:cstheme="minorHAnsi"/>
              <w:sz w:val="24"/>
              <w:szCs w:val="24"/>
            </w:rPr>
            <w:instrText xml:space="preserve"> TOC \o "1-3" \h \z \u </w:instrText>
          </w:r>
          <w:r w:rsidRPr="00BB1A85">
            <w:rPr>
              <w:rFonts w:cstheme="minorHAnsi"/>
              <w:sz w:val="24"/>
              <w:szCs w:val="24"/>
            </w:rPr>
            <w:fldChar w:fldCharType="separate"/>
          </w:r>
          <w:hyperlink w:anchor="_Toc235665390" w:history="1">
            <w:r w:rsidRPr="00BB1A85">
              <w:rPr>
                <w:rStyle w:val="Hyperlink"/>
                <w:rFonts w:cstheme="minorHAnsi"/>
                <w:b/>
                <w:noProof/>
                <w:sz w:val="24"/>
                <w:szCs w:val="24"/>
              </w:rPr>
              <w:t>Abstract</w:t>
            </w:r>
            <w:r w:rsidRPr="00BB1A85">
              <w:rPr>
                <w:rFonts w:cstheme="minorHAnsi"/>
                <w:noProof/>
                <w:webHidden/>
                <w:sz w:val="24"/>
                <w:szCs w:val="24"/>
              </w:rPr>
              <w:tab/>
            </w:r>
            <w:r w:rsidRPr="00BB1A85">
              <w:rPr>
                <w:rFonts w:cstheme="minorHAnsi"/>
                <w:noProof/>
                <w:webHidden/>
                <w:sz w:val="24"/>
                <w:szCs w:val="24"/>
              </w:rPr>
              <w:fldChar w:fldCharType="begin"/>
            </w:r>
            <w:r w:rsidRPr="00BB1A85">
              <w:rPr>
                <w:rFonts w:cstheme="minorHAnsi"/>
                <w:noProof/>
                <w:webHidden/>
                <w:sz w:val="24"/>
                <w:szCs w:val="24"/>
              </w:rPr>
              <w:instrText xml:space="preserve"> PAGEREF _Toc235665390 \h </w:instrText>
            </w:r>
            <w:r w:rsidRPr="00BB1A85">
              <w:rPr>
                <w:rFonts w:cstheme="minorHAnsi"/>
                <w:noProof/>
                <w:webHidden/>
                <w:sz w:val="24"/>
                <w:szCs w:val="24"/>
              </w:rPr>
            </w:r>
            <w:r w:rsidRPr="00BB1A85">
              <w:rPr>
                <w:rFonts w:cstheme="minorHAnsi"/>
                <w:noProof/>
                <w:webHidden/>
                <w:sz w:val="24"/>
                <w:szCs w:val="24"/>
              </w:rPr>
              <w:fldChar w:fldCharType="separate"/>
            </w:r>
            <w:r w:rsidR="00CD6B58">
              <w:rPr>
                <w:rFonts w:cstheme="minorHAnsi"/>
                <w:noProof/>
                <w:webHidden/>
                <w:sz w:val="24"/>
                <w:szCs w:val="24"/>
              </w:rPr>
              <w:t>2</w:t>
            </w:r>
            <w:r w:rsidRPr="00BB1A85">
              <w:rPr>
                <w:rFonts w:cstheme="minorHAnsi"/>
                <w:noProof/>
                <w:webHidden/>
                <w:sz w:val="24"/>
                <w:szCs w:val="24"/>
              </w:rPr>
              <w:fldChar w:fldCharType="end"/>
            </w:r>
          </w:hyperlink>
        </w:p>
        <w:p w:rsidR="00BB1A85" w:rsidRPr="00BB1A85" w:rsidRDefault="00806685" w:rsidP="00BB1A85">
          <w:pPr>
            <w:pStyle w:val="TOC1"/>
            <w:tabs>
              <w:tab w:val="left" w:pos="440"/>
              <w:tab w:val="right" w:leader="dot" w:pos="9016"/>
            </w:tabs>
            <w:spacing w:line="360" w:lineRule="auto"/>
            <w:jc w:val="both"/>
            <w:rPr>
              <w:rFonts w:cstheme="minorHAnsi"/>
              <w:noProof/>
              <w:sz w:val="24"/>
              <w:szCs w:val="24"/>
            </w:rPr>
          </w:pPr>
          <w:hyperlink w:anchor="_Toc235665391" w:history="1">
            <w:r w:rsidR="00BB1A85" w:rsidRPr="00BB1A85">
              <w:rPr>
                <w:rStyle w:val="Hyperlink"/>
                <w:rFonts w:cstheme="minorHAnsi"/>
                <w:b/>
                <w:noProof/>
                <w:sz w:val="24"/>
                <w:szCs w:val="24"/>
              </w:rPr>
              <w:t>1.</w:t>
            </w:r>
            <w:r w:rsidR="00BB1A85" w:rsidRPr="00BB1A85">
              <w:rPr>
                <w:rFonts w:cstheme="minorHAnsi"/>
                <w:noProof/>
                <w:sz w:val="24"/>
                <w:szCs w:val="24"/>
              </w:rPr>
              <w:tab/>
            </w:r>
            <w:r w:rsidR="00BB1A85" w:rsidRPr="00BB1A85">
              <w:rPr>
                <w:rStyle w:val="Hyperlink"/>
                <w:rFonts w:cstheme="minorHAnsi"/>
                <w:b/>
                <w:noProof/>
                <w:sz w:val="24"/>
                <w:szCs w:val="24"/>
              </w:rPr>
              <w:t>Introduction</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_Toc235665391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4</w:t>
            </w:r>
            <w:r w:rsidR="00BB1A85" w:rsidRPr="00BB1A85">
              <w:rPr>
                <w:rFonts w:cstheme="minorHAnsi"/>
                <w:noProof/>
                <w:webHidden/>
                <w:sz w:val="24"/>
                <w:szCs w:val="24"/>
              </w:rPr>
              <w:fldChar w:fldCharType="end"/>
            </w:r>
          </w:hyperlink>
        </w:p>
        <w:p w:rsidR="00BB1A85" w:rsidRPr="00BB1A85" w:rsidRDefault="00806685" w:rsidP="00BB1A85">
          <w:pPr>
            <w:pStyle w:val="TOC1"/>
            <w:tabs>
              <w:tab w:val="left" w:pos="440"/>
              <w:tab w:val="right" w:leader="dot" w:pos="9016"/>
            </w:tabs>
            <w:spacing w:line="360" w:lineRule="auto"/>
            <w:jc w:val="both"/>
            <w:rPr>
              <w:rFonts w:cstheme="minorHAnsi"/>
              <w:noProof/>
              <w:sz w:val="24"/>
              <w:szCs w:val="24"/>
            </w:rPr>
          </w:pPr>
          <w:hyperlink w:anchor="_Toc235665392" w:history="1">
            <w:r w:rsidR="00BB1A85" w:rsidRPr="00BB1A85">
              <w:rPr>
                <w:rStyle w:val="Hyperlink"/>
                <w:rFonts w:cstheme="minorHAnsi"/>
                <w:b/>
                <w:noProof/>
                <w:sz w:val="24"/>
                <w:szCs w:val="24"/>
              </w:rPr>
              <w:t>2.</w:t>
            </w:r>
            <w:r w:rsidR="00BB1A85" w:rsidRPr="00BB1A85">
              <w:rPr>
                <w:rFonts w:cstheme="minorHAnsi"/>
                <w:noProof/>
                <w:sz w:val="24"/>
                <w:szCs w:val="24"/>
              </w:rPr>
              <w:tab/>
            </w:r>
            <w:r w:rsidR="00BB1A85" w:rsidRPr="00BB1A85">
              <w:rPr>
                <w:rStyle w:val="Hyperlink"/>
                <w:rFonts w:cstheme="minorHAnsi"/>
                <w:b/>
                <w:noProof/>
                <w:sz w:val="24"/>
                <w:szCs w:val="24"/>
              </w:rPr>
              <w:t>Task</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_Toc235665392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6</w:t>
            </w:r>
            <w:r w:rsidR="00BB1A85" w:rsidRPr="00BB1A85">
              <w:rPr>
                <w:rFonts w:cstheme="minorHAnsi"/>
                <w:noProof/>
                <w:webHidden/>
                <w:sz w:val="24"/>
                <w:szCs w:val="24"/>
              </w:rPr>
              <w:fldChar w:fldCharType="end"/>
            </w:r>
          </w:hyperlink>
        </w:p>
        <w:p w:rsidR="00BB1A85" w:rsidRPr="00BB1A85" w:rsidRDefault="00806685" w:rsidP="00BB1A85">
          <w:pPr>
            <w:pStyle w:val="TOC2"/>
            <w:tabs>
              <w:tab w:val="right" w:leader="dot" w:pos="9016"/>
            </w:tabs>
            <w:spacing w:line="360" w:lineRule="auto"/>
            <w:jc w:val="both"/>
            <w:rPr>
              <w:rFonts w:cstheme="minorHAnsi"/>
              <w:noProof/>
              <w:sz w:val="24"/>
              <w:szCs w:val="24"/>
            </w:rPr>
          </w:pPr>
          <w:hyperlink w:anchor="_Toc235665393" w:history="1">
            <w:r w:rsidR="00BB1A85" w:rsidRPr="00BB1A85">
              <w:rPr>
                <w:rStyle w:val="Hyperlink"/>
                <w:rFonts w:cstheme="minorHAnsi"/>
                <w:b/>
                <w:noProof/>
                <w:sz w:val="24"/>
                <w:szCs w:val="24"/>
              </w:rPr>
              <w:t>2.1. Identification of Modern Threats</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_Toc235665393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6</w:t>
            </w:r>
            <w:r w:rsidR="00BB1A85" w:rsidRPr="00BB1A85">
              <w:rPr>
                <w:rFonts w:cstheme="minorHAnsi"/>
                <w:noProof/>
                <w:webHidden/>
                <w:sz w:val="24"/>
                <w:szCs w:val="24"/>
              </w:rPr>
              <w:fldChar w:fldCharType="end"/>
            </w:r>
          </w:hyperlink>
        </w:p>
        <w:p w:rsidR="00BB1A85" w:rsidRPr="00BB1A85" w:rsidRDefault="00806685" w:rsidP="00BB1A85">
          <w:pPr>
            <w:pStyle w:val="TOC2"/>
            <w:tabs>
              <w:tab w:val="right" w:leader="dot" w:pos="9016"/>
            </w:tabs>
            <w:spacing w:line="360" w:lineRule="auto"/>
            <w:jc w:val="both"/>
            <w:rPr>
              <w:rFonts w:cstheme="minorHAnsi"/>
              <w:noProof/>
              <w:sz w:val="24"/>
              <w:szCs w:val="24"/>
            </w:rPr>
          </w:pPr>
          <w:hyperlink w:anchor="_Toc235665394" w:history="1">
            <w:r w:rsidR="00BB1A85" w:rsidRPr="00BB1A85">
              <w:rPr>
                <w:rStyle w:val="Hyperlink"/>
                <w:rFonts w:cstheme="minorHAnsi"/>
                <w:b/>
                <w:noProof/>
                <w:sz w:val="24"/>
                <w:szCs w:val="24"/>
              </w:rPr>
              <w:t>2.2. Modern Security Policies</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_Toc235665394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7</w:t>
            </w:r>
            <w:r w:rsidR="00BB1A85" w:rsidRPr="00BB1A85">
              <w:rPr>
                <w:rFonts w:cstheme="minorHAnsi"/>
                <w:noProof/>
                <w:webHidden/>
                <w:sz w:val="24"/>
                <w:szCs w:val="24"/>
              </w:rPr>
              <w:fldChar w:fldCharType="end"/>
            </w:r>
          </w:hyperlink>
        </w:p>
        <w:p w:rsidR="00BB1A85" w:rsidRPr="00BB1A85" w:rsidRDefault="00806685" w:rsidP="00BB1A85">
          <w:pPr>
            <w:pStyle w:val="TOC2"/>
            <w:tabs>
              <w:tab w:val="right" w:leader="dot" w:pos="9016"/>
            </w:tabs>
            <w:spacing w:line="360" w:lineRule="auto"/>
            <w:jc w:val="both"/>
            <w:rPr>
              <w:rFonts w:cstheme="minorHAnsi"/>
              <w:noProof/>
              <w:sz w:val="24"/>
              <w:szCs w:val="24"/>
            </w:rPr>
          </w:pPr>
          <w:hyperlink w:anchor="_Toc235665395" w:history="1">
            <w:r w:rsidR="00BB1A85" w:rsidRPr="00BB1A85">
              <w:rPr>
                <w:rStyle w:val="Hyperlink"/>
                <w:rFonts w:cstheme="minorHAnsi"/>
                <w:b/>
                <w:noProof/>
                <w:sz w:val="24"/>
                <w:szCs w:val="24"/>
              </w:rPr>
              <w:t>2.3. Technical Mitigation Measures</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_Toc235665395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9</w:t>
            </w:r>
            <w:r w:rsidR="00BB1A85" w:rsidRPr="00BB1A85">
              <w:rPr>
                <w:rFonts w:cstheme="minorHAnsi"/>
                <w:noProof/>
                <w:webHidden/>
                <w:sz w:val="24"/>
                <w:szCs w:val="24"/>
              </w:rPr>
              <w:fldChar w:fldCharType="end"/>
            </w:r>
          </w:hyperlink>
        </w:p>
        <w:p w:rsidR="00BB1A85" w:rsidRPr="00BB1A85" w:rsidRDefault="00806685" w:rsidP="00BB1A85">
          <w:pPr>
            <w:pStyle w:val="TOC2"/>
            <w:tabs>
              <w:tab w:val="right" w:leader="dot" w:pos="9016"/>
            </w:tabs>
            <w:spacing w:line="360" w:lineRule="auto"/>
            <w:jc w:val="both"/>
            <w:rPr>
              <w:rFonts w:cstheme="minorHAnsi"/>
              <w:noProof/>
              <w:sz w:val="24"/>
              <w:szCs w:val="24"/>
            </w:rPr>
          </w:pPr>
          <w:hyperlink w:anchor="_Toc235665396" w:history="1">
            <w:r w:rsidR="00BB1A85" w:rsidRPr="00BB1A85">
              <w:rPr>
                <w:rStyle w:val="Hyperlink"/>
                <w:rFonts w:cstheme="minorHAnsi"/>
                <w:b/>
                <w:noProof/>
                <w:sz w:val="24"/>
                <w:szCs w:val="24"/>
              </w:rPr>
              <w:t>2.4. Proactive Monitoring and Incident Response</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_Toc235665396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11</w:t>
            </w:r>
            <w:r w:rsidR="00BB1A85" w:rsidRPr="00BB1A85">
              <w:rPr>
                <w:rFonts w:cstheme="minorHAnsi"/>
                <w:noProof/>
                <w:webHidden/>
                <w:sz w:val="24"/>
                <w:szCs w:val="24"/>
              </w:rPr>
              <w:fldChar w:fldCharType="end"/>
            </w:r>
          </w:hyperlink>
        </w:p>
        <w:p w:rsidR="00BB1A85" w:rsidRPr="00BB1A85" w:rsidRDefault="00806685" w:rsidP="00BB1A85">
          <w:pPr>
            <w:pStyle w:val="TOC2"/>
            <w:tabs>
              <w:tab w:val="right" w:leader="dot" w:pos="9016"/>
            </w:tabs>
            <w:spacing w:line="360" w:lineRule="auto"/>
            <w:jc w:val="both"/>
            <w:rPr>
              <w:rFonts w:cstheme="minorHAnsi"/>
              <w:noProof/>
              <w:sz w:val="24"/>
              <w:szCs w:val="24"/>
            </w:rPr>
          </w:pPr>
          <w:hyperlink w:anchor="_Toc235665397" w:history="1">
            <w:r w:rsidR="00BB1A85" w:rsidRPr="00BB1A85">
              <w:rPr>
                <w:rStyle w:val="Hyperlink"/>
                <w:rFonts w:cstheme="minorHAnsi"/>
                <w:b/>
                <w:noProof/>
                <w:sz w:val="24"/>
                <w:szCs w:val="24"/>
              </w:rPr>
              <w:t>2.5. Continuous Training and Awareness</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_Toc235665397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13</w:t>
            </w:r>
            <w:r w:rsidR="00BB1A85" w:rsidRPr="00BB1A85">
              <w:rPr>
                <w:rFonts w:cstheme="minorHAnsi"/>
                <w:noProof/>
                <w:webHidden/>
                <w:sz w:val="24"/>
                <w:szCs w:val="24"/>
              </w:rPr>
              <w:fldChar w:fldCharType="end"/>
            </w:r>
          </w:hyperlink>
        </w:p>
        <w:p w:rsidR="00BB1A85" w:rsidRPr="00BB1A85" w:rsidRDefault="00806685" w:rsidP="00BB1A85">
          <w:pPr>
            <w:pStyle w:val="TOC1"/>
            <w:tabs>
              <w:tab w:val="left" w:pos="440"/>
              <w:tab w:val="right" w:leader="dot" w:pos="9016"/>
            </w:tabs>
            <w:spacing w:line="360" w:lineRule="auto"/>
            <w:jc w:val="both"/>
            <w:rPr>
              <w:rFonts w:cstheme="minorHAnsi"/>
              <w:noProof/>
              <w:sz w:val="24"/>
              <w:szCs w:val="24"/>
            </w:rPr>
          </w:pPr>
          <w:hyperlink w:anchor="_Toc235665398" w:history="1">
            <w:r w:rsidR="00BB1A85" w:rsidRPr="00BB1A85">
              <w:rPr>
                <w:rStyle w:val="Hyperlink"/>
                <w:rFonts w:cstheme="minorHAnsi"/>
                <w:b/>
                <w:noProof/>
                <w:sz w:val="24"/>
                <w:szCs w:val="24"/>
              </w:rPr>
              <w:t>3.</w:t>
            </w:r>
            <w:r w:rsidR="00BB1A85" w:rsidRPr="00BB1A85">
              <w:rPr>
                <w:rFonts w:cstheme="minorHAnsi"/>
                <w:noProof/>
                <w:sz w:val="24"/>
                <w:szCs w:val="24"/>
              </w:rPr>
              <w:tab/>
            </w:r>
            <w:r w:rsidR="00BB1A85" w:rsidRPr="00BB1A85">
              <w:rPr>
                <w:rStyle w:val="Hyperlink"/>
                <w:rFonts w:cstheme="minorHAnsi"/>
                <w:b/>
                <w:noProof/>
                <w:sz w:val="24"/>
                <w:szCs w:val="24"/>
              </w:rPr>
              <w:t>Conclusion</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_Toc235665398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15</w:t>
            </w:r>
            <w:r w:rsidR="00BB1A85" w:rsidRPr="00BB1A85">
              <w:rPr>
                <w:rFonts w:cstheme="minorHAnsi"/>
                <w:noProof/>
                <w:webHidden/>
                <w:sz w:val="24"/>
                <w:szCs w:val="24"/>
              </w:rPr>
              <w:fldChar w:fldCharType="end"/>
            </w:r>
          </w:hyperlink>
        </w:p>
        <w:p w:rsidR="00BB1A85" w:rsidRPr="00BB1A85" w:rsidRDefault="00806685" w:rsidP="00BB1A85">
          <w:pPr>
            <w:pStyle w:val="TOC1"/>
            <w:tabs>
              <w:tab w:val="left" w:pos="440"/>
              <w:tab w:val="right" w:leader="dot" w:pos="9016"/>
            </w:tabs>
            <w:spacing w:line="360" w:lineRule="auto"/>
            <w:jc w:val="both"/>
            <w:rPr>
              <w:rFonts w:cstheme="minorHAnsi"/>
              <w:noProof/>
              <w:sz w:val="24"/>
              <w:szCs w:val="24"/>
            </w:rPr>
          </w:pPr>
          <w:hyperlink w:anchor="_Toc235665399" w:history="1">
            <w:r w:rsidR="00BB1A85" w:rsidRPr="00BB1A85">
              <w:rPr>
                <w:rStyle w:val="Hyperlink"/>
                <w:rFonts w:cstheme="minorHAnsi"/>
                <w:b/>
                <w:noProof/>
                <w:sz w:val="24"/>
                <w:szCs w:val="24"/>
              </w:rPr>
              <w:t>4.</w:t>
            </w:r>
            <w:r w:rsidR="00BB1A85" w:rsidRPr="00BB1A85">
              <w:rPr>
                <w:rFonts w:cstheme="minorHAnsi"/>
                <w:noProof/>
                <w:sz w:val="24"/>
                <w:szCs w:val="24"/>
              </w:rPr>
              <w:tab/>
            </w:r>
            <w:r w:rsidR="00BB1A85" w:rsidRPr="00BB1A85">
              <w:rPr>
                <w:rStyle w:val="Hyperlink"/>
                <w:rFonts w:cstheme="minorHAnsi"/>
                <w:b/>
                <w:noProof/>
                <w:sz w:val="24"/>
                <w:szCs w:val="24"/>
              </w:rPr>
              <w:t>Reference</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_Toc235665399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16</w:t>
            </w:r>
            <w:r w:rsidR="00BB1A85" w:rsidRPr="00BB1A85">
              <w:rPr>
                <w:rFonts w:cstheme="minorHAnsi"/>
                <w:noProof/>
                <w:webHidden/>
                <w:sz w:val="24"/>
                <w:szCs w:val="24"/>
              </w:rPr>
              <w:fldChar w:fldCharType="end"/>
            </w:r>
          </w:hyperlink>
        </w:p>
        <w:p w:rsidR="00BB1A85" w:rsidRPr="00BB1A85" w:rsidRDefault="00806685" w:rsidP="00BB1A85">
          <w:pPr>
            <w:pStyle w:val="TOC1"/>
            <w:tabs>
              <w:tab w:val="left" w:pos="440"/>
              <w:tab w:val="right" w:leader="dot" w:pos="9016"/>
            </w:tabs>
            <w:spacing w:line="360" w:lineRule="auto"/>
            <w:jc w:val="both"/>
            <w:rPr>
              <w:rFonts w:cstheme="minorHAnsi"/>
              <w:noProof/>
              <w:sz w:val="24"/>
              <w:szCs w:val="24"/>
            </w:rPr>
          </w:pPr>
          <w:hyperlink w:anchor="_Toc235665400" w:history="1">
            <w:r w:rsidR="00BB1A85" w:rsidRPr="00BB1A85">
              <w:rPr>
                <w:rStyle w:val="Hyperlink"/>
                <w:rFonts w:cstheme="minorHAnsi"/>
                <w:b/>
                <w:noProof/>
                <w:sz w:val="24"/>
                <w:szCs w:val="24"/>
              </w:rPr>
              <w:t>5.</w:t>
            </w:r>
            <w:r w:rsidR="00BB1A85" w:rsidRPr="00BB1A85">
              <w:rPr>
                <w:rFonts w:cstheme="minorHAnsi"/>
                <w:noProof/>
                <w:sz w:val="24"/>
                <w:szCs w:val="24"/>
              </w:rPr>
              <w:tab/>
            </w:r>
            <w:r w:rsidR="00BB1A85" w:rsidRPr="00BB1A85">
              <w:rPr>
                <w:rStyle w:val="Hyperlink"/>
                <w:rFonts w:cstheme="minorHAnsi"/>
                <w:b/>
                <w:noProof/>
                <w:sz w:val="24"/>
                <w:szCs w:val="24"/>
              </w:rPr>
              <w:t>Appendices</w:t>
            </w:r>
            <w:r w:rsidR="00BB1A85" w:rsidRPr="00BB1A85">
              <w:rPr>
                <w:rFonts w:cstheme="minorHAnsi"/>
                <w:noProof/>
                <w:webHidden/>
                <w:sz w:val="24"/>
                <w:szCs w:val="24"/>
              </w:rPr>
              <w:tab/>
            </w:r>
            <w:r w:rsidR="00BB1A85" w:rsidRPr="00BB1A85">
              <w:rPr>
                <w:rFonts w:cstheme="minorHAnsi"/>
                <w:noProof/>
                <w:webHidden/>
                <w:sz w:val="24"/>
                <w:szCs w:val="24"/>
              </w:rPr>
              <w:fldChar w:fldCharType="begin"/>
            </w:r>
            <w:r w:rsidR="00BB1A85" w:rsidRPr="00BB1A85">
              <w:rPr>
                <w:rFonts w:cstheme="minorHAnsi"/>
                <w:noProof/>
                <w:webHidden/>
                <w:sz w:val="24"/>
                <w:szCs w:val="24"/>
              </w:rPr>
              <w:instrText xml:space="preserve"> PAGEREF _Toc235665400 \h </w:instrText>
            </w:r>
            <w:r w:rsidR="00BB1A85" w:rsidRPr="00BB1A85">
              <w:rPr>
                <w:rFonts w:cstheme="minorHAnsi"/>
                <w:noProof/>
                <w:webHidden/>
                <w:sz w:val="24"/>
                <w:szCs w:val="24"/>
              </w:rPr>
            </w:r>
            <w:r w:rsidR="00BB1A85" w:rsidRPr="00BB1A85">
              <w:rPr>
                <w:rFonts w:cstheme="minorHAnsi"/>
                <w:noProof/>
                <w:webHidden/>
                <w:sz w:val="24"/>
                <w:szCs w:val="24"/>
              </w:rPr>
              <w:fldChar w:fldCharType="separate"/>
            </w:r>
            <w:r w:rsidR="00CD6B58">
              <w:rPr>
                <w:rFonts w:cstheme="minorHAnsi"/>
                <w:noProof/>
                <w:webHidden/>
                <w:sz w:val="24"/>
                <w:szCs w:val="24"/>
              </w:rPr>
              <w:t>18</w:t>
            </w:r>
            <w:r w:rsidR="00BB1A85" w:rsidRPr="00BB1A85">
              <w:rPr>
                <w:rFonts w:cstheme="minorHAnsi"/>
                <w:noProof/>
                <w:webHidden/>
                <w:sz w:val="24"/>
                <w:szCs w:val="24"/>
              </w:rPr>
              <w:fldChar w:fldCharType="end"/>
            </w:r>
          </w:hyperlink>
        </w:p>
        <w:p w:rsidR="00BB1A85" w:rsidRPr="00BB1A85" w:rsidRDefault="00BB1A85" w:rsidP="00BB1A85">
          <w:pPr>
            <w:spacing w:line="360" w:lineRule="auto"/>
            <w:jc w:val="both"/>
            <w:rPr>
              <w:rFonts w:cstheme="minorHAnsi"/>
              <w:sz w:val="24"/>
              <w:szCs w:val="24"/>
            </w:rPr>
          </w:pPr>
          <w:r w:rsidRPr="00BB1A85">
            <w:rPr>
              <w:rFonts w:cstheme="minorHAnsi"/>
              <w:b/>
              <w:bCs/>
              <w:noProof/>
              <w:sz w:val="24"/>
              <w:szCs w:val="24"/>
            </w:rPr>
            <w:fldChar w:fldCharType="end"/>
          </w:r>
        </w:p>
      </w:sdtContent>
    </w:sdt>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A9209A" w:rsidRPr="00A9209A" w:rsidRDefault="00A9209A" w:rsidP="00A9209A">
      <w:pPr>
        <w:pStyle w:val="Heading1"/>
        <w:numPr>
          <w:ilvl w:val="0"/>
          <w:numId w:val="1"/>
        </w:numPr>
        <w:spacing w:line="360" w:lineRule="auto"/>
        <w:jc w:val="both"/>
        <w:rPr>
          <w:rFonts w:asciiTheme="minorHAnsi" w:hAnsiTheme="minorHAnsi" w:cstheme="minorHAnsi"/>
          <w:b/>
          <w:color w:val="000000" w:themeColor="text1"/>
          <w:sz w:val="24"/>
          <w:szCs w:val="24"/>
        </w:rPr>
      </w:pPr>
      <w:bookmarkStart w:id="1" w:name="_Toc235665391"/>
      <w:r w:rsidRPr="00A9209A">
        <w:rPr>
          <w:rFonts w:asciiTheme="minorHAnsi" w:hAnsiTheme="minorHAnsi" w:cstheme="minorHAnsi"/>
          <w:b/>
          <w:color w:val="000000" w:themeColor="text1"/>
          <w:sz w:val="24"/>
          <w:szCs w:val="24"/>
        </w:rPr>
        <w:lastRenderedPageBreak/>
        <w:t>Introduction</w:t>
      </w:r>
      <w:bookmarkEnd w:id="1"/>
    </w:p>
    <w:p w:rsidR="00DE4A8C"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Computer security is a major i</w:t>
      </w:r>
      <w:r w:rsidR="009961D5">
        <w:rPr>
          <w:rFonts w:cstheme="minorHAnsi"/>
          <w:color w:val="000000" w:themeColor="text1"/>
          <w:sz w:val="24"/>
          <w:szCs w:val="24"/>
        </w:rPr>
        <w:t>ssue of the digital era. Organis</w:t>
      </w:r>
      <w:r w:rsidRPr="00A9209A">
        <w:rPr>
          <w:rFonts w:cstheme="minorHAnsi"/>
          <w:color w:val="000000" w:themeColor="text1"/>
          <w:sz w:val="24"/>
          <w:szCs w:val="24"/>
        </w:rPr>
        <w:t>ations are increasingly integrating their processes into the global network, which has led to cyberattacks becoming larger, faster and more complex, impacting hospitals, governments, utilities and factories worldwide</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nNzeU7al","properties":{"unsorted":false,"formattedCitation":"[1]","plainCitation":"[1]","noteIndex":0},"citationItems":[{"id":20517,"uris":["http://zotero.org/users/14203622/items/HBV4LMV5"],"itemData":{"id":20517,"type":"article-journal","abstract":"Background\nHealth care organizations worldwide are faced with an increasing number of cyberattacks and threats to their critical infrastructure. These cyberattacks cause significant data breaches in digital health information systems, which threaten patient safety and privacy.\n\nObjective\nFrom a sociotechnical perspective, this paper explores why digital health care systems are vulnerable to cyberattacks and provides sociotechnical solutions through a systematic literature review (SLR).\n\nMethods\nAn SLR using the PRISMA (Preferred Reporting Items for Systematic Reviews and Meta-Analyses) was conducted by searching 6 databases (PubMed, Web of Science, ScienceDirect, Scopus, Institute of Electrical and Electronics Engineers, and Springer) and a journal (Management Information Systems Quarterly) for articles published between 2012 and 2022 and indexed using the following keywords: “(cybersecurity OR cybercrime OR ransomware) AND (healthcare) OR (cybersecurity in healthcare).” Reports, review articles, and industry white papers that focused on cybersecurity and health care challenges and solutions were included. Only articles published in English were selected for the review.\n\nResults\nIn total, 5 themes were identified: human error, lack of investment, complex network-connected end-point devices, old legacy systems, and technology advancement (digitalization). We also found that knowledge applications for solving vulnerabilities in health care systems between 2012 to 2022 were inconsistent.\n\nConclusions\nThis SLR provides a clear understanding of why health care systems are vulnerable to cyberattacks and proposes interventions from a new sociotechnical perspective. These solutions can serve as a guide for health care organizations in their efforts to prevent breaches and address vulnerabilities. To bridge the gap, we recommend that health care organizations, in partnership with educational institutions, develop and implement a cybersecurity curriculum for health care and intelligence information sharing through collaborations; training; awareness campaigns; and knowledge application areas such as secure design processes, phase-out of legacy systems, and improved investment. Additional studies are needed to create a sociotechnical framework that will support cybersecurity in health care systems and connect technology, people, and processes in an integrated manner.","container-title":"Journal of Medical Internet Research","DOI":"10.2196/46904","ISSN":"1439-4456","journalAbbreviation":"J Med Internet Res","page":"e46904","PMID":"38820579","PMCID":"PMC11179043","source":"PubMed Central","title":"Vulnerability to Cyberattacks and Sociotechnical Solutions for Health Care Systems: Systematic Review","title-short":"Vulnerability to Cyberattacks and Sociotechnical Solutions for Health Care Systems","volume":"26","author":[{"family":"Ewoh","given":"Pius"},{"family":"Vartiainen","given":"Tero"}],"issued":{"date-parts":[["2024",5,31]]}}}],"schema":"https://github.com/citation-style-language/schema/raw/master/csl-citation.json"}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[1]</w:t>
      </w:r>
      <w:r w:rsidR="009961D5">
        <w:rPr>
          <w:rFonts w:cstheme="minorHAnsi"/>
          <w:color w:val="000000" w:themeColor="text1"/>
          <w:sz w:val="24"/>
          <w:szCs w:val="24"/>
        </w:rPr>
        <w:fldChar w:fldCharType="end"/>
      </w:r>
      <w:r w:rsidRPr="00A9209A">
        <w:rPr>
          <w:rFonts w:cstheme="minorHAnsi"/>
          <w:color w:val="000000" w:themeColor="text1"/>
          <w:sz w:val="24"/>
          <w:szCs w:val="24"/>
        </w:rPr>
        <w:t>. Information Technology (IT) and Operational Technology (OT) merging in Industry 4.0 has enabled efficiencies in a very vulnerable environment for industry. However, manufacturing is the sector that is hardest hit, with 27.7% of reported incidents in 2025, and it has the most ransomware incidents, as production downtime is very costly</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{"citationID":"KjCEujH3","properties":{"unsorted":false,"formattedCitation":"[2], [3]","plainCitation":"[2], [3]","noteIndex":0},"citationItems":[{"id":20496,"uris":["http://zotero.org/users/14203622/items/7NX65Q43"],"itemData":{"id":20496,"type":"webpage","abstract":"See what the  X-Force Threat Intelligence Index Report 2026 has to say about today's cybersecurity landscape.","language":"en","title":"X-Force Threat Intelligence Index 2026 | IBM","URL":"https://www.ibm.com/reports/threat-intelligence","author":[{"literal":"IBM"}],"accessed":{"date-parts":[["2026",7,23]]},"issued":{"date-parts":[["2026"]]}}},{"id":20498,"uris":["http://zotero.org/users/14203622/items/U99HI3JX"],"itemData":{"id":20498,"type":"webpage","abstract":"The 2025 X-Force Threat Intelligence Index is out, and it shows that attackers are still actively stealing and selling user identities. Learn more about that and other relevant threats.","language":"en","title":"X-Force Threat Intelligence Index 2025 highlights attackers steal, and sell, user identities at scale | IBM","URL":"https://www.ibm.com/think/x-force/x-force-threat-intelligence-index-2025-attackers-steal-sell-user-identities","author":[{"literal":"Chris Caridi"}],"accessed":{"date-parts":[["2026",7,23]]},"issued":{"date-parts":[["2025",4,17]]}}}],"schema":"https://github.com/citation-style-language/schema/raw/master/csl-citation.json"}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[2], [3]</w:t>
      </w:r>
      <w:r w:rsidR="009961D5">
        <w:rPr>
          <w:rFonts w:cstheme="minorHAnsi"/>
          <w:color w:val="000000" w:themeColor="text1"/>
          <w:sz w:val="24"/>
          <w:szCs w:val="24"/>
        </w:rPr>
        <w:fldChar w:fldCharType="end"/>
      </w:r>
      <w:r w:rsidRPr="00A9209A">
        <w:rPr>
          <w:rFonts w:cstheme="minorHAnsi"/>
          <w:color w:val="000000" w:themeColor="text1"/>
          <w:sz w:val="24"/>
          <w:szCs w:val="24"/>
        </w:rPr>
        <w:t>. The average cost of data breaches has risen to USD 4.44 million on the global level in 2025</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{"citationID":"YBcY6Mie","properties":{"unsorted":false,"formattedCitation":"[4]","plainCitation":"[4]","noteIndex":0},"citationItems":[{"id":20501,"uris":["http://zotero.org/users/14203622/items/JUHT42S6"],"itemData":{"id":20501,"type":"webpage","abstract":"IBM’s global Cost of a Data Breach Report 2025 provides up-to-date insights into cybersecurity threats and their financial impacts on organizations.","language":"en","title":"Cost of a data breach 2025 | IBM","URL":"https://www.ibm.com/reports/data-breach","author":[{"literal":"IBM"}],"accessed":{"date-parts":[["2026",7,23]]},"issued":{"date-parts":[["2025"]]}}}],"schema":"https://github.com/citation-style-language/schema/raw/master/csl-citation.json"}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[4]</w:t>
      </w:r>
      <w:r w:rsidR="009961D5">
        <w:rPr>
          <w:rFonts w:cstheme="minorHAnsi"/>
          <w:color w:val="000000" w:themeColor="text1"/>
          <w:sz w:val="24"/>
          <w:szCs w:val="24"/>
        </w:rPr>
        <w:fldChar w:fldCharType="end"/>
      </w:r>
      <w:r w:rsidRPr="00A9209A">
        <w:rPr>
          <w:rFonts w:cstheme="minorHAnsi"/>
          <w:color w:val="000000" w:themeColor="text1"/>
          <w:sz w:val="24"/>
          <w:szCs w:val="24"/>
        </w:rPr>
        <w:t>.</w:t>
      </w:r>
      <w:r w:rsidR="00DE4A8C">
        <w:rPr>
          <w:rFonts w:cstheme="minorHAnsi"/>
          <w:color w:val="000000" w:themeColor="text1"/>
          <w:sz w:val="24"/>
          <w:szCs w:val="24"/>
        </w:rPr>
        <w:t xml:space="preserve"> </w:t>
      </w:r>
    </w:p>
    <w:p w:rsidR="009961D5" w:rsidRPr="00A9209A" w:rsidRDefault="009961D5" w:rsidP="009961D5">
      <w:pPr>
        <w:spacing w:line="360" w:lineRule="auto"/>
        <w:jc w:val="both"/>
        <w:rPr>
          <w:rFonts w:cstheme="minorHAnsi"/>
          <w:color w:val="000000" w:themeColor="text1"/>
          <w:sz w:val="24"/>
          <w:szCs w:val="24"/>
        </w:rPr>
      </w:pPr>
      <w:r w:rsidRPr="00A9209A">
        <w:rPr>
          <w:rFonts w:cstheme="minorHAnsi"/>
          <w:color w:val="000000" w:themeColor="text1"/>
          <w:sz w:val="24"/>
          <w:szCs w:val="24"/>
        </w:rPr>
        <w:t xml:space="preserve">SteelForm Manufacturing Ltd (SFM) is a medium-sized company manufacturing a range of custom-engineered components for the automobile and aircraft industries. It has implemented </w:t>
      </w:r>
      <w:proofErr w:type="spellStart"/>
      <w:r w:rsidRPr="00A9209A">
        <w:rPr>
          <w:rFonts w:cstheme="minorHAnsi"/>
          <w:color w:val="000000" w:themeColor="text1"/>
          <w:sz w:val="24"/>
          <w:szCs w:val="24"/>
        </w:rPr>
        <w:t>IoT</w:t>
      </w:r>
      <w:proofErr w:type="spellEnd"/>
      <w:r w:rsidRPr="00A9209A">
        <w:rPr>
          <w:rFonts w:cstheme="minorHAnsi"/>
          <w:color w:val="000000" w:themeColor="text1"/>
          <w:sz w:val="24"/>
          <w:szCs w:val="24"/>
        </w:rPr>
        <w:t xml:space="preserve"> sensors, automated machines, and a cloud-based production network, and has already had malware attacks, phishing targeting procurement staff, and attempts to grant </w:t>
      </w:r>
      <w:r w:rsidR="00906721">
        <w:rPr>
          <w:rFonts w:cstheme="minorHAnsi"/>
          <w:color w:val="000000" w:themeColor="text1"/>
          <w:sz w:val="24"/>
          <w:szCs w:val="24"/>
        </w:rPr>
        <w:t>unauthorised</w:t>
      </w:r>
      <w:r w:rsidRPr="00A9209A">
        <w:rPr>
          <w:rFonts w:cstheme="minorHAnsi"/>
          <w:color w:val="000000" w:themeColor="text1"/>
          <w:sz w:val="24"/>
          <w:szCs w:val="24"/>
        </w:rPr>
        <w:t xml:space="preserve"> access to its production network. In this report, the author proposes a plan to defend SFM from contemporary internal and external threats, based on widely used cybersecurity frameworks like the NIST Cybersecurity Framework and CISA Known Exploited Vulnerabilities catalogue.</w:t>
      </w: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9961D5" w:rsidP="00A9209A">
      <w:pPr>
        <w:spacing w:line="360" w:lineRule="auto"/>
        <w:jc w:val="both"/>
        <w:rPr>
          <w:rFonts w:cstheme="minorHAnsi"/>
          <w:color w:val="000000" w:themeColor="text1"/>
          <w:sz w:val="24"/>
          <w:szCs w:val="24"/>
        </w:rPr>
      </w:pPr>
      <w:r w:rsidRPr="00A9209A">
        <w:rPr>
          <w:rFonts w:cstheme="minorHAnsi"/>
          <w:noProof/>
          <w:color w:val="000000" w:themeColor="text1"/>
          <w:sz w:val="24"/>
          <w:szCs w:val="24"/>
          <w:lang w:eastAsia="en-GB"/>
        </w:rPr>
        <w:lastRenderedPageBreak/>
        <w:drawing>
          <wp:anchor distT="0" distB="0" distL="114300" distR="114300" simplePos="0" relativeHeight="251659264" behindDoc="1" locked="0" layoutInCell="1" allowOverlap="1">
            <wp:simplePos x="0" y="0"/>
            <wp:positionH relativeFrom="column">
              <wp:posOffset>-196850</wp:posOffset>
            </wp:positionH>
            <wp:positionV relativeFrom="paragraph">
              <wp:posOffset>0</wp:posOffset>
            </wp:positionV>
            <wp:extent cx="6127750" cy="7418585"/>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3.png"/>
                    <pic:cNvPicPr/>
                  </pic:nvPicPr>
                  <pic:blipFill rotWithShape="1">
                    <a:blip r:embed="rId9">
                      <a:extLst>
                        <a:ext uri="{28A0092B-C50C-407E-A947-70E740481C1C}">
                          <a14:useLocalDpi xmlns:a14="http://schemas.microsoft.com/office/drawing/2010/main" val="0"/>
                        </a:ext>
                      </a:extLst>
                    </a:blip>
                    <a:srcRect t="3795"/>
                    <a:stretch/>
                  </pic:blipFill>
                  <pic:spPr bwMode="auto">
                    <a:xfrm>
                      <a:off x="0" y="0"/>
                      <a:ext cx="6127750" cy="7418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9961D5" w:rsidRDefault="009961D5"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DE4A8C" w:rsidRDefault="00DE4A8C" w:rsidP="00A9209A">
      <w:pPr>
        <w:spacing w:line="360" w:lineRule="auto"/>
        <w:jc w:val="both"/>
        <w:rPr>
          <w:rFonts w:cstheme="minorHAnsi"/>
          <w:color w:val="000000" w:themeColor="text1"/>
          <w:sz w:val="24"/>
          <w:szCs w:val="24"/>
        </w:rPr>
      </w:pPr>
    </w:p>
    <w:p w:rsidR="00A9209A" w:rsidRDefault="00A9209A" w:rsidP="00A9209A">
      <w:pPr>
        <w:spacing w:line="360" w:lineRule="auto"/>
        <w:jc w:val="center"/>
        <w:rPr>
          <w:rFonts w:cstheme="minorHAnsi"/>
          <w:color w:val="000000" w:themeColor="text1"/>
          <w:sz w:val="24"/>
          <w:szCs w:val="24"/>
        </w:rPr>
      </w:pPr>
    </w:p>
    <w:p w:rsidR="009961D5" w:rsidRDefault="009961D5" w:rsidP="00A9209A">
      <w:pPr>
        <w:spacing w:line="360" w:lineRule="auto"/>
        <w:jc w:val="center"/>
        <w:rPr>
          <w:rFonts w:cstheme="minorHAnsi"/>
          <w:b/>
          <w:color w:val="000000" w:themeColor="text1"/>
          <w:sz w:val="24"/>
          <w:szCs w:val="24"/>
        </w:rPr>
      </w:pPr>
    </w:p>
    <w:p w:rsidR="009961D5" w:rsidRDefault="009961D5" w:rsidP="00A9209A">
      <w:pPr>
        <w:spacing w:line="360" w:lineRule="auto"/>
        <w:jc w:val="center"/>
        <w:rPr>
          <w:rFonts w:cstheme="minorHAnsi"/>
          <w:b/>
          <w:color w:val="000000" w:themeColor="text1"/>
          <w:sz w:val="24"/>
          <w:szCs w:val="24"/>
        </w:rPr>
      </w:pPr>
    </w:p>
    <w:p w:rsidR="009961D5" w:rsidRDefault="009961D5" w:rsidP="00A9209A">
      <w:pPr>
        <w:spacing w:line="360" w:lineRule="auto"/>
        <w:jc w:val="center"/>
        <w:rPr>
          <w:rFonts w:cstheme="minorHAnsi"/>
          <w:b/>
          <w:color w:val="000000" w:themeColor="text1"/>
          <w:sz w:val="24"/>
          <w:szCs w:val="24"/>
        </w:rPr>
      </w:pPr>
    </w:p>
    <w:p w:rsidR="009961D5" w:rsidRDefault="009961D5" w:rsidP="00A9209A">
      <w:pPr>
        <w:spacing w:line="360" w:lineRule="auto"/>
        <w:jc w:val="center"/>
        <w:rPr>
          <w:rFonts w:cstheme="minorHAnsi"/>
          <w:b/>
          <w:color w:val="000000" w:themeColor="text1"/>
          <w:sz w:val="24"/>
          <w:szCs w:val="24"/>
        </w:rPr>
      </w:pPr>
    </w:p>
    <w:p w:rsidR="00DE4A8C" w:rsidRDefault="00A9209A" w:rsidP="00A9209A">
      <w:pPr>
        <w:spacing w:line="360" w:lineRule="auto"/>
        <w:jc w:val="center"/>
        <w:rPr>
          <w:rFonts w:cstheme="minorHAnsi"/>
          <w:b/>
          <w:color w:val="000000" w:themeColor="text1"/>
          <w:sz w:val="24"/>
          <w:szCs w:val="24"/>
        </w:rPr>
        <w:sectPr w:rsidR="00DE4A8C" w:rsidSect="00A9209A">
          <w:footerReference w:type="default" r:id="rId10"/>
          <w:pgSz w:w="11906" w:h="16838" w:code="9"/>
          <w:pgMar w:top="1440" w:right="1440" w:bottom="1440" w:left="1440" w:header="708" w:footer="708" w:gutter="0"/>
          <w:cols w:space="708"/>
          <w:docGrid w:linePitch="360"/>
        </w:sectPr>
      </w:pPr>
      <w:r w:rsidRPr="00DE4A8C">
        <w:rPr>
          <w:rFonts w:cstheme="minorHAnsi"/>
          <w:b/>
          <w:color w:val="000000" w:themeColor="text1"/>
          <w:sz w:val="24"/>
          <w:szCs w:val="24"/>
        </w:rPr>
        <w:t xml:space="preserve">Figure 1: SFM smart-factory architecture and </w:t>
      </w:r>
      <w:r w:rsidR="00E8071E" w:rsidRPr="00DE4A8C">
        <w:rPr>
          <w:rFonts w:cstheme="minorHAnsi"/>
          <w:b/>
          <w:color w:val="000000" w:themeColor="text1"/>
          <w:sz w:val="24"/>
          <w:szCs w:val="24"/>
        </w:rPr>
        <w:t>cyber-attack</w:t>
      </w:r>
      <w:r w:rsidRPr="00DE4A8C">
        <w:rPr>
          <w:rFonts w:cstheme="minorHAnsi"/>
          <w:b/>
          <w:color w:val="000000" w:themeColor="text1"/>
          <w:sz w:val="24"/>
          <w:szCs w:val="24"/>
        </w:rPr>
        <w:t xml:space="preserve"> surface</w:t>
      </w:r>
    </w:p>
    <w:p w:rsidR="00A9209A" w:rsidRPr="00A9209A" w:rsidRDefault="00A9209A" w:rsidP="00A9209A">
      <w:pPr>
        <w:pStyle w:val="Heading1"/>
        <w:numPr>
          <w:ilvl w:val="0"/>
          <w:numId w:val="1"/>
        </w:numPr>
        <w:spacing w:line="360" w:lineRule="auto"/>
        <w:jc w:val="both"/>
        <w:rPr>
          <w:rFonts w:asciiTheme="minorHAnsi" w:hAnsiTheme="minorHAnsi" w:cstheme="minorHAnsi"/>
          <w:b/>
          <w:color w:val="000000" w:themeColor="text1"/>
          <w:sz w:val="24"/>
          <w:szCs w:val="24"/>
        </w:rPr>
      </w:pPr>
      <w:bookmarkStart w:id="2" w:name="_Toc235665392"/>
      <w:r w:rsidRPr="00A9209A">
        <w:rPr>
          <w:rFonts w:asciiTheme="minorHAnsi" w:hAnsiTheme="minorHAnsi" w:cstheme="minorHAnsi"/>
          <w:b/>
          <w:color w:val="000000" w:themeColor="text1"/>
          <w:sz w:val="24"/>
          <w:szCs w:val="24"/>
        </w:rPr>
        <w:lastRenderedPageBreak/>
        <w:t>Task</w:t>
      </w:r>
      <w:bookmarkEnd w:id="2"/>
    </w:p>
    <w:p w:rsidR="00A9209A" w:rsidRPr="00A9209A" w:rsidRDefault="00A9209A" w:rsidP="00A9209A">
      <w:pPr>
        <w:pStyle w:val="Heading2"/>
        <w:spacing w:line="360" w:lineRule="auto"/>
        <w:jc w:val="both"/>
        <w:rPr>
          <w:rFonts w:asciiTheme="minorHAnsi" w:hAnsiTheme="minorHAnsi" w:cstheme="minorHAnsi"/>
          <w:b/>
          <w:color w:val="000000" w:themeColor="text1"/>
          <w:sz w:val="24"/>
          <w:szCs w:val="24"/>
        </w:rPr>
      </w:pPr>
      <w:bookmarkStart w:id="3" w:name="_Toc235665393"/>
      <w:r w:rsidRPr="00A9209A">
        <w:rPr>
          <w:rFonts w:asciiTheme="minorHAnsi" w:hAnsiTheme="minorHAnsi" w:cstheme="minorHAnsi"/>
          <w:b/>
          <w:color w:val="000000" w:themeColor="text1"/>
          <w:sz w:val="24"/>
          <w:szCs w:val="24"/>
        </w:rPr>
        <w:t>2.1. Identification of Modern Threats</w:t>
      </w:r>
      <w:bookmarkEnd w:id="3"/>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A clear understanding of the threat landscape is the foundation of any security strategy. Threats to SFM are grouped into external threats, from outside the organi</w:t>
      </w:r>
      <w:r w:rsidR="009961D5">
        <w:rPr>
          <w:rFonts w:cstheme="minorHAnsi"/>
          <w:color w:val="000000" w:themeColor="text1"/>
          <w:sz w:val="24"/>
          <w:szCs w:val="24"/>
        </w:rPr>
        <w:t>s</w:t>
      </w:r>
      <w:r w:rsidRPr="00A9209A">
        <w:rPr>
          <w:rFonts w:cstheme="minorHAnsi"/>
          <w:color w:val="000000" w:themeColor="text1"/>
          <w:sz w:val="24"/>
          <w:szCs w:val="24"/>
        </w:rPr>
        <w:t>ation, and internal threats, from people or systems inside it, and each is assessed against the CIA triad of confidentiality, integrity and availability</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{"citationID":"YXXkkqjo","properties":{"unsorted":false,"formattedCitation":"[5]","plainCitation":"[5]","noteIndex":0},"citationItems":[{"id":20511,"uris":["http://zotero.org/users/14203622/items/XYBUHTL2"],"itemData":{"id":20511,"type":"webpage","abstract":"Learn from cybersecurity experts what a typical day in a cybersecurity career might look like and discover how modern threats drive more cybersecurity jobs.","language":"en-US","title":"Cybersecurity Essentials","URL":"https://www.netacad.com/courses/cybersecurity-essentials?courseLang=en-US","author":[{"literal":"Cisco Networking Academy"}],"accessed":{"date-parts":[["2026",7,23]]},"issued":{"date-parts":[["2026"]]}}}],"schema":"https://github.com/citation-style-language/schema/raw/master/csl-citation.json"}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[5]</w:t>
      </w:r>
      <w:r w:rsidR="009961D5">
        <w:rPr>
          <w:rFonts w:cstheme="minorHAnsi"/>
          <w:color w:val="000000" w:themeColor="text1"/>
          <w:sz w:val="24"/>
          <w:szCs w:val="24"/>
        </w:rPr>
        <w:fldChar w:fldCharType="end"/>
      </w:r>
      <w:r w:rsidRPr="00A9209A">
        <w:rPr>
          <w:rFonts w:cstheme="minorHAnsi"/>
          <w:color w:val="000000" w:themeColor="text1"/>
          <w:sz w:val="24"/>
          <w:szCs w:val="24"/>
        </w:rPr>
        <w:t>.</w:t>
      </w:r>
    </w:p>
    <w:p w:rsid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The most pressing external threat is ransomware, which is now widely sold through Ransomware-as-a-Service (</w:t>
      </w:r>
      <w:proofErr w:type="spellStart"/>
      <w:r w:rsidRPr="00A9209A">
        <w:rPr>
          <w:rFonts w:cstheme="minorHAnsi"/>
          <w:color w:val="000000" w:themeColor="text1"/>
          <w:sz w:val="24"/>
          <w:szCs w:val="24"/>
        </w:rPr>
        <w:t>RaaS</w:t>
      </w:r>
      <w:proofErr w:type="spellEnd"/>
      <w:r w:rsidRPr="00A9209A">
        <w:rPr>
          <w:rFonts w:cstheme="minorHAnsi"/>
          <w:color w:val="000000" w:themeColor="text1"/>
          <w:sz w:val="24"/>
          <w:szCs w:val="24"/>
        </w:rPr>
        <w:t>) models that let low-skilled criminals rent ready-made attack tools</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{"citationID":"IDDJyNF7","properties":{"unsorted":false,"formattedCitation":"[6], [7]","plainCitation":"[6], [7]","noteIndex":0},"citationItems":[{"id":20499,"uris":["http://zotero.org/users/14203622/items/ECY3ZGLI"],"itemData":{"id":20499,"type":"webpage","abstract":"Read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id":20520,"uris":["http://zotero.org/users/14203622/items/TPTLRVWG"],"itemData":{"id":20520,"type":"article-journal","abstract":"The manifold rise in ransomware attacks noted highest in 2023 posing a serious trepidation for cyber professionals to be active watchdogs of the early detection techniques. Ransomware is a type of malware often used to encrypt the confidential user files and network and demanding a hefty ransome to decrypt it. The emergence of modern day technologies like artificial intelligence making it unchallenging for the novice attackers to use service platform such as RaaS to conduct the ransomware attack and victimize gullible individuals and organisations often demanding ransom in millions and billions. There exists the need to mitigate strategies using frameworks to combat such threats like deep learning which uses neural network to process and learn new information and train models on preprocessed data. The paper delves into providing the literature review on ransomware detection using deep learning techniques.","container-title":"Cyber Security and Applications","DOI":"10.1016/j.csa.2024.100078","ISSN":"2772-9184","journalAbbreviation":"Cyber Security and Applications","page":"100078","source":"ScienceDirect","title":"A comprehensive literature review on ransomware detection using deep learning","volume":"3","author":[{"family":"Kritika","given":"Er."}],"issued":{"date-parts":[["2025",12,1]]}}}],"schema":"https://github.com/citation-style-language/schema/raw/master/csl-citation.json"}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[6], [7]</w:t>
      </w:r>
      <w:r w:rsidR="009961D5">
        <w:rPr>
          <w:rFonts w:cstheme="minorHAnsi"/>
          <w:color w:val="000000" w:themeColor="text1"/>
          <w:sz w:val="24"/>
          <w:szCs w:val="24"/>
        </w:rPr>
        <w:fldChar w:fldCharType="end"/>
      </w:r>
      <w:r w:rsidRPr="00A9209A">
        <w:rPr>
          <w:rFonts w:cstheme="minorHAnsi"/>
          <w:color w:val="000000" w:themeColor="text1"/>
          <w:sz w:val="24"/>
          <w:szCs w:val="24"/>
        </w:rPr>
        <w:t xml:space="preserve">. This risk is </w:t>
      </w:r>
      <w:r w:rsidRPr="009961D5">
        <w:rPr>
          <w:rFonts w:cstheme="minorHAnsi"/>
          <w:color w:val="000000" w:themeColor="text1"/>
          <w:sz w:val="24"/>
          <w:szCs w:val="24"/>
        </w:rPr>
        <w:t xml:space="preserve">not hypothetical. In 2019, the aluminium producer </w:t>
      </w:r>
      <w:proofErr w:type="spellStart"/>
      <w:r w:rsidRPr="009961D5">
        <w:rPr>
          <w:rFonts w:cstheme="minorHAnsi"/>
          <w:color w:val="000000" w:themeColor="text1"/>
          <w:sz w:val="24"/>
          <w:szCs w:val="24"/>
        </w:rPr>
        <w:t>Norsk</w:t>
      </w:r>
      <w:proofErr w:type="spellEnd"/>
      <w:r w:rsidRPr="009961D5">
        <w:rPr>
          <w:rFonts w:cstheme="minorHAnsi"/>
          <w:color w:val="000000" w:themeColor="text1"/>
          <w:sz w:val="24"/>
          <w:szCs w:val="24"/>
        </w:rPr>
        <w:t xml:space="preserve"> Hydro became the victim of a </w:t>
      </w:r>
      <w:proofErr w:type="spellStart"/>
      <w:r w:rsidRPr="009961D5">
        <w:rPr>
          <w:rFonts w:cstheme="minorHAnsi"/>
          <w:color w:val="000000" w:themeColor="text1"/>
          <w:sz w:val="24"/>
          <w:szCs w:val="24"/>
        </w:rPr>
        <w:t>LockerGoga</w:t>
      </w:r>
      <w:proofErr w:type="spellEnd"/>
      <w:r w:rsidRPr="009961D5">
        <w:rPr>
          <w:rFonts w:cstheme="minorHAnsi"/>
          <w:color w:val="000000" w:themeColor="text1"/>
          <w:sz w:val="24"/>
          <w:szCs w:val="24"/>
        </w:rPr>
        <w:t xml:space="preserve"> ransomware attack, where several plants were unlawfull</w:t>
      </w:r>
      <w:r w:rsidR="009961D5" w:rsidRPr="009961D5">
        <w:rPr>
          <w:rFonts w:cstheme="minorHAnsi"/>
          <w:color w:val="000000" w:themeColor="text1"/>
          <w:sz w:val="24"/>
          <w:szCs w:val="24"/>
        </w:rPr>
        <w:t>y put to manual operation at $</w:t>
      </w:r>
      <w:r w:rsidR="009961D5" w:rsidRPr="009961D5">
        <w:rPr>
          <w:rFonts w:cstheme="minorHAnsi"/>
          <w:color w:val="000000"/>
          <w:sz w:val="24"/>
          <w:szCs w:val="24"/>
          <w:shd w:val="clear" w:color="auto" w:fill="FFFFFF"/>
        </w:rPr>
        <w:t>75</w:t>
      </w:r>
      <w:r w:rsidRPr="009961D5">
        <w:rPr>
          <w:rFonts w:cstheme="minorHAnsi"/>
          <w:color w:val="000000" w:themeColor="text1"/>
          <w:sz w:val="24"/>
          <w:szCs w:val="24"/>
        </w:rPr>
        <w:t xml:space="preserve"> million</w:t>
      </w:r>
      <w:r w:rsidRPr="00A9209A">
        <w:rPr>
          <w:rFonts w:cstheme="minorHAnsi"/>
          <w:color w:val="000000" w:themeColor="text1"/>
          <w:sz w:val="24"/>
          <w:szCs w:val="24"/>
        </w:rPr>
        <w:t xml:space="preserve"> in estimated damages; the company backed up to resume operations and not pay ransom</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{"citationID":"QxMDAxVT","properties":{"unsorted":false,"formattedCitation":"[8]","plainCitation":"[8]","noteIndex":0},"citationItems":[{"id":20523,"uris":["http://zotero.org/users/14203622/items/WEEEBZ7A"],"itemData":{"id":20523,"type":"post-weblog","abstract":"To pay or not to pay: It’s an essential and fraught question in regards to ransomware attacks. When multinational aluminum manufacturer Norsk Hydro was hit with a cyberattack in 2019, they chose not to pay in a response hailed by law enforcement organizations and the information security industry as the “gold standard,” according to a […]","container-title":"Control Engineering","language":"en-US","title":"Throwback Attack: Norsk Hydro gets hit by LockerGoga ransomware","title-short":"Throwback Attack","URL":"https://www.controleng.com/throwback-attack-norsk-hydro-gets-hit-by-lockergoga-ransomware/","author":[{"family":"gcohen","given":""}],"accessed":{"date-parts":[["2026",7,23]]},"issued":{"date-parts":[["2021",5,20]]}}}],"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[8]</w:t>
      </w:r>
      <w:r w:rsidR="009961D5">
        <w:rPr>
          <w:rFonts w:cstheme="minorHAnsi"/>
          <w:color w:val="000000" w:themeColor="text1"/>
          <w:sz w:val="24"/>
          <w:szCs w:val="24"/>
        </w:rPr>
        <w:fldChar w:fldCharType="end"/>
      </w:r>
      <w:r w:rsidRPr="00A9209A">
        <w:rPr>
          <w:rFonts w:cstheme="minorHAnsi"/>
          <w:color w:val="000000" w:themeColor="text1"/>
          <w:sz w:val="24"/>
          <w:szCs w:val="24"/>
        </w:rPr>
        <w:t>. The primary entry vectors are phishing and AI-enabled social engineering, such as Deep Voice Phishing (vishing), and SFM has already witnessed phishing targeting procurement</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{"citationID":"tQiwrGEN","properties":{"unsorted":false,"formattedCitation":"[6]","plainCitation":"[6]","noteIndex":0},"citationItems":[{"id":20499,"uris":["http://zotero.org/users/14203622/items/ECY3ZGLI"],"itemData":{"id":20499,"type":"webpage","abstract":"Read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[6]</w:t>
      </w:r>
      <w:r w:rsidR="009961D5">
        <w:rPr>
          <w:rFonts w:cstheme="minorHAnsi"/>
          <w:color w:val="000000" w:themeColor="text1"/>
          <w:sz w:val="24"/>
          <w:szCs w:val="24"/>
        </w:rPr>
        <w:fldChar w:fldCharType="end"/>
      </w:r>
      <w:r w:rsidRPr="00A9209A">
        <w:rPr>
          <w:rFonts w:cstheme="minorHAnsi"/>
          <w:color w:val="000000" w:themeColor="text1"/>
          <w:sz w:val="24"/>
          <w:szCs w:val="24"/>
        </w:rPr>
        <w:t>. Attackers use internet-facing applications, stolen credentials, and supply chain compromises are growing significantly: involvement of third parties doubles year-on-year</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{"citationID":"ljThY0pp","properties":{"unsorted":false,"formattedCitation":"[2], [6]","plainCitation":"[2], [6]","noteIndex":0},"citationItems":[{"id":20496,"uris":["http://zotero.org/users/14203622/items/7NX65Q43"],"itemData":{"id":20496,"type":"webpage","abstract":"See what the  X-Force Threat Intelligence Index Report 2026 has to say about today's cybersecurity landscape.","language":"en","title":"X-Force Threat Intelligence Index 2026 | IBM","URL":"https://www.ibm.com/reports/threat-intelligence","author":[{"literal":"IBM"}],"accessed":{"date-parts":[["2026",7,23]]},"issued":{"date-parts":[["2026"]]}}},{"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[2], [6]</w:t>
      </w:r>
      <w:r w:rsidR="009961D5">
        <w:rPr>
          <w:rFonts w:cstheme="minorHAnsi"/>
          <w:color w:val="000000" w:themeColor="text1"/>
          <w:sz w:val="24"/>
          <w:szCs w:val="24"/>
        </w:rPr>
        <w:fldChar w:fldCharType="end"/>
      </w:r>
      <w:r w:rsidRPr="00A9209A">
        <w:rPr>
          <w:rFonts w:cstheme="minorHAnsi"/>
          <w:color w:val="000000" w:themeColor="text1"/>
          <w:sz w:val="24"/>
          <w:szCs w:val="24"/>
        </w:rPr>
        <w:t xml:space="preserve">. The migration to cloud services and hybrid working has also further increased the attack surface. Being in an industry that serves the automotive and aerospace industries, threats of industrial espionage and intellectual-property theft are also possible threats. People are the weakest link within the </w:t>
      </w:r>
      <w:r w:rsidR="00906721">
        <w:rPr>
          <w:rFonts w:cstheme="minorHAnsi"/>
          <w:color w:val="000000" w:themeColor="text1"/>
          <w:sz w:val="24"/>
          <w:szCs w:val="24"/>
        </w:rPr>
        <w:t>organisation</w:t>
      </w:r>
      <w:r w:rsidRPr="00A9209A">
        <w:rPr>
          <w:rFonts w:cstheme="minorHAnsi"/>
          <w:color w:val="000000" w:themeColor="text1"/>
          <w:sz w:val="24"/>
          <w:szCs w:val="24"/>
        </w:rPr>
        <w:t xml:space="preserve"> and participate in approximately 60% of breaches</w:t>
      </w:r>
      <w:r w:rsidR="009961D5">
        <w:rPr>
          <w:rFonts w:cstheme="minorHAnsi"/>
          <w:color w:val="000000" w:themeColor="text1"/>
          <w:sz w:val="24"/>
          <w:szCs w:val="24"/>
        </w:rPr>
        <w:t xml:space="preserve"> </w:t>
      </w:r>
      <w:r w:rsidR="009961D5">
        <w:rPr>
          <w:rFonts w:cstheme="minorHAnsi"/>
          <w:color w:val="000000" w:themeColor="text1"/>
          <w:sz w:val="24"/>
          <w:szCs w:val="24"/>
        </w:rPr>
        <w:fldChar w:fldCharType="begin"/>
      </w:r>
      <w:r w:rsidR="009961D5">
        <w:rPr>
          <w:rFonts w:cstheme="minorHAnsi"/>
          <w:color w:val="000000" w:themeColor="text1"/>
          <w:sz w:val="24"/>
          <w:szCs w:val="24"/>
        </w:rPr>
        <w:instrText xml:space="preserve"> ADDIN ZOTERO_ITEM CSL_CITATION {"citationID":"42cX7HGd","properties":{"unsorted":false,"formattedCitation":"[6]","plainCitation":"[6]","noteIndex":0},"citationItems":[{"id":20499,"uris":["http://zotero.org/users/14203622/items/ECY3ZGLI"],"itemData":{"id":20499,"type":"webpage","abstract":"Read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(DBIR)","URL":"https://www.verizon.com/business/resources/reports/dbir/","author":[{"literal":"Verizon"}],"accessed":{"date-parts":[["2026",7,23]]},"issued":{"date-parts":[["2026"]]}}}],"schema":"https://github.com/citation-style-language/schema/raw/master/csl-citation.json"} </w:instrText>
      </w:r>
      <w:r w:rsidR="009961D5">
        <w:rPr>
          <w:rFonts w:cstheme="minorHAnsi"/>
          <w:color w:val="000000" w:themeColor="text1"/>
          <w:sz w:val="24"/>
          <w:szCs w:val="24"/>
        </w:rPr>
        <w:fldChar w:fldCharType="separate"/>
      </w:r>
      <w:r w:rsidR="009961D5" w:rsidRPr="009961D5">
        <w:rPr>
          <w:rFonts w:ascii="Calibri" w:hAnsi="Calibri" w:cs="Calibri"/>
          <w:sz w:val="24"/>
        </w:rPr>
        <w:t>[6]</w:t>
      </w:r>
      <w:r w:rsidR="009961D5">
        <w:rPr>
          <w:rFonts w:cstheme="minorHAnsi"/>
          <w:color w:val="000000" w:themeColor="text1"/>
          <w:sz w:val="24"/>
          <w:szCs w:val="24"/>
        </w:rPr>
        <w:fldChar w:fldCharType="end"/>
      </w:r>
      <w:r w:rsidRPr="00A9209A">
        <w:rPr>
          <w:rFonts w:cstheme="minorHAnsi"/>
          <w:color w:val="000000" w:themeColor="text1"/>
          <w:sz w:val="24"/>
          <w:szCs w:val="24"/>
        </w:rPr>
        <w:t xml:space="preserve">. Staff members can be caught by phishing </w:t>
      </w:r>
      <w:proofErr w:type="gramStart"/>
      <w:r w:rsidRPr="00A9209A">
        <w:rPr>
          <w:rFonts w:cstheme="minorHAnsi"/>
          <w:color w:val="000000" w:themeColor="text1"/>
          <w:sz w:val="24"/>
          <w:szCs w:val="24"/>
        </w:rPr>
        <w:t>scams</w:t>
      </w:r>
      <w:proofErr w:type="gramEnd"/>
      <w:r w:rsidRPr="00A9209A">
        <w:rPr>
          <w:rFonts w:cstheme="minorHAnsi"/>
          <w:color w:val="000000" w:themeColor="text1"/>
          <w:sz w:val="24"/>
          <w:szCs w:val="24"/>
        </w:rPr>
        <w:t xml:space="preserve"> and use weak passwords, and malicious inside users with access to expensive plans are a persistent threat. </w:t>
      </w:r>
      <w:r w:rsidR="00906721">
        <w:rPr>
          <w:rFonts w:cstheme="minorHAnsi"/>
          <w:color w:val="000000" w:themeColor="text1"/>
          <w:sz w:val="24"/>
          <w:szCs w:val="24"/>
        </w:rPr>
        <w:t>Unauthorised</w:t>
      </w:r>
      <w:r w:rsidRPr="00A9209A">
        <w:rPr>
          <w:rFonts w:cstheme="minorHAnsi"/>
          <w:color w:val="000000" w:themeColor="text1"/>
          <w:sz w:val="24"/>
          <w:szCs w:val="24"/>
        </w:rPr>
        <w:t xml:space="preserve"> shadow IT and shadow AI result in uncontrolled data transfer, and SFM's all-in-one IT/OT network </w:t>
      </w:r>
      <w:proofErr w:type="gramStart"/>
      <w:r w:rsidRPr="00A9209A">
        <w:rPr>
          <w:rFonts w:cstheme="minorHAnsi"/>
          <w:color w:val="000000" w:themeColor="text1"/>
          <w:sz w:val="24"/>
          <w:szCs w:val="24"/>
        </w:rPr>
        <w:t>is also</w:t>
      </w:r>
      <w:proofErr w:type="gramEnd"/>
      <w:r w:rsidRPr="00A9209A">
        <w:rPr>
          <w:rFonts w:cstheme="minorHAnsi"/>
          <w:color w:val="000000" w:themeColor="text1"/>
          <w:sz w:val="24"/>
          <w:szCs w:val="24"/>
        </w:rPr>
        <w:t xml:space="preserve"> brittle. Often, legacy programmable logic controllers (PLCs) are not patchable, there are flat networks from which lateral movement </w:t>
      </w:r>
      <w:proofErr w:type="gramStart"/>
      <w:r w:rsidRPr="00A9209A">
        <w:rPr>
          <w:rFonts w:cstheme="minorHAnsi"/>
          <w:color w:val="000000" w:themeColor="text1"/>
          <w:sz w:val="24"/>
          <w:szCs w:val="24"/>
        </w:rPr>
        <w:t>can be made</w:t>
      </w:r>
      <w:proofErr w:type="gramEnd"/>
      <w:r w:rsidRPr="00A9209A">
        <w:rPr>
          <w:rFonts w:cstheme="minorHAnsi"/>
          <w:color w:val="000000" w:themeColor="text1"/>
          <w:sz w:val="24"/>
          <w:szCs w:val="24"/>
        </w:rPr>
        <w:t xml:space="preserve">, and </w:t>
      </w:r>
      <w:proofErr w:type="spellStart"/>
      <w:r w:rsidRPr="00A9209A">
        <w:rPr>
          <w:rFonts w:cstheme="minorHAnsi"/>
          <w:color w:val="000000" w:themeColor="text1"/>
          <w:sz w:val="24"/>
          <w:szCs w:val="24"/>
        </w:rPr>
        <w:t>IoT</w:t>
      </w:r>
      <w:proofErr w:type="spellEnd"/>
      <w:r w:rsidRPr="00A9209A">
        <w:rPr>
          <w:rFonts w:cstheme="minorHAnsi"/>
          <w:color w:val="000000" w:themeColor="text1"/>
          <w:sz w:val="24"/>
          <w:szCs w:val="24"/>
        </w:rPr>
        <w:t xml:space="preserve"> devices come with the low-level default credentials. Table I </w:t>
      </w:r>
      <w:r w:rsidR="00906721">
        <w:rPr>
          <w:rFonts w:cstheme="minorHAnsi"/>
          <w:color w:val="000000" w:themeColor="text1"/>
          <w:sz w:val="24"/>
          <w:szCs w:val="24"/>
        </w:rPr>
        <w:t>summarises</w:t>
      </w:r>
      <w:r w:rsidRPr="00A9209A">
        <w:rPr>
          <w:rFonts w:cstheme="minorHAnsi"/>
          <w:color w:val="000000" w:themeColor="text1"/>
          <w:sz w:val="24"/>
          <w:szCs w:val="24"/>
        </w:rPr>
        <w:t xml:space="preserve"> the main threats. The financial and operational effects of incidents can be significant: loss or reduction of production, contractual penalties and reputational damage to automotive and aerospace clients, including in excess of the ransom demand. Since the threats vary by their likelihood of occurring, SFM should consider ransomware, phishing, and insecure OT devices as top priorities (Table I).</w:t>
      </w:r>
    </w:p>
    <w:p w:rsidR="00625FA7" w:rsidRPr="00A9209A" w:rsidRDefault="00625FA7" w:rsidP="00A9209A">
      <w:pPr>
        <w:spacing w:line="360" w:lineRule="auto"/>
        <w:jc w:val="both"/>
        <w:rPr>
          <w:rFonts w:cstheme="minorHAnsi"/>
          <w:color w:val="000000" w:themeColor="text1"/>
          <w:sz w:val="24"/>
          <w:szCs w:val="24"/>
        </w:rPr>
      </w:pPr>
    </w:p>
    <w:p w:rsidR="00A9209A" w:rsidRPr="00A9209A" w:rsidRDefault="00E8071E" w:rsidP="00E8071E">
      <w:pPr>
        <w:spacing w:before="120" w:after="40" w:line="360" w:lineRule="auto"/>
        <w:jc w:val="center"/>
        <w:rPr>
          <w:rFonts w:cstheme="minorHAnsi"/>
          <w:color w:val="000000" w:themeColor="text1"/>
          <w:sz w:val="24"/>
          <w:szCs w:val="24"/>
        </w:rPr>
      </w:pPr>
      <w:r>
        <w:rPr>
          <w:rFonts w:cstheme="minorHAnsi"/>
          <w:b/>
          <w:i/>
          <w:color w:val="000000" w:themeColor="text1"/>
          <w:sz w:val="24"/>
          <w:szCs w:val="24"/>
        </w:rPr>
        <w:lastRenderedPageBreak/>
        <w:t>Table I:</w:t>
      </w:r>
      <w:r w:rsidR="00A9209A" w:rsidRPr="00A9209A">
        <w:rPr>
          <w:rFonts w:cstheme="minorHAnsi"/>
          <w:b/>
          <w:i/>
          <w:color w:val="000000" w:themeColor="text1"/>
          <w:sz w:val="24"/>
          <w:szCs w:val="24"/>
        </w:rPr>
        <w:t xml:space="preserve"> </w:t>
      </w:r>
      <w:proofErr w:type="spellStart"/>
      <w:r w:rsidR="00A9209A" w:rsidRPr="00A9209A">
        <w:rPr>
          <w:rFonts w:cstheme="minorHAnsi"/>
          <w:b/>
          <w:i/>
          <w:color w:val="000000" w:themeColor="text1"/>
          <w:sz w:val="24"/>
          <w:szCs w:val="24"/>
        </w:rPr>
        <w:t>SteelForm</w:t>
      </w:r>
      <w:proofErr w:type="spellEnd"/>
      <w:r w:rsidR="00A9209A" w:rsidRPr="00A9209A">
        <w:rPr>
          <w:rFonts w:cstheme="minorHAnsi"/>
          <w:b/>
          <w:i/>
          <w:color w:val="000000" w:themeColor="text1"/>
          <w:sz w:val="24"/>
          <w:szCs w:val="24"/>
        </w:rPr>
        <w:t xml:space="preserve"> Manufacturing threat register (summary).</w:t>
      </w:r>
    </w:p>
    <w:tbl>
      <w:tblPr>
        <w:tblStyle w:val="GridTable1Light-Accent1"/>
        <w:tblW w:w="0" w:type="auto"/>
        <w:tblLook w:val="04A0" w:firstRow="1" w:lastRow="0" w:firstColumn="1" w:lastColumn="0" w:noHBand="0" w:noVBand="1"/>
      </w:tblPr>
      <w:tblGrid>
        <w:gridCol w:w="3119"/>
        <w:gridCol w:w="1134"/>
        <w:gridCol w:w="2126"/>
        <w:gridCol w:w="2405"/>
      </w:tblGrid>
      <w:tr w:rsidR="00A9209A" w:rsidRPr="00A9209A" w:rsidTr="00E807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12" w:space="0" w:color="2E74B5"/>
              <w:bottom w:val="single" w:sz="12" w:space="0" w:color="2E74B5"/>
            </w:tcBorders>
          </w:tcPr>
          <w:p w:rsidR="00A9209A" w:rsidRPr="00E8071E" w:rsidRDefault="00A9209A" w:rsidP="00A9209A">
            <w:pPr>
              <w:spacing w:line="360" w:lineRule="auto"/>
              <w:jc w:val="both"/>
              <w:rPr>
                <w:rFonts w:cstheme="minorHAnsi"/>
                <w:color w:val="2E74B5" w:themeColor="accent1" w:themeShade="BF"/>
                <w:sz w:val="24"/>
                <w:szCs w:val="24"/>
              </w:rPr>
            </w:pPr>
            <w:r w:rsidRPr="00E8071E">
              <w:rPr>
                <w:rFonts w:cstheme="minorHAnsi"/>
                <w:color w:val="2E74B5" w:themeColor="accent1" w:themeShade="BF"/>
                <w:sz w:val="24"/>
                <w:szCs w:val="24"/>
              </w:rPr>
              <w:t>Threat</w:t>
            </w:r>
          </w:p>
        </w:tc>
        <w:tc>
          <w:tcPr>
            <w:tcW w:w="1134" w:type="dxa"/>
            <w:tcBorders>
              <w:top w:val="single" w:sz="12" w:space="0" w:color="2E74B5"/>
              <w:bottom w:val="single" w:sz="12" w:space="0" w:color="2E74B5"/>
            </w:tcBorders>
          </w:tcPr>
          <w:p w:rsidR="00A9209A" w:rsidRPr="00E8071E"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E8071E">
              <w:rPr>
                <w:rFonts w:cstheme="minorHAnsi"/>
                <w:color w:val="2E74B5" w:themeColor="accent1" w:themeShade="BF"/>
                <w:sz w:val="24"/>
                <w:szCs w:val="24"/>
              </w:rPr>
              <w:t>Type</w:t>
            </w:r>
          </w:p>
        </w:tc>
        <w:tc>
          <w:tcPr>
            <w:tcW w:w="2126" w:type="dxa"/>
            <w:tcBorders>
              <w:top w:val="single" w:sz="12" w:space="0" w:color="2E74B5"/>
              <w:bottom w:val="single" w:sz="12" w:space="0" w:color="2E74B5"/>
            </w:tcBorders>
          </w:tcPr>
          <w:p w:rsidR="00A9209A" w:rsidRPr="00E8071E"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E8071E">
              <w:rPr>
                <w:rFonts w:cstheme="minorHAnsi"/>
                <w:color w:val="2E74B5" w:themeColor="accent1" w:themeShade="BF"/>
                <w:sz w:val="24"/>
                <w:szCs w:val="24"/>
              </w:rPr>
              <w:t>Primary CIA impact</w:t>
            </w:r>
          </w:p>
        </w:tc>
        <w:tc>
          <w:tcPr>
            <w:tcW w:w="2405" w:type="dxa"/>
            <w:tcBorders>
              <w:top w:val="single" w:sz="12" w:space="0" w:color="2E74B5"/>
              <w:bottom w:val="single" w:sz="12" w:space="0" w:color="2E74B5"/>
            </w:tcBorders>
          </w:tcPr>
          <w:p w:rsidR="00A9209A" w:rsidRPr="00E8071E"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E8071E">
              <w:rPr>
                <w:rFonts w:cstheme="minorHAnsi"/>
                <w:color w:val="2E74B5" w:themeColor="accent1" w:themeShade="BF"/>
                <w:sz w:val="24"/>
                <w:szCs w:val="24"/>
              </w:rPr>
              <w:t>Likelihood / Impact</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Borders>
              <w:top w:val="single" w:sz="12" w:space="0" w:color="2E74B5"/>
            </w:tcBorders>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 xml:space="preserve">Ransomware / </w:t>
            </w:r>
            <w:proofErr w:type="spellStart"/>
            <w:r w:rsidRPr="00E8071E">
              <w:rPr>
                <w:rFonts w:cstheme="minorHAnsi"/>
                <w:b w:val="0"/>
                <w:color w:val="000000" w:themeColor="text1"/>
                <w:szCs w:val="24"/>
              </w:rPr>
              <w:t>RaaS</w:t>
            </w:r>
            <w:proofErr w:type="spellEnd"/>
            <w:r w:rsidRPr="00E8071E">
              <w:rPr>
                <w:rFonts w:cstheme="minorHAnsi"/>
                <w:b w:val="0"/>
                <w:color w:val="000000" w:themeColor="text1"/>
                <w:szCs w:val="24"/>
              </w:rPr>
              <w:t xml:space="preserve"> on IT and OT</w:t>
            </w:r>
          </w:p>
        </w:tc>
        <w:tc>
          <w:tcPr>
            <w:tcW w:w="1134" w:type="dxa"/>
            <w:tcBorders>
              <w:top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External</w:t>
            </w:r>
          </w:p>
        </w:tc>
        <w:tc>
          <w:tcPr>
            <w:tcW w:w="2126" w:type="dxa"/>
            <w:tcBorders>
              <w:top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Availability, Integrity</w:t>
            </w:r>
          </w:p>
        </w:tc>
        <w:tc>
          <w:tcPr>
            <w:tcW w:w="2405" w:type="dxa"/>
            <w:tcBorders>
              <w:top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High / Critical</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Phishing &amp; AI-powered vishing (procurement)</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External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Confidentiality</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High / High</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Exploitation of internet-facing apps / stolen credentials</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External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Confidentiality, Integrity</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High / High</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Supply-chain / third-party compromise</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External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All three</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Medium / High</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Cloud and hybrid-work exposure</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External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Confidentiality</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Medium / High</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Industrial espionage / IP theft</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External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Confidentiality</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Medium / Critical</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 xml:space="preserve">Insecure </w:t>
            </w:r>
            <w:proofErr w:type="spellStart"/>
            <w:r w:rsidRPr="00E8071E">
              <w:rPr>
                <w:rFonts w:cstheme="minorHAnsi"/>
                <w:b w:val="0"/>
                <w:color w:val="000000" w:themeColor="text1"/>
                <w:szCs w:val="24"/>
              </w:rPr>
              <w:t>IoT</w:t>
            </w:r>
            <w:proofErr w:type="spellEnd"/>
            <w:r w:rsidRPr="00E8071E">
              <w:rPr>
                <w:rFonts w:cstheme="minorHAnsi"/>
                <w:b w:val="0"/>
                <w:color w:val="000000" w:themeColor="text1"/>
                <w:szCs w:val="24"/>
              </w:rPr>
              <w:t xml:space="preserve"> / legacy OT devices</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Internal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Availability, Integrity</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High / High</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Negligent staff / weak passwords</w:t>
            </w:r>
          </w:p>
        </w:tc>
        <w:tc>
          <w:tcPr>
            <w:tcW w:w="1134"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Internal</w:t>
            </w:r>
          </w:p>
        </w:tc>
        <w:tc>
          <w:tcPr>
            <w:tcW w:w="2126"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All three</w:t>
            </w:r>
          </w:p>
        </w:tc>
        <w:tc>
          <w:tcPr>
            <w:tcW w:w="2405"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High / High</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3119" w:type="dxa"/>
            <w:tcBorders>
              <w:bottom w:val="single" w:sz="12" w:space="0" w:color="2E74B5"/>
            </w:tcBorders>
          </w:tcPr>
          <w:p w:rsidR="00A9209A" w:rsidRPr="00E8071E" w:rsidRDefault="00A9209A" w:rsidP="00A9209A">
            <w:pPr>
              <w:spacing w:line="360" w:lineRule="auto"/>
              <w:jc w:val="both"/>
              <w:rPr>
                <w:rFonts w:cstheme="minorHAnsi"/>
                <w:b w:val="0"/>
                <w:color w:val="000000" w:themeColor="text1"/>
                <w:szCs w:val="24"/>
              </w:rPr>
            </w:pPr>
            <w:r w:rsidRPr="00E8071E">
              <w:rPr>
                <w:rFonts w:cstheme="minorHAnsi"/>
                <w:b w:val="0"/>
                <w:color w:val="000000" w:themeColor="text1"/>
                <w:szCs w:val="24"/>
              </w:rPr>
              <w:t>Malicious insider; shadow IT / shadow AI</w:t>
            </w:r>
          </w:p>
        </w:tc>
        <w:tc>
          <w:tcPr>
            <w:tcW w:w="1134" w:type="dxa"/>
            <w:tcBorders>
              <w:bottom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Internal</w:t>
            </w:r>
          </w:p>
        </w:tc>
        <w:tc>
          <w:tcPr>
            <w:tcW w:w="2126" w:type="dxa"/>
            <w:tcBorders>
              <w:bottom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Confidentiality</w:t>
            </w:r>
          </w:p>
        </w:tc>
        <w:tc>
          <w:tcPr>
            <w:tcW w:w="2405" w:type="dxa"/>
            <w:tcBorders>
              <w:bottom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Low–Med / Critical</w:t>
            </w:r>
          </w:p>
        </w:tc>
      </w:tr>
    </w:tbl>
    <w:p w:rsidR="00E8071E" w:rsidRDefault="00E8071E" w:rsidP="00E8071E"/>
    <w:p w:rsidR="00A9209A" w:rsidRPr="00A9209A" w:rsidRDefault="00A9209A" w:rsidP="00A9209A">
      <w:pPr>
        <w:pStyle w:val="Heading2"/>
        <w:spacing w:line="360" w:lineRule="auto"/>
        <w:jc w:val="both"/>
        <w:rPr>
          <w:rFonts w:asciiTheme="minorHAnsi" w:hAnsiTheme="minorHAnsi" w:cstheme="minorHAnsi"/>
          <w:b/>
          <w:color w:val="000000" w:themeColor="text1"/>
          <w:sz w:val="24"/>
          <w:szCs w:val="24"/>
        </w:rPr>
      </w:pPr>
      <w:bookmarkStart w:id="4" w:name="_Toc235665394"/>
      <w:r w:rsidRPr="00A9209A">
        <w:rPr>
          <w:rFonts w:asciiTheme="minorHAnsi" w:hAnsiTheme="minorHAnsi" w:cstheme="minorHAnsi"/>
          <w:b/>
          <w:color w:val="000000" w:themeColor="text1"/>
          <w:sz w:val="24"/>
          <w:szCs w:val="24"/>
        </w:rPr>
        <w:t>2.2. Modern Security Policies</w:t>
      </w:r>
      <w:bookmarkEnd w:id="4"/>
    </w:p>
    <w:p w:rsidR="00E8071E"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SFM should manage security through an Information Security Management System (ISMS) aligned with ISO/IEC 27001:2022, the international standard that provides a risk-based framework and 93 Annex A controls across four themes: organisational, people, physical and technological</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{"citationID":"bXEEK874","properties":{"unsorted":false,"formattedCitation":"[9]","plainCitation":"[9]","noteIndex":0},"citationItems":[{"id":20503,"uris":["http://zotero.org/users/14203622/items/Y3XI9HF5"],"itemData":{"id":20503,"type":"webpage","abstract":"Information security, cybersecurity and privacy protection — Information security management systems — Requirements","container-title":"International Organization for Standardization","language":"en","title":"ISO/IEC 27001:2022","title-short":"ISO/IEC 27001","URL":"https://www.iso.org/standard/27001","author":[{"literal":"ISO"}],"accessed":{"date-parts":[["2026",7,23]]},"issued":{"date-parts":[["2022"]]}}}],"schema":"https://github.com/citation-style-language/schema/raw/master/csl-citation.json"}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[9]</w:t>
      </w:r>
      <w:r w:rsidR="00625FA7">
        <w:rPr>
          <w:rFonts w:cstheme="minorHAnsi"/>
          <w:color w:val="000000" w:themeColor="text1"/>
          <w:sz w:val="24"/>
          <w:szCs w:val="24"/>
        </w:rPr>
        <w:fldChar w:fldCharType="end"/>
      </w:r>
      <w:r w:rsidRPr="00A9209A">
        <w:rPr>
          <w:rFonts w:cstheme="minorHAnsi"/>
          <w:color w:val="000000" w:themeColor="text1"/>
          <w:sz w:val="24"/>
          <w:szCs w:val="24"/>
        </w:rPr>
        <w:t>. The ISMS should be governed based on the six functions of the NIST Cybersecurity Framework 2.0: Govern, Identify, Protect, Detect, Respond and Recover with explicit governance and supply-chain expectations</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{"citationID":"Zv4FTLD3","properties":{"unsorted":false,"formattedCitation":"[10]","plainCitation":"[10]","noteIndex":0},"citationItems":[{"id":20505,"uris":["http://zotero.org/users/14203622/items/TA7ANNIE"],"itemData":{"id":20505,"type":"article-journal","abstract":"The NIST Cybersecurity Framework (CSF) 2.0 provides guidance to industry, government agencies, and other organizations to manage cybersecurity risks.","container-title":"NIST","language":"en","note":"Last Modified: 2024-02-26T15:02-05:00","publisher":"Cherilyn Pascoe, Stephen Quinn, Karen Scarfone","source":"www.nist.gov","title":"The NIST Cybersecurity Framework (CSF) 2.0","URL":"https://www.nist.gov/publications/nist-cybersecurity-framework-csf-20","author":[{"family":"Pascoe","given":"Cherilyn"},{"family":"Quinn","given":"Stephen"},{"family":"Scarfone","given":"Karen"}],"accessed":{"date-parts":[["2026",7,23]]},"issued":{"date-parts":[["2024",2,26]]}}}],"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[10]</w:t>
      </w:r>
      <w:r w:rsidR="00625FA7">
        <w:rPr>
          <w:rFonts w:cstheme="minorHAnsi"/>
          <w:color w:val="000000" w:themeColor="text1"/>
          <w:sz w:val="24"/>
          <w:szCs w:val="24"/>
        </w:rPr>
        <w:fldChar w:fldCharType="end"/>
      </w:r>
      <w:r w:rsidRPr="00A9209A">
        <w:rPr>
          <w:rFonts w:cstheme="minorHAnsi"/>
          <w:color w:val="000000" w:themeColor="text1"/>
          <w:sz w:val="24"/>
          <w:szCs w:val="24"/>
        </w:rPr>
        <w:t xml:space="preserve">. Importantly, the policies should be based on Zero Trust, which adopts the principle that no user or device should be trusted by default, and requests verification of </w:t>
      </w:r>
      <w:proofErr w:type="gramStart"/>
      <w:r w:rsidRPr="00A9209A">
        <w:rPr>
          <w:rFonts w:cstheme="minorHAnsi"/>
          <w:color w:val="000000" w:themeColor="text1"/>
          <w:sz w:val="24"/>
          <w:szCs w:val="24"/>
        </w:rPr>
        <w:t>each and every</w:t>
      </w:r>
      <w:proofErr w:type="gramEnd"/>
      <w:r w:rsidRPr="00A9209A">
        <w:rPr>
          <w:rFonts w:cstheme="minorHAnsi"/>
          <w:color w:val="000000" w:themeColor="text1"/>
          <w:sz w:val="24"/>
          <w:szCs w:val="24"/>
        </w:rPr>
        <w:t xml:space="preserve"> access request from anywhere. Importantly, the policies should be based on Zero Trust, which is defined by the principle that nobody and nothing is trusted by default, and requests verification of every access request from anywhere</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{"citationID":"JvuJ1hbf","properties":{"unsorted":false,"formattedCitation":"[11]","plainCitation":"[11]","noteIndex":0},"citationItems":[{"id":20513,"uris":["http://zotero.org/users/14203622/items/4V3CYPAF"],"itemData":{"id":20513,"type":"webpage","abstract":"Guidance on how organisations can protect themselves in cyberspace.","language":"en","title":"10 Steps to Cyber Security | National Cyber Security Centre","URL":"https://www.ncsc.gov.uk/collection/10-steps","author":[{"literal":"National Cyber Security Centre"}],"accessed":{"date-parts":[["2026",7,23]]},"issued":{"date-parts":[["2021",5,11]]}}}],"schema":"https://github.com/citation-style-language/schema/raw/master/csl-citation.json"}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[11]</w:t>
      </w:r>
      <w:r w:rsidR="00625FA7">
        <w:rPr>
          <w:rFonts w:cstheme="minorHAnsi"/>
          <w:color w:val="000000" w:themeColor="text1"/>
          <w:sz w:val="24"/>
          <w:szCs w:val="24"/>
        </w:rPr>
        <w:fldChar w:fldCharType="end"/>
      </w:r>
      <w:r w:rsidRPr="00A9209A">
        <w:rPr>
          <w:rFonts w:cstheme="minorHAnsi"/>
          <w:color w:val="000000" w:themeColor="text1"/>
          <w:sz w:val="24"/>
          <w:szCs w:val="24"/>
        </w:rPr>
        <w:t>. This works well with SFM's cloud and hybrid-working workplace. Each policy should help to implement the CIA triad and should be approved by the board</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{"citationID":"MfMuPn1T","properties":{"unsorted":false,"formattedCitation":"[5]","plainCitation":"[5]","noteIndex":0},"citationItems":[{"id":20511,"uris":["http://zotero.org/users/14203622/items/XYBUHTL2"],"itemData":{"id":20511,"type":"webpage","abstract":"Learn from cybersecurity experts what a typical day in a cybersecurity career might look like and discover how modern threats drive more cybersecurity jobs.","language":"en-US","title":"Cybersecurity Essentials","URL":"https://www.netacad.com/courses/cybersecurity-essentials?courseLang=en-US","author":[{"literal":"Cisco Networking Academy"}],"accessed":{"date-parts":[["2026",7,23]]},"issued":{"date-parts":[["2026"]]}}}],"schema":"https://github.com/citation-style-language/schema/raw/master/csl-citation.json"}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[5]</w:t>
      </w:r>
      <w:r w:rsidR="00625FA7">
        <w:rPr>
          <w:rFonts w:cstheme="minorHAnsi"/>
          <w:color w:val="000000" w:themeColor="text1"/>
          <w:sz w:val="24"/>
          <w:szCs w:val="24"/>
        </w:rPr>
        <w:fldChar w:fldCharType="end"/>
      </w:r>
      <w:r w:rsidRPr="00A9209A">
        <w:rPr>
          <w:rFonts w:cstheme="minorHAnsi"/>
          <w:color w:val="000000" w:themeColor="text1"/>
          <w:sz w:val="24"/>
          <w:szCs w:val="24"/>
        </w:rPr>
        <w:t xml:space="preserve">. ISO 27001 and the NIST CSF are </w:t>
      </w:r>
      <w:proofErr w:type="gramStart"/>
      <w:r w:rsidRPr="00A9209A">
        <w:rPr>
          <w:rFonts w:cstheme="minorHAnsi"/>
          <w:color w:val="000000" w:themeColor="text1"/>
          <w:sz w:val="24"/>
          <w:szCs w:val="24"/>
        </w:rPr>
        <w:t>selected</w:t>
      </w:r>
      <w:proofErr w:type="gramEnd"/>
      <w:r w:rsidRPr="00A9209A">
        <w:rPr>
          <w:rFonts w:cstheme="minorHAnsi"/>
          <w:color w:val="000000" w:themeColor="text1"/>
          <w:sz w:val="24"/>
          <w:szCs w:val="24"/>
        </w:rPr>
        <w:t xml:space="preserve"> as they are well-known frameworks and overlap, providing SFM with certifiable rigour as well as a more flexible language for governance; a </w:t>
      </w:r>
      <w:r w:rsidRPr="00A9209A">
        <w:rPr>
          <w:rFonts w:cstheme="minorHAnsi"/>
          <w:color w:val="000000" w:themeColor="text1"/>
          <w:sz w:val="24"/>
          <w:szCs w:val="24"/>
        </w:rPr>
        <w:lastRenderedPageBreak/>
        <w:t xml:space="preserve">lighter scheme like Cyber Essentials would be simpler, but would not cover OT and supply-chain risks to the same level. </w:t>
      </w:r>
    </w:p>
    <w:p w:rsidR="00E8071E"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A documented risk-assessment process should sit at the heart of the ISMS that identifies what assets are there, whether there are threats to that asset, and whether there are proportionate controls to address it; the risk-assessment process should be reviewed at least once a year</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{"citationID":"560VYHdY","properties":{"unsorted":false,"formattedCitation":"[12]","plainCitation":"[12]","noteIndex":0},"citationItems":[{"id":20525,"uris":["http://zotero.org/users/14203622/items/Z5FGE3JG"],"itemData":{"id":20525,"type":"webpage","abstract":"Introduction to Risk Assessment in Information Security A risk assessment is a systematic process to identify, evaluate, and mitigate potential threats. Understanding the Role of Risk Assessment Risk assessments are a critical tool within an organisation's broader risk management framework. They are designed to preemptively address vulnerabilities and implement strategies…","container-title":"https://www.isms.online/","language":"en_US","title":"Risk Assessment - ISMS.online","URL":"https://www.isms.online/glossary/risk-assessment/","author":[{"literal":"ISMS"}],"accessed":{"date-parts":[["2026",7,23]]},"issued":{"date-parts":[["2026"]]}}}],"schema":"https://github.com/citation-style-language/schema/raw/master/csl-citation.json"}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[12]</w:t>
      </w:r>
      <w:r w:rsidR="00625FA7">
        <w:rPr>
          <w:rFonts w:cstheme="minorHAnsi"/>
          <w:color w:val="000000" w:themeColor="text1"/>
          <w:sz w:val="24"/>
          <w:szCs w:val="24"/>
        </w:rPr>
        <w:fldChar w:fldCharType="end"/>
      </w:r>
      <w:r w:rsidRPr="00A9209A">
        <w:rPr>
          <w:rFonts w:cstheme="minorHAnsi"/>
          <w:color w:val="000000" w:themeColor="text1"/>
          <w:sz w:val="24"/>
          <w:szCs w:val="24"/>
        </w:rPr>
        <w:t xml:space="preserve">. Accordingly, SFM should have a comprehensive set of policies in place, including acceptable use, access control/identification, data classification and governance, authentication, remote access and BYOD, patch/vulnerability management, </w:t>
      </w:r>
      <w:proofErr w:type="gramStart"/>
      <w:r w:rsidRPr="00A9209A">
        <w:rPr>
          <w:rFonts w:cstheme="minorHAnsi"/>
          <w:color w:val="000000" w:themeColor="text1"/>
          <w:sz w:val="24"/>
          <w:szCs w:val="24"/>
        </w:rPr>
        <w:t>third-party</w:t>
      </w:r>
      <w:proofErr w:type="gramEnd"/>
      <w:r w:rsidRPr="00A9209A">
        <w:rPr>
          <w:rFonts w:cstheme="minorHAnsi"/>
          <w:color w:val="000000" w:themeColor="text1"/>
          <w:sz w:val="24"/>
          <w:szCs w:val="24"/>
        </w:rPr>
        <w:t xml:space="preserve"> and supply-chain security, incident response, and backup and business continuity. The Data Classification and Governance Policy must include adequate policies and procedures for processing information for legitimate purposes according to the criteria of the requirements of the UK GDPR and the Data Protection Act 2018, as amended by the Data (Use and Access) Act 2025. The Information Commissioner's Office has the power to fine organi</w:t>
      </w:r>
      <w:r w:rsidR="00625FA7">
        <w:rPr>
          <w:rFonts w:cstheme="minorHAnsi"/>
          <w:color w:val="000000" w:themeColor="text1"/>
          <w:sz w:val="24"/>
          <w:szCs w:val="24"/>
        </w:rPr>
        <w:t>s</w:t>
      </w:r>
      <w:r w:rsidRPr="00A9209A">
        <w:rPr>
          <w:rFonts w:cstheme="minorHAnsi"/>
          <w:color w:val="000000" w:themeColor="text1"/>
          <w:sz w:val="24"/>
          <w:szCs w:val="24"/>
        </w:rPr>
        <w:t>ations up to £17.5m or 4% of global turnover for severe breaches</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{"citationID":"SF3MWXnt","properties":{"unsorted":false,"formattedCitation":"[13]","plainCitation":"[13]","noteIndex":0},"citationItems":[{"id":20507,"uris":["http://zotero.org/users/14203622/items/J3FJ75MA"],"itemData":{"id":20507,"type":"webpage","abstract":"This summarises the changes the DUAA makes to data protection law that may affect you if you’re an organisation using personal information.","language":"en","publisher":"ICO","title":"The Data Use and Access Act 2025 (DUAA) - what does it mean for organisations?","URL":"https://ico.org.uk/about-the-ico/what-we-do/legislation-we-cover/data-use-and-access-act-2025/the-data-use-and-access-act-2025-what-does-it-mean-for-organisations/","author":[{"literal":"ICO"}],"accessed":{"date-parts":[["2026",7,23]]},"issued":{"date-parts":[["2026",6,19]]}}}],"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[13]</w:t>
      </w:r>
      <w:r w:rsidR="00625FA7">
        <w:rPr>
          <w:rFonts w:cstheme="minorHAnsi"/>
          <w:color w:val="000000" w:themeColor="text1"/>
          <w:sz w:val="24"/>
          <w:szCs w:val="24"/>
        </w:rPr>
        <w:fldChar w:fldCharType="end"/>
      </w:r>
      <w:r w:rsidRPr="00A9209A">
        <w:rPr>
          <w:rFonts w:cstheme="minorHAnsi"/>
          <w:color w:val="000000" w:themeColor="text1"/>
          <w:sz w:val="24"/>
          <w:szCs w:val="24"/>
        </w:rPr>
        <w:t xml:space="preserve">. To stay effective, the ISMS </w:t>
      </w:r>
      <w:proofErr w:type="gramStart"/>
      <w:r w:rsidRPr="00A9209A">
        <w:rPr>
          <w:rFonts w:cstheme="minorHAnsi"/>
          <w:color w:val="000000" w:themeColor="text1"/>
          <w:sz w:val="24"/>
          <w:szCs w:val="24"/>
        </w:rPr>
        <w:t>should be maintained</w:t>
      </w:r>
      <w:proofErr w:type="gramEnd"/>
      <w:r w:rsidRPr="00A9209A">
        <w:rPr>
          <w:rFonts w:cstheme="minorHAnsi"/>
          <w:color w:val="000000" w:themeColor="text1"/>
          <w:sz w:val="24"/>
          <w:szCs w:val="24"/>
        </w:rPr>
        <w:t xml:space="preserve"> through internal audits and management reviews under a plan-do-check-act cycle, so that controls improve as the threat landscape changes. Table II maps the main policies to their objectives and standards.</w:t>
      </w:r>
    </w:p>
    <w:p w:rsidR="00A9209A" w:rsidRPr="00A9209A" w:rsidRDefault="00E8071E" w:rsidP="00E8071E">
      <w:pPr>
        <w:spacing w:before="120" w:after="40" w:line="360" w:lineRule="auto"/>
        <w:jc w:val="center"/>
        <w:rPr>
          <w:rFonts w:cstheme="minorHAnsi"/>
          <w:color w:val="000000" w:themeColor="text1"/>
          <w:sz w:val="24"/>
          <w:szCs w:val="24"/>
        </w:rPr>
      </w:pPr>
      <w:r>
        <w:rPr>
          <w:rFonts w:cstheme="minorHAnsi"/>
          <w:b/>
          <w:i/>
          <w:color w:val="000000" w:themeColor="text1"/>
          <w:sz w:val="24"/>
          <w:szCs w:val="24"/>
        </w:rPr>
        <w:t>Table II:</w:t>
      </w:r>
      <w:r w:rsidR="00A9209A" w:rsidRPr="00A9209A">
        <w:rPr>
          <w:rFonts w:cstheme="minorHAnsi"/>
          <w:b/>
          <w:i/>
          <w:color w:val="000000" w:themeColor="text1"/>
          <w:sz w:val="24"/>
          <w:szCs w:val="24"/>
        </w:rPr>
        <w:t xml:space="preserve"> Proposed security policies mapped to objectives and standards.</w:t>
      </w:r>
    </w:p>
    <w:tbl>
      <w:tblPr>
        <w:tblStyle w:val="GridTable1Light-Accent1"/>
        <w:tblW w:w="0" w:type="auto"/>
        <w:tblLook w:val="04A0" w:firstRow="1" w:lastRow="0" w:firstColumn="1" w:lastColumn="0" w:noHBand="0" w:noVBand="1"/>
      </w:tblPr>
      <w:tblGrid>
        <w:gridCol w:w="2405"/>
        <w:gridCol w:w="3931"/>
        <w:gridCol w:w="2592"/>
      </w:tblGrid>
      <w:tr w:rsidR="00A9209A" w:rsidRPr="00A9209A" w:rsidTr="00E807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12" w:space="0" w:color="2E74B5"/>
              <w:bottom w:val="single" w:sz="12" w:space="0" w:color="2E74B5"/>
            </w:tcBorders>
          </w:tcPr>
          <w:p w:rsidR="00A9209A" w:rsidRPr="00E8071E" w:rsidRDefault="00A9209A" w:rsidP="00A9209A">
            <w:pPr>
              <w:spacing w:line="360" w:lineRule="auto"/>
              <w:jc w:val="both"/>
              <w:rPr>
                <w:rFonts w:cstheme="minorHAnsi"/>
                <w:color w:val="2E74B5" w:themeColor="accent1" w:themeShade="BF"/>
                <w:sz w:val="24"/>
                <w:szCs w:val="24"/>
              </w:rPr>
            </w:pPr>
            <w:r w:rsidRPr="00E8071E">
              <w:rPr>
                <w:rFonts w:cstheme="minorHAnsi"/>
                <w:color w:val="2E74B5" w:themeColor="accent1" w:themeShade="BF"/>
                <w:sz w:val="24"/>
                <w:szCs w:val="24"/>
              </w:rPr>
              <w:t>Policy</w:t>
            </w:r>
          </w:p>
        </w:tc>
        <w:tc>
          <w:tcPr>
            <w:tcW w:w="3931" w:type="dxa"/>
            <w:tcBorders>
              <w:top w:val="single" w:sz="12" w:space="0" w:color="2E74B5"/>
              <w:bottom w:val="single" w:sz="12" w:space="0" w:color="2E74B5"/>
            </w:tcBorders>
          </w:tcPr>
          <w:p w:rsidR="00A9209A" w:rsidRPr="00E8071E"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E8071E">
              <w:rPr>
                <w:rFonts w:cstheme="minorHAnsi"/>
                <w:color w:val="2E74B5" w:themeColor="accent1" w:themeShade="BF"/>
                <w:sz w:val="24"/>
                <w:szCs w:val="24"/>
              </w:rPr>
              <w:t>Objective</w:t>
            </w:r>
          </w:p>
        </w:tc>
        <w:tc>
          <w:tcPr>
            <w:tcW w:w="2592" w:type="dxa"/>
            <w:tcBorders>
              <w:top w:val="single" w:sz="12" w:space="0" w:color="2E74B5"/>
              <w:bottom w:val="single" w:sz="12" w:space="0" w:color="2E74B5"/>
            </w:tcBorders>
          </w:tcPr>
          <w:p w:rsidR="00A9209A" w:rsidRPr="00E8071E" w:rsidRDefault="00A9209A" w:rsidP="00906721">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E8071E">
              <w:rPr>
                <w:rFonts w:cstheme="minorHAnsi"/>
                <w:color w:val="2E74B5" w:themeColor="accent1" w:themeShade="BF"/>
                <w:sz w:val="24"/>
                <w:szCs w:val="24"/>
              </w:rPr>
              <w:t xml:space="preserve">Aligned </w:t>
            </w:r>
            <w:r w:rsidR="00906721">
              <w:rPr>
                <w:rFonts w:cstheme="minorHAnsi"/>
                <w:color w:val="2E74B5" w:themeColor="accent1" w:themeShade="BF"/>
                <w:sz w:val="24"/>
                <w:szCs w:val="24"/>
              </w:rPr>
              <w:t>control/standard</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2405" w:type="dxa"/>
            <w:tcBorders>
              <w:top w:val="single" w:sz="12" w:space="0" w:color="2E74B5"/>
            </w:tcBorders>
          </w:tcPr>
          <w:p w:rsidR="00A9209A" w:rsidRPr="00E8071E" w:rsidRDefault="00A9209A" w:rsidP="00A9209A">
            <w:pPr>
              <w:spacing w:line="360" w:lineRule="auto"/>
              <w:jc w:val="both"/>
              <w:rPr>
                <w:rFonts w:cstheme="minorHAnsi"/>
                <w:color w:val="000000" w:themeColor="text1"/>
                <w:szCs w:val="24"/>
              </w:rPr>
            </w:pPr>
            <w:r w:rsidRPr="00E8071E">
              <w:rPr>
                <w:rFonts w:cstheme="minorHAnsi"/>
                <w:color w:val="000000" w:themeColor="text1"/>
                <w:szCs w:val="24"/>
              </w:rPr>
              <w:t>Access Control &amp; Identity (Zero Trust)</w:t>
            </w:r>
          </w:p>
        </w:tc>
        <w:tc>
          <w:tcPr>
            <w:tcW w:w="3931" w:type="dxa"/>
            <w:tcBorders>
              <w:top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Verify every access; least privilege, RBAC, MFA</w:t>
            </w:r>
          </w:p>
        </w:tc>
        <w:tc>
          <w:tcPr>
            <w:tcW w:w="2592" w:type="dxa"/>
            <w:tcBorders>
              <w:top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ISO 27001 A.5.15–A.5.18; NIST Protect</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2405" w:type="dxa"/>
          </w:tcPr>
          <w:p w:rsidR="00A9209A" w:rsidRPr="00E8071E" w:rsidRDefault="00A9209A" w:rsidP="00A9209A">
            <w:pPr>
              <w:spacing w:line="360" w:lineRule="auto"/>
              <w:jc w:val="both"/>
              <w:rPr>
                <w:rFonts w:cstheme="minorHAnsi"/>
                <w:color w:val="000000" w:themeColor="text1"/>
                <w:szCs w:val="24"/>
              </w:rPr>
            </w:pPr>
            <w:r w:rsidRPr="00E8071E">
              <w:rPr>
                <w:rFonts w:cstheme="minorHAnsi"/>
                <w:color w:val="000000" w:themeColor="text1"/>
                <w:szCs w:val="24"/>
              </w:rPr>
              <w:t>Data Classification &amp; Governance</w:t>
            </w:r>
          </w:p>
        </w:tc>
        <w:tc>
          <w:tcPr>
            <w:tcW w:w="3931"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Classify and lawfully protect data</w:t>
            </w:r>
          </w:p>
        </w:tc>
        <w:tc>
          <w:tcPr>
            <w:tcW w:w="2592"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UK GDPR / DPA 2018 (DUAA 2025)</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2405" w:type="dxa"/>
          </w:tcPr>
          <w:p w:rsidR="00A9209A" w:rsidRPr="00E8071E" w:rsidRDefault="00A9209A" w:rsidP="00A9209A">
            <w:pPr>
              <w:spacing w:line="360" w:lineRule="auto"/>
              <w:jc w:val="both"/>
              <w:rPr>
                <w:rFonts w:cstheme="minorHAnsi"/>
                <w:color w:val="000000" w:themeColor="text1"/>
                <w:szCs w:val="24"/>
              </w:rPr>
            </w:pPr>
            <w:r w:rsidRPr="00E8071E">
              <w:rPr>
                <w:rFonts w:cstheme="minorHAnsi"/>
                <w:color w:val="000000" w:themeColor="text1"/>
                <w:szCs w:val="24"/>
              </w:rPr>
              <w:t>Patch &amp; Vulnerability Management</w:t>
            </w:r>
          </w:p>
        </w:tc>
        <w:tc>
          <w:tcPr>
            <w:tcW w:w="3931"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Fix exploited flaws first (CISA KEV)</w:t>
            </w:r>
          </w:p>
        </w:tc>
        <w:tc>
          <w:tcPr>
            <w:tcW w:w="2592"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ISO 27001 A.8.8; NIST Identify</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2405" w:type="dxa"/>
          </w:tcPr>
          <w:p w:rsidR="00A9209A" w:rsidRPr="00E8071E" w:rsidRDefault="00A9209A" w:rsidP="00A9209A">
            <w:pPr>
              <w:spacing w:line="360" w:lineRule="auto"/>
              <w:jc w:val="both"/>
              <w:rPr>
                <w:rFonts w:cstheme="minorHAnsi"/>
                <w:color w:val="000000" w:themeColor="text1"/>
                <w:szCs w:val="24"/>
              </w:rPr>
            </w:pPr>
            <w:r w:rsidRPr="00E8071E">
              <w:rPr>
                <w:rFonts w:cstheme="minorHAnsi"/>
                <w:color w:val="000000" w:themeColor="text1"/>
                <w:szCs w:val="24"/>
              </w:rPr>
              <w:t>Third-Party / Supply-Chain</w:t>
            </w:r>
          </w:p>
        </w:tc>
        <w:tc>
          <w:tcPr>
            <w:tcW w:w="3931"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Assure supplier and cloud security</w:t>
            </w:r>
          </w:p>
        </w:tc>
        <w:tc>
          <w:tcPr>
            <w:tcW w:w="2592"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ISO 27001 A.5.19–A.5.23; NIST Govern</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2405" w:type="dxa"/>
          </w:tcPr>
          <w:p w:rsidR="00A9209A" w:rsidRPr="00E8071E" w:rsidRDefault="00A9209A" w:rsidP="00A9209A">
            <w:pPr>
              <w:spacing w:line="360" w:lineRule="auto"/>
              <w:jc w:val="both"/>
              <w:rPr>
                <w:rFonts w:cstheme="minorHAnsi"/>
                <w:color w:val="000000" w:themeColor="text1"/>
                <w:szCs w:val="24"/>
              </w:rPr>
            </w:pPr>
            <w:r w:rsidRPr="00E8071E">
              <w:rPr>
                <w:rFonts w:cstheme="minorHAnsi"/>
                <w:color w:val="000000" w:themeColor="text1"/>
                <w:szCs w:val="24"/>
              </w:rPr>
              <w:t>Incident Response</w:t>
            </w:r>
          </w:p>
        </w:tc>
        <w:tc>
          <w:tcPr>
            <w:tcW w:w="3931"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Detect, respond to and recover from incidents</w:t>
            </w:r>
          </w:p>
        </w:tc>
        <w:tc>
          <w:tcPr>
            <w:tcW w:w="2592" w:type="dxa"/>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ISO 27001 A.5.24–A.5.28; NIST Respond</w:t>
            </w:r>
          </w:p>
        </w:tc>
      </w:tr>
      <w:tr w:rsidR="00A9209A" w:rsidRPr="00A9209A" w:rsidTr="00E8071E">
        <w:tc>
          <w:tcPr>
            <w:cnfStyle w:val="001000000000" w:firstRow="0" w:lastRow="0" w:firstColumn="1" w:lastColumn="0" w:oddVBand="0" w:evenVBand="0" w:oddHBand="0" w:evenHBand="0" w:firstRowFirstColumn="0" w:firstRowLastColumn="0" w:lastRowFirstColumn="0" w:lastRowLastColumn="0"/>
            <w:tcW w:w="2405" w:type="dxa"/>
            <w:tcBorders>
              <w:bottom w:val="single" w:sz="12" w:space="0" w:color="2E74B5"/>
            </w:tcBorders>
          </w:tcPr>
          <w:p w:rsidR="00A9209A" w:rsidRPr="00E8071E" w:rsidRDefault="00A9209A" w:rsidP="00A9209A">
            <w:pPr>
              <w:spacing w:line="360" w:lineRule="auto"/>
              <w:jc w:val="both"/>
              <w:rPr>
                <w:rFonts w:cstheme="minorHAnsi"/>
                <w:color w:val="000000" w:themeColor="text1"/>
                <w:szCs w:val="24"/>
              </w:rPr>
            </w:pPr>
            <w:r w:rsidRPr="00E8071E">
              <w:rPr>
                <w:rFonts w:cstheme="minorHAnsi"/>
                <w:color w:val="000000" w:themeColor="text1"/>
                <w:szCs w:val="24"/>
              </w:rPr>
              <w:lastRenderedPageBreak/>
              <w:t>Backup &amp; Business Continuity</w:t>
            </w:r>
          </w:p>
        </w:tc>
        <w:tc>
          <w:tcPr>
            <w:tcW w:w="3931" w:type="dxa"/>
            <w:tcBorders>
              <w:bottom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Immutable backups for ransomware resilience</w:t>
            </w:r>
          </w:p>
        </w:tc>
        <w:tc>
          <w:tcPr>
            <w:tcW w:w="2592" w:type="dxa"/>
            <w:tcBorders>
              <w:bottom w:val="single" w:sz="12" w:space="0" w:color="2E74B5"/>
            </w:tcBorders>
          </w:tcPr>
          <w:p w:rsidR="00A9209A" w:rsidRPr="00E8071E"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E8071E">
              <w:rPr>
                <w:rFonts w:cstheme="minorHAnsi"/>
                <w:color w:val="000000" w:themeColor="text1"/>
                <w:szCs w:val="24"/>
              </w:rPr>
              <w:t>ISO 27001 A.8.13; NIST Recover</w:t>
            </w:r>
          </w:p>
        </w:tc>
      </w:tr>
    </w:tbl>
    <w:p w:rsidR="00A9209A" w:rsidRPr="00A9209A" w:rsidRDefault="00A9209A" w:rsidP="00A9209A">
      <w:pPr>
        <w:spacing w:after="80" w:line="360" w:lineRule="auto"/>
        <w:jc w:val="both"/>
        <w:rPr>
          <w:rFonts w:cstheme="minorHAnsi"/>
          <w:color w:val="000000" w:themeColor="text1"/>
          <w:sz w:val="24"/>
          <w:szCs w:val="24"/>
        </w:rPr>
      </w:pPr>
    </w:p>
    <w:p w:rsidR="00A9209A" w:rsidRPr="00A9209A" w:rsidRDefault="00A9209A" w:rsidP="00A9209A">
      <w:pPr>
        <w:pStyle w:val="Heading2"/>
        <w:spacing w:line="360" w:lineRule="auto"/>
        <w:jc w:val="both"/>
        <w:rPr>
          <w:rFonts w:asciiTheme="minorHAnsi" w:hAnsiTheme="minorHAnsi" w:cstheme="minorHAnsi"/>
          <w:b/>
          <w:color w:val="000000" w:themeColor="text1"/>
          <w:sz w:val="24"/>
          <w:szCs w:val="24"/>
        </w:rPr>
      </w:pPr>
      <w:bookmarkStart w:id="5" w:name="_Toc235665395"/>
      <w:r w:rsidRPr="00A9209A">
        <w:rPr>
          <w:rFonts w:asciiTheme="minorHAnsi" w:hAnsiTheme="minorHAnsi" w:cstheme="minorHAnsi"/>
          <w:b/>
          <w:color w:val="000000" w:themeColor="text1"/>
          <w:sz w:val="24"/>
          <w:szCs w:val="24"/>
        </w:rPr>
        <w:t>2.3. Technical Mitigation Measures</w:t>
      </w:r>
      <w:bookmarkEnd w:id="5"/>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Policies must be enforced through practical, layered controls, following a defence-in-depth approach so that no single failure exposes the organisation</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{"citationID":"KIRQbKfS","properties":{"unsorted":false,"formattedCitation":"[5]","plainCitation":"[5]","noteIndex":0},"citationItems":[{"id":20511,"uris":["http://zotero.org/users/14203622/items/XYBUHTL2"],"itemData":{"id":20511,"type":"webpage","abstract":"Learn from cybersecurity experts what a typical day in a cybersecurity career might look like and discover how modern threats drive more cybersecurity jobs.","language":"en-US","title":"Cybersecurity Essentials","URL":"https://www.netacad.com/courses/cybersecurity-essentials?courseLang=en-US","author":[{"literal":"Cisco Networking Academy"}],"accessed":{"date-parts":[["2026",7,23]]},"issued":{"date-parts":[["2026"]]}}}],"schema":"https://github.com/citation-style-language/schema/raw/master/csl-citation.json"}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[5]</w:t>
      </w:r>
      <w:r w:rsidR="00625FA7">
        <w:rPr>
          <w:rFonts w:cstheme="minorHAnsi"/>
          <w:color w:val="000000" w:themeColor="text1"/>
          <w:sz w:val="24"/>
          <w:szCs w:val="24"/>
        </w:rPr>
        <w:fldChar w:fldCharType="end"/>
      </w:r>
      <w:r w:rsidRPr="00A9209A">
        <w:rPr>
          <w:rFonts w:cstheme="minorHAnsi"/>
          <w:color w:val="000000" w:themeColor="text1"/>
          <w:sz w:val="24"/>
          <w:szCs w:val="24"/>
        </w:rPr>
        <w:t xml:space="preserve">. As SFM is a medium-sized firm with a limited budget and a small team, controls </w:t>
      </w:r>
      <w:proofErr w:type="gramStart"/>
      <w:r w:rsidRPr="00A9209A">
        <w:rPr>
          <w:rFonts w:cstheme="minorHAnsi"/>
          <w:color w:val="000000" w:themeColor="text1"/>
          <w:sz w:val="24"/>
          <w:szCs w:val="24"/>
        </w:rPr>
        <w:t>should be prioritised</w:t>
      </w:r>
      <w:proofErr w:type="gramEnd"/>
      <w:r w:rsidRPr="00A9209A">
        <w:rPr>
          <w:rFonts w:cstheme="minorHAnsi"/>
          <w:color w:val="000000" w:themeColor="text1"/>
          <w:sz w:val="24"/>
          <w:szCs w:val="24"/>
        </w:rPr>
        <w:t xml:space="preserve"> by risk and feasibility.</w:t>
      </w:r>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 xml:space="preserve">First, SFM should segment its network using virtual LANs (VLANs) and </w:t>
      </w:r>
      <w:proofErr w:type="spellStart"/>
      <w:r w:rsidRPr="00A9209A">
        <w:rPr>
          <w:rFonts w:cstheme="minorHAnsi"/>
          <w:color w:val="000000" w:themeColor="text1"/>
          <w:sz w:val="24"/>
          <w:szCs w:val="24"/>
        </w:rPr>
        <w:t>subnetting</w:t>
      </w:r>
      <w:proofErr w:type="spellEnd"/>
      <w:r w:rsidRPr="00A9209A">
        <w:rPr>
          <w:rFonts w:cstheme="minorHAnsi"/>
          <w:color w:val="000000" w:themeColor="text1"/>
          <w:sz w:val="24"/>
          <w:szCs w:val="24"/>
        </w:rPr>
        <w:t xml:space="preserve"> to separate corporate IT from the OT/factory zone, place internet-facing services in a demilitarised zone (DMZ) behind firewalls, and isolate PLCs and </w:t>
      </w:r>
      <w:proofErr w:type="spellStart"/>
      <w:r w:rsidRPr="00A9209A">
        <w:rPr>
          <w:rFonts w:cstheme="minorHAnsi"/>
          <w:color w:val="000000" w:themeColor="text1"/>
          <w:sz w:val="24"/>
          <w:szCs w:val="24"/>
        </w:rPr>
        <w:t>IoT</w:t>
      </w:r>
      <w:proofErr w:type="spellEnd"/>
      <w:r w:rsidRPr="00A9209A">
        <w:rPr>
          <w:rFonts w:cstheme="minorHAnsi"/>
          <w:color w:val="000000" w:themeColor="text1"/>
          <w:sz w:val="24"/>
          <w:szCs w:val="24"/>
        </w:rPr>
        <w:t xml:space="preserve"> devices. This limits lateral movement and would have contained an incident such as the </w:t>
      </w:r>
      <w:proofErr w:type="spellStart"/>
      <w:r w:rsidRPr="00A9209A">
        <w:rPr>
          <w:rFonts w:cstheme="minorHAnsi"/>
          <w:color w:val="000000" w:themeColor="text1"/>
          <w:sz w:val="24"/>
          <w:szCs w:val="24"/>
        </w:rPr>
        <w:t>Norsk</w:t>
      </w:r>
      <w:proofErr w:type="spellEnd"/>
      <w:r w:rsidRPr="00A9209A">
        <w:rPr>
          <w:rFonts w:cstheme="minorHAnsi"/>
          <w:color w:val="000000" w:themeColor="text1"/>
          <w:sz w:val="24"/>
          <w:szCs w:val="24"/>
        </w:rPr>
        <w:t xml:space="preserve"> Hydro attack, which spread because the network was not sufficiently divided</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{"citationID":"PwoayD9P","properties":{"unsorted":false,"formattedCitation":"[8]","plainCitation":"[8]","noteIndex":0},"citationItems":[{"id":20523,"uris":["http://zotero.org/users/14203622/items/WEEEBZ7A"],"itemData":{"id":20523,"type":"post-weblog","abstract":"To pay or not to pay: It’s an essential and fraught question in regards to ransomware attacks. When multinational aluminum manufacturer Norsk Hydro was hit with a cyberattack in 2019, they chose not to pay in a response hailed by law enforcement organizations and the information security industry as the “gold standard,” according to a […]","container-title":"Control Engineering","language":"en-US","title":"Throwback Attack: Norsk Hydro gets hit by LockerGoga ransomware","title-short":"Throwback Attack","URL":"https://www.controleng.com/throwback-attack-norsk-hydro-gets-hit-by-lockergoga-ransomware/","author":[{"family":"gcohen","given":""}],"accessed":{"date-parts":[["2026",7,23]]},"issued":{"date-parts":[["2021",5,20]]}}}],"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[8]</w:t>
      </w:r>
      <w:r w:rsidR="00625FA7">
        <w:rPr>
          <w:rFonts w:cstheme="minorHAnsi"/>
          <w:color w:val="000000" w:themeColor="text1"/>
          <w:sz w:val="24"/>
          <w:szCs w:val="24"/>
        </w:rPr>
        <w:fldChar w:fldCharType="end"/>
      </w:r>
      <w:r w:rsidRPr="00A9209A">
        <w:rPr>
          <w:rFonts w:cstheme="minorHAnsi"/>
          <w:color w:val="000000" w:themeColor="text1"/>
          <w:sz w:val="24"/>
          <w:szCs w:val="24"/>
        </w:rPr>
        <w:t>. Second, because stolen credentials are a leading entry vector, SFM should deploy identity and access management with multi-factor authentication (MFA), least-privilege roles and prompt de-provisioning of leavers</w:t>
      </w:r>
      <w:r w:rsidR="00625FA7">
        <w:rPr>
          <w:rFonts w:cstheme="minorHAnsi"/>
          <w:color w:val="000000" w:themeColor="text1"/>
          <w:sz w:val="24"/>
          <w:szCs w:val="24"/>
        </w:rPr>
        <w:t xml:space="preserve"> </w:t>
      </w:r>
      <w:r w:rsidR="00625FA7">
        <w:rPr>
          <w:rFonts w:cstheme="minorHAnsi"/>
          <w:color w:val="000000" w:themeColor="text1"/>
          <w:sz w:val="24"/>
          <w:szCs w:val="24"/>
        </w:rPr>
        <w:fldChar w:fldCharType="begin"/>
      </w:r>
      <w:r w:rsidR="00625FA7">
        <w:rPr>
          <w:rFonts w:cstheme="minorHAnsi"/>
          <w:color w:val="000000" w:themeColor="text1"/>
          <w:sz w:val="24"/>
          <w:szCs w:val="24"/>
        </w:rPr>
        <w:instrText xml:space="preserve"> ADDIN ZOTERO_ITEM CSL_CITATION {"citationID":"st9APdKC","properties":{"unsorted":false,"formattedCitation":"[2], [6]","plainCitation":"[2], [6]","noteIndex":0},"citationItems":[{"id":20496,"uris":["http://zotero.org/users/14203622/items/7NX65Q43"],"itemData":{"id":20496,"type":"webpage","abstract":"See what the  X-Force Threat Intelligence Index Report 2026 has to say about today's cybersecurity landscape.","language":"en","title":"X-Force Threat Intelligence Index 2026 | IBM","URL":"https://www.ibm.com/reports/threat-intelligence","author":[{"literal":"IBM"}],"accessed":{"date-parts":[["2026",7,23]]},"issued":{"date-parts":[["2026"]]}}},{"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(DBIR)","URL":"https://www.verizon.com/business/resources/reports/dbir/","author":[{"literal":"Verizon"}],"accessed":{"date-parts":[["2026",7,23]]},"issued":{"date-parts":[["2026"]]}}}],"schema":"https://github.com/citation-style-language/schema/raw/master/csl-citation.json"} </w:instrText>
      </w:r>
      <w:r w:rsidR="00625FA7">
        <w:rPr>
          <w:rFonts w:cstheme="minorHAnsi"/>
          <w:color w:val="000000" w:themeColor="text1"/>
          <w:sz w:val="24"/>
          <w:szCs w:val="24"/>
        </w:rPr>
        <w:fldChar w:fldCharType="separate"/>
      </w:r>
      <w:r w:rsidR="00625FA7" w:rsidRPr="00625FA7">
        <w:rPr>
          <w:rFonts w:ascii="Calibri" w:hAnsi="Calibri" w:cs="Calibri"/>
          <w:sz w:val="24"/>
        </w:rPr>
        <w:t>[2], [6]</w:t>
      </w:r>
      <w:r w:rsidR="00625FA7">
        <w:rPr>
          <w:rFonts w:cstheme="minorHAnsi"/>
          <w:color w:val="000000" w:themeColor="text1"/>
          <w:sz w:val="24"/>
          <w:szCs w:val="24"/>
        </w:rPr>
        <w:fldChar w:fldCharType="end"/>
      </w:r>
      <w:r w:rsidRPr="00A9209A">
        <w:rPr>
          <w:rFonts w:cstheme="minorHAnsi"/>
          <w:color w:val="000000" w:themeColor="text1"/>
          <w:sz w:val="24"/>
          <w:szCs w:val="24"/>
        </w:rPr>
        <w:t>. Third, endpoint detection and response (EDR), anti-malware and application allow-listing should be installed across devices</w:t>
      </w:r>
      <w:r w:rsidR="00C06591">
        <w:rPr>
          <w:rFonts w:cstheme="minorHAnsi"/>
          <w:color w:val="000000" w:themeColor="text1"/>
          <w:sz w:val="24"/>
          <w:szCs w:val="24"/>
        </w:rPr>
        <w:t xml:space="preserve">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{"citationID":"awggBp6y","properties":{"unsorted":false,"formattedCitation":"[14]","plainCitation":"[14]","noteIndex":0},"citationItems":[{"id":20527,"uris":["http://zotero.org/users/14203622/items/EJL3CC7Z"],"itemData":{"id":20527,"type":"chapter","abstract":"Cybersecurity is essential in protecting systems from malicious attacks and unauthorized access. It also helps to ensure that data is kept safe and secure and that applications remain available and reliable. Without proper cybersecurity measures in place, organizations can be exposed to costly data breaches and other security incidents. Cybersecurity should be a top priority for any organization, and companies should invest in measures to detect and prevent security threats and vulnerabilities, as well as to respond quickly and effectively when incidents occur.","container-title":"Design and Deploy a Secure Azure Environment: Mapping the NIST Cybersecurity Framework to Azure Services","DOI":"10.1007/978-1-4842-9678-3_2","ISBN":"978-1-4842-9678-3","language":"en","page":"75-148","publisher":"Apress","publisher-place":"Berkeley, CA","source":"Springer Link","title":"Design and Deploy Security for Infrastructure, Data, and Applications","URL":"https://doi.org/10.1007/978-1-4842-9678-3_2","author":[{"family":"Udayakumar","given":"Puthiyavan"}],"editor":[{"family":"Udayakumar","given":"Puthiyavan"}],"accessed":{"date-parts":[["2026",7,23]]},"issued":{"date-parts":[["2023"]]}}}],"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[14]</w:t>
      </w:r>
      <w:r w:rsidR="00C06591">
        <w:rPr>
          <w:rFonts w:cstheme="minorHAnsi"/>
          <w:color w:val="000000" w:themeColor="text1"/>
          <w:sz w:val="24"/>
          <w:szCs w:val="24"/>
        </w:rPr>
        <w:fldChar w:fldCharType="end"/>
      </w:r>
      <w:r w:rsidRPr="00A9209A">
        <w:rPr>
          <w:rFonts w:cstheme="minorHAnsi"/>
          <w:color w:val="000000" w:themeColor="text1"/>
          <w:sz w:val="24"/>
          <w:szCs w:val="24"/>
        </w:rPr>
        <w:t>. Fourth, patch and vulnerability management should be prioritised using the CISA Known Exploited Vulnerabilities (KEV) catalogue, so that flaws known to be exploited are fixed first; where legacy PLCs cannot be patched, virtual patching and network isolation should be used</w:t>
      </w:r>
      <w:r w:rsidR="00C06591">
        <w:rPr>
          <w:rFonts w:cstheme="minorHAnsi"/>
          <w:color w:val="000000" w:themeColor="text1"/>
          <w:sz w:val="24"/>
          <w:szCs w:val="24"/>
        </w:rPr>
        <w:t xml:space="preserve">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{"citationID":"IQAZgJF2","properties":{"unsorted":false,"formattedCitation":"[15]","plainCitation":"[15]","noteIndex":0},"citationItems":[{"id":20528,"uris":["http://zotero.org/users/14203622/items/TF7P4YU5"],"itemData":{"id":20528,"type":"webpage","abstract":"Learn about the importance of CISA's Known Exploited Vulnerability (KEV) catalog and how to use it to help build a collective resilience across the","language":"en","title":"Reducing the Significant Risk of Known Exploited Vulnerabilities | CISA","URL":"https://www.cisa.gov/known-exploited-vulnerabilities-catalog/reducing-significant-risk-known-exploited-vulnerabilities","author":[{"literal":"CISA"}],"accessed":{"date-parts":[["2026",7,23]]},"issued":{"date-parts":[["2026"]]}}}],"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[15]</w:t>
      </w:r>
      <w:r w:rsidR="00C06591">
        <w:rPr>
          <w:rFonts w:cstheme="minorHAnsi"/>
          <w:color w:val="000000" w:themeColor="text1"/>
          <w:sz w:val="24"/>
          <w:szCs w:val="24"/>
        </w:rPr>
        <w:fldChar w:fldCharType="end"/>
      </w:r>
      <w:r w:rsidRPr="00A9209A">
        <w:rPr>
          <w:rFonts w:cstheme="minorHAnsi"/>
          <w:color w:val="000000" w:themeColor="text1"/>
          <w:sz w:val="24"/>
          <w:szCs w:val="24"/>
        </w:rPr>
        <w:t xml:space="preserve">. Fifth, sensitive design data </w:t>
      </w:r>
      <w:proofErr w:type="gramStart"/>
      <w:r w:rsidRPr="00A9209A">
        <w:rPr>
          <w:rFonts w:cstheme="minorHAnsi"/>
          <w:color w:val="000000" w:themeColor="text1"/>
          <w:sz w:val="24"/>
          <w:szCs w:val="24"/>
        </w:rPr>
        <w:t>should be encrypted</w:t>
      </w:r>
      <w:proofErr w:type="gramEnd"/>
      <w:r w:rsidRPr="00A9209A">
        <w:rPr>
          <w:rFonts w:cstheme="minorHAnsi"/>
          <w:color w:val="000000" w:themeColor="text1"/>
          <w:sz w:val="24"/>
          <w:szCs w:val="24"/>
        </w:rPr>
        <w:t xml:space="preserve"> at rest and in transit. Sixth, an email and web security gateway with anti-phishing filtering should protect staff, supported by email authentication (SPF, DKIM and DMARC) to reduce spoofing. Seventh, the cloud production system should be hardened using secure configuration, cloud security posture management (CSPM) and protected APIs. Finally, SFM must keep immutable, offline copies in alignment with the 3-2-1 principle, which ensures that data </w:t>
      </w:r>
      <w:proofErr w:type="gramStart"/>
      <w:r w:rsidRPr="00A9209A">
        <w:rPr>
          <w:rFonts w:cstheme="minorHAnsi"/>
          <w:color w:val="000000" w:themeColor="text1"/>
          <w:sz w:val="24"/>
          <w:szCs w:val="24"/>
        </w:rPr>
        <w:t>cannot be compromised</w:t>
      </w:r>
      <w:proofErr w:type="gramEnd"/>
      <w:r w:rsidRPr="00A9209A">
        <w:rPr>
          <w:rFonts w:cstheme="minorHAnsi"/>
          <w:color w:val="000000" w:themeColor="text1"/>
          <w:sz w:val="24"/>
          <w:szCs w:val="24"/>
        </w:rPr>
        <w:t xml:space="preserve"> by ransomware. Access by remote users and third parties must be provided via a secure VPN connection or a </w:t>
      </w:r>
      <w:proofErr w:type="gramStart"/>
      <w:r w:rsidRPr="00A9209A">
        <w:rPr>
          <w:rFonts w:cstheme="minorHAnsi"/>
          <w:color w:val="000000" w:themeColor="text1"/>
          <w:sz w:val="24"/>
          <w:szCs w:val="24"/>
        </w:rPr>
        <w:t>third-party</w:t>
      </w:r>
      <w:proofErr w:type="gramEnd"/>
      <w:r w:rsidRPr="00A9209A">
        <w:rPr>
          <w:rFonts w:cstheme="minorHAnsi"/>
          <w:color w:val="000000" w:themeColor="text1"/>
          <w:sz w:val="24"/>
          <w:szCs w:val="24"/>
        </w:rPr>
        <w:t xml:space="preserve"> zero trust network access service, with enhanced authentication means and comprehensive logging. Administrative controls include risk assessments, vendor due diligence and supplier security clauses, as well as physical security like access control and CCTV for areas such as the plant floor and server rooms. They </w:t>
      </w:r>
      <w:proofErr w:type="gramStart"/>
      <w:r w:rsidRPr="00A9209A">
        <w:rPr>
          <w:rFonts w:cstheme="minorHAnsi"/>
          <w:color w:val="000000" w:themeColor="text1"/>
          <w:sz w:val="24"/>
          <w:szCs w:val="24"/>
        </w:rPr>
        <w:t>are layered</w:t>
      </w:r>
      <w:proofErr w:type="gramEnd"/>
      <w:r w:rsidRPr="00A9209A">
        <w:rPr>
          <w:rFonts w:cstheme="minorHAnsi"/>
          <w:color w:val="000000" w:themeColor="text1"/>
          <w:sz w:val="24"/>
          <w:szCs w:val="24"/>
        </w:rPr>
        <w:t xml:space="preserve"> with each other, meaning that if one security measure fails, such as one of the staff members clicking on a malicious link, others, like MFA and segmentation, hold the damage </w:t>
      </w:r>
      <w:r w:rsidRPr="00A9209A">
        <w:rPr>
          <w:rFonts w:cstheme="minorHAnsi"/>
          <w:color w:val="000000" w:themeColor="text1"/>
          <w:sz w:val="24"/>
          <w:szCs w:val="24"/>
        </w:rPr>
        <w:lastRenderedPageBreak/>
        <w:t xml:space="preserve">back; they are also selected to safeguard security without interfering with continuous production. The measures </w:t>
      </w:r>
      <w:proofErr w:type="gramStart"/>
      <w:r w:rsidRPr="00A9209A">
        <w:rPr>
          <w:rFonts w:cstheme="minorHAnsi"/>
          <w:color w:val="000000" w:themeColor="text1"/>
          <w:sz w:val="24"/>
          <w:szCs w:val="24"/>
        </w:rPr>
        <w:t>should be phased</w:t>
      </w:r>
      <w:proofErr w:type="gramEnd"/>
      <w:r w:rsidRPr="00A9209A">
        <w:rPr>
          <w:rFonts w:cstheme="minorHAnsi"/>
          <w:color w:val="000000" w:themeColor="text1"/>
          <w:sz w:val="24"/>
          <w:szCs w:val="24"/>
        </w:rPr>
        <w:t xml:space="preserve"> in (Table III), and Table IV shows the costs and benefits of the measures. Figure 2 illustrates the layered model.</w:t>
      </w:r>
    </w:p>
    <w:p w:rsidR="00A9209A" w:rsidRPr="00A9209A" w:rsidRDefault="00F57F44" w:rsidP="00F57F44">
      <w:pPr>
        <w:spacing w:before="120" w:after="40" w:line="360" w:lineRule="auto"/>
        <w:jc w:val="center"/>
        <w:rPr>
          <w:rFonts w:cstheme="minorHAnsi"/>
          <w:color w:val="000000" w:themeColor="text1"/>
          <w:sz w:val="24"/>
          <w:szCs w:val="24"/>
        </w:rPr>
      </w:pPr>
      <w:r>
        <w:rPr>
          <w:rFonts w:cstheme="minorHAnsi"/>
          <w:b/>
          <w:i/>
          <w:color w:val="000000" w:themeColor="text1"/>
          <w:sz w:val="24"/>
          <w:szCs w:val="24"/>
        </w:rPr>
        <w:t>Table III:</w:t>
      </w:r>
      <w:r w:rsidR="00A9209A" w:rsidRPr="00A9209A">
        <w:rPr>
          <w:rFonts w:cstheme="minorHAnsi"/>
          <w:b/>
          <w:i/>
          <w:color w:val="000000" w:themeColor="text1"/>
          <w:sz w:val="24"/>
          <w:szCs w:val="24"/>
        </w:rPr>
        <w:t xml:space="preserve"> Phased implementation roadmap for </w:t>
      </w:r>
      <w:proofErr w:type="spellStart"/>
      <w:r w:rsidR="00A9209A" w:rsidRPr="00A9209A">
        <w:rPr>
          <w:rFonts w:cstheme="minorHAnsi"/>
          <w:b/>
          <w:i/>
          <w:color w:val="000000" w:themeColor="text1"/>
          <w:sz w:val="24"/>
          <w:szCs w:val="24"/>
        </w:rPr>
        <w:t>SteelForm</w:t>
      </w:r>
      <w:proofErr w:type="spellEnd"/>
      <w:r w:rsidR="00A9209A" w:rsidRPr="00A9209A">
        <w:rPr>
          <w:rFonts w:cstheme="minorHAnsi"/>
          <w:b/>
          <w:i/>
          <w:color w:val="000000" w:themeColor="text1"/>
          <w:sz w:val="24"/>
          <w:szCs w:val="24"/>
        </w:rPr>
        <w:t xml:space="preserve"> Manufacturing.</w:t>
      </w:r>
    </w:p>
    <w:tbl>
      <w:tblPr>
        <w:tblStyle w:val="GridTable1Light-Accent1"/>
        <w:tblW w:w="0" w:type="auto"/>
        <w:tblLook w:val="04A0" w:firstRow="1" w:lastRow="0" w:firstColumn="1" w:lastColumn="0" w:noHBand="0" w:noVBand="1"/>
      </w:tblPr>
      <w:tblGrid>
        <w:gridCol w:w="1447"/>
        <w:gridCol w:w="1491"/>
        <w:gridCol w:w="3197"/>
        <w:gridCol w:w="999"/>
        <w:gridCol w:w="1882"/>
      </w:tblGrid>
      <w:tr w:rsidR="00A9209A" w:rsidRPr="00A9209A" w:rsidTr="00F57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4" w:type="dxa"/>
            <w:tcBorders>
              <w:top w:val="single" w:sz="12" w:space="0" w:color="2E74B5"/>
              <w:bottom w:val="single" w:sz="12" w:space="0" w:color="2E74B5"/>
            </w:tcBorders>
          </w:tcPr>
          <w:p w:rsidR="00A9209A" w:rsidRPr="00F57F44" w:rsidRDefault="00A9209A" w:rsidP="00A9209A">
            <w:pPr>
              <w:spacing w:line="360" w:lineRule="auto"/>
              <w:jc w:val="both"/>
              <w:rPr>
                <w:rFonts w:cstheme="minorHAnsi"/>
                <w:color w:val="2E74B5" w:themeColor="accent1" w:themeShade="BF"/>
                <w:sz w:val="24"/>
                <w:szCs w:val="24"/>
              </w:rPr>
            </w:pPr>
            <w:r w:rsidRPr="00F57F44">
              <w:rPr>
                <w:rFonts w:cstheme="minorHAnsi"/>
                <w:color w:val="2E74B5" w:themeColor="accent1" w:themeShade="BF"/>
                <w:sz w:val="24"/>
                <w:szCs w:val="24"/>
              </w:rPr>
              <w:t>Phase</w:t>
            </w:r>
          </w:p>
        </w:tc>
        <w:tc>
          <w:tcPr>
            <w:tcW w:w="1584"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Timescale</w:t>
            </w:r>
          </w:p>
        </w:tc>
        <w:tc>
          <w:tcPr>
            <w:tcW w:w="3744"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Key actions</w:t>
            </w:r>
          </w:p>
        </w:tc>
        <w:tc>
          <w:tcPr>
            <w:tcW w:w="1008"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Cost</w:t>
            </w:r>
          </w:p>
        </w:tc>
        <w:tc>
          <w:tcPr>
            <w:tcW w:w="2160"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Owner</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1584" w:type="dxa"/>
            <w:tcBorders>
              <w:top w:val="single" w:sz="12" w:space="0" w:color="2E74B5"/>
            </w:tcBorders>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Quick wins</w:t>
            </w:r>
          </w:p>
        </w:tc>
        <w:tc>
          <w:tcPr>
            <w:tcW w:w="1584"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0–3 months</w:t>
            </w:r>
          </w:p>
        </w:tc>
        <w:tc>
          <w:tcPr>
            <w:tcW w:w="3744"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MFA, immutable backups, email filtering, launch awareness training</w:t>
            </w:r>
          </w:p>
        </w:tc>
        <w:tc>
          <w:tcPr>
            <w:tcW w:w="1008"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Low</w:t>
            </w:r>
          </w:p>
        </w:tc>
        <w:tc>
          <w:tcPr>
            <w:tcW w:w="2160"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IT / Security Manager</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1584" w:type="dxa"/>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Medium term</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3–12 months</w:t>
            </w:r>
          </w:p>
        </w:tc>
        <w:tc>
          <w:tcPr>
            <w:tcW w:w="374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IT/OT segmentation, EDR, CISA-KEV patching, SIEM/SOAR via MSSP</w:t>
            </w:r>
          </w:p>
        </w:tc>
        <w:tc>
          <w:tcPr>
            <w:tcW w:w="1008"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Medium</w:t>
            </w:r>
          </w:p>
        </w:tc>
        <w:tc>
          <w:tcPr>
            <w:tcW w:w="2160"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IT team + MSSP</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1584" w:type="dxa"/>
            <w:tcBorders>
              <w:bottom w:val="single" w:sz="12" w:space="0" w:color="2E74B5"/>
            </w:tcBorders>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Strategic</w:t>
            </w:r>
          </w:p>
        </w:tc>
        <w:tc>
          <w:tcPr>
            <w:tcW w:w="1584"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12+ months</w:t>
            </w:r>
          </w:p>
        </w:tc>
        <w:tc>
          <w:tcPr>
            <w:tcW w:w="3744"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Full Zero Trust, ISO 27001 certification, secure-by-design procurement</w:t>
            </w:r>
          </w:p>
        </w:tc>
        <w:tc>
          <w:tcPr>
            <w:tcW w:w="1008"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High</w:t>
            </w:r>
          </w:p>
        </w:tc>
        <w:tc>
          <w:tcPr>
            <w:tcW w:w="2160"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Board + Security function</w:t>
            </w:r>
          </w:p>
        </w:tc>
      </w:tr>
    </w:tbl>
    <w:p w:rsidR="00C06591" w:rsidRDefault="00C06591" w:rsidP="00F57F44">
      <w:pPr>
        <w:spacing w:before="120" w:after="40" w:line="360" w:lineRule="auto"/>
        <w:jc w:val="center"/>
        <w:rPr>
          <w:rFonts w:cstheme="minorHAnsi"/>
          <w:b/>
          <w:i/>
          <w:color w:val="000000" w:themeColor="text1"/>
          <w:sz w:val="24"/>
          <w:szCs w:val="24"/>
        </w:rPr>
      </w:pPr>
    </w:p>
    <w:p w:rsidR="00A9209A" w:rsidRPr="00A9209A" w:rsidRDefault="00F57F44" w:rsidP="00F57F44">
      <w:pPr>
        <w:spacing w:before="120" w:after="40" w:line="360" w:lineRule="auto"/>
        <w:jc w:val="center"/>
        <w:rPr>
          <w:rFonts w:cstheme="minorHAnsi"/>
          <w:color w:val="000000" w:themeColor="text1"/>
          <w:sz w:val="24"/>
          <w:szCs w:val="24"/>
        </w:rPr>
      </w:pPr>
      <w:r>
        <w:rPr>
          <w:rFonts w:cstheme="minorHAnsi"/>
          <w:b/>
          <w:i/>
          <w:color w:val="000000" w:themeColor="text1"/>
          <w:sz w:val="24"/>
          <w:szCs w:val="24"/>
        </w:rPr>
        <w:t>Table IV:</w:t>
      </w:r>
      <w:r w:rsidR="00A9209A" w:rsidRPr="00A9209A">
        <w:rPr>
          <w:rFonts w:cstheme="minorHAnsi"/>
          <w:b/>
          <w:i/>
          <w:color w:val="000000" w:themeColor="text1"/>
          <w:sz w:val="24"/>
          <w:szCs w:val="24"/>
        </w:rPr>
        <w:t xml:space="preserve"> Indicative cost and benefit of the main controls.</w:t>
      </w:r>
    </w:p>
    <w:tbl>
      <w:tblPr>
        <w:tblStyle w:val="GridTable1Light-Accent1"/>
        <w:tblW w:w="0" w:type="auto"/>
        <w:tblLook w:val="04A0" w:firstRow="1" w:lastRow="0" w:firstColumn="1" w:lastColumn="0" w:noHBand="0" w:noVBand="1"/>
      </w:tblPr>
      <w:tblGrid>
        <w:gridCol w:w="3241"/>
        <w:gridCol w:w="1565"/>
        <w:gridCol w:w="4210"/>
      </w:tblGrid>
      <w:tr w:rsidR="00A9209A" w:rsidRPr="00A9209A" w:rsidTr="00F57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top w:val="single" w:sz="12" w:space="0" w:color="2E74B5"/>
            </w:tcBorders>
          </w:tcPr>
          <w:p w:rsidR="00A9209A" w:rsidRPr="00F57F44" w:rsidRDefault="00A9209A" w:rsidP="00A9209A">
            <w:pPr>
              <w:spacing w:line="360" w:lineRule="auto"/>
              <w:jc w:val="both"/>
              <w:rPr>
                <w:rFonts w:cstheme="minorHAnsi"/>
                <w:color w:val="2E74B5" w:themeColor="accent1" w:themeShade="BF"/>
                <w:sz w:val="24"/>
                <w:szCs w:val="24"/>
              </w:rPr>
            </w:pPr>
            <w:r w:rsidRPr="00F57F44">
              <w:rPr>
                <w:rFonts w:cstheme="minorHAnsi"/>
                <w:color w:val="2E74B5" w:themeColor="accent1" w:themeShade="BF"/>
                <w:sz w:val="24"/>
                <w:szCs w:val="24"/>
              </w:rPr>
              <w:t>Control</w:t>
            </w:r>
          </w:p>
        </w:tc>
        <w:tc>
          <w:tcPr>
            <w:tcW w:w="1584" w:type="dxa"/>
            <w:tcBorders>
              <w:top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Cost</w:t>
            </w:r>
          </w:p>
        </w:tc>
        <w:tc>
          <w:tcPr>
            <w:tcW w:w="4320" w:type="dxa"/>
            <w:tcBorders>
              <w:top w:val="single" w:sz="12" w:space="0" w:color="2E74B5"/>
            </w:tcBorders>
          </w:tcPr>
          <w:p w:rsidR="00A9209A" w:rsidRPr="00F57F44" w:rsidRDefault="00A9209A" w:rsidP="00C06591">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 xml:space="preserve">Primary </w:t>
            </w:r>
            <w:r w:rsidR="00C06591">
              <w:rPr>
                <w:rFonts w:cstheme="minorHAnsi"/>
                <w:color w:val="2E74B5" w:themeColor="accent1" w:themeShade="BF"/>
                <w:sz w:val="24"/>
                <w:szCs w:val="24"/>
              </w:rPr>
              <w:t>benefit/risk</w:t>
            </w:r>
            <w:r w:rsidRPr="00F57F44">
              <w:rPr>
                <w:rFonts w:cstheme="minorHAnsi"/>
                <w:color w:val="2E74B5" w:themeColor="accent1" w:themeShade="BF"/>
                <w:sz w:val="24"/>
                <w:szCs w:val="24"/>
              </w:rPr>
              <w:t xml:space="preserve"> reduced</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3312" w:type="dxa"/>
            <w:tcBorders>
              <w:top w:val="single" w:sz="12" w:space="0" w:color="2E74B5"/>
            </w:tcBorders>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MFA &amp; identity management (Zero Trust)</w:t>
            </w:r>
          </w:p>
        </w:tc>
        <w:tc>
          <w:tcPr>
            <w:tcW w:w="1584"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Low</w:t>
            </w:r>
          </w:p>
        </w:tc>
        <w:tc>
          <w:tcPr>
            <w:tcW w:w="4320" w:type="dxa"/>
            <w:tcBorders>
              <w:top w:val="single" w:sz="12" w:space="0" w:color="2E74B5"/>
            </w:tcBorders>
          </w:tcPr>
          <w:p w:rsidR="00A9209A" w:rsidRPr="00F57F44" w:rsidRDefault="00A9209A" w:rsidP="00C06591">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Blocks most credential-theft attacks</w:t>
            </w:r>
            <w:r w:rsidR="00C06591">
              <w:rPr>
                <w:rFonts w:cstheme="minorHAnsi"/>
                <w:color w:val="000000" w:themeColor="text1"/>
                <w:szCs w:val="24"/>
              </w:rPr>
              <w:t xml:space="preserve"> </w:t>
            </w:r>
            <w:r w:rsidR="00C06591">
              <w:rPr>
                <w:rFonts w:cstheme="minorHAnsi"/>
                <w:color w:val="000000" w:themeColor="text1"/>
                <w:szCs w:val="24"/>
              </w:rPr>
              <w:fldChar w:fldCharType="begin"/>
            </w:r>
            <w:r w:rsidR="00C06591">
              <w:rPr>
                <w:rFonts w:cstheme="minorHAnsi"/>
                <w:color w:val="000000" w:themeColor="text1"/>
                <w:szCs w:val="24"/>
              </w:rPr>
              <w:instrText xml:space="preserve"> ADDIN ZOTERO_ITEM CSL_CITATION {"citationID":"xpouZQWu","properties":{"unsorted":false,"formattedCitation":"[2], [6]","plainCitation":"[2], [6]","noteIndex":0},"citationItems":[{"id":20496,"uris":["http://zotero.org/users/14203622/items/7NX65Q43"],"itemData":{"id":20496,"type":"webpage","abstract":"See what the  X-Force Threat Intelligence Index Report 2026 has to say about today's cybersecurity landscape.","language":"en","title":"X-Force Threat Intelligence Index 2026 | IBM","URL":"https://www.ibm.com/reports/threat-intelligence","author":[{"literal":"IBM"}],"accessed":{"date-parts":[["2026",7,23]]},"issued":{"date-parts":[["2026"]]}}},{"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(DBIR)","URL":"https://www.verizon.com/business/resources/reports/dbir/","author":[{"literal":"Verizon"}],"accessed":{"date-parts":[["2026",7,23]]},"issued":{"date-parts":[["2026"]]}}}],"schema":"https://github.com/citation-style-language/schema/raw/master/csl-citation.json"} </w:instrText>
            </w:r>
            <w:r w:rsidR="00C06591">
              <w:rPr>
                <w:rFonts w:cstheme="minorHAnsi"/>
                <w:color w:val="000000" w:themeColor="text1"/>
                <w:szCs w:val="24"/>
              </w:rPr>
              <w:fldChar w:fldCharType="separate"/>
            </w:r>
            <w:r w:rsidR="00C06591" w:rsidRPr="00C06591">
              <w:rPr>
                <w:rFonts w:ascii="Calibri" w:hAnsi="Calibri" w:cs="Calibri"/>
              </w:rPr>
              <w:t>[2], [6]</w:t>
            </w:r>
            <w:r w:rsidR="00C06591">
              <w:rPr>
                <w:rFonts w:cstheme="minorHAnsi"/>
                <w:color w:val="000000" w:themeColor="text1"/>
                <w:szCs w:val="24"/>
              </w:rPr>
              <w:fldChar w:fldCharType="end"/>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3312" w:type="dxa"/>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Network segmentation &amp; firewalls</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Medium</w:t>
            </w:r>
          </w:p>
        </w:tc>
        <w:tc>
          <w:tcPr>
            <w:tcW w:w="4320" w:type="dxa"/>
          </w:tcPr>
          <w:p w:rsidR="00A9209A" w:rsidRPr="00F57F44" w:rsidRDefault="00A9209A" w:rsidP="00C06591">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Contains ransomware and protects OT</w:t>
            </w:r>
            <w:r w:rsidR="00C06591">
              <w:rPr>
                <w:rFonts w:cstheme="minorHAnsi"/>
                <w:color w:val="000000" w:themeColor="text1"/>
                <w:szCs w:val="24"/>
              </w:rPr>
              <w:t xml:space="preserve"> </w:t>
            </w:r>
            <w:r w:rsidR="00C06591">
              <w:rPr>
                <w:rFonts w:cstheme="minorHAnsi"/>
                <w:color w:val="000000" w:themeColor="text1"/>
                <w:szCs w:val="24"/>
              </w:rPr>
              <w:fldChar w:fldCharType="begin"/>
            </w:r>
            <w:r w:rsidR="00C06591">
              <w:rPr>
                <w:rFonts w:cstheme="minorHAnsi"/>
                <w:color w:val="000000" w:themeColor="text1"/>
                <w:szCs w:val="24"/>
              </w:rPr>
              <w:instrText xml:space="preserve"> ADDIN ZOTERO_ITEM CSL_CITATION {"citationID":"nqCASehq","properties":{"unsorted":false,"formattedCitation":"[8]","plainCitation":"[8]","noteIndex":0},"citationItems":[{"id":20523,"uris":["http://zotero.org/users/14203622/items/WEEEBZ7A"],"itemData":{"id":20523,"type":"post-weblog","abstract":"To pay or not to pay: It’s an essential and fraught question in regards to ransomware attacks. When multinational aluminum manufacturer Norsk Hydro was hit with a cyberattack in 2019, they chose not to pay in a response hailed by law enforcement organizations and the information security industry as the “gold standard,” according to a […]","container-title":"Control Engineering","language":"en-US","title":"Throwback Attack: Norsk Hydro gets hit by LockerGoga ransomware","title-short":"Throwback Attack","URL":"https://www.controleng.com/throwback-attack-norsk-hydro-gets-hit-by-lockergoga-ransomware/","author":[{"family":"gcohen","given":""}],"accessed":{"date-parts":[["2026",7,23]]},"issued":{"date-parts":[["2021",5,20]]}}}],"schema":"https://github.com/citation-style-language/schema/raw/master/csl-citation.json"} </w:instrText>
            </w:r>
            <w:r w:rsidR="00C06591">
              <w:rPr>
                <w:rFonts w:cstheme="minorHAnsi"/>
                <w:color w:val="000000" w:themeColor="text1"/>
                <w:szCs w:val="24"/>
              </w:rPr>
              <w:fldChar w:fldCharType="separate"/>
            </w:r>
            <w:r w:rsidR="00C06591" w:rsidRPr="00C06591">
              <w:rPr>
                <w:rFonts w:ascii="Calibri" w:hAnsi="Calibri" w:cs="Calibri"/>
              </w:rPr>
              <w:t>[8]</w:t>
            </w:r>
            <w:r w:rsidR="00C06591">
              <w:rPr>
                <w:rFonts w:cstheme="minorHAnsi"/>
                <w:color w:val="000000" w:themeColor="text1"/>
                <w:szCs w:val="24"/>
              </w:rPr>
              <w:fldChar w:fldCharType="end"/>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3312" w:type="dxa"/>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Immutable, offline backups</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Low–Medium</w:t>
            </w:r>
          </w:p>
        </w:tc>
        <w:tc>
          <w:tcPr>
            <w:tcW w:w="4320" w:type="dxa"/>
          </w:tcPr>
          <w:p w:rsidR="00A9209A" w:rsidRPr="00F57F44" w:rsidRDefault="00A9209A" w:rsidP="00C06591">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Enables recovery without paying a ransom</w:t>
            </w:r>
            <w:r w:rsidR="00C06591">
              <w:rPr>
                <w:rFonts w:cstheme="minorHAnsi"/>
                <w:color w:val="000000" w:themeColor="text1"/>
                <w:szCs w:val="24"/>
              </w:rPr>
              <w:t xml:space="preserve"> [8</w:t>
            </w:r>
            <w:r w:rsidRPr="00F57F44">
              <w:rPr>
                <w:rFonts w:cstheme="minorHAnsi"/>
                <w:color w:val="000000" w:themeColor="text1"/>
                <w:szCs w:val="24"/>
              </w:rPr>
              <w:t>]</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3312" w:type="dxa"/>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Security awareness training</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Low</w:t>
            </w:r>
          </w:p>
        </w:tc>
        <w:tc>
          <w:tcPr>
            <w:tcW w:w="4320"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Cuts phishing susce</w:t>
            </w:r>
            <w:r w:rsidR="00C06591">
              <w:rPr>
                <w:rFonts w:cstheme="minorHAnsi"/>
                <w:color w:val="000000" w:themeColor="text1"/>
                <w:szCs w:val="24"/>
              </w:rPr>
              <w:t xml:space="preserve">ptibility from 33.1% to 4.1% </w:t>
            </w:r>
            <w:r w:rsidR="00C06591">
              <w:rPr>
                <w:rFonts w:cstheme="minorHAnsi"/>
                <w:color w:val="000000" w:themeColor="text1"/>
                <w:szCs w:val="24"/>
              </w:rPr>
              <w:fldChar w:fldCharType="begin"/>
            </w:r>
            <w:r w:rsidR="00C06591">
              <w:rPr>
                <w:rFonts w:cstheme="minorHAnsi"/>
                <w:color w:val="000000" w:themeColor="text1"/>
                <w:szCs w:val="24"/>
              </w:rPr>
              <w:instrText xml:space="preserve"> ADDIN ZOTERO_ITEM CSL_CITATION {"citationID":"gsMSHAqX","properties":{"unsorted":false,"formattedCitation":"[16]","plainCitation":"[16]","noteIndex":0},"citationItems":[{"id":20509,"uris":["http://zotero.org/users/14203622/items/MZM4I4BL"],"itemData":{"id":20509,"type":"webpage","abstract":"Download KnowBe4's 2026 Phishing Benchmarking Report. See risk data across 19 industries and learn how training cuts susceptibility by 87%.","language":"en","title":"Report | 2026 Phishing by Industry Benchmarking Report","URL":"https://www.knowbe4.com/resources/reports/phishing-by-industry-benchmarking-report","author":[{"literal":"knowbe4"}],"accessed":{"date-parts":[["2026",7,23]]},"issued":{"date-parts":[["2026"]]}}}],"schema":"https://github.com/citation-style-language/schema/raw/master/csl-citation.json"} </w:instrText>
            </w:r>
            <w:r w:rsidR="00C06591">
              <w:rPr>
                <w:rFonts w:cstheme="minorHAnsi"/>
                <w:color w:val="000000" w:themeColor="text1"/>
                <w:szCs w:val="24"/>
              </w:rPr>
              <w:fldChar w:fldCharType="separate"/>
            </w:r>
            <w:r w:rsidR="00C06591" w:rsidRPr="00C06591">
              <w:rPr>
                <w:rFonts w:ascii="Calibri" w:hAnsi="Calibri" w:cs="Calibri"/>
              </w:rPr>
              <w:t>[16]</w:t>
            </w:r>
            <w:r w:rsidR="00C06591">
              <w:rPr>
                <w:rFonts w:cstheme="minorHAnsi"/>
                <w:color w:val="000000" w:themeColor="text1"/>
                <w:szCs w:val="24"/>
              </w:rPr>
              <w:fldChar w:fldCharType="end"/>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3312" w:type="dxa"/>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SIEM / SOAR monitoring (MSSP)</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Medium–High</w:t>
            </w:r>
          </w:p>
        </w:tc>
        <w:tc>
          <w:tcPr>
            <w:tcW w:w="4320" w:type="dxa"/>
          </w:tcPr>
          <w:p w:rsidR="00A9209A" w:rsidRPr="00F57F44" w:rsidRDefault="00A9209A" w:rsidP="00C06591">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 xml:space="preserve">Faster detection and lower breach cost </w:t>
            </w:r>
            <w:r w:rsidR="00C06591">
              <w:rPr>
                <w:rFonts w:cstheme="minorHAnsi"/>
                <w:color w:val="000000" w:themeColor="text1"/>
                <w:szCs w:val="24"/>
              </w:rPr>
              <w:fldChar w:fldCharType="begin"/>
            </w:r>
            <w:r w:rsidR="00C06591">
              <w:rPr>
                <w:rFonts w:cstheme="minorHAnsi"/>
                <w:color w:val="000000" w:themeColor="text1"/>
                <w:szCs w:val="24"/>
              </w:rPr>
              <w:instrText xml:space="preserve"> ADDIN ZOTERO_ITEM CSL_CITATION {"citationID":"XMR3dmJg","properties":{"unsorted":false,"formattedCitation":"[4]","plainCitation":"[4]","noteIndex":0},"citationItems":[{"id":20501,"uris":["http://zotero.org/users/14203622/items/JUHT42S6"],"itemData":{"id":20501,"type":"webpage","abstract":"IBM’s global Cost of a Data Breach Report 2025 provides up-to-date insights into cybersecurity threats and their financial impacts on organizations.","language":"en","title":"Cost of a data breach 2025 | IBM","URL":"https://www.ibm.com/reports/data-breach","author":[{"literal":"IBM"}],"accessed":{"date-parts":[["2026",7,23]]},"issued":{"date-parts":[["2025"]]}}}],"schema":"https://github.com/citation-style-language/schema/raw/master/csl-citation.json"} </w:instrText>
            </w:r>
            <w:r w:rsidR="00C06591">
              <w:rPr>
                <w:rFonts w:cstheme="minorHAnsi"/>
                <w:color w:val="000000" w:themeColor="text1"/>
                <w:szCs w:val="24"/>
              </w:rPr>
              <w:fldChar w:fldCharType="separate"/>
            </w:r>
            <w:r w:rsidR="00C06591" w:rsidRPr="00C06591">
              <w:rPr>
                <w:rFonts w:ascii="Calibri" w:hAnsi="Calibri" w:cs="Calibri"/>
              </w:rPr>
              <w:t>[4]</w:t>
            </w:r>
            <w:r w:rsidR="00C06591">
              <w:rPr>
                <w:rFonts w:cstheme="minorHAnsi"/>
                <w:color w:val="000000" w:themeColor="text1"/>
                <w:szCs w:val="24"/>
              </w:rPr>
              <w:fldChar w:fldCharType="end"/>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3312" w:type="dxa"/>
            <w:tcBorders>
              <w:bottom w:val="single" w:sz="12" w:space="0" w:color="2E74B5"/>
            </w:tcBorders>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CISA-KEV patch management &amp; EDR</w:t>
            </w:r>
          </w:p>
        </w:tc>
        <w:tc>
          <w:tcPr>
            <w:tcW w:w="1584"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Medium</w:t>
            </w:r>
          </w:p>
        </w:tc>
        <w:tc>
          <w:tcPr>
            <w:tcW w:w="4320" w:type="dxa"/>
            <w:tcBorders>
              <w:bottom w:val="single" w:sz="12" w:space="0" w:color="2E74B5"/>
            </w:tcBorders>
          </w:tcPr>
          <w:p w:rsidR="00A9209A" w:rsidRPr="00F57F44" w:rsidRDefault="00A9209A" w:rsidP="00C06591">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 xml:space="preserve">Reduces </w:t>
            </w:r>
            <w:r w:rsidR="00C06591">
              <w:rPr>
                <w:rFonts w:cstheme="minorHAnsi"/>
                <w:color w:val="000000" w:themeColor="text1"/>
                <w:szCs w:val="24"/>
              </w:rPr>
              <w:t>exploited vulnerabilities and malware risk [2</w:t>
            </w:r>
            <w:r w:rsidRPr="00F57F44">
              <w:rPr>
                <w:rFonts w:cstheme="minorHAnsi"/>
                <w:color w:val="000000" w:themeColor="text1"/>
                <w:szCs w:val="24"/>
              </w:rPr>
              <w:t>]</w:t>
            </w:r>
          </w:p>
        </w:tc>
      </w:tr>
    </w:tbl>
    <w:p w:rsidR="00C06591" w:rsidRDefault="00C06591" w:rsidP="00A9209A">
      <w:pPr>
        <w:spacing w:after="80" w:line="360" w:lineRule="auto"/>
        <w:jc w:val="both"/>
        <w:rPr>
          <w:rFonts w:cstheme="minorHAnsi"/>
          <w:color w:val="000000" w:themeColor="text1"/>
          <w:sz w:val="24"/>
          <w:szCs w:val="24"/>
        </w:rPr>
      </w:pPr>
    </w:p>
    <w:p w:rsidR="00C06591" w:rsidRDefault="00C06591" w:rsidP="00A9209A">
      <w:pPr>
        <w:spacing w:after="80" w:line="360" w:lineRule="auto"/>
        <w:jc w:val="both"/>
        <w:rPr>
          <w:rFonts w:cstheme="minorHAnsi"/>
          <w:color w:val="000000" w:themeColor="text1"/>
          <w:sz w:val="24"/>
          <w:szCs w:val="24"/>
        </w:rPr>
      </w:pPr>
    </w:p>
    <w:p w:rsidR="00C06591" w:rsidRDefault="00C06591" w:rsidP="00A9209A">
      <w:pPr>
        <w:spacing w:after="80" w:line="360" w:lineRule="auto"/>
        <w:jc w:val="both"/>
        <w:rPr>
          <w:rFonts w:cstheme="minorHAnsi"/>
          <w:color w:val="000000" w:themeColor="text1"/>
          <w:sz w:val="24"/>
          <w:szCs w:val="24"/>
        </w:rPr>
      </w:pPr>
    </w:p>
    <w:p w:rsidR="00DE4A8C" w:rsidRDefault="00DE4A8C" w:rsidP="00A9209A">
      <w:pPr>
        <w:spacing w:after="80" w:line="360" w:lineRule="auto"/>
        <w:jc w:val="both"/>
        <w:rPr>
          <w:rFonts w:cstheme="minorHAnsi"/>
          <w:color w:val="000000" w:themeColor="text1"/>
          <w:sz w:val="24"/>
          <w:szCs w:val="24"/>
        </w:rPr>
      </w:pPr>
      <w:r>
        <w:rPr>
          <w:rFonts w:cstheme="minorHAnsi"/>
          <w:noProof/>
          <w:color w:val="000000" w:themeColor="text1"/>
          <w:sz w:val="24"/>
          <w:szCs w:val="24"/>
          <w:lang w:eastAsia="en-GB"/>
        </w:rPr>
        <w:lastRenderedPageBreak/>
        <w:drawing>
          <wp:anchor distT="0" distB="0" distL="114300" distR="114300" simplePos="0" relativeHeight="251658240" behindDoc="1" locked="0" layoutInCell="1" allowOverlap="1">
            <wp:simplePos x="0" y="0"/>
            <wp:positionH relativeFrom="margin">
              <wp:posOffset>-604299</wp:posOffset>
            </wp:positionH>
            <wp:positionV relativeFrom="paragraph">
              <wp:posOffset>391352</wp:posOffset>
            </wp:positionV>
            <wp:extent cx="6984255" cy="4150581"/>
            <wp:effectExtent l="0" t="0" r="762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11.png"/>
                    <pic:cNvPicPr/>
                  </pic:nvPicPr>
                  <pic:blipFill rotWithShape="1">
                    <a:blip r:embed="rId11" cstate="print">
                      <a:extLst>
                        <a:ext uri="{28A0092B-C50C-407E-A947-70E740481C1C}">
                          <a14:useLocalDpi xmlns:a14="http://schemas.microsoft.com/office/drawing/2010/main" val="0"/>
                        </a:ext>
                      </a:extLst>
                    </a:blip>
                    <a:srcRect b="8505"/>
                    <a:stretch/>
                  </pic:blipFill>
                  <pic:spPr bwMode="auto">
                    <a:xfrm>
                      <a:off x="0" y="0"/>
                      <a:ext cx="6992182" cy="41552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9209A" w:rsidRDefault="00A9209A" w:rsidP="00A9209A">
      <w:pPr>
        <w:spacing w:after="80" w:line="360" w:lineRule="auto"/>
        <w:jc w:val="both"/>
        <w:rPr>
          <w:rFonts w:cstheme="minorHAnsi"/>
          <w:color w:val="000000" w:themeColor="text1"/>
          <w:sz w:val="24"/>
          <w:szCs w:val="24"/>
        </w:rPr>
      </w:pPr>
    </w:p>
    <w:p w:rsidR="00CB6437" w:rsidRDefault="00CB6437" w:rsidP="00A9209A">
      <w:pPr>
        <w:spacing w:after="80" w:line="360" w:lineRule="auto"/>
        <w:jc w:val="both"/>
        <w:rPr>
          <w:rFonts w:cstheme="minorHAnsi"/>
          <w:color w:val="000000" w:themeColor="text1"/>
          <w:sz w:val="24"/>
          <w:szCs w:val="24"/>
        </w:rPr>
      </w:pPr>
    </w:p>
    <w:p w:rsidR="00CB6437" w:rsidRDefault="00CB6437" w:rsidP="00A9209A">
      <w:pPr>
        <w:spacing w:after="80" w:line="360" w:lineRule="auto"/>
        <w:jc w:val="both"/>
        <w:rPr>
          <w:rFonts w:cstheme="minorHAnsi"/>
          <w:color w:val="000000" w:themeColor="text1"/>
          <w:sz w:val="24"/>
          <w:szCs w:val="24"/>
        </w:rPr>
      </w:pPr>
    </w:p>
    <w:p w:rsidR="00CB6437" w:rsidRDefault="00CB6437" w:rsidP="00A9209A">
      <w:pPr>
        <w:spacing w:after="80" w:line="360" w:lineRule="auto"/>
        <w:jc w:val="both"/>
        <w:rPr>
          <w:rFonts w:cstheme="minorHAnsi"/>
          <w:color w:val="000000" w:themeColor="text1"/>
          <w:sz w:val="24"/>
          <w:szCs w:val="24"/>
        </w:rPr>
      </w:pPr>
    </w:p>
    <w:p w:rsidR="00CB6437" w:rsidRPr="00A9209A" w:rsidRDefault="00CB6437" w:rsidP="00A9209A">
      <w:pPr>
        <w:spacing w:after="80"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CB6437" w:rsidRDefault="00CB6437" w:rsidP="00A9209A">
      <w:pPr>
        <w:spacing w:line="360" w:lineRule="auto"/>
        <w:jc w:val="both"/>
        <w:rPr>
          <w:rFonts w:cstheme="minorHAnsi"/>
          <w:color w:val="000000" w:themeColor="text1"/>
          <w:sz w:val="24"/>
          <w:szCs w:val="24"/>
        </w:rPr>
      </w:pPr>
    </w:p>
    <w:p w:rsidR="00CB6437" w:rsidRDefault="00CB6437" w:rsidP="00A9209A">
      <w:pPr>
        <w:spacing w:line="360" w:lineRule="auto"/>
        <w:jc w:val="both"/>
        <w:rPr>
          <w:rFonts w:cstheme="minorHAnsi"/>
          <w:color w:val="000000" w:themeColor="text1"/>
          <w:sz w:val="24"/>
          <w:szCs w:val="24"/>
        </w:rPr>
      </w:pPr>
    </w:p>
    <w:p w:rsidR="00CB6437" w:rsidRDefault="00CB6437" w:rsidP="00A9209A">
      <w:pPr>
        <w:spacing w:line="360" w:lineRule="auto"/>
        <w:jc w:val="both"/>
        <w:rPr>
          <w:rFonts w:cstheme="minorHAnsi"/>
          <w:color w:val="000000" w:themeColor="text1"/>
          <w:sz w:val="24"/>
          <w:szCs w:val="24"/>
        </w:rPr>
      </w:pPr>
    </w:p>
    <w:p w:rsidR="00CB6437" w:rsidRDefault="00CB6437" w:rsidP="00A9209A">
      <w:pPr>
        <w:spacing w:line="360" w:lineRule="auto"/>
        <w:jc w:val="both"/>
        <w:rPr>
          <w:rFonts w:cstheme="minorHAnsi"/>
          <w:color w:val="000000" w:themeColor="text1"/>
          <w:sz w:val="24"/>
          <w:szCs w:val="24"/>
        </w:rPr>
      </w:pPr>
    </w:p>
    <w:p w:rsidR="00CB6437" w:rsidRDefault="00CB6437" w:rsidP="00A9209A">
      <w:pPr>
        <w:spacing w:line="360" w:lineRule="auto"/>
        <w:jc w:val="both"/>
        <w:rPr>
          <w:rFonts w:cstheme="minorHAnsi"/>
          <w:color w:val="000000" w:themeColor="text1"/>
          <w:sz w:val="24"/>
          <w:szCs w:val="24"/>
        </w:rPr>
      </w:pPr>
    </w:p>
    <w:p w:rsidR="00CB6437" w:rsidRDefault="00CB6437" w:rsidP="00A9209A">
      <w:pPr>
        <w:spacing w:line="360" w:lineRule="auto"/>
        <w:jc w:val="both"/>
        <w:rPr>
          <w:rFonts w:cstheme="minorHAnsi"/>
          <w:color w:val="000000" w:themeColor="text1"/>
          <w:sz w:val="24"/>
          <w:szCs w:val="24"/>
        </w:rPr>
      </w:pPr>
    </w:p>
    <w:p w:rsidR="00CB6437" w:rsidRPr="00DE4A8C" w:rsidRDefault="00DE4A8C" w:rsidP="00DE4A8C">
      <w:pPr>
        <w:spacing w:line="360" w:lineRule="auto"/>
        <w:jc w:val="center"/>
        <w:rPr>
          <w:rFonts w:cstheme="minorHAnsi"/>
          <w:b/>
          <w:color w:val="000000" w:themeColor="text1"/>
          <w:sz w:val="24"/>
          <w:szCs w:val="24"/>
        </w:rPr>
      </w:pPr>
      <w:r>
        <w:rPr>
          <w:rFonts w:cstheme="minorHAnsi"/>
          <w:b/>
          <w:color w:val="000000" w:themeColor="text1"/>
          <w:sz w:val="24"/>
          <w:szCs w:val="24"/>
        </w:rPr>
        <w:t>Figure 2:</w:t>
      </w:r>
      <w:r w:rsidR="00CB6437" w:rsidRPr="00DE4A8C">
        <w:rPr>
          <w:rFonts w:cstheme="minorHAnsi"/>
          <w:b/>
          <w:color w:val="000000" w:themeColor="text1"/>
          <w:sz w:val="24"/>
          <w:szCs w:val="24"/>
        </w:rPr>
        <w:t xml:space="preserve"> Defence-in-depth controls mapped to the NIST CSF 2.0 functions.</w:t>
      </w:r>
    </w:p>
    <w:p w:rsidR="00A9209A" w:rsidRPr="00A9209A" w:rsidRDefault="00A9209A" w:rsidP="00A9209A">
      <w:pPr>
        <w:pStyle w:val="Heading2"/>
        <w:spacing w:line="360" w:lineRule="auto"/>
        <w:jc w:val="both"/>
        <w:rPr>
          <w:rFonts w:asciiTheme="minorHAnsi" w:hAnsiTheme="minorHAnsi" w:cstheme="minorHAnsi"/>
          <w:b/>
          <w:color w:val="000000" w:themeColor="text1"/>
          <w:sz w:val="24"/>
          <w:szCs w:val="24"/>
        </w:rPr>
      </w:pPr>
      <w:bookmarkStart w:id="6" w:name="_Toc235665396"/>
      <w:r w:rsidRPr="00A9209A">
        <w:rPr>
          <w:rFonts w:asciiTheme="minorHAnsi" w:hAnsiTheme="minorHAnsi" w:cstheme="minorHAnsi"/>
          <w:b/>
          <w:color w:val="000000" w:themeColor="text1"/>
          <w:sz w:val="24"/>
          <w:szCs w:val="24"/>
        </w:rPr>
        <w:t>2.4. Proactive Monitoring and Incident Response</w:t>
      </w:r>
      <w:bookmarkEnd w:id="6"/>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Prevention is not enough; SFM must detect and respond to incidents quickly. Continuous 24/7 monitoring should be achieved through a Security Information and Event Management (SIEM) platform that collects logs from IT and OT systems, increasingly paired with Security Orchestration, Automation and Response (SOAR) to speed up and partly automate reactions</w:t>
      </w:r>
      <w:r w:rsidR="00C06591">
        <w:rPr>
          <w:rFonts w:cstheme="minorHAnsi"/>
          <w:color w:val="000000" w:themeColor="text1"/>
          <w:sz w:val="24"/>
          <w:szCs w:val="24"/>
        </w:rPr>
        <w:t xml:space="preserve">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{"citationID":"FV0S9NN9","properties":{"unsorted":false,"formattedCitation":"[10]","plainCitation":"[10]","noteIndex":0},"citationItems":[{"id":20505,"uris":["http://zotero.org/users/14203622/items/TA7ANNIE"],"itemData":{"id":20505,"type":"article-journal","abstract":"The NIST Cybersecurity Framework (CSF) 2.0 provides guidance to industry, government agencies, and other organizations to manage cybersecurity risks.","container-title":"NIST","language":"en","note":"Last Modified: 2024-02-26T15:02-05:00","publisher":"Cherilyn Pascoe, Stephen Quinn, Karen Scarfone","source":"www.nist.gov","title":"The NIST Cybersecurity Framework (CSF) 2.0","URL":"https://www.nist.gov/publications/nist-cybersecurity-framework-csf-20","author":[{"family":"Pascoe","given":"Cherilyn"},{"family":"Quinn","given":"Stephen"},{"family":"Scarfone","given":"Karen"}],"accessed":{"date-parts":[["2026",7,23]]},"issued":{"date-parts":[["2024",2,26]]}}}],"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[10]</w:t>
      </w:r>
      <w:r w:rsidR="00C06591">
        <w:rPr>
          <w:rFonts w:cstheme="minorHAnsi"/>
          <w:color w:val="000000" w:themeColor="text1"/>
          <w:sz w:val="24"/>
          <w:szCs w:val="24"/>
        </w:rPr>
        <w:fldChar w:fldCharType="end"/>
      </w:r>
      <w:r w:rsidRPr="00A9209A">
        <w:rPr>
          <w:rFonts w:cstheme="minorHAnsi"/>
          <w:color w:val="000000" w:themeColor="text1"/>
          <w:sz w:val="24"/>
          <w:szCs w:val="24"/>
        </w:rPr>
        <w:t>. Given SFM’s size, a managed security service provider (MSSP) can deliver round-the-clock monitoring and threat intelligence cost-effectively. Faster detection matters, as the average breach lifecycle is 241 days and shorter lifecycles cost far less [</w:t>
      </w:r>
      <w:proofErr w:type="gramStart"/>
      <w:r w:rsidRPr="00A9209A">
        <w:rPr>
          <w:rFonts w:cstheme="minorHAnsi"/>
          <w:color w:val="000000" w:themeColor="text1"/>
          <w:sz w:val="24"/>
          <w:szCs w:val="24"/>
        </w:rPr>
        <w:t>4</w:t>
      </w:r>
      <w:proofErr w:type="gramEnd"/>
      <w:r w:rsidRPr="00A9209A">
        <w:rPr>
          <w:rFonts w:cstheme="minorHAnsi"/>
          <w:color w:val="000000" w:themeColor="text1"/>
          <w:sz w:val="24"/>
          <w:szCs w:val="24"/>
        </w:rPr>
        <w:t>]. SFM should also take part in threat-intelligence sharing, for example through national bodies such as the NCSC, so that it learns of emerging attacks before they reach its own network.</w:t>
      </w:r>
    </w:p>
    <w:p w:rsid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A formal incident-response plan should follow the recognised lifecycle of preparation, detection and analysis, containment, eradication, recovery, and post-incident review, carried out by a Computer Security Incident Response Team (CSIRT) with clear roles</w:t>
      </w:r>
      <w:r w:rsidR="00C06591">
        <w:rPr>
          <w:rFonts w:cstheme="minorHAnsi"/>
          <w:color w:val="000000" w:themeColor="text1"/>
          <w:sz w:val="24"/>
          <w:szCs w:val="24"/>
        </w:rPr>
        <w:t xml:space="preserve">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{"citationID":"cBeDB51D","properties":{"unsorted":false,"formattedCitation":"[5]","plainCitation":"[5]","noteIndex":0},"citationItems":[{"id":20511,"uris":["http://zotero.org/users/14203622/items/XYBUHTL2"],"itemData":{"id":20511,"type":"webpage","abstract":"Learn from cybersecurity experts what a typical day in a cybersecurity career might look like and discover how modern threats drive more cybersecurity jobs.","language":"en-US","title":"Cybersecurity Essentials","URL":"https://www.netacad.com/courses/cybersecurity-essentials?courseLang=en-US","author":[{"literal":"Cisco Networking Academy"}],"accessed":{"date-parts":[["2026",7,23]]},"issued":{"date-parts":[["2026"]]}}}],"schema":"https://github.com/citation-style-language/schema/raw/master/csl-citation.json"}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[5]</w:t>
      </w:r>
      <w:r w:rsidR="00C06591">
        <w:rPr>
          <w:rFonts w:cstheme="minorHAnsi"/>
          <w:color w:val="000000" w:themeColor="text1"/>
          <w:sz w:val="24"/>
          <w:szCs w:val="24"/>
        </w:rPr>
        <w:fldChar w:fldCharType="end"/>
      </w:r>
      <w:r w:rsidRPr="00A9209A">
        <w:rPr>
          <w:rFonts w:cstheme="minorHAnsi"/>
          <w:color w:val="000000" w:themeColor="text1"/>
          <w:sz w:val="24"/>
          <w:szCs w:val="24"/>
        </w:rPr>
        <w:t xml:space="preserve">. Specific </w:t>
      </w:r>
      <w:r w:rsidRPr="00A9209A">
        <w:rPr>
          <w:rFonts w:cstheme="minorHAnsi"/>
          <w:color w:val="000000" w:themeColor="text1"/>
          <w:sz w:val="24"/>
          <w:szCs w:val="24"/>
        </w:rPr>
        <w:lastRenderedPageBreak/>
        <w:t>ransomware procedures should include isolating affected systems, preserving evidence and restoring from immutable backups. Where personal data is involved, SFM must notify the Information Commissioner’s Office within 72 hours</w:t>
      </w:r>
      <w:r w:rsidR="00C06591">
        <w:rPr>
          <w:rFonts w:cstheme="minorHAnsi"/>
          <w:color w:val="000000" w:themeColor="text1"/>
          <w:sz w:val="24"/>
          <w:szCs w:val="24"/>
        </w:rPr>
        <w:t xml:space="preserve">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{"citationID":"5Gk6nJpl","properties":{"unsorted":false,"formattedCitation":"[13]","plainCitation":"[13]","noteIndex":0},"citationItems":[{"id":20507,"uris":["http://zotero.org/users/14203622/items/J3FJ75MA"],"itemData":{"id":20507,"type":"webpage","abstract":"This summarises the changes the DUAA makes to data protection law that may affect you if you’re an organisation using personal information.","language":"en","publisher":"ICO","title":"The Data Use and Access Act 2025 (DUAA) - what does it mean for organisations?","URL":"https://ico.org.uk/about-the-ico/what-we-do/legislation-we-cover/data-use-and-access-act-2025/the-data-use-and-access-act-2025-what-does-it-mean-for-organisations/","author":[{"literal":"ICO"}],"accessed":{"date-parts":[["2026",7,23]]},"issued":{"date-parts":[["2026",6,19]]}}}],"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[13]</w:t>
      </w:r>
      <w:r w:rsidR="00C06591">
        <w:rPr>
          <w:rFonts w:cstheme="minorHAnsi"/>
          <w:color w:val="000000" w:themeColor="text1"/>
          <w:sz w:val="24"/>
          <w:szCs w:val="24"/>
        </w:rPr>
        <w:fldChar w:fldCharType="end"/>
      </w:r>
      <w:r w:rsidRPr="00A9209A">
        <w:rPr>
          <w:rFonts w:cstheme="minorHAnsi"/>
          <w:color w:val="000000" w:themeColor="text1"/>
          <w:sz w:val="24"/>
          <w:szCs w:val="24"/>
        </w:rPr>
        <w:t xml:space="preserve">. Effectiveness </w:t>
      </w:r>
      <w:proofErr w:type="gramStart"/>
      <w:r w:rsidRPr="00A9209A">
        <w:rPr>
          <w:rFonts w:cstheme="minorHAnsi"/>
          <w:color w:val="000000" w:themeColor="text1"/>
          <w:sz w:val="24"/>
          <w:szCs w:val="24"/>
        </w:rPr>
        <w:t>should be measured</w:t>
      </w:r>
      <w:proofErr w:type="gramEnd"/>
      <w:r w:rsidRPr="00A9209A">
        <w:rPr>
          <w:rFonts w:cstheme="minorHAnsi"/>
          <w:color w:val="000000" w:themeColor="text1"/>
          <w:sz w:val="24"/>
          <w:szCs w:val="24"/>
        </w:rPr>
        <w:t xml:space="preserve"> through mean time to detect and respond, and every incident should feed lessons back into policy. A tested business-continuity and disaster-recovery plan should also define recovery time and recovery point objectives (RTO and RPO) for critical production systems and </w:t>
      </w:r>
      <w:proofErr w:type="gramStart"/>
      <w:r w:rsidRPr="00A9209A">
        <w:rPr>
          <w:rFonts w:cstheme="minorHAnsi"/>
          <w:color w:val="000000" w:themeColor="text1"/>
          <w:sz w:val="24"/>
          <w:szCs w:val="24"/>
        </w:rPr>
        <w:t>be rehearsed</w:t>
      </w:r>
      <w:proofErr w:type="gramEnd"/>
      <w:r w:rsidRPr="00A9209A">
        <w:rPr>
          <w:rFonts w:cstheme="minorHAnsi"/>
          <w:color w:val="000000" w:themeColor="text1"/>
          <w:sz w:val="24"/>
          <w:szCs w:val="24"/>
        </w:rPr>
        <w:t xml:space="preserve"> through </w:t>
      </w:r>
      <w:proofErr w:type="spellStart"/>
      <w:r w:rsidRPr="00A9209A">
        <w:rPr>
          <w:rFonts w:cstheme="minorHAnsi"/>
          <w:color w:val="000000" w:themeColor="text1"/>
          <w:sz w:val="24"/>
          <w:szCs w:val="24"/>
        </w:rPr>
        <w:t>tabletop</w:t>
      </w:r>
      <w:proofErr w:type="spellEnd"/>
      <w:r w:rsidRPr="00A9209A">
        <w:rPr>
          <w:rFonts w:cstheme="minorHAnsi"/>
          <w:color w:val="000000" w:themeColor="text1"/>
          <w:sz w:val="24"/>
          <w:szCs w:val="24"/>
        </w:rPr>
        <w:t xml:space="preserve"> exercises, so that recovery is proven rather than assumed. Figure 3 shows the workflow.</w:t>
      </w:r>
    </w:p>
    <w:p w:rsidR="00DE4A8C" w:rsidRDefault="00DE4A8C" w:rsidP="00F57F44">
      <w:pPr>
        <w:spacing w:line="360" w:lineRule="auto"/>
        <w:jc w:val="center"/>
        <w:rPr>
          <w:rFonts w:cstheme="minorHAnsi"/>
          <w:color w:val="000000" w:themeColor="text1"/>
          <w:sz w:val="24"/>
          <w:szCs w:val="24"/>
        </w:rPr>
      </w:pPr>
      <w:r>
        <w:rPr>
          <w:rFonts w:cstheme="minorHAnsi"/>
          <w:noProof/>
          <w:color w:val="000000" w:themeColor="text1"/>
          <w:sz w:val="24"/>
          <w:szCs w:val="24"/>
          <w:lang w:eastAsia="en-GB"/>
        </w:rPr>
        <w:drawing>
          <wp:inline distT="0" distB="0" distL="0" distR="0">
            <wp:extent cx="4345133" cy="5429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2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54249" cy="5440640"/>
                    </a:xfrm>
                    <a:prstGeom prst="rect">
                      <a:avLst/>
                    </a:prstGeom>
                  </pic:spPr>
                </pic:pic>
              </a:graphicData>
            </a:graphic>
          </wp:inline>
        </w:drawing>
      </w:r>
    </w:p>
    <w:p w:rsidR="00DE4A8C" w:rsidRPr="00DE4A8C" w:rsidRDefault="00DE4A8C" w:rsidP="00DE4A8C">
      <w:pPr>
        <w:spacing w:line="360" w:lineRule="auto"/>
        <w:jc w:val="center"/>
        <w:rPr>
          <w:rFonts w:cstheme="minorHAnsi"/>
          <w:b/>
          <w:color w:val="000000" w:themeColor="text1"/>
          <w:sz w:val="24"/>
          <w:szCs w:val="24"/>
        </w:rPr>
      </w:pPr>
      <w:r w:rsidRPr="00DE4A8C">
        <w:rPr>
          <w:rFonts w:cstheme="minorHAnsi"/>
          <w:b/>
          <w:color w:val="000000" w:themeColor="text1"/>
          <w:sz w:val="24"/>
          <w:szCs w:val="24"/>
        </w:rPr>
        <w:t>Figure 3</w:t>
      </w:r>
      <w:r>
        <w:rPr>
          <w:rFonts w:cstheme="minorHAnsi"/>
          <w:b/>
          <w:color w:val="000000" w:themeColor="text1"/>
          <w:sz w:val="24"/>
          <w:szCs w:val="24"/>
        </w:rPr>
        <w:t>:</w:t>
      </w:r>
      <w:r w:rsidRPr="00DE4A8C">
        <w:rPr>
          <w:rFonts w:cstheme="minorHAnsi"/>
          <w:b/>
          <w:color w:val="000000" w:themeColor="text1"/>
          <w:sz w:val="24"/>
          <w:szCs w:val="24"/>
        </w:rPr>
        <w:t xml:space="preserve"> SFM incident-response and monitoring flowchart.</w:t>
      </w:r>
    </w:p>
    <w:p w:rsidR="00A9209A" w:rsidRPr="00A9209A" w:rsidRDefault="00A9209A" w:rsidP="00A9209A">
      <w:pPr>
        <w:pStyle w:val="Heading2"/>
        <w:spacing w:line="360" w:lineRule="auto"/>
        <w:jc w:val="both"/>
        <w:rPr>
          <w:rFonts w:asciiTheme="minorHAnsi" w:hAnsiTheme="minorHAnsi" w:cstheme="minorHAnsi"/>
          <w:b/>
          <w:color w:val="000000" w:themeColor="text1"/>
          <w:sz w:val="24"/>
          <w:szCs w:val="24"/>
        </w:rPr>
      </w:pPr>
      <w:bookmarkStart w:id="7" w:name="_Toc235665397"/>
      <w:r w:rsidRPr="00A9209A">
        <w:rPr>
          <w:rFonts w:asciiTheme="minorHAnsi" w:hAnsiTheme="minorHAnsi" w:cstheme="minorHAnsi"/>
          <w:b/>
          <w:color w:val="000000" w:themeColor="text1"/>
          <w:sz w:val="24"/>
          <w:szCs w:val="24"/>
        </w:rPr>
        <w:lastRenderedPageBreak/>
        <w:t>2.5. Continuous Training and Awareness</w:t>
      </w:r>
      <w:bookmarkEnd w:id="7"/>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Because people are invol</w:t>
      </w:r>
      <w:r w:rsidR="00C06591">
        <w:rPr>
          <w:rFonts w:cstheme="minorHAnsi"/>
          <w:color w:val="000000" w:themeColor="text1"/>
          <w:sz w:val="24"/>
          <w:szCs w:val="24"/>
        </w:rPr>
        <w:t xml:space="preserve">ved in around 60% of breaches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{"citationID":"6f1a5Ksk","properties":{"unsorted":false,"formattedCitation":"[6]","plainCitation":"[6]","noteIndex":0},"citationItems":[{"id":20499,"uris":["http://zotero.org/users/14203622/items/ECY3ZGLI"],"itemData":{"id":20499,"type":"webpage","abstract":"Read the complete 2026 Data Breach Investigations Report (DBIR) for an in-depth, authoritative analysis of the latest cyber threats, data breaches, and actionable cybersecurity risks.","container-title":"Verizon Business","language":"en","title":"2026 Data Breach Investigations Report (DBIR)","URL":"https://www.verizon.com/business/resources/reports/dbir/","author":[{"literal":"Verizon"}],"accessed":{"date-parts":[["2026",7,23]]},"issued":{"date-parts":[["2026"]]}}}],"schema":"https://github.com/citation-style-language/schema/raw/master/csl-citation.json"}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[6]</w:t>
      </w:r>
      <w:r w:rsidR="00C06591">
        <w:rPr>
          <w:rFonts w:cstheme="minorHAnsi"/>
          <w:color w:val="000000" w:themeColor="text1"/>
          <w:sz w:val="24"/>
          <w:szCs w:val="24"/>
        </w:rPr>
        <w:fldChar w:fldCharType="end"/>
      </w:r>
      <w:r w:rsidRPr="00A9209A">
        <w:rPr>
          <w:rFonts w:cstheme="minorHAnsi"/>
          <w:color w:val="000000" w:themeColor="text1"/>
          <w:sz w:val="24"/>
          <w:szCs w:val="24"/>
        </w:rPr>
        <w:t xml:space="preserve">, training is one of SFM’s most cost-effective defences. Structured security awareness training reduces the average phish-prone rate from 33.1% to 4.1% within twelve months, an improvement of 86% </w:t>
      </w:r>
      <w:r w:rsidR="00C06591">
        <w:rPr>
          <w:rFonts w:cstheme="minorHAnsi"/>
          <w:color w:val="000000" w:themeColor="text1"/>
          <w:sz w:val="24"/>
          <w:szCs w:val="24"/>
        </w:rPr>
        <w:fldChar w:fldCharType="begin"/>
      </w:r>
      <w:r w:rsidR="00C06591">
        <w:rPr>
          <w:rFonts w:cstheme="minorHAnsi"/>
          <w:color w:val="000000" w:themeColor="text1"/>
          <w:sz w:val="24"/>
          <w:szCs w:val="24"/>
        </w:rPr>
        <w:instrText xml:space="preserve"> ADDIN ZOTERO_ITEM CSL_CITATION {"citationID":"t4gYu38u","properties":{"unsorted":false,"formattedCitation":"[16]","plainCitation":"[16]","noteIndex":0},"citationItems":[{"id":20509,"uris":["http://zotero.org/users/14203622/items/MZM4I4BL"],"itemData":{"id":20509,"type":"webpage","abstract":"Download KnowBe4's 2026 Phishing Benchmarking Report. See risk data across 19 industries and learn how training cuts susceptibility by 87%.","language":"en","title":"Report | 2026 Phishing by Industry Benchmarking Report","URL":"https://www.knowbe4.com/resources/reports/phishing-by-industry-benchmarking-report","author":[{"literal":"knowbe4"}],"accessed":{"date-parts":[["2026",7,23]]},"issued":{"date-parts":[["2026"]]}}}],"schema":"https://github.com/citation-style-language/schema/raw/master/csl-citation.json"} </w:instrText>
      </w:r>
      <w:r w:rsidR="00C06591">
        <w:rPr>
          <w:rFonts w:cstheme="minorHAnsi"/>
          <w:color w:val="000000" w:themeColor="text1"/>
          <w:sz w:val="24"/>
          <w:szCs w:val="24"/>
        </w:rPr>
        <w:fldChar w:fldCharType="separate"/>
      </w:r>
      <w:r w:rsidR="00C06591" w:rsidRPr="00C06591">
        <w:rPr>
          <w:rFonts w:ascii="Calibri" w:hAnsi="Calibri" w:cs="Calibri"/>
          <w:sz w:val="24"/>
        </w:rPr>
        <w:t>[16]</w:t>
      </w:r>
      <w:r w:rsidR="00C06591">
        <w:rPr>
          <w:rFonts w:cstheme="minorHAnsi"/>
          <w:color w:val="000000" w:themeColor="text1"/>
          <w:sz w:val="24"/>
          <w:szCs w:val="24"/>
        </w:rPr>
        <w:fldChar w:fldCharType="end"/>
      </w:r>
      <w:r w:rsidRPr="00A9209A">
        <w:rPr>
          <w:rFonts w:cstheme="minorHAnsi"/>
          <w:color w:val="000000" w:themeColor="text1"/>
          <w:sz w:val="24"/>
          <w:szCs w:val="24"/>
        </w:rPr>
        <w:t>. SFM should therefore run a continuous, role-based programme rather than a single annual video, in line with the people controls of ISO/IEC 27001:2022</w:t>
      </w:r>
      <w:r w:rsidR="00906721">
        <w:rPr>
          <w:rFonts w:cstheme="minorHAnsi"/>
          <w:color w:val="000000" w:themeColor="text1"/>
          <w:sz w:val="24"/>
          <w:szCs w:val="24"/>
        </w:rPr>
        <w:t xml:space="preserve"> </w:t>
      </w:r>
      <w:r w:rsidR="00906721">
        <w:rPr>
          <w:rFonts w:cstheme="minorHAnsi"/>
          <w:color w:val="000000" w:themeColor="text1"/>
          <w:sz w:val="24"/>
          <w:szCs w:val="24"/>
        </w:rPr>
        <w:fldChar w:fldCharType="begin"/>
      </w:r>
      <w:r w:rsidR="00906721">
        <w:rPr>
          <w:rFonts w:cstheme="minorHAnsi"/>
          <w:color w:val="000000" w:themeColor="text1"/>
          <w:sz w:val="24"/>
          <w:szCs w:val="24"/>
        </w:rPr>
        <w:instrText xml:space="preserve"> ADDIN ZOTERO_ITEM CSL_CITATION {"citationID":"lfwEirNO","properties":{"unsorted":false,"formattedCitation":"[9]","plainCitation":"[9]","noteIndex":0},"citationItems":[{"id":20503,"uris":["http://zotero.org/users/14203622/items/Y3XI9HF5"],"itemData":{"id":20503,"type":"webpage","abstract":"Information security, cybersecurity and privacy protection — Information security management systems — Requirements","container-title":"International Organization for Standardization","language":"en","title":"ISO/IEC 27001:2022","title-short":"ISO/IEC 27001","URL":"https://www.iso.org/standard/27001","author":[{"literal":"ISO"}],"accessed":{"date-parts":[["2026",7,23]]},"issued":{"date-parts":[["2022"]]}}}],"schema":"https://github.com/citation-style-language/schema/raw/master/csl-citation.json"} </w:instrText>
      </w:r>
      <w:r w:rsidR="00906721">
        <w:rPr>
          <w:rFonts w:cstheme="minorHAnsi"/>
          <w:color w:val="000000" w:themeColor="text1"/>
          <w:sz w:val="24"/>
          <w:szCs w:val="24"/>
        </w:rPr>
        <w:fldChar w:fldCharType="separate"/>
      </w:r>
      <w:r w:rsidR="00906721" w:rsidRPr="00906721">
        <w:rPr>
          <w:rFonts w:ascii="Calibri" w:hAnsi="Calibri" w:cs="Calibri"/>
          <w:sz w:val="24"/>
        </w:rPr>
        <w:t>[9]</w:t>
      </w:r>
      <w:r w:rsidR="00906721">
        <w:rPr>
          <w:rFonts w:cstheme="minorHAnsi"/>
          <w:color w:val="000000" w:themeColor="text1"/>
          <w:sz w:val="24"/>
          <w:szCs w:val="24"/>
        </w:rPr>
        <w:fldChar w:fldCharType="end"/>
      </w:r>
      <w:r w:rsidRPr="00A9209A">
        <w:rPr>
          <w:rFonts w:cstheme="minorHAnsi"/>
          <w:color w:val="000000" w:themeColor="text1"/>
          <w:sz w:val="24"/>
          <w:szCs w:val="24"/>
        </w:rPr>
        <w:t>.</w:t>
      </w:r>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 xml:space="preserve">The programme should begin with a security induction for new staff and continue through regular </w:t>
      </w:r>
      <w:proofErr w:type="gramStart"/>
      <w:r w:rsidRPr="00A9209A">
        <w:rPr>
          <w:rFonts w:cstheme="minorHAnsi"/>
          <w:color w:val="000000" w:themeColor="text1"/>
          <w:sz w:val="24"/>
          <w:szCs w:val="24"/>
        </w:rPr>
        <w:t>micro-learning</w:t>
      </w:r>
      <w:proofErr w:type="gramEnd"/>
      <w:r w:rsidRPr="00A9209A">
        <w:rPr>
          <w:rFonts w:cstheme="minorHAnsi"/>
          <w:color w:val="000000" w:themeColor="text1"/>
          <w:sz w:val="24"/>
          <w:szCs w:val="24"/>
        </w:rPr>
        <w:t xml:space="preserve">. It should include continuous simulated attacks covering both phishing and AI-driven vishing, so that staff learn to recognise modern lures. Content </w:t>
      </w:r>
      <w:proofErr w:type="gramStart"/>
      <w:r w:rsidRPr="00A9209A">
        <w:rPr>
          <w:rFonts w:cstheme="minorHAnsi"/>
          <w:color w:val="000000" w:themeColor="text1"/>
          <w:sz w:val="24"/>
          <w:szCs w:val="24"/>
        </w:rPr>
        <w:t>should be tailored</w:t>
      </w:r>
      <w:proofErr w:type="gramEnd"/>
      <w:r w:rsidRPr="00A9209A">
        <w:rPr>
          <w:rFonts w:cstheme="minorHAnsi"/>
          <w:color w:val="000000" w:themeColor="text1"/>
          <w:sz w:val="24"/>
          <w:szCs w:val="24"/>
        </w:rPr>
        <w:t xml:space="preserve">: procurement staff need training on phishing, vishing and business-email compromise; engineers need OT and </w:t>
      </w:r>
      <w:proofErr w:type="spellStart"/>
      <w:r w:rsidRPr="00A9209A">
        <w:rPr>
          <w:rFonts w:cstheme="minorHAnsi"/>
          <w:color w:val="000000" w:themeColor="text1"/>
          <w:sz w:val="24"/>
          <w:szCs w:val="24"/>
        </w:rPr>
        <w:t>IoT</w:t>
      </w:r>
      <w:proofErr w:type="spellEnd"/>
      <w:r w:rsidRPr="00A9209A">
        <w:rPr>
          <w:rFonts w:cstheme="minorHAnsi"/>
          <w:color w:val="000000" w:themeColor="text1"/>
          <w:sz w:val="24"/>
          <w:szCs w:val="24"/>
        </w:rPr>
        <w:t xml:space="preserve"> security awareness; and executives need awareness of whaling. A blame-free culture that encourages prompt reporting turns staff into an active line of defence. Effectiveness </w:t>
      </w:r>
      <w:proofErr w:type="gramStart"/>
      <w:r w:rsidRPr="00A9209A">
        <w:rPr>
          <w:rFonts w:cstheme="minorHAnsi"/>
          <w:color w:val="000000" w:themeColor="text1"/>
          <w:sz w:val="24"/>
          <w:szCs w:val="24"/>
        </w:rPr>
        <w:t>should be tracked</w:t>
      </w:r>
      <w:proofErr w:type="gramEnd"/>
      <w:r w:rsidRPr="00A9209A">
        <w:rPr>
          <w:rFonts w:cstheme="minorHAnsi"/>
          <w:color w:val="000000" w:themeColor="text1"/>
          <w:sz w:val="24"/>
          <w:szCs w:val="24"/>
        </w:rPr>
        <w:t xml:space="preserve"> through phish-prone percentage, completion rates and reported incidents, building over time a positive security culture. Investment in training is easy to justify, because staff awareness measurably lowers breach cost and reduces the human error behind most incidents [4]. Visible support from senior leaders is important, as it signals that security is a shared responsibility rather than only an IT concern. Table V outlines the programme.</w:t>
      </w:r>
    </w:p>
    <w:p w:rsidR="00A9209A" w:rsidRPr="00A9209A" w:rsidRDefault="00A9209A" w:rsidP="00F57F44">
      <w:pPr>
        <w:spacing w:before="120" w:after="40" w:line="360" w:lineRule="auto"/>
        <w:jc w:val="center"/>
        <w:rPr>
          <w:rFonts w:cstheme="minorHAnsi"/>
          <w:color w:val="000000" w:themeColor="text1"/>
          <w:sz w:val="24"/>
          <w:szCs w:val="24"/>
        </w:rPr>
      </w:pPr>
      <w:r w:rsidRPr="00A9209A">
        <w:rPr>
          <w:rFonts w:cstheme="minorHAnsi"/>
          <w:b/>
          <w:i/>
          <w:color w:val="000000" w:themeColor="text1"/>
          <w:sz w:val="24"/>
          <w:szCs w:val="24"/>
        </w:rPr>
        <w:t>Table V</w:t>
      </w:r>
      <w:r w:rsidR="00F57F44">
        <w:rPr>
          <w:rFonts w:cstheme="minorHAnsi"/>
          <w:b/>
          <w:i/>
          <w:color w:val="000000" w:themeColor="text1"/>
          <w:sz w:val="24"/>
          <w:szCs w:val="24"/>
        </w:rPr>
        <w:t>:</w:t>
      </w:r>
      <w:r w:rsidRPr="00A9209A">
        <w:rPr>
          <w:rFonts w:cstheme="minorHAnsi"/>
          <w:b/>
          <w:i/>
          <w:color w:val="000000" w:themeColor="text1"/>
          <w:sz w:val="24"/>
          <w:szCs w:val="24"/>
        </w:rPr>
        <w:t xml:space="preserve"> Proposed staff training and awareness programme.</w:t>
      </w:r>
    </w:p>
    <w:tbl>
      <w:tblPr>
        <w:tblStyle w:val="GridTable1Light-Accent1"/>
        <w:tblW w:w="0" w:type="auto"/>
        <w:tblLook w:val="04A0" w:firstRow="1" w:lastRow="0" w:firstColumn="1" w:lastColumn="0" w:noHBand="0" w:noVBand="1"/>
      </w:tblPr>
      <w:tblGrid>
        <w:gridCol w:w="2179"/>
        <w:gridCol w:w="2087"/>
        <w:gridCol w:w="1339"/>
        <w:gridCol w:w="1962"/>
        <w:gridCol w:w="1449"/>
      </w:tblGrid>
      <w:tr w:rsidR="00A9209A" w:rsidRPr="00A9209A" w:rsidTr="00F57F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16" w:type="dxa"/>
            <w:tcBorders>
              <w:top w:val="single" w:sz="12" w:space="0" w:color="2E74B5"/>
              <w:bottom w:val="single" w:sz="12" w:space="0" w:color="2E74B5"/>
            </w:tcBorders>
          </w:tcPr>
          <w:p w:rsidR="00A9209A" w:rsidRPr="00F57F44" w:rsidRDefault="00A9209A" w:rsidP="00A9209A">
            <w:pPr>
              <w:spacing w:line="360" w:lineRule="auto"/>
              <w:jc w:val="both"/>
              <w:rPr>
                <w:rFonts w:cstheme="minorHAnsi"/>
                <w:color w:val="2E74B5" w:themeColor="accent1" w:themeShade="BF"/>
                <w:sz w:val="24"/>
                <w:szCs w:val="24"/>
              </w:rPr>
            </w:pPr>
            <w:r w:rsidRPr="00F57F44">
              <w:rPr>
                <w:rFonts w:cstheme="minorHAnsi"/>
                <w:color w:val="2E74B5" w:themeColor="accent1" w:themeShade="BF"/>
                <w:sz w:val="24"/>
                <w:szCs w:val="24"/>
              </w:rPr>
              <w:t>Audience</w:t>
            </w:r>
          </w:p>
        </w:tc>
        <w:tc>
          <w:tcPr>
            <w:tcW w:w="2736"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Focus</w:t>
            </w:r>
          </w:p>
        </w:tc>
        <w:tc>
          <w:tcPr>
            <w:tcW w:w="1440"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Frequency</w:t>
            </w:r>
          </w:p>
        </w:tc>
        <w:tc>
          <w:tcPr>
            <w:tcW w:w="2304"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Method</w:t>
            </w:r>
          </w:p>
        </w:tc>
        <w:tc>
          <w:tcPr>
            <w:tcW w:w="1584" w:type="dxa"/>
            <w:tcBorders>
              <w:top w:val="single" w:sz="12" w:space="0" w:color="2E74B5"/>
              <w:bottom w:val="single" w:sz="12" w:space="0" w:color="2E74B5"/>
            </w:tcBorders>
          </w:tcPr>
          <w:p w:rsidR="00A9209A" w:rsidRPr="00F57F44" w:rsidRDefault="00A9209A" w:rsidP="00A9209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color w:val="2E74B5" w:themeColor="accent1" w:themeShade="BF"/>
                <w:sz w:val="24"/>
                <w:szCs w:val="24"/>
              </w:rPr>
            </w:pPr>
            <w:r w:rsidRPr="00F57F44">
              <w:rPr>
                <w:rFonts w:cstheme="minorHAnsi"/>
                <w:color w:val="2E74B5" w:themeColor="accent1" w:themeShade="BF"/>
                <w:sz w:val="24"/>
                <w:szCs w:val="24"/>
              </w:rPr>
              <w:t>Key metric</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2016" w:type="dxa"/>
            <w:tcBorders>
              <w:top w:val="single" w:sz="12" w:space="0" w:color="2E74B5"/>
            </w:tcBorders>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t>All staff</w:t>
            </w:r>
          </w:p>
        </w:tc>
        <w:tc>
          <w:tcPr>
            <w:tcW w:w="2736"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Security basics, passwords, data handling</w:t>
            </w:r>
          </w:p>
        </w:tc>
        <w:tc>
          <w:tcPr>
            <w:tcW w:w="1440"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Induction + annual</w:t>
            </w:r>
          </w:p>
        </w:tc>
        <w:tc>
          <w:tcPr>
            <w:tcW w:w="2304"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E-learning + micro-learning</w:t>
            </w:r>
          </w:p>
        </w:tc>
        <w:tc>
          <w:tcPr>
            <w:tcW w:w="1584" w:type="dxa"/>
            <w:tcBorders>
              <w:top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Completion rate</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2016" w:type="dxa"/>
          </w:tcPr>
          <w:p w:rsidR="00A9209A" w:rsidRPr="00F57F44" w:rsidRDefault="00906721" w:rsidP="00A9209A">
            <w:pPr>
              <w:spacing w:line="360" w:lineRule="auto"/>
              <w:jc w:val="both"/>
              <w:rPr>
                <w:rFonts w:cstheme="minorHAnsi"/>
                <w:color w:val="000000" w:themeColor="text1"/>
                <w:szCs w:val="24"/>
              </w:rPr>
            </w:pPr>
            <w:r>
              <w:rPr>
                <w:rFonts w:cstheme="minorHAnsi"/>
                <w:color w:val="000000" w:themeColor="text1"/>
                <w:szCs w:val="24"/>
              </w:rPr>
              <w:t>Procurement/finance</w:t>
            </w:r>
          </w:p>
        </w:tc>
        <w:tc>
          <w:tcPr>
            <w:tcW w:w="2736"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Phishing, vishing, BEC, invoice fraud</w:t>
            </w:r>
          </w:p>
        </w:tc>
        <w:tc>
          <w:tcPr>
            <w:tcW w:w="1440"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Quarterly</w:t>
            </w:r>
          </w:p>
        </w:tc>
        <w:tc>
          <w:tcPr>
            <w:tcW w:w="230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Simulated phishing/vishing</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Phish-prone %</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2016" w:type="dxa"/>
          </w:tcPr>
          <w:p w:rsidR="00A9209A" w:rsidRPr="00F57F44" w:rsidRDefault="00906721" w:rsidP="00906721">
            <w:pPr>
              <w:spacing w:line="360" w:lineRule="auto"/>
              <w:jc w:val="both"/>
              <w:rPr>
                <w:rFonts w:cstheme="minorHAnsi"/>
                <w:color w:val="000000" w:themeColor="text1"/>
                <w:szCs w:val="24"/>
              </w:rPr>
            </w:pPr>
            <w:r>
              <w:rPr>
                <w:rFonts w:cstheme="minorHAnsi"/>
                <w:color w:val="000000" w:themeColor="text1"/>
                <w:szCs w:val="24"/>
              </w:rPr>
              <w:t>Engineers</w:t>
            </w:r>
            <w:r w:rsidR="00A9209A" w:rsidRPr="00F57F44">
              <w:rPr>
                <w:rFonts w:cstheme="minorHAnsi"/>
                <w:color w:val="000000" w:themeColor="text1"/>
                <w:szCs w:val="24"/>
              </w:rPr>
              <w:t>/OT operators</w:t>
            </w:r>
          </w:p>
        </w:tc>
        <w:tc>
          <w:tcPr>
            <w:tcW w:w="2736"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proofErr w:type="spellStart"/>
            <w:r w:rsidRPr="00F57F44">
              <w:rPr>
                <w:rFonts w:cstheme="minorHAnsi"/>
                <w:color w:val="000000" w:themeColor="text1"/>
                <w:szCs w:val="24"/>
              </w:rPr>
              <w:t>IoT</w:t>
            </w:r>
            <w:proofErr w:type="spellEnd"/>
            <w:r w:rsidRPr="00F57F44">
              <w:rPr>
                <w:rFonts w:cstheme="minorHAnsi"/>
                <w:color w:val="000000" w:themeColor="text1"/>
                <w:szCs w:val="24"/>
              </w:rPr>
              <w:t xml:space="preserve"> &amp; OT security, safe device use</w:t>
            </w:r>
          </w:p>
        </w:tc>
        <w:tc>
          <w:tcPr>
            <w:tcW w:w="1440"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Bi-annual</w:t>
            </w:r>
          </w:p>
        </w:tc>
        <w:tc>
          <w:tcPr>
            <w:tcW w:w="230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Hands-on briefings</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Incidents reported</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2016" w:type="dxa"/>
          </w:tcPr>
          <w:p w:rsidR="00A9209A" w:rsidRPr="00F57F44" w:rsidRDefault="00A9209A" w:rsidP="00906721">
            <w:pPr>
              <w:spacing w:line="360" w:lineRule="auto"/>
              <w:jc w:val="both"/>
              <w:rPr>
                <w:rFonts w:cstheme="minorHAnsi"/>
                <w:color w:val="000000" w:themeColor="text1"/>
                <w:szCs w:val="24"/>
              </w:rPr>
            </w:pPr>
            <w:r w:rsidRPr="00F57F44">
              <w:rPr>
                <w:rFonts w:cstheme="minorHAnsi"/>
                <w:color w:val="000000" w:themeColor="text1"/>
                <w:szCs w:val="24"/>
              </w:rPr>
              <w:t>Executives/board</w:t>
            </w:r>
          </w:p>
        </w:tc>
        <w:tc>
          <w:tcPr>
            <w:tcW w:w="2736"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Whaling, governance, breach duties</w:t>
            </w:r>
          </w:p>
        </w:tc>
        <w:tc>
          <w:tcPr>
            <w:tcW w:w="1440"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Bi-annual</w:t>
            </w:r>
          </w:p>
        </w:tc>
        <w:tc>
          <w:tcPr>
            <w:tcW w:w="230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Targeted briefings</w:t>
            </w:r>
          </w:p>
        </w:tc>
        <w:tc>
          <w:tcPr>
            <w:tcW w:w="1584" w:type="dxa"/>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Awareness score</w:t>
            </w:r>
          </w:p>
        </w:tc>
      </w:tr>
      <w:tr w:rsidR="00A9209A" w:rsidRPr="00A9209A" w:rsidTr="00F57F44">
        <w:tc>
          <w:tcPr>
            <w:cnfStyle w:val="001000000000" w:firstRow="0" w:lastRow="0" w:firstColumn="1" w:lastColumn="0" w:oddVBand="0" w:evenVBand="0" w:oddHBand="0" w:evenHBand="0" w:firstRowFirstColumn="0" w:firstRowLastColumn="0" w:lastRowFirstColumn="0" w:lastRowLastColumn="0"/>
            <w:tcW w:w="2016" w:type="dxa"/>
            <w:tcBorders>
              <w:bottom w:val="single" w:sz="12" w:space="0" w:color="2E74B5"/>
            </w:tcBorders>
          </w:tcPr>
          <w:p w:rsidR="00A9209A" w:rsidRPr="00F57F44" w:rsidRDefault="00A9209A" w:rsidP="00A9209A">
            <w:pPr>
              <w:spacing w:line="360" w:lineRule="auto"/>
              <w:jc w:val="both"/>
              <w:rPr>
                <w:rFonts w:cstheme="minorHAnsi"/>
                <w:color w:val="000000" w:themeColor="text1"/>
                <w:szCs w:val="24"/>
              </w:rPr>
            </w:pPr>
            <w:r w:rsidRPr="00F57F44">
              <w:rPr>
                <w:rFonts w:cstheme="minorHAnsi"/>
                <w:color w:val="000000" w:themeColor="text1"/>
                <w:szCs w:val="24"/>
              </w:rPr>
              <w:lastRenderedPageBreak/>
              <w:t>Security champions</w:t>
            </w:r>
          </w:p>
        </w:tc>
        <w:tc>
          <w:tcPr>
            <w:tcW w:w="2736"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Reinforcement &amp; peer support</w:t>
            </w:r>
          </w:p>
        </w:tc>
        <w:tc>
          <w:tcPr>
            <w:tcW w:w="1440"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Ongoing</w:t>
            </w:r>
          </w:p>
        </w:tc>
        <w:tc>
          <w:tcPr>
            <w:tcW w:w="2304"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Community + updates</w:t>
            </w:r>
          </w:p>
        </w:tc>
        <w:tc>
          <w:tcPr>
            <w:tcW w:w="1584" w:type="dxa"/>
            <w:tcBorders>
              <w:bottom w:val="single" w:sz="12" w:space="0" w:color="2E74B5"/>
            </w:tcBorders>
          </w:tcPr>
          <w:p w:rsidR="00A9209A" w:rsidRPr="00F57F44" w:rsidRDefault="00A9209A" w:rsidP="00A9209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Cs w:val="24"/>
              </w:rPr>
            </w:pPr>
            <w:r w:rsidRPr="00F57F44">
              <w:rPr>
                <w:rFonts w:cstheme="minorHAnsi"/>
                <w:color w:val="000000" w:themeColor="text1"/>
                <w:szCs w:val="24"/>
              </w:rPr>
              <w:t>Engagement</w:t>
            </w:r>
          </w:p>
        </w:tc>
      </w:tr>
    </w:tbl>
    <w:p w:rsidR="00F57F44" w:rsidRDefault="00F57F44" w:rsidP="00A9209A">
      <w:pPr>
        <w:spacing w:after="80" w:line="360" w:lineRule="auto"/>
        <w:jc w:val="both"/>
        <w:rPr>
          <w:rFonts w:cstheme="minorHAnsi"/>
          <w:color w:val="000000" w:themeColor="text1"/>
          <w:sz w:val="24"/>
          <w:szCs w:val="24"/>
        </w:rPr>
        <w:sectPr w:rsidR="00F57F44" w:rsidSect="00A9209A">
          <w:pgSz w:w="11906" w:h="16838" w:code="9"/>
          <w:pgMar w:top="1440" w:right="1440" w:bottom="1440" w:left="1440" w:header="708" w:footer="708" w:gutter="0"/>
          <w:cols w:space="708"/>
          <w:docGrid w:linePitch="360"/>
        </w:sectPr>
      </w:pPr>
    </w:p>
    <w:p w:rsidR="00A9209A" w:rsidRPr="00DE4A8C" w:rsidRDefault="00A9209A" w:rsidP="00A9209A">
      <w:pPr>
        <w:pStyle w:val="Heading1"/>
        <w:numPr>
          <w:ilvl w:val="0"/>
          <w:numId w:val="1"/>
        </w:numPr>
        <w:spacing w:line="360" w:lineRule="auto"/>
        <w:jc w:val="both"/>
        <w:rPr>
          <w:rFonts w:asciiTheme="minorHAnsi" w:hAnsiTheme="minorHAnsi" w:cstheme="minorHAnsi"/>
          <w:b/>
          <w:color w:val="000000" w:themeColor="text1"/>
          <w:sz w:val="24"/>
          <w:szCs w:val="24"/>
        </w:rPr>
      </w:pPr>
      <w:bookmarkStart w:id="8" w:name="_Toc235665398"/>
      <w:r w:rsidRPr="00DE4A8C">
        <w:rPr>
          <w:rFonts w:asciiTheme="minorHAnsi" w:hAnsiTheme="minorHAnsi" w:cstheme="minorHAnsi"/>
          <w:b/>
          <w:color w:val="000000" w:themeColor="text1"/>
          <w:sz w:val="24"/>
          <w:szCs w:val="24"/>
        </w:rPr>
        <w:lastRenderedPageBreak/>
        <w:t>Conclusion</w:t>
      </w:r>
      <w:bookmarkEnd w:id="8"/>
    </w:p>
    <w:p w:rsidR="00A9209A" w:rsidRPr="00A9209A" w:rsidRDefault="00A9209A" w:rsidP="00A9209A">
      <w:pPr>
        <w:spacing w:line="360" w:lineRule="auto"/>
        <w:jc w:val="both"/>
        <w:rPr>
          <w:rFonts w:cstheme="minorHAnsi"/>
          <w:color w:val="000000" w:themeColor="text1"/>
          <w:sz w:val="24"/>
          <w:szCs w:val="24"/>
        </w:rPr>
      </w:pPr>
      <w:r w:rsidRPr="00A9209A">
        <w:rPr>
          <w:rFonts w:cstheme="minorHAnsi"/>
          <w:color w:val="000000" w:themeColor="text1"/>
          <w:sz w:val="24"/>
          <w:szCs w:val="24"/>
        </w:rPr>
        <w:t xml:space="preserve">The transformation to smart manufacturing will provide great advantages to SFM, but it will also pose threats from among the most attacked sectors of the United States. Layered mitigation, proactive SIEM/SOAR monitoring and regular training can, when combined </w:t>
      </w:r>
      <w:proofErr w:type="gramStart"/>
      <w:r w:rsidRPr="00A9209A">
        <w:rPr>
          <w:rFonts w:cstheme="minorHAnsi"/>
          <w:color w:val="000000" w:themeColor="text1"/>
          <w:sz w:val="24"/>
          <w:szCs w:val="24"/>
        </w:rPr>
        <w:t>with a Zero Trust policy-driven and ISO 270</w:t>
      </w:r>
      <w:r w:rsidR="00906721">
        <w:rPr>
          <w:rFonts w:cstheme="minorHAnsi"/>
          <w:color w:val="000000" w:themeColor="text1"/>
          <w:sz w:val="24"/>
          <w:szCs w:val="24"/>
        </w:rPr>
        <w:t>01-managed ISMS</w:t>
      </w:r>
      <w:proofErr w:type="gramEnd"/>
      <w:r w:rsidR="00906721">
        <w:rPr>
          <w:rFonts w:cstheme="minorHAnsi"/>
          <w:color w:val="000000" w:themeColor="text1"/>
          <w:sz w:val="24"/>
          <w:szCs w:val="24"/>
        </w:rPr>
        <w:t>, help to minimis</w:t>
      </w:r>
      <w:r w:rsidRPr="00A9209A">
        <w:rPr>
          <w:rFonts w:cstheme="minorHAnsi"/>
          <w:color w:val="000000" w:themeColor="text1"/>
          <w:sz w:val="24"/>
          <w:szCs w:val="24"/>
        </w:rPr>
        <w:t xml:space="preserve">e cyber risk and secure production and IP. </w:t>
      </w:r>
      <w:proofErr w:type="gramStart"/>
      <w:r w:rsidRPr="00A9209A">
        <w:rPr>
          <w:rFonts w:cstheme="minorHAnsi"/>
          <w:color w:val="000000" w:themeColor="text1"/>
          <w:sz w:val="24"/>
          <w:szCs w:val="24"/>
        </w:rPr>
        <w:t>It's</w:t>
      </w:r>
      <w:proofErr w:type="gramEnd"/>
      <w:r w:rsidRPr="00A9209A">
        <w:rPr>
          <w:rFonts w:cstheme="minorHAnsi"/>
          <w:color w:val="000000" w:themeColor="text1"/>
          <w:sz w:val="24"/>
          <w:szCs w:val="24"/>
        </w:rPr>
        <w:t xml:space="preserve"> advised that the board implement a progressive approach, starting with the easy wins like MFA, immutable backups and then staff awareness, and progressing onto network segmentation and the deployment of Zero Trust. The strategy </w:t>
      </w:r>
      <w:proofErr w:type="gramStart"/>
      <w:r w:rsidRPr="00A9209A">
        <w:rPr>
          <w:rFonts w:cstheme="minorHAnsi"/>
          <w:color w:val="000000" w:themeColor="text1"/>
          <w:sz w:val="24"/>
          <w:szCs w:val="24"/>
        </w:rPr>
        <w:t>should be reviewed</w:t>
      </w:r>
      <w:proofErr w:type="gramEnd"/>
      <w:r w:rsidRPr="00A9209A">
        <w:rPr>
          <w:rFonts w:cstheme="minorHAnsi"/>
          <w:color w:val="000000" w:themeColor="text1"/>
          <w:sz w:val="24"/>
          <w:szCs w:val="24"/>
        </w:rPr>
        <w:t xml:space="preserve"> regularly as no </w:t>
      </w:r>
      <w:r w:rsidR="00906721">
        <w:rPr>
          <w:rFonts w:cstheme="minorHAnsi"/>
          <w:color w:val="000000" w:themeColor="text1"/>
          <w:sz w:val="24"/>
          <w:szCs w:val="24"/>
        </w:rPr>
        <w:t>organisation can eliminate cyber risk</w:t>
      </w:r>
      <w:r w:rsidRPr="00A9209A">
        <w:rPr>
          <w:rFonts w:cstheme="minorHAnsi"/>
          <w:color w:val="000000" w:themeColor="text1"/>
          <w:sz w:val="24"/>
          <w:szCs w:val="24"/>
        </w:rPr>
        <w:t xml:space="preserve">. More work is needed to move towards the complete ISO 27001 standard, quantify the degree of security maturity in the factory, using the NIST framework to monitor, and create OT-specific threat </w:t>
      </w:r>
      <w:proofErr w:type="gramStart"/>
      <w:r w:rsidRPr="00A9209A">
        <w:rPr>
          <w:rFonts w:cstheme="minorHAnsi"/>
          <w:color w:val="000000" w:themeColor="text1"/>
          <w:sz w:val="24"/>
          <w:szCs w:val="24"/>
        </w:rPr>
        <w:t>modelling</w:t>
      </w:r>
      <w:proofErr w:type="gramEnd"/>
      <w:r w:rsidRPr="00A9209A">
        <w:rPr>
          <w:rFonts w:cstheme="minorHAnsi"/>
          <w:color w:val="000000" w:themeColor="text1"/>
          <w:sz w:val="24"/>
          <w:szCs w:val="24"/>
        </w:rPr>
        <w:t xml:space="preserve"> as the factory grows increasingly connected. </w:t>
      </w: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p w:rsidR="00F57F44" w:rsidRDefault="00F57F44" w:rsidP="00A9209A">
      <w:pPr>
        <w:spacing w:line="360" w:lineRule="auto"/>
        <w:jc w:val="both"/>
        <w:rPr>
          <w:rFonts w:cstheme="minorHAnsi"/>
          <w:color w:val="000000" w:themeColor="text1"/>
          <w:sz w:val="24"/>
          <w:szCs w:val="24"/>
        </w:rPr>
        <w:sectPr w:rsidR="00F57F44" w:rsidSect="00A9209A">
          <w:pgSz w:w="11906" w:h="16838" w:code="9"/>
          <w:pgMar w:top="1440" w:right="1440" w:bottom="1440" w:left="1440" w:header="708" w:footer="708" w:gutter="0"/>
          <w:cols w:space="708"/>
          <w:docGrid w:linePitch="360"/>
        </w:sectPr>
      </w:pPr>
    </w:p>
    <w:p w:rsidR="00A9209A" w:rsidRPr="00230290" w:rsidRDefault="00A9209A" w:rsidP="00230290">
      <w:pPr>
        <w:pStyle w:val="Heading1"/>
        <w:numPr>
          <w:ilvl w:val="0"/>
          <w:numId w:val="1"/>
        </w:numPr>
        <w:spacing w:line="360" w:lineRule="auto"/>
        <w:jc w:val="both"/>
        <w:rPr>
          <w:rFonts w:asciiTheme="minorHAnsi" w:hAnsiTheme="minorHAnsi" w:cstheme="minorHAnsi"/>
          <w:b/>
          <w:color w:val="000000" w:themeColor="text1"/>
          <w:sz w:val="24"/>
          <w:szCs w:val="24"/>
        </w:rPr>
      </w:pPr>
      <w:bookmarkStart w:id="9" w:name="_Toc235665399"/>
      <w:r w:rsidRPr="00A9209A">
        <w:rPr>
          <w:rFonts w:asciiTheme="minorHAnsi" w:hAnsiTheme="minorHAnsi" w:cstheme="minorHAnsi"/>
          <w:b/>
          <w:color w:val="000000" w:themeColor="text1"/>
          <w:sz w:val="24"/>
          <w:szCs w:val="24"/>
        </w:rPr>
        <w:lastRenderedPageBreak/>
        <w:t>Reference</w:t>
      </w:r>
      <w:bookmarkEnd w:id="9"/>
    </w:p>
    <w:p w:rsidR="00230290" w:rsidRPr="00230290" w:rsidRDefault="00230290" w:rsidP="00230290">
      <w:pPr>
        <w:pStyle w:val="Bibliography"/>
        <w:spacing w:line="360" w:lineRule="auto"/>
        <w:jc w:val="both"/>
        <w:rPr>
          <w:sz w:val="24"/>
          <w:szCs w:val="24"/>
        </w:rPr>
      </w:pPr>
      <w:r w:rsidRPr="00230290">
        <w:rPr>
          <w:rFonts w:cstheme="minorHAnsi"/>
          <w:color w:val="000000" w:themeColor="text1"/>
          <w:sz w:val="24"/>
          <w:szCs w:val="24"/>
        </w:rPr>
        <w:fldChar w:fldCharType="begin"/>
      </w:r>
      <w:r w:rsidRPr="00230290">
        <w:rPr>
          <w:rFonts w:cstheme="minorHAnsi"/>
          <w:color w:val="000000" w:themeColor="text1"/>
          <w:sz w:val="24"/>
          <w:szCs w:val="24"/>
        </w:rPr>
        <w:instrText xml:space="preserve"> ADDIN ZOTERO_BIBL {"uncited":[],"omitted":[],"custom":[]} CSL_BIBLIOGRAPHY </w:instrText>
      </w:r>
      <w:r w:rsidRPr="00230290">
        <w:rPr>
          <w:rFonts w:cstheme="minorHAnsi"/>
          <w:color w:val="000000" w:themeColor="text1"/>
          <w:sz w:val="24"/>
          <w:szCs w:val="24"/>
        </w:rPr>
        <w:fldChar w:fldCharType="separate"/>
      </w:r>
      <w:r w:rsidRPr="00230290">
        <w:rPr>
          <w:sz w:val="24"/>
          <w:szCs w:val="24"/>
        </w:rPr>
        <w:t>[1]</w:t>
      </w:r>
      <w:r w:rsidRPr="00230290">
        <w:rPr>
          <w:sz w:val="24"/>
          <w:szCs w:val="24"/>
        </w:rPr>
        <w:tab/>
        <w:t xml:space="preserve">P. Ewoh and T. Vartiainen, “Vulnerability to Cyberattacks and Sociotechnical Solutions for Health Care Systems: Systematic Review,” </w:t>
      </w:r>
      <w:r w:rsidRPr="00230290">
        <w:rPr>
          <w:i/>
          <w:iCs/>
          <w:sz w:val="24"/>
          <w:szCs w:val="24"/>
        </w:rPr>
        <w:t>J Med Internet Res</w:t>
      </w:r>
      <w:r w:rsidRPr="00230290">
        <w:rPr>
          <w:sz w:val="24"/>
          <w:szCs w:val="24"/>
        </w:rPr>
        <w:t>, vol. 26, p. e46904, May 2024, doi: 10.2196/46904.</w:t>
      </w:r>
    </w:p>
    <w:p w:rsidR="00230290" w:rsidRPr="00230290" w:rsidRDefault="00230290" w:rsidP="00230290">
      <w:pPr>
        <w:pStyle w:val="Bibliography"/>
        <w:spacing w:line="360" w:lineRule="auto"/>
        <w:jc w:val="both"/>
        <w:rPr>
          <w:sz w:val="24"/>
          <w:szCs w:val="24"/>
        </w:rPr>
      </w:pPr>
      <w:r w:rsidRPr="00230290">
        <w:rPr>
          <w:sz w:val="24"/>
          <w:szCs w:val="24"/>
        </w:rPr>
        <w:t>[2]</w:t>
      </w:r>
      <w:r w:rsidRPr="00230290">
        <w:rPr>
          <w:sz w:val="24"/>
          <w:szCs w:val="24"/>
        </w:rPr>
        <w:tab/>
        <w:t>IBM, “X-Force Threat Intelligence Index 2026 | IBM.” Accessed: Jul. 23, 2026. [Online]. Available: https://www.ibm.com/reports/threat-intelligence</w:t>
      </w:r>
    </w:p>
    <w:p w:rsidR="00230290" w:rsidRPr="00230290" w:rsidRDefault="00230290" w:rsidP="00230290">
      <w:pPr>
        <w:pStyle w:val="Bibliography"/>
        <w:spacing w:line="360" w:lineRule="auto"/>
        <w:jc w:val="both"/>
        <w:rPr>
          <w:sz w:val="24"/>
          <w:szCs w:val="24"/>
        </w:rPr>
      </w:pPr>
      <w:r w:rsidRPr="00230290">
        <w:rPr>
          <w:sz w:val="24"/>
          <w:szCs w:val="24"/>
        </w:rPr>
        <w:t>[3]</w:t>
      </w:r>
      <w:r w:rsidRPr="00230290">
        <w:rPr>
          <w:sz w:val="24"/>
          <w:szCs w:val="24"/>
        </w:rPr>
        <w:tab/>
        <w:t>Chris Caridi, “X-Force Threat Intelligence Index 2025 highlights attackers steal, and sell, user identities at scale | IBM.” Accessed: Jul. 23, 2026. [Online]. Available: https://www.ibm.com/think/x-force/x-force-threat-intelligence-index-2025-attackers-steal-sell-user-identities</w:t>
      </w:r>
    </w:p>
    <w:p w:rsidR="00230290" w:rsidRPr="00230290" w:rsidRDefault="00230290" w:rsidP="00230290">
      <w:pPr>
        <w:pStyle w:val="Bibliography"/>
        <w:spacing w:line="360" w:lineRule="auto"/>
        <w:jc w:val="both"/>
        <w:rPr>
          <w:sz w:val="24"/>
          <w:szCs w:val="24"/>
        </w:rPr>
      </w:pPr>
      <w:r w:rsidRPr="00230290">
        <w:rPr>
          <w:sz w:val="24"/>
          <w:szCs w:val="24"/>
        </w:rPr>
        <w:t>[4]</w:t>
      </w:r>
      <w:r w:rsidRPr="00230290">
        <w:rPr>
          <w:sz w:val="24"/>
          <w:szCs w:val="24"/>
        </w:rPr>
        <w:tab/>
        <w:t>IBM, “Cost of a data breach 2025 | IBM.” Accessed: Jul. 23, 2026. [Online]. Available: https://www.ibm.com/reports/data-breach</w:t>
      </w:r>
    </w:p>
    <w:p w:rsidR="00230290" w:rsidRPr="00230290" w:rsidRDefault="00230290" w:rsidP="00230290">
      <w:pPr>
        <w:pStyle w:val="Bibliography"/>
        <w:spacing w:line="360" w:lineRule="auto"/>
        <w:jc w:val="both"/>
        <w:rPr>
          <w:sz w:val="24"/>
          <w:szCs w:val="24"/>
        </w:rPr>
      </w:pPr>
      <w:r w:rsidRPr="00230290">
        <w:rPr>
          <w:sz w:val="24"/>
          <w:szCs w:val="24"/>
        </w:rPr>
        <w:t>[5]</w:t>
      </w:r>
      <w:r w:rsidRPr="00230290">
        <w:rPr>
          <w:sz w:val="24"/>
          <w:szCs w:val="24"/>
        </w:rPr>
        <w:tab/>
        <w:t>Cisco Networking Academy, “Cybersecurity Essentials.” Accessed: Jul. 23, 2026. [Online]. Available: https://www.netacad.com/courses/cybersecurity-essentials?courseLang=en-US</w:t>
      </w:r>
    </w:p>
    <w:p w:rsidR="00230290" w:rsidRPr="00230290" w:rsidRDefault="00230290" w:rsidP="00230290">
      <w:pPr>
        <w:pStyle w:val="Bibliography"/>
        <w:spacing w:line="360" w:lineRule="auto"/>
        <w:jc w:val="both"/>
        <w:rPr>
          <w:sz w:val="24"/>
          <w:szCs w:val="24"/>
        </w:rPr>
      </w:pPr>
      <w:r w:rsidRPr="00230290">
        <w:rPr>
          <w:sz w:val="24"/>
          <w:szCs w:val="24"/>
        </w:rPr>
        <w:t>[6]</w:t>
      </w:r>
      <w:r w:rsidRPr="00230290">
        <w:rPr>
          <w:sz w:val="24"/>
          <w:szCs w:val="24"/>
        </w:rPr>
        <w:tab/>
        <w:t>Verizon, “2026 Data Breach Investigations Report (DBIR),” Verizon Business. Accessed: Jul. 23, 2026. [Online]. Available: https://www.verizon.com/business/resources/reports/dbir/</w:t>
      </w:r>
    </w:p>
    <w:p w:rsidR="00230290" w:rsidRPr="00230290" w:rsidRDefault="00230290" w:rsidP="00230290">
      <w:pPr>
        <w:pStyle w:val="Bibliography"/>
        <w:spacing w:line="360" w:lineRule="auto"/>
        <w:jc w:val="both"/>
        <w:rPr>
          <w:sz w:val="24"/>
          <w:szCs w:val="24"/>
        </w:rPr>
      </w:pPr>
      <w:r w:rsidRPr="00230290">
        <w:rPr>
          <w:sz w:val="24"/>
          <w:szCs w:val="24"/>
        </w:rPr>
        <w:t>[7]</w:t>
      </w:r>
      <w:r w:rsidRPr="00230290">
        <w:rPr>
          <w:sz w:val="24"/>
          <w:szCs w:val="24"/>
        </w:rPr>
        <w:tab/>
        <w:t xml:space="preserve">Er. Kritika, “A comprehensive literature review on ransomware detection using deep learning,” </w:t>
      </w:r>
      <w:r w:rsidRPr="00230290">
        <w:rPr>
          <w:i/>
          <w:iCs/>
          <w:sz w:val="24"/>
          <w:szCs w:val="24"/>
        </w:rPr>
        <w:t>Cyber Security and Applications</w:t>
      </w:r>
      <w:r w:rsidRPr="00230290">
        <w:rPr>
          <w:sz w:val="24"/>
          <w:szCs w:val="24"/>
        </w:rPr>
        <w:t>, vol. 3, p. 100078, Dec. 2025, doi: 10.1016/j.csa.2024.100078.</w:t>
      </w:r>
    </w:p>
    <w:p w:rsidR="00230290" w:rsidRPr="00230290" w:rsidRDefault="00230290" w:rsidP="00230290">
      <w:pPr>
        <w:pStyle w:val="Bibliography"/>
        <w:spacing w:line="360" w:lineRule="auto"/>
        <w:jc w:val="both"/>
        <w:rPr>
          <w:sz w:val="24"/>
          <w:szCs w:val="24"/>
        </w:rPr>
      </w:pPr>
      <w:r w:rsidRPr="00230290">
        <w:rPr>
          <w:sz w:val="24"/>
          <w:szCs w:val="24"/>
        </w:rPr>
        <w:t>[8]</w:t>
      </w:r>
      <w:r w:rsidRPr="00230290">
        <w:rPr>
          <w:sz w:val="24"/>
          <w:szCs w:val="24"/>
        </w:rPr>
        <w:tab/>
        <w:t>gcohen, “Throwback Attack: Norsk Hydro gets hit by LockerGoga ransomware,” Control Engineering. Accessed: Jul. 23, 2026. [Online]. Available: https://www.controleng.com/throwback-attack-norsk-hydro-gets-hit-by-lockergoga-ransomware/</w:t>
      </w:r>
    </w:p>
    <w:p w:rsidR="00230290" w:rsidRPr="00230290" w:rsidRDefault="00230290" w:rsidP="00230290">
      <w:pPr>
        <w:pStyle w:val="Bibliography"/>
        <w:spacing w:line="360" w:lineRule="auto"/>
        <w:jc w:val="both"/>
        <w:rPr>
          <w:sz w:val="24"/>
          <w:szCs w:val="24"/>
        </w:rPr>
      </w:pPr>
      <w:r w:rsidRPr="00230290">
        <w:rPr>
          <w:sz w:val="24"/>
          <w:szCs w:val="24"/>
        </w:rPr>
        <w:t>[9]</w:t>
      </w:r>
      <w:r w:rsidRPr="00230290">
        <w:rPr>
          <w:sz w:val="24"/>
          <w:szCs w:val="24"/>
        </w:rPr>
        <w:tab/>
        <w:t>ISO, “ISO/IEC 27001:2022,” International Organization for Standardization. Accessed: Jul. 23, 2026. [Online]. Available: https://www.iso.org/standard/27001</w:t>
      </w:r>
    </w:p>
    <w:p w:rsidR="00230290" w:rsidRPr="00230290" w:rsidRDefault="00230290" w:rsidP="00230290">
      <w:pPr>
        <w:pStyle w:val="Bibliography"/>
        <w:spacing w:line="360" w:lineRule="auto"/>
        <w:jc w:val="both"/>
        <w:rPr>
          <w:sz w:val="24"/>
          <w:szCs w:val="24"/>
        </w:rPr>
      </w:pPr>
      <w:r w:rsidRPr="00230290">
        <w:rPr>
          <w:sz w:val="24"/>
          <w:szCs w:val="24"/>
        </w:rPr>
        <w:t>[10]</w:t>
      </w:r>
      <w:r w:rsidRPr="00230290">
        <w:rPr>
          <w:sz w:val="24"/>
          <w:szCs w:val="24"/>
        </w:rPr>
        <w:tab/>
        <w:t xml:space="preserve">C. Pascoe, S. Quinn, and K. Scarfone, “The NIST Cybersecurity Framework (CSF) 2.0,” </w:t>
      </w:r>
      <w:r w:rsidRPr="00230290">
        <w:rPr>
          <w:i/>
          <w:iCs/>
          <w:sz w:val="24"/>
          <w:szCs w:val="24"/>
        </w:rPr>
        <w:t>NIST</w:t>
      </w:r>
      <w:r w:rsidRPr="00230290">
        <w:rPr>
          <w:sz w:val="24"/>
          <w:szCs w:val="24"/>
        </w:rPr>
        <w:t>, Feb. 2024, Accessed: Jul. 23, 2026. [Online]. Available: https://www.nist.gov/publications/nist-cybersecurity-framework-csf-20</w:t>
      </w:r>
    </w:p>
    <w:p w:rsidR="00230290" w:rsidRPr="00230290" w:rsidRDefault="00230290" w:rsidP="00230290">
      <w:pPr>
        <w:pStyle w:val="Bibliography"/>
        <w:spacing w:line="360" w:lineRule="auto"/>
        <w:jc w:val="both"/>
        <w:rPr>
          <w:sz w:val="24"/>
          <w:szCs w:val="24"/>
        </w:rPr>
      </w:pPr>
      <w:r w:rsidRPr="00230290">
        <w:rPr>
          <w:sz w:val="24"/>
          <w:szCs w:val="24"/>
        </w:rPr>
        <w:lastRenderedPageBreak/>
        <w:t>[11]</w:t>
      </w:r>
      <w:r w:rsidRPr="00230290">
        <w:rPr>
          <w:sz w:val="24"/>
          <w:szCs w:val="24"/>
        </w:rPr>
        <w:tab/>
        <w:t>National Cyber Security Centre, “10 Steps to Cyber Security | National Cyber Security Centre.” Accessed: Jul. 23, 2026. [Online]. Available: https://www.ncsc.gov.uk/collection/10-steps</w:t>
      </w:r>
    </w:p>
    <w:p w:rsidR="00230290" w:rsidRPr="00230290" w:rsidRDefault="00230290" w:rsidP="00230290">
      <w:pPr>
        <w:pStyle w:val="Bibliography"/>
        <w:spacing w:line="360" w:lineRule="auto"/>
        <w:jc w:val="both"/>
        <w:rPr>
          <w:sz w:val="24"/>
          <w:szCs w:val="24"/>
        </w:rPr>
      </w:pPr>
      <w:r w:rsidRPr="00230290">
        <w:rPr>
          <w:sz w:val="24"/>
          <w:szCs w:val="24"/>
        </w:rPr>
        <w:t>[12]</w:t>
      </w:r>
      <w:r w:rsidRPr="00230290">
        <w:rPr>
          <w:sz w:val="24"/>
          <w:szCs w:val="24"/>
        </w:rPr>
        <w:tab/>
        <w:t>ISMS, “Risk Assessment - ISMS.online,” https://www.isms.online/. Accessed: Jul. 23, 2026. [Online]. Available: https://www.isms.online/glossary/risk-assessment/</w:t>
      </w:r>
    </w:p>
    <w:p w:rsidR="00230290" w:rsidRPr="00230290" w:rsidRDefault="00230290" w:rsidP="00230290">
      <w:pPr>
        <w:pStyle w:val="Bibliography"/>
        <w:spacing w:line="360" w:lineRule="auto"/>
        <w:jc w:val="both"/>
        <w:rPr>
          <w:sz w:val="24"/>
          <w:szCs w:val="24"/>
        </w:rPr>
      </w:pPr>
      <w:r w:rsidRPr="00230290">
        <w:rPr>
          <w:sz w:val="24"/>
          <w:szCs w:val="24"/>
        </w:rPr>
        <w:t>[13]</w:t>
      </w:r>
      <w:r w:rsidRPr="00230290">
        <w:rPr>
          <w:sz w:val="24"/>
          <w:szCs w:val="24"/>
        </w:rPr>
        <w:tab/>
        <w:t>ICO, “The Data Use and Access Act 2025 (DUAA) - what does it mean for organisations?” Accessed: Jul. 23, 2026. [Online]. Available: https://ico.org.uk/about-the-ico/what-we-do/legislation-we-cover/data-use-and-access-act-2025/the-data-use-and-access-act-2025-what-does-it-mean-for-organisations/</w:t>
      </w:r>
    </w:p>
    <w:p w:rsidR="00230290" w:rsidRPr="00230290" w:rsidRDefault="00230290" w:rsidP="00230290">
      <w:pPr>
        <w:pStyle w:val="Bibliography"/>
        <w:spacing w:line="360" w:lineRule="auto"/>
        <w:jc w:val="both"/>
        <w:rPr>
          <w:sz w:val="24"/>
          <w:szCs w:val="24"/>
        </w:rPr>
      </w:pPr>
      <w:r w:rsidRPr="00230290">
        <w:rPr>
          <w:sz w:val="24"/>
          <w:szCs w:val="24"/>
        </w:rPr>
        <w:t>[14]</w:t>
      </w:r>
      <w:r w:rsidRPr="00230290">
        <w:rPr>
          <w:sz w:val="24"/>
          <w:szCs w:val="24"/>
        </w:rPr>
        <w:tab/>
        <w:t xml:space="preserve">P. Udayakumar, “Design and Deploy Security for Infrastructure, Data, and Applications,” in </w:t>
      </w:r>
      <w:r w:rsidRPr="00230290">
        <w:rPr>
          <w:i/>
          <w:iCs/>
          <w:sz w:val="24"/>
          <w:szCs w:val="24"/>
        </w:rPr>
        <w:t>Design and Deploy a Secure Azure Environment: Mapping the NIST Cybersecurity Framework to Azure Services</w:t>
      </w:r>
      <w:r w:rsidRPr="00230290">
        <w:rPr>
          <w:sz w:val="24"/>
          <w:szCs w:val="24"/>
        </w:rPr>
        <w:t>, P. Udayakumar, Ed., Berkeley, CA: Apress, 2023, pp. 75–148. doi: 10.1007/978-1-4842-9678-3_2.</w:t>
      </w:r>
    </w:p>
    <w:p w:rsidR="00230290" w:rsidRPr="00230290" w:rsidRDefault="00230290" w:rsidP="00230290">
      <w:pPr>
        <w:pStyle w:val="Bibliography"/>
        <w:spacing w:line="360" w:lineRule="auto"/>
        <w:jc w:val="both"/>
        <w:rPr>
          <w:sz w:val="24"/>
          <w:szCs w:val="24"/>
        </w:rPr>
      </w:pPr>
      <w:r w:rsidRPr="00230290">
        <w:rPr>
          <w:sz w:val="24"/>
          <w:szCs w:val="24"/>
        </w:rPr>
        <w:t>[15]</w:t>
      </w:r>
      <w:r w:rsidRPr="00230290">
        <w:rPr>
          <w:sz w:val="24"/>
          <w:szCs w:val="24"/>
        </w:rPr>
        <w:tab/>
        <w:t>CISA, “Reducing the Significant Risk of Known Exploited Vulnerabilities | CISA.” Accessed: Jul. 23, 2026. [Online]. Available: https://www.cisa.gov/known-exploited-vulnerabilities-catalog/reducing-significant-risk-known-exploited-vulnerabilities</w:t>
      </w:r>
    </w:p>
    <w:p w:rsidR="00230290" w:rsidRPr="00230290" w:rsidRDefault="00230290" w:rsidP="00230290">
      <w:pPr>
        <w:pStyle w:val="Bibliography"/>
        <w:spacing w:line="360" w:lineRule="auto"/>
        <w:jc w:val="both"/>
        <w:rPr>
          <w:sz w:val="24"/>
          <w:szCs w:val="24"/>
        </w:rPr>
      </w:pPr>
      <w:r w:rsidRPr="00230290">
        <w:rPr>
          <w:sz w:val="24"/>
          <w:szCs w:val="24"/>
        </w:rPr>
        <w:t>[16]</w:t>
      </w:r>
      <w:r w:rsidRPr="00230290">
        <w:rPr>
          <w:sz w:val="24"/>
          <w:szCs w:val="24"/>
        </w:rPr>
        <w:tab/>
        <w:t>knowbe4, “Report | 2026 Phishing by Industry Benchmarking Report.” Accessed: Jul. 23, 2026. [Online]. Available: https://www.knowbe4.com/resources/reports/phishing-by-industry-benchmarking-report</w:t>
      </w:r>
    </w:p>
    <w:p w:rsidR="00A9209A" w:rsidRPr="00A9209A" w:rsidRDefault="00230290" w:rsidP="00A9209A">
      <w:pPr>
        <w:spacing w:line="360" w:lineRule="auto"/>
        <w:jc w:val="both"/>
        <w:rPr>
          <w:rFonts w:cstheme="minorHAnsi"/>
          <w:color w:val="000000" w:themeColor="text1"/>
          <w:sz w:val="24"/>
          <w:szCs w:val="24"/>
        </w:rPr>
      </w:pPr>
      <w:r w:rsidRPr="00230290">
        <w:rPr>
          <w:rFonts w:cstheme="minorHAnsi"/>
          <w:color w:val="000000" w:themeColor="text1"/>
          <w:sz w:val="24"/>
          <w:szCs w:val="24"/>
        </w:rPr>
        <w:fldChar w:fldCharType="end"/>
      </w:r>
    </w:p>
    <w:p w:rsidR="00A9209A" w:rsidRPr="00A9209A" w:rsidRDefault="00A9209A" w:rsidP="00A9209A">
      <w:pPr>
        <w:spacing w:line="360" w:lineRule="auto"/>
        <w:jc w:val="both"/>
        <w:rPr>
          <w:rFonts w:cstheme="minorHAnsi"/>
          <w:color w:val="000000" w:themeColor="text1"/>
          <w:sz w:val="24"/>
          <w:szCs w:val="24"/>
        </w:rPr>
      </w:pPr>
    </w:p>
    <w:p w:rsidR="00A9209A" w:rsidRDefault="00A9209A" w:rsidP="00A9209A">
      <w:pPr>
        <w:spacing w:line="360" w:lineRule="auto"/>
        <w:jc w:val="both"/>
        <w:rPr>
          <w:rFonts w:cstheme="minorHAnsi"/>
          <w:color w:val="000000" w:themeColor="text1"/>
          <w:sz w:val="24"/>
          <w:szCs w:val="24"/>
        </w:rPr>
      </w:pPr>
    </w:p>
    <w:p w:rsidR="00F57F44" w:rsidRDefault="00F57F44" w:rsidP="00A9209A">
      <w:pPr>
        <w:spacing w:line="360" w:lineRule="auto"/>
        <w:jc w:val="both"/>
        <w:rPr>
          <w:rFonts w:cstheme="minorHAnsi"/>
          <w:color w:val="000000" w:themeColor="text1"/>
          <w:sz w:val="24"/>
          <w:szCs w:val="24"/>
        </w:rPr>
        <w:sectPr w:rsidR="00F57F44" w:rsidSect="00A9209A">
          <w:pgSz w:w="11906" w:h="16838" w:code="9"/>
          <w:pgMar w:top="1440" w:right="1440" w:bottom="1440" w:left="1440" w:header="708" w:footer="708" w:gutter="0"/>
          <w:cols w:space="708"/>
          <w:docGrid w:linePitch="360"/>
        </w:sectPr>
      </w:pPr>
    </w:p>
    <w:p w:rsidR="00A9209A" w:rsidRPr="00A9209A" w:rsidRDefault="00A9209A" w:rsidP="00A9209A">
      <w:pPr>
        <w:pStyle w:val="Heading1"/>
        <w:numPr>
          <w:ilvl w:val="0"/>
          <w:numId w:val="1"/>
        </w:numPr>
        <w:spacing w:line="360" w:lineRule="auto"/>
        <w:jc w:val="both"/>
        <w:rPr>
          <w:rFonts w:asciiTheme="minorHAnsi" w:hAnsiTheme="minorHAnsi" w:cstheme="minorHAnsi"/>
          <w:b/>
          <w:color w:val="000000" w:themeColor="text1"/>
          <w:sz w:val="24"/>
          <w:szCs w:val="24"/>
        </w:rPr>
      </w:pPr>
      <w:bookmarkStart w:id="10" w:name="_Toc235665400"/>
      <w:r w:rsidRPr="00A9209A">
        <w:rPr>
          <w:rFonts w:asciiTheme="minorHAnsi" w:hAnsiTheme="minorHAnsi" w:cstheme="minorHAnsi"/>
          <w:b/>
          <w:color w:val="000000" w:themeColor="text1"/>
          <w:sz w:val="24"/>
          <w:szCs w:val="24"/>
        </w:rPr>
        <w:lastRenderedPageBreak/>
        <w:t>Appendices</w:t>
      </w:r>
      <w:bookmarkEnd w:id="10"/>
    </w:p>
    <w:p w:rsidR="00A9209A"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1AD78289" wp14:editId="625B3B74">
            <wp:extent cx="5731510" cy="3221355"/>
            <wp:effectExtent l="19050" t="19050" r="21590" b="171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51E5A18E" wp14:editId="2C88F452">
            <wp:extent cx="5731510" cy="3221355"/>
            <wp:effectExtent l="19050" t="19050" r="21590" b="17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1355"/>
                    </a:xfrm>
                    <a:prstGeom prst="rect">
                      <a:avLst/>
                    </a:prstGeom>
                    <a:ln>
                      <a:solidFill>
                        <a:schemeClr val="tx2"/>
                      </a:solidFill>
                    </a:ln>
                  </pic:spPr>
                </pic:pic>
              </a:graphicData>
            </a:graphic>
          </wp:inline>
        </w:drawing>
      </w:r>
    </w:p>
    <w:p w:rsidR="00E8447B" w:rsidRPr="00A9209A"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48417B27" wp14:editId="18973244">
            <wp:extent cx="5731510" cy="3221355"/>
            <wp:effectExtent l="19050" t="19050" r="21590" b="171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1355"/>
                    </a:xfrm>
                    <a:prstGeom prst="rect">
                      <a:avLst/>
                    </a:prstGeom>
                    <a:ln>
                      <a:solidFill>
                        <a:schemeClr val="tx2"/>
                      </a:solidFill>
                    </a:ln>
                  </pic:spPr>
                </pic:pic>
              </a:graphicData>
            </a:graphic>
          </wp:inline>
        </w:drawing>
      </w:r>
    </w:p>
    <w:p w:rsidR="00A9209A"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76E0E7B1" wp14:editId="436558E2">
            <wp:extent cx="5731510" cy="3221355"/>
            <wp:effectExtent l="19050" t="19050" r="21590" b="171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3C9E3E9B" wp14:editId="7BEFB817">
            <wp:extent cx="5731510" cy="3212465"/>
            <wp:effectExtent l="19050" t="19050" r="21590" b="260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12465"/>
                    </a:xfrm>
                    <a:prstGeom prst="rect">
                      <a:avLst/>
                    </a:prstGeom>
                    <a:ln>
                      <a:solidFill>
                        <a:schemeClr val="tx2"/>
                      </a:solidFill>
                    </a:ln>
                  </pic:spPr>
                </pic:pic>
              </a:graphicData>
            </a:graphic>
          </wp:inline>
        </w:drawing>
      </w:r>
    </w:p>
    <w:p w:rsidR="002F1C37" w:rsidRDefault="002F1C37" w:rsidP="00A9209A">
      <w:pPr>
        <w:spacing w:line="360" w:lineRule="auto"/>
        <w:jc w:val="both"/>
        <w:rPr>
          <w:rFonts w:cstheme="minorHAnsi"/>
          <w:color w:val="000000" w:themeColor="text1"/>
          <w:sz w:val="24"/>
          <w:szCs w:val="24"/>
        </w:rPr>
      </w:pPr>
      <w:r w:rsidRPr="002F1C37">
        <w:rPr>
          <w:rFonts w:cstheme="minorHAnsi"/>
          <w:noProof/>
          <w:color w:val="000000" w:themeColor="text1"/>
          <w:sz w:val="24"/>
          <w:szCs w:val="24"/>
          <w:lang w:eastAsia="en-GB"/>
        </w:rPr>
        <w:drawing>
          <wp:inline distT="0" distB="0" distL="0" distR="0" wp14:anchorId="6A39ED08" wp14:editId="2A80A364">
            <wp:extent cx="5731510" cy="3221355"/>
            <wp:effectExtent l="19050" t="19050" r="21590" b="171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3F1EA1D4" wp14:editId="30CB33E9">
            <wp:extent cx="5731510" cy="3221355"/>
            <wp:effectExtent l="19050" t="19050" r="21590" b="171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6167449E" wp14:editId="6CD7F5E9">
            <wp:extent cx="5731510" cy="3221355"/>
            <wp:effectExtent l="19050" t="19050" r="21590" b="171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55BDC41B" wp14:editId="613EE11D">
            <wp:extent cx="5731510" cy="3221355"/>
            <wp:effectExtent l="19050" t="19050" r="21590" b="171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58E05B89" wp14:editId="7009EF0D">
            <wp:extent cx="5731510" cy="3221355"/>
            <wp:effectExtent l="19050" t="19050" r="21590" b="171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041351F2" wp14:editId="58AAE0A1">
            <wp:extent cx="5731510" cy="3227705"/>
            <wp:effectExtent l="19050" t="19050" r="21590" b="1079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770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1EE4ADE1" wp14:editId="5BC4DE9C">
            <wp:extent cx="5731510" cy="3221355"/>
            <wp:effectExtent l="19050" t="19050" r="21590" b="171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1355"/>
                    </a:xfrm>
                    <a:prstGeom prst="rect">
                      <a:avLst/>
                    </a:prstGeom>
                    <a:ln>
                      <a:solidFill>
                        <a:schemeClr val="tx2"/>
                      </a:solidFill>
                    </a:ln>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5C000CDE" wp14:editId="5572AC8A">
            <wp:extent cx="5731510" cy="3221355"/>
            <wp:effectExtent l="19050" t="19050" r="21590" b="171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1355"/>
                    </a:xfrm>
                    <a:prstGeom prst="rect">
                      <a:avLst/>
                    </a:prstGeom>
                    <a:ln>
                      <a:solidFill>
                        <a:schemeClr val="tx2"/>
                      </a:solidFill>
                    </a:ln>
                  </pic:spPr>
                </pic:pic>
              </a:graphicData>
            </a:graphic>
          </wp:inline>
        </w:drawing>
      </w:r>
    </w:p>
    <w:p w:rsidR="008E3108" w:rsidRDefault="008E3108" w:rsidP="00A9209A">
      <w:pPr>
        <w:spacing w:line="360" w:lineRule="auto"/>
        <w:jc w:val="both"/>
        <w:rPr>
          <w:rFonts w:cstheme="minorHAnsi"/>
          <w:color w:val="000000" w:themeColor="text1"/>
          <w:sz w:val="24"/>
          <w:szCs w:val="24"/>
        </w:rPr>
      </w:pPr>
      <w:r w:rsidRPr="008E3108">
        <w:rPr>
          <w:rFonts w:cstheme="minorHAnsi"/>
          <w:color w:val="000000" w:themeColor="text1"/>
          <w:sz w:val="24"/>
          <w:szCs w:val="24"/>
        </w:rPr>
        <w:drawing>
          <wp:inline distT="0" distB="0" distL="0" distR="0" wp14:anchorId="57F96CE7" wp14:editId="002EBFCB">
            <wp:extent cx="5731510" cy="3221355"/>
            <wp:effectExtent l="19050" t="19050" r="21590" b="171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1355"/>
                    </a:xfrm>
                    <a:prstGeom prst="rect">
                      <a:avLst/>
                    </a:prstGeom>
                    <a:ln>
                      <a:solidFill>
                        <a:schemeClr val="tx2"/>
                      </a:solidFill>
                    </a:ln>
                  </pic:spPr>
                </pic:pic>
              </a:graphicData>
            </a:graphic>
          </wp:inline>
        </w:drawing>
      </w:r>
      <w:bookmarkStart w:id="11" w:name="_GoBack"/>
      <w:bookmarkEnd w:id="11"/>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6CCE62D1" wp14:editId="6E189590">
            <wp:extent cx="5731510" cy="322135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1355"/>
                    </a:xfrm>
                    <a:prstGeom prst="rect">
                      <a:avLst/>
                    </a:prstGeom>
                  </pic:spPr>
                </pic:pic>
              </a:graphicData>
            </a:graphic>
          </wp:inline>
        </w:drawing>
      </w:r>
    </w:p>
    <w:p w:rsidR="00E8447B"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drawing>
          <wp:inline distT="0" distB="0" distL="0" distR="0" wp14:anchorId="7BE44417" wp14:editId="24F5322F">
            <wp:extent cx="5731510" cy="32213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1355"/>
                    </a:xfrm>
                    <a:prstGeom prst="rect">
                      <a:avLst/>
                    </a:prstGeom>
                  </pic:spPr>
                </pic:pic>
              </a:graphicData>
            </a:graphic>
          </wp:inline>
        </w:drawing>
      </w:r>
    </w:p>
    <w:p w:rsidR="00E8447B" w:rsidRPr="00A9209A" w:rsidRDefault="00E8447B" w:rsidP="00A9209A">
      <w:pPr>
        <w:spacing w:line="360" w:lineRule="auto"/>
        <w:jc w:val="both"/>
        <w:rPr>
          <w:rFonts w:cstheme="minorHAnsi"/>
          <w:color w:val="000000" w:themeColor="text1"/>
          <w:sz w:val="24"/>
          <w:szCs w:val="24"/>
        </w:rPr>
      </w:pPr>
      <w:r w:rsidRPr="00E8447B">
        <w:rPr>
          <w:rFonts w:cstheme="minorHAnsi"/>
          <w:noProof/>
          <w:color w:val="000000" w:themeColor="text1"/>
          <w:sz w:val="24"/>
          <w:szCs w:val="24"/>
          <w:lang w:eastAsia="en-GB"/>
        </w:rPr>
        <w:lastRenderedPageBreak/>
        <w:drawing>
          <wp:inline distT="0" distB="0" distL="0" distR="0" wp14:anchorId="5858E309" wp14:editId="707FAA20">
            <wp:extent cx="5731510" cy="32213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1355"/>
                    </a:xfrm>
                    <a:prstGeom prst="rect">
                      <a:avLst/>
                    </a:prstGeom>
                  </pic:spPr>
                </pic:pic>
              </a:graphicData>
            </a:graphic>
          </wp:inline>
        </w:drawing>
      </w: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p w:rsidR="00A9209A" w:rsidRPr="00A9209A" w:rsidRDefault="00A9209A" w:rsidP="00A9209A">
      <w:pPr>
        <w:spacing w:line="360" w:lineRule="auto"/>
        <w:jc w:val="both"/>
        <w:rPr>
          <w:rFonts w:cstheme="minorHAnsi"/>
          <w:color w:val="000000" w:themeColor="text1"/>
          <w:sz w:val="24"/>
          <w:szCs w:val="24"/>
        </w:rPr>
      </w:pPr>
    </w:p>
    <w:sectPr w:rsidR="00A9209A" w:rsidRPr="00A9209A" w:rsidSect="00A9209A">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685" w:rsidRDefault="00806685" w:rsidP="00BB1A85">
      <w:pPr>
        <w:spacing w:after="0" w:line="240" w:lineRule="auto"/>
      </w:pPr>
      <w:r>
        <w:separator/>
      </w:r>
    </w:p>
  </w:endnote>
  <w:endnote w:type="continuationSeparator" w:id="0">
    <w:p w:rsidR="00806685" w:rsidRDefault="00806685" w:rsidP="00BB1A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7506371"/>
      <w:docPartObj>
        <w:docPartGallery w:val="Page Numbers (Bottom of Page)"/>
        <w:docPartUnique/>
      </w:docPartObj>
    </w:sdtPr>
    <w:sdtEndPr>
      <w:rPr>
        <w:color w:val="7F7F7F" w:themeColor="background1" w:themeShade="7F"/>
        <w:spacing w:val="60"/>
      </w:rPr>
    </w:sdtEndPr>
    <w:sdtContent>
      <w:p w:rsidR="00BB1A85" w:rsidRDefault="00BB1A8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E3108" w:rsidRPr="008E3108">
          <w:rPr>
            <w:b/>
            <w:bCs/>
            <w:noProof/>
          </w:rPr>
          <w:t>24</w:t>
        </w:r>
        <w:r>
          <w:rPr>
            <w:b/>
            <w:bCs/>
            <w:noProof/>
          </w:rPr>
          <w:fldChar w:fldCharType="end"/>
        </w:r>
        <w:r>
          <w:rPr>
            <w:b/>
            <w:bCs/>
          </w:rPr>
          <w:t xml:space="preserve"> | </w:t>
        </w:r>
        <w:r>
          <w:rPr>
            <w:color w:val="7F7F7F" w:themeColor="background1" w:themeShade="7F"/>
            <w:spacing w:val="60"/>
          </w:rPr>
          <w:t>Page</w:t>
        </w:r>
      </w:p>
    </w:sdtContent>
  </w:sdt>
  <w:p w:rsidR="00BB1A85" w:rsidRDefault="00BB1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685" w:rsidRDefault="00806685" w:rsidP="00BB1A85">
      <w:pPr>
        <w:spacing w:after="0" w:line="240" w:lineRule="auto"/>
      </w:pPr>
      <w:r>
        <w:separator/>
      </w:r>
    </w:p>
  </w:footnote>
  <w:footnote w:type="continuationSeparator" w:id="0">
    <w:p w:rsidR="00806685" w:rsidRDefault="00806685" w:rsidP="00BB1A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C1005"/>
    <w:multiLevelType w:val="hybridMultilevel"/>
    <w:tmpl w:val="77CC3F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09A"/>
    <w:rsid w:val="0001501A"/>
    <w:rsid w:val="00073051"/>
    <w:rsid w:val="00080A50"/>
    <w:rsid w:val="000C7524"/>
    <w:rsid w:val="00230290"/>
    <w:rsid w:val="002F1C37"/>
    <w:rsid w:val="003271EB"/>
    <w:rsid w:val="00447126"/>
    <w:rsid w:val="00451927"/>
    <w:rsid w:val="0048012F"/>
    <w:rsid w:val="004927B3"/>
    <w:rsid w:val="005F63A3"/>
    <w:rsid w:val="00625FA7"/>
    <w:rsid w:val="00677018"/>
    <w:rsid w:val="00806685"/>
    <w:rsid w:val="00840143"/>
    <w:rsid w:val="008D0D0C"/>
    <w:rsid w:val="008E3108"/>
    <w:rsid w:val="00906721"/>
    <w:rsid w:val="0091340D"/>
    <w:rsid w:val="00941DA7"/>
    <w:rsid w:val="009961D5"/>
    <w:rsid w:val="00A306CD"/>
    <w:rsid w:val="00A9209A"/>
    <w:rsid w:val="00AF650C"/>
    <w:rsid w:val="00BB1A85"/>
    <w:rsid w:val="00C06591"/>
    <w:rsid w:val="00CB6437"/>
    <w:rsid w:val="00CD6B58"/>
    <w:rsid w:val="00D45051"/>
    <w:rsid w:val="00DE4A8C"/>
    <w:rsid w:val="00E8071E"/>
    <w:rsid w:val="00E8447B"/>
    <w:rsid w:val="00ED2F6F"/>
    <w:rsid w:val="00EF63E2"/>
    <w:rsid w:val="00F5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2B174"/>
  <w15:chartTrackingRefBased/>
  <w15:docId w15:val="{CB5A7337-62EC-4576-A55D-2343EC0C7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9209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20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09A"/>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A9209A"/>
    <w:rPr>
      <w:rFonts w:asciiTheme="majorHAnsi" w:eastAsiaTheme="majorEastAsia" w:hAnsiTheme="majorHAnsi" w:cstheme="majorBidi"/>
      <w:color w:val="2E74B5" w:themeColor="accent1" w:themeShade="BF"/>
      <w:sz w:val="26"/>
      <w:szCs w:val="26"/>
      <w:lang w:val="en-GB"/>
    </w:rPr>
  </w:style>
  <w:style w:type="table" w:styleId="TableGrid">
    <w:name w:val="Table Grid"/>
    <w:basedOn w:val="TableNormal"/>
    <w:uiPriority w:val="59"/>
    <w:rsid w:val="00A9209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8071E"/>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BB1A85"/>
    <w:pPr>
      <w:outlineLvl w:val="9"/>
    </w:pPr>
    <w:rPr>
      <w:lang w:val="en-US"/>
    </w:rPr>
  </w:style>
  <w:style w:type="paragraph" w:styleId="TOC1">
    <w:name w:val="toc 1"/>
    <w:basedOn w:val="Normal"/>
    <w:next w:val="Normal"/>
    <w:autoRedefine/>
    <w:uiPriority w:val="39"/>
    <w:unhideWhenUsed/>
    <w:rsid w:val="00BB1A85"/>
    <w:pPr>
      <w:spacing w:after="100"/>
    </w:pPr>
  </w:style>
  <w:style w:type="paragraph" w:styleId="TOC2">
    <w:name w:val="toc 2"/>
    <w:basedOn w:val="Normal"/>
    <w:next w:val="Normal"/>
    <w:autoRedefine/>
    <w:uiPriority w:val="39"/>
    <w:unhideWhenUsed/>
    <w:rsid w:val="00BB1A85"/>
    <w:pPr>
      <w:spacing w:after="100"/>
      <w:ind w:left="220"/>
    </w:pPr>
  </w:style>
  <w:style w:type="character" w:styleId="Hyperlink">
    <w:name w:val="Hyperlink"/>
    <w:basedOn w:val="DefaultParagraphFont"/>
    <w:uiPriority w:val="99"/>
    <w:unhideWhenUsed/>
    <w:rsid w:val="00BB1A85"/>
    <w:rPr>
      <w:color w:val="0563C1" w:themeColor="hyperlink"/>
      <w:u w:val="single"/>
    </w:rPr>
  </w:style>
  <w:style w:type="paragraph" w:styleId="Header">
    <w:name w:val="header"/>
    <w:basedOn w:val="Normal"/>
    <w:link w:val="HeaderChar"/>
    <w:uiPriority w:val="99"/>
    <w:unhideWhenUsed/>
    <w:rsid w:val="00BB1A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1A85"/>
    <w:rPr>
      <w:lang w:val="en-GB"/>
    </w:rPr>
  </w:style>
  <w:style w:type="paragraph" w:styleId="Footer">
    <w:name w:val="footer"/>
    <w:basedOn w:val="Normal"/>
    <w:link w:val="FooterChar"/>
    <w:uiPriority w:val="99"/>
    <w:unhideWhenUsed/>
    <w:rsid w:val="00BB1A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1A85"/>
    <w:rPr>
      <w:lang w:val="en-GB"/>
    </w:rPr>
  </w:style>
  <w:style w:type="paragraph" w:styleId="Bibliography">
    <w:name w:val="Bibliography"/>
    <w:basedOn w:val="Normal"/>
    <w:next w:val="Normal"/>
    <w:uiPriority w:val="37"/>
    <w:unhideWhenUsed/>
    <w:rsid w:val="00230290"/>
    <w:pPr>
      <w:tabs>
        <w:tab w:val="left" w:pos="504"/>
      </w:tabs>
      <w:spacing w:after="0" w:line="240" w:lineRule="auto"/>
      <w:ind w:left="504" w:hanging="50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footer" Target="footer1.xml"/><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FBA4C594-F5DB-4F37-9742-7CBADF6F4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26</Pages>
  <Words>8401</Words>
  <Characters>47888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abc</cp:lastModifiedBy>
  <cp:revision>10</cp:revision>
  <dcterms:created xsi:type="dcterms:W3CDTF">2026-07-22T20:09:00Z</dcterms:created>
  <dcterms:modified xsi:type="dcterms:W3CDTF">2026-07-23T11:50:00Z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id="ZYTHibA8"/&gt;&lt;style id="http://www.zotero.org/styles/ieee" locale="en-US" hasBibliography="1" bibliographyStyleHasBeenSet="1"/&gt;&lt;prefs&gt;&lt;pref name="fieldType" value="Field"/&gt;&lt;/prefs&gt;&lt;/data&gt;</vt:lpwstr>
  </property>
  <property fmtid="{D5CDD505-2E9C-101B-9397-08002B2CF9AE}" pid="3" name="GrammarlyDocumentId">
    <vt:lpwstr>f677e428-f9b1-487c-a324-770594be51e8</vt:lpwstr>
  </property>
</Properties>
</file>