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211C68" w14:textId="77777777" w:rsidR="000D6186" w:rsidRDefault="000D6186" w:rsidP="00E71497">
      <w:pPr>
        <w:autoSpaceDE w:val="0"/>
        <w:autoSpaceDN w:val="0"/>
        <w:adjustRightInd w:val="0"/>
        <w:ind w:right="283"/>
        <w:rPr>
          <w:color w:val="000000"/>
          <w:lang w:val="en-US"/>
        </w:rPr>
      </w:pPr>
      <w:r>
        <w:rPr>
          <w:color w:val="000000"/>
          <w:lang w:val="en-US"/>
        </w:rPr>
        <w:t>Book Review in the format of the Journal of Islamic Studies</w:t>
      </w:r>
    </w:p>
    <w:p w14:paraId="084BAA76" w14:textId="77777777" w:rsidR="000D6186" w:rsidRDefault="000D6186" w:rsidP="00E71497">
      <w:pPr>
        <w:autoSpaceDE w:val="0"/>
        <w:autoSpaceDN w:val="0"/>
        <w:adjustRightInd w:val="0"/>
        <w:ind w:right="283"/>
        <w:rPr>
          <w:color w:val="000000"/>
          <w:lang w:val="en-US"/>
        </w:rPr>
      </w:pPr>
    </w:p>
    <w:p w14:paraId="59D71AD3" w14:textId="77777777" w:rsidR="000D6186" w:rsidRDefault="000D6186" w:rsidP="00E71497">
      <w:pPr>
        <w:autoSpaceDE w:val="0"/>
        <w:autoSpaceDN w:val="0"/>
        <w:adjustRightInd w:val="0"/>
        <w:ind w:right="283"/>
        <w:rPr>
          <w:i/>
          <w:iCs/>
          <w:color w:val="000000"/>
          <w:lang w:val="en-US"/>
        </w:rPr>
      </w:pPr>
      <w:r>
        <w:rPr>
          <w:i/>
          <w:iCs/>
          <w:color w:val="000000"/>
          <w:lang w:val="en-US"/>
        </w:rPr>
        <w:t>The Illustrated Encyclopedia of Islamic Art and Architecture</w:t>
      </w:r>
    </w:p>
    <w:p w14:paraId="2C2D0611" w14:textId="77777777" w:rsidR="000D6186" w:rsidRDefault="000D6186" w:rsidP="00E71497">
      <w:pPr>
        <w:autoSpaceDE w:val="0"/>
        <w:autoSpaceDN w:val="0"/>
        <w:adjustRightInd w:val="0"/>
        <w:ind w:right="283"/>
        <w:rPr>
          <w:color w:val="000000"/>
          <w:lang w:val="en-US"/>
        </w:rPr>
      </w:pPr>
      <w:r>
        <w:rPr>
          <w:color w:val="000000"/>
          <w:lang w:val="en-US"/>
        </w:rPr>
        <w:t xml:space="preserve">  By MOYA CAREY. London: </w:t>
      </w:r>
      <w:proofErr w:type="spellStart"/>
      <w:r>
        <w:rPr>
          <w:color w:val="000000"/>
          <w:lang w:val="en-US"/>
        </w:rPr>
        <w:t>Anness</w:t>
      </w:r>
      <w:proofErr w:type="spellEnd"/>
      <w:r>
        <w:rPr>
          <w:color w:val="000000"/>
          <w:lang w:val="en-US"/>
        </w:rPr>
        <w:t xml:space="preserve"> Publishing, 2014. Pp. 256. Price HB £17.99. 978-0-7548-2087-1</w:t>
      </w:r>
    </w:p>
    <w:p w14:paraId="564E85DA" w14:textId="77777777" w:rsidR="000D6186" w:rsidRDefault="000D6186" w:rsidP="00E71497">
      <w:pPr>
        <w:autoSpaceDE w:val="0"/>
        <w:autoSpaceDN w:val="0"/>
        <w:adjustRightInd w:val="0"/>
        <w:ind w:right="283"/>
        <w:rPr>
          <w:color w:val="000000"/>
          <w:lang w:val="en-US"/>
        </w:rPr>
      </w:pPr>
    </w:p>
    <w:p w14:paraId="1D71E792" w14:textId="77777777" w:rsidR="000D6186" w:rsidRDefault="000D6186" w:rsidP="00E71497">
      <w:pPr>
        <w:autoSpaceDE w:val="0"/>
        <w:autoSpaceDN w:val="0"/>
        <w:adjustRightInd w:val="0"/>
        <w:ind w:right="283"/>
        <w:jc w:val="both"/>
        <w:rPr>
          <w:color w:val="000000"/>
          <w:lang w:val="en-US"/>
        </w:rPr>
      </w:pPr>
      <w:r>
        <w:rPr>
          <w:color w:val="000000"/>
          <w:lang w:val="en-US"/>
        </w:rPr>
        <w:t>The book is a luminous work that explores the rich heritage of Islamic art and architecture. It inspires the reader to return time and again to marvel at more than five hundred beautiful photographs, paintings and maps. The author has meticulously researched the subject matter to provide the reader with a comprehensive history of 14</w:t>
      </w:r>
      <w:r>
        <w:rPr>
          <w:color w:val="000000"/>
          <w:sz w:val="16"/>
          <w:szCs w:val="16"/>
          <w:vertAlign w:val="superscript"/>
          <w:lang w:val="en-US"/>
        </w:rPr>
        <w:t>th</w:t>
      </w:r>
      <w:r>
        <w:rPr>
          <w:color w:val="000000"/>
          <w:lang w:val="en-US"/>
        </w:rPr>
        <w:t xml:space="preserve"> century Islam’s legacy of art, design and architecture. The purpose of surveying Islam’s unique and vibrant heritage – from ornate mosques and monuments to manuscripts, pottery, calligraphy, carpets and costume – is beautifully achieved with stunning illustrations and analysis. Carey’s contribution is an important one in a field of growing interest in aesthetically pleasing perspectives of Islam. </w:t>
      </w:r>
    </w:p>
    <w:p w14:paraId="35CD8AAE" w14:textId="77777777" w:rsidR="000D6186" w:rsidRDefault="000D6186" w:rsidP="00E71497">
      <w:pPr>
        <w:autoSpaceDE w:val="0"/>
        <w:autoSpaceDN w:val="0"/>
        <w:adjustRightInd w:val="0"/>
        <w:ind w:right="283"/>
        <w:jc w:val="both"/>
        <w:rPr>
          <w:i/>
          <w:iCs/>
          <w:color w:val="000000"/>
          <w:lang w:val="en-US"/>
        </w:rPr>
      </w:pPr>
      <w:r>
        <w:rPr>
          <w:color w:val="000000"/>
          <w:lang w:val="en-US"/>
        </w:rPr>
        <w:t xml:space="preserve">    Books and surveys in various sizes, formats and designs have been written and presented by experts in the field of Islamic art. </w:t>
      </w:r>
      <w:r>
        <w:rPr>
          <w:i/>
          <w:iCs/>
          <w:color w:val="000000"/>
          <w:lang w:val="en-US"/>
        </w:rPr>
        <w:t xml:space="preserve">The Illustrated Encyclopedia of Islamic Art and Architecture </w:t>
      </w:r>
      <w:r>
        <w:rPr>
          <w:color w:val="000000"/>
          <w:lang w:val="en-US"/>
        </w:rPr>
        <w:t xml:space="preserve">is supported by an informative introduction on Islam to acquaint the reader with the historical foundation of the rich artistic heritage. This is followed by a timeline; twelve chapters of analysis; two pages detailing the museums and galleries in which to view Islamic art in the Islamic world, Europe, Russia, the USA and online; a glossary of important terms; and an index. The timeline of the major works of Islamic art and architecture is spread over five pages and provides an overview of the important historical dates of notable achievements. It serves as a useful reference that helps the reader </w:t>
      </w:r>
      <w:proofErr w:type="spellStart"/>
      <w:r>
        <w:rPr>
          <w:color w:val="000000"/>
          <w:lang w:val="en-US"/>
        </w:rPr>
        <w:t>visualise</w:t>
      </w:r>
      <w:proofErr w:type="spellEnd"/>
      <w:r>
        <w:rPr>
          <w:color w:val="000000"/>
          <w:lang w:val="en-US"/>
        </w:rPr>
        <w:t xml:space="preserve"> the artistry over the centuries. This is also aided by the many historical maps throughout the book, which pinpoint the locations of the art and architecture surveyed.</w:t>
      </w:r>
    </w:p>
    <w:p w14:paraId="294E095B" w14:textId="77777777" w:rsidR="000D6186" w:rsidRDefault="000D6186" w:rsidP="00E71497">
      <w:pPr>
        <w:autoSpaceDE w:val="0"/>
        <w:autoSpaceDN w:val="0"/>
        <w:adjustRightInd w:val="0"/>
        <w:ind w:right="283"/>
        <w:jc w:val="both"/>
        <w:rPr>
          <w:color w:val="000000"/>
          <w:lang w:val="en-US"/>
        </w:rPr>
      </w:pPr>
      <w:r>
        <w:rPr>
          <w:color w:val="000000"/>
          <w:lang w:val="en-US"/>
        </w:rPr>
        <w:t xml:space="preserve">    The first chapter, ‘The Art of the Islamic World’, provides a general overview and examines the Quran, the mosque exterior and interior, major Islamic cities, the madrasa, memorials for the dead, and ornaments including geometric patterns, arabesque and other </w:t>
      </w:r>
      <w:proofErr w:type="spellStart"/>
      <w:r>
        <w:rPr>
          <w:color w:val="000000"/>
          <w:lang w:val="en-US"/>
        </w:rPr>
        <w:t>stylised</w:t>
      </w:r>
      <w:proofErr w:type="spellEnd"/>
      <w:r>
        <w:rPr>
          <w:color w:val="000000"/>
          <w:lang w:val="en-US"/>
        </w:rPr>
        <w:t xml:space="preserve"> forms. Chapter two, ‘The Umayyad Caliphate’, explores Umayyad coins, the Dome of the Rock mosque in Jerusalem and the grand Umayyad mosque of Damascus, which is hailed as one of the wonders of the world by contemporary scholars. Chapter three, ‘The Abbasid Caliphate’, analyses the artistic achievements of the caliphate, including pottery, lusterware, glassmaking and early Qurans. </w:t>
      </w:r>
    </w:p>
    <w:p w14:paraId="31C9C139" w14:textId="77777777" w:rsidR="000D6186" w:rsidRDefault="000D6186" w:rsidP="00E71497">
      <w:pPr>
        <w:autoSpaceDE w:val="0"/>
        <w:autoSpaceDN w:val="0"/>
        <w:adjustRightInd w:val="0"/>
        <w:ind w:right="283"/>
        <w:jc w:val="both"/>
        <w:rPr>
          <w:color w:val="000000"/>
          <w:lang w:val="en-US"/>
        </w:rPr>
      </w:pPr>
      <w:r>
        <w:rPr>
          <w:color w:val="000000"/>
          <w:lang w:val="en-US"/>
        </w:rPr>
        <w:t xml:space="preserve">    Chapter four, ‘The Fatimids’, reviews the sophistication of the Fatimid caliphate and luxury objects made from intricately carved wood, ivory, rock crystal and lusterware ceramics.</w:t>
      </w:r>
      <w:r>
        <w:rPr>
          <w:i/>
          <w:iCs/>
          <w:color w:val="000000"/>
          <w:lang w:val="en-US"/>
        </w:rPr>
        <w:t xml:space="preserve"> </w:t>
      </w:r>
      <w:r>
        <w:rPr>
          <w:color w:val="000000"/>
          <w:lang w:val="en-US"/>
        </w:rPr>
        <w:t xml:space="preserve">Chapter five, ‘From the </w:t>
      </w:r>
      <w:proofErr w:type="spellStart"/>
      <w:r>
        <w:rPr>
          <w:color w:val="000000"/>
          <w:lang w:val="en-US"/>
        </w:rPr>
        <w:t>Samanids</w:t>
      </w:r>
      <w:proofErr w:type="spellEnd"/>
      <w:r>
        <w:rPr>
          <w:color w:val="000000"/>
          <w:lang w:val="en-US"/>
        </w:rPr>
        <w:t xml:space="preserve"> to the Seljuks’, examines the creativity of the </w:t>
      </w:r>
      <w:proofErr w:type="spellStart"/>
      <w:r>
        <w:rPr>
          <w:color w:val="000000"/>
          <w:lang w:val="en-US"/>
        </w:rPr>
        <w:t>Samanid</w:t>
      </w:r>
      <w:proofErr w:type="spellEnd"/>
      <w:r>
        <w:rPr>
          <w:color w:val="000000"/>
          <w:lang w:val="en-US"/>
        </w:rPr>
        <w:t xml:space="preserve">, </w:t>
      </w:r>
      <w:proofErr w:type="spellStart"/>
      <w:r>
        <w:rPr>
          <w:color w:val="000000"/>
          <w:lang w:val="en-US"/>
        </w:rPr>
        <w:t>Ghaznavic</w:t>
      </w:r>
      <w:proofErr w:type="spellEnd"/>
      <w:r>
        <w:rPr>
          <w:color w:val="000000"/>
          <w:lang w:val="en-US"/>
        </w:rPr>
        <w:t xml:space="preserve">, </w:t>
      </w:r>
      <w:proofErr w:type="spellStart"/>
      <w:r>
        <w:rPr>
          <w:color w:val="000000"/>
          <w:lang w:val="en-US"/>
        </w:rPr>
        <w:t>Ghurid</w:t>
      </w:r>
      <w:proofErr w:type="spellEnd"/>
      <w:r>
        <w:rPr>
          <w:color w:val="000000"/>
          <w:lang w:val="en-US"/>
        </w:rPr>
        <w:t xml:space="preserve"> and Seljuk dynasties, including pottery, monuments, madrasas, stonework and </w:t>
      </w:r>
      <w:r>
        <w:rPr>
          <w:i/>
          <w:iCs/>
          <w:color w:val="000000"/>
          <w:lang w:val="en-US"/>
        </w:rPr>
        <w:t>caravanserais</w:t>
      </w:r>
      <w:r>
        <w:rPr>
          <w:color w:val="000000"/>
          <w:lang w:val="en-US"/>
        </w:rPr>
        <w:t xml:space="preserve">, which were a complex of buildings “often with an imposing, decorated gateway as an entrance leading to a courtyard surrounded by lodgings and stables.” The </w:t>
      </w:r>
      <w:r>
        <w:rPr>
          <w:i/>
          <w:iCs/>
          <w:color w:val="000000"/>
          <w:lang w:val="en-US"/>
        </w:rPr>
        <w:t>caravanserais</w:t>
      </w:r>
      <w:r>
        <w:rPr>
          <w:color w:val="000000"/>
          <w:lang w:val="en-US"/>
        </w:rPr>
        <w:t xml:space="preserve"> typically featured a mosque, trading area and a fountain, among other buildings. </w:t>
      </w:r>
    </w:p>
    <w:p w14:paraId="24068764" w14:textId="77777777" w:rsidR="000D6186" w:rsidRDefault="000D6186" w:rsidP="00E71497">
      <w:pPr>
        <w:autoSpaceDE w:val="0"/>
        <w:autoSpaceDN w:val="0"/>
        <w:adjustRightInd w:val="0"/>
        <w:ind w:right="283"/>
        <w:jc w:val="both"/>
        <w:rPr>
          <w:i/>
          <w:iCs/>
          <w:color w:val="000000"/>
          <w:lang w:val="en-US"/>
        </w:rPr>
      </w:pPr>
      <w:r>
        <w:rPr>
          <w:color w:val="000000"/>
          <w:lang w:val="en-US"/>
        </w:rPr>
        <w:t xml:space="preserve">    Chapter six explores the </w:t>
      </w:r>
      <w:proofErr w:type="spellStart"/>
      <w:r>
        <w:rPr>
          <w:color w:val="000000"/>
          <w:lang w:val="en-US"/>
        </w:rPr>
        <w:t>Zangid</w:t>
      </w:r>
      <w:proofErr w:type="spellEnd"/>
      <w:r>
        <w:rPr>
          <w:color w:val="000000"/>
          <w:lang w:val="en-US"/>
        </w:rPr>
        <w:t xml:space="preserve">, </w:t>
      </w:r>
      <w:proofErr w:type="spellStart"/>
      <w:r>
        <w:rPr>
          <w:color w:val="000000"/>
          <w:lang w:val="en-US"/>
        </w:rPr>
        <w:t>Ayyubid</w:t>
      </w:r>
      <w:proofErr w:type="spellEnd"/>
      <w:r>
        <w:rPr>
          <w:color w:val="000000"/>
          <w:lang w:val="en-US"/>
        </w:rPr>
        <w:t xml:space="preserve"> and Mamluk achievements, covering intricate inlaid metalwork produced in Mosul and major building projects with decorative elements by the </w:t>
      </w:r>
      <w:proofErr w:type="spellStart"/>
      <w:r>
        <w:rPr>
          <w:color w:val="000000"/>
          <w:lang w:val="en-US"/>
        </w:rPr>
        <w:t>Ayyubid</w:t>
      </w:r>
      <w:proofErr w:type="spellEnd"/>
      <w:r>
        <w:rPr>
          <w:color w:val="000000"/>
          <w:lang w:val="en-US"/>
        </w:rPr>
        <w:t xml:space="preserve"> rulers and Mamluk sultanate.</w:t>
      </w:r>
      <w:r>
        <w:rPr>
          <w:i/>
          <w:iCs/>
          <w:color w:val="000000"/>
          <w:lang w:val="en-US"/>
        </w:rPr>
        <w:t xml:space="preserve"> </w:t>
      </w:r>
      <w:r>
        <w:rPr>
          <w:color w:val="000000"/>
          <w:lang w:val="en-US"/>
        </w:rPr>
        <w:t>Chapter seven, ‘Islam in Spain and North Africa’, surveys the beautiful legacy of Islam in this geographical area to demonstrate that, “under the Umayyad caliphate, Cordoba became one of the most wonderful cities of the world, its opulence and culture unrivalled throughout Western Europe.”</w:t>
      </w:r>
      <w:r>
        <w:rPr>
          <w:i/>
          <w:iCs/>
          <w:color w:val="000000"/>
          <w:lang w:val="en-US"/>
        </w:rPr>
        <w:t xml:space="preserve"> </w:t>
      </w:r>
      <w:r>
        <w:rPr>
          <w:color w:val="000000"/>
          <w:lang w:val="en-US"/>
        </w:rPr>
        <w:t xml:space="preserve">Chapter eight surveys the art and architecture of ‘Iran after the Mongol Invasions’, while chapter nine surveys Iran under the </w:t>
      </w:r>
      <w:r>
        <w:rPr>
          <w:color w:val="000000"/>
          <w:lang w:val="en-US"/>
        </w:rPr>
        <w:lastRenderedPageBreak/>
        <w:t xml:space="preserve">influences of the Safavids to the </w:t>
      </w:r>
      <w:proofErr w:type="spellStart"/>
      <w:r>
        <w:rPr>
          <w:color w:val="000000"/>
          <w:lang w:val="en-US"/>
        </w:rPr>
        <w:t>Qajars</w:t>
      </w:r>
      <w:proofErr w:type="spellEnd"/>
      <w:r>
        <w:rPr>
          <w:color w:val="000000"/>
          <w:lang w:val="en-US"/>
        </w:rPr>
        <w:t>, which “brought a new era of ostentatious imperial imagery” that included luxury manuscripts and paintings.</w:t>
      </w:r>
      <w:r>
        <w:rPr>
          <w:i/>
          <w:iCs/>
          <w:color w:val="000000"/>
          <w:lang w:val="en-US"/>
        </w:rPr>
        <w:t xml:space="preserve"> </w:t>
      </w:r>
    </w:p>
    <w:p w14:paraId="2984DF72" w14:textId="77777777" w:rsidR="000D6186" w:rsidRDefault="000D6186" w:rsidP="00E71497">
      <w:pPr>
        <w:autoSpaceDE w:val="0"/>
        <w:autoSpaceDN w:val="0"/>
        <w:adjustRightInd w:val="0"/>
        <w:ind w:right="283"/>
        <w:jc w:val="both"/>
        <w:rPr>
          <w:color w:val="000000"/>
          <w:lang w:val="en-US"/>
        </w:rPr>
      </w:pPr>
      <w:r>
        <w:rPr>
          <w:i/>
          <w:iCs/>
          <w:color w:val="000000"/>
          <w:lang w:val="en-US"/>
        </w:rPr>
        <w:t xml:space="preserve">    </w:t>
      </w:r>
      <w:r>
        <w:rPr>
          <w:color w:val="000000"/>
          <w:lang w:val="en-US"/>
        </w:rPr>
        <w:t xml:space="preserve">Chapter ten surveys the ‘Islamic Art in Mughal India’, discussing the extraordinary wonder of the world, the Taj Mahal, as well as Mughal tombs and other splendid buildings, the decorative arts, </w:t>
      </w:r>
      <w:proofErr w:type="spellStart"/>
      <w:r>
        <w:rPr>
          <w:color w:val="000000"/>
          <w:lang w:val="en-US"/>
        </w:rPr>
        <w:t>jewellery</w:t>
      </w:r>
      <w:proofErr w:type="spellEnd"/>
      <w:r>
        <w:rPr>
          <w:color w:val="000000"/>
          <w:lang w:val="en-US"/>
        </w:rPr>
        <w:t xml:space="preserve">, paintings, Indian carpets and textiles. Chapter eleven surveys </w:t>
      </w:r>
      <w:proofErr w:type="spellStart"/>
      <w:r>
        <w:rPr>
          <w:color w:val="000000"/>
          <w:lang w:val="en-US"/>
        </w:rPr>
        <w:t>Iznik</w:t>
      </w:r>
      <w:proofErr w:type="spellEnd"/>
      <w:r>
        <w:rPr>
          <w:color w:val="000000"/>
          <w:lang w:val="en-US"/>
        </w:rPr>
        <w:t xml:space="preserve"> pottery, carpets, manuscript painting, calligraphy, metalwork and costume of the Ottoman empire. The final chapter delves into modern trends in Islamic art and architecture, examining modern religious architecture such as the King Faisal mosque in Islamabad, Pakistan as well as secular architecture, including commercial buildings built in a dynamic style such as the iconic </w:t>
      </w:r>
      <w:proofErr w:type="spellStart"/>
      <w:r>
        <w:rPr>
          <w:color w:val="000000"/>
          <w:lang w:val="en-US"/>
        </w:rPr>
        <w:t>Burj</w:t>
      </w:r>
      <w:proofErr w:type="spellEnd"/>
      <w:r>
        <w:rPr>
          <w:color w:val="000000"/>
          <w:lang w:val="en-US"/>
        </w:rPr>
        <w:t xml:space="preserve"> al-Arab hotel in Dubai.</w:t>
      </w:r>
    </w:p>
    <w:p w14:paraId="697CE344" w14:textId="74EE04E0" w:rsidR="000D6186" w:rsidRDefault="000D6186" w:rsidP="00E71497">
      <w:pPr>
        <w:autoSpaceDE w:val="0"/>
        <w:autoSpaceDN w:val="0"/>
        <w:adjustRightInd w:val="0"/>
        <w:ind w:right="283"/>
        <w:jc w:val="both"/>
        <w:rPr>
          <w:color w:val="000000"/>
          <w:lang w:val="en-US"/>
        </w:rPr>
      </w:pPr>
      <w:r>
        <w:rPr>
          <w:color w:val="000000"/>
          <w:lang w:val="en-US"/>
        </w:rPr>
        <w:t xml:space="preserve">    Carey acknowledges that “the most highly esteemed art form in Islamic culture is calligraphy, primarily because of its significant role in transcribing the word of Allah, as written in the Quran.” Devoting more detail to calligraphy would therefore have done the art justice by giving it the representation that it deserves. No doubt the reader will appreciate the general overview of calligraphy provided in the first chapter, and the Ottoman calligraphy specifically surveyed in the eleventh chapter. Moreover, the accompanying pictures of the elegant decorative writing are </w:t>
      </w:r>
      <w:proofErr w:type="spellStart"/>
      <w:r>
        <w:rPr>
          <w:color w:val="000000"/>
          <w:lang w:val="en-US"/>
        </w:rPr>
        <w:t>mesmerising</w:t>
      </w:r>
      <w:proofErr w:type="spellEnd"/>
      <w:r>
        <w:rPr>
          <w:color w:val="000000"/>
          <w:lang w:val="en-US"/>
        </w:rPr>
        <w:t xml:space="preserve">. However, more elaboration and illustration, including the different calligraphy scripts </w:t>
      </w:r>
      <w:proofErr w:type="spellStart"/>
      <w:r>
        <w:rPr>
          <w:color w:val="000000"/>
          <w:lang w:val="en-US"/>
        </w:rPr>
        <w:t>practised</w:t>
      </w:r>
      <w:proofErr w:type="spellEnd"/>
      <w:r>
        <w:rPr>
          <w:color w:val="000000"/>
          <w:lang w:val="en-US"/>
        </w:rPr>
        <w:t xml:space="preserve"> today, would have enhanced the book. Each of the writing styles – </w:t>
      </w:r>
      <w:proofErr w:type="spellStart"/>
      <w:r>
        <w:rPr>
          <w:i/>
          <w:iCs/>
          <w:color w:val="000000"/>
          <w:lang w:val="en-US"/>
        </w:rPr>
        <w:t>riqa</w:t>
      </w:r>
      <w:proofErr w:type="spellEnd"/>
      <w:r>
        <w:rPr>
          <w:i/>
          <w:iCs/>
          <w:color w:val="000000"/>
          <w:lang w:val="en-US"/>
        </w:rPr>
        <w:t xml:space="preserve">, </w:t>
      </w:r>
      <w:proofErr w:type="spellStart"/>
      <w:r>
        <w:rPr>
          <w:i/>
          <w:iCs/>
          <w:color w:val="000000"/>
          <w:lang w:val="en-US"/>
        </w:rPr>
        <w:t>naskh</w:t>
      </w:r>
      <w:proofErr w:type="spellEnd"/>
      <w:r>
        <w:rPr>
          <w:i/>
          <w:iCs/>
          <w:color w:val="000000"/>
          <w:lang w:val="en-US"/>
        </w:rPr>
        <w:t xml:space="preserve">, </w:t>
      </w:r>
      <w:proofErr w:type="spellStart"/>
      <w:r>
        <w:rPr>
          <w:i/>
          <w:iCs/>
          <w:color w:val="000000"/>
          <w:lang w:val="en-US"/>
        </w:rPr>
        <w:t>thuluth</w:t>
      </w:r>
      <w:proofErr w:type="spellEnd"/>
      <w:r>
        <w:rPr>
          <w:color w:val="000000"/>
          <w:lang w:val="en-US"/>
        </w:rPr>
        <w:t xml:space="preserve"> and others – manifests a particular beauty. The current content in the book arguably suffices, as the subject of calligraphy requires an entire book devoted to it to demonstrate its sheer elegance. Indeed, various books </w:t>
      </w:r>
      <w:r w:rsidR="00DE022F">
        <w:rPr>
          <w:color w:val="000000"/>
          <w:lang w:val="en-US"/>
        </w:rPr>
        <w:t xml:space="preserve">such as </w:t>
      </w:r>
      <w:r w:rsidR="00780F39" w:rsidRPr="00780F39">
        <w:rPr>
          <w:i/>
          <w:iCs/>
          <w:color w:val="000000"/>
          <w:lang w:val="en-US"/>
        </w:rPr>
        <w:t>Calligraphy and Islamic Culture</w:t>
      </w:r>
      <w:r w:rsidR="00780F39">
        <w:rPr>
          <w:color w:val="000000"/>
          <w:lang w:val="en-US"/>
        </w:rPr>
        <w:t xml:space="preserve"> (Schimmel, 1990) and </w:t>
      </w:r>
      <w:r w:rsidR="00780F39" w:rsidRPr="00780F39">
        <w:rPr>
          <w:i/>
          <w:iCs/>
          <w:color w:val="000000"/>
          <w:lang w:val="en-US"/>
        </w:rPr>
        <w:t>Islami</w:t>
      </w:r>
      <w:r w:rsidR="004D5563">
        <w:rPr>
          <w:i/>
          <w:iCs/>
          <w:color w:val="000000"/>
          <w:lang w:val="en-US"/>
        </w:rPr>
        <w:t xml:space="preserve">c </w:t>
      </w:r>
      <w:r w:rsidR="00780F39" w:rsidRPr="00780F39">
        <w:rPr>
          <w:i/>
          <w:iCs/>
          <w:color w:val="000000"/>
          <w:lang w:val="en-US"/>
        </w:rPr>
        <w:t>Calligraphy</w:t>
      </w:r>
      <w:r w:rsidR="00780F39">
        <w:rPr>
          <w:color w:val="000000"/>
          <w:lang w:val="en-US"/>
        </w:rPr>
        <w:t xml:space="preserve"> (Blair, 2006) </w:t>
      </w:r>
      <w:r>
        <w:rPr>
          <w:color w:val="000000"/>
          <w:lang w:val="en-US"/>
        </w:rPr>
        <w:t xml:space="preserve">have been authored focusing on surveying this art more fully. </w:t>
      </w:r>
    </w:p>
    <w:p w14:paraId="77279326" w14:textId="77777777" w:rsidR="000D6186" w:rsidRDefault="000D6186" w:rsidP="00E71497">
      <w:pPr>
        <w:autoSpaceDE w:val="0"/>
        <w:autoSpaceDN w:val="0"/>
        <w:adjustRightInd w:val="0"/>
        <w:ind w:right="283"/>
        <w:jc w:val="both"/>
        <w:rPr>
          <w:color w:val="000000"/>
          <w:lang w:val="en-US"/>
        </w:rPr>
      </w:pPr>
      <w:r>
        <w:rPr>
          <w:color w:val="000000"/>
          <w:lang w:val="en-US"/>
        </w:rPr>
        <w:t xml:space="preserve">    Famous books in the field of Islamic art and architecture include the Pelican History of Art Series, comprising two separate volumes: the first (</w:t>
      </w:r>
      <w:proofErr w:type="spellStart"/>
      <w:r>
        <w:rPr>
          <w:color w:val="000000"/>
          <w:lang w:val="en-US"/>
        </w:rPr>
        <w:t>Ettinghausen</w:t>
      </w:r>
      <w:proofErr w:type="spellEnd"/>
      <w:r>
        <w:rPr>
          <w:color w:val="000000"/>
          <w:lang w:val="en-US"/>
        </w:rPr>
        <w:t>, Grabar and Jenkins-</w:t>
      </w:r>
      <w:proofErr w:type="spellStart"/>
      <w:r>
        <w:rPr>
          <w:color w:val="000000"/>
          <w:lang w:val="en-US"/>
        </w:rPr>
        <w:t>Madina</w:t>
      </w:r>
      <w:proofErr w:type="spellEnd"/>
      <w:r>
        <w:rPr>
          <w:color w:val="000000"/>
          <w:lang w:val="en-US"/>
        </w:rPr>
        <w:t xml:space="preserve">, 2003) covers the period from 650 to 1250, and the second (Blair and Bloom, 1996) from 1250 to 1800. The authors of both volumes could afford the greater analysis that Carey lacked the luxury to be able to provide in one volume; however, it is impossible to encompass all of Islamic art in the one book or even two. Carey’s single-volume book does not detract from her </w:t>
      </w:r>
      <w:proofErr w:type="spellStart"/>
      <w:r>
        <w:rPr>
          <w:color w:val="000000"/>
          <w:lang w:val="en-US"/>
        </w:rPr>
        <w:t>marvellous</w:t>
      </w:r>
      <w:proofErr w:type="spellEnd"/>
      <w:r>
        <w:rPr>
          <w:color w:val="000000"/>
          <w:lang w:val="en-US"/>
        </w:rPr>
        <w:t xml:space="preserve"> efforts; she holds a doctorate in Islamic art and history from the School of Oriental and African Studies (SOAS) and is fully adept and an expert in the field. Her work is one of the many approaches of Islamic art specialists in their attempts to present a comprehensive subject that spans centuries of achievement over a large geographical area.</w:t>
      </w:r>
    </w:p>
    <w:p w14:paraId="444504C7" w14:textId="40C455B3" w:rsidR="000D6186" w:rsidRDefault="000D6186" w:rsidP="00E71497">
      <w:pPr>
        <w:autoSpaceDE w:val="0"/>
        <w:autoSpaceDN w:val="0"/>
        <w:adjustRightInd w:val="0"/>
        <w:ind w:right="283"/>
        <w:jc w:val="both"/>
        <w:rPr>
          <w:color w:val="000000"/>
          <w:lang w:val="en-US"/>
        </w:rPr>
      </w:pPr>
      <w:r>
        <w:rPr>
          <w:color w:val="000000"/>
          <w:lang w:val="en-US"/>
        </w:rPr>
        <w:t xml:space="preserve">    The cover design of the book is attractive, with many pictures, and the inside</w:t>
      </w:r>
      <w:r w:rsidR="000831E0">
        <w:rPr>
          <w:b/>
          <w:bCs/>
          <w:color w:val="000000"/>
          <w:lang w:val="en-US"/>
        </w:rPr>
        <w:t xml:space="preserve"> </w:t>
      </w:r>
      <w:r w:rsidR="000831E0">
        <w:rPr>
          <w:color w:val="000000"/>
          <w:lang w:val="en-US"/>
        </w:rPr>
        <w:t>is vibrant</w:t>
      </w:r>
      <w:r>
        <w:rPr>
          <w:color w:val="000000"/>
          <w:lang w:val="en-US"/>
        </w:rPr>
        <w:t xml:space="preserve">. The analysis and illustrations are professionally laid out in a format that is easy to comprehend, making it enjoyable for readers to view. The illustrations are high-quality, </w:t>
      </w:r>
      <w:proofErr w:type="spellStart"/>
      <w:r>
        <w:rPr>
          <w:color w:val="000000"/>
          <w:lang w:val="en-US"/>
        </w:rPr>
        <w:t>colourful</w:t>
      </w:r>
      <w:proofErr w:type="spellEnd"/>
      <w:r>
        <w:rPr>
          <w:color w:val="000000"/>
          <w:lang w:val="en-US"/>
        </w:rPr>
        <w:t xml:space="preserve"> and appealing, and the hardback gives the book an exquisite and prestigious feel. The dimensions, 24 x 2.4 x 30.8 cm, are similar to some other books in the field, and are large enough to encompass the visual and written content in appealing proportions. The price is very reasonable</w:t>
      </w:r>
      <w:r w:rsidR="00780F39">
        <w:rPr>
          <w:color w:val="000000"/>
          <w:lang w:val="en-US"/>
        </w:rPr>
        <w:t>.</w:t>
      </w:r>
    </w:p>
    <w:p w14:paraId="26D51665" w14:textId="31B28EAB" w:rsidR="000D6186" w:rsidRDefault="000D6186" w:rsidP="00E71497">
      <w:pPr>
        <w:autoSpaceDE w:val="0"/>
        <w:autoSpaceDN w:val="0"/>
        <w:adjustRightInd w:val="0"/>
        <w:ind w:right="283"/>
        <w:jc w:val="both"/>
        <w:rPr>
          <w:color w:val="000000"/>
          <w:lang w:val="en-US"/>
        </w:rPr>
      </w:pPr>
      <w:r>
        <w:rPr>
          <w:color w:val="000000"/>
          <w:lang w:val="en-US"/>
        </w:rPr>
        <w:t xml:space="preserve">    The book is highly recommended for a general audience and Islamic art specialists alike. The elegance of the artistic achievements throughout 14</w:t>
      </w:r>
      <w:r>
        <w:rPr>
          <w:color w:val="000000"/>
          <w:sz w:val="16"/>
          <w:szCs w:val="16"/>
          <w:vertAlign w:val="superscript"/>
          <w:lang w:val="en-US"/>
        </w:rPr>
        <w:t>th</w:t>
      </w:r>
      <w:r>
        <w:rPr>
          <w:color w:val="000000"/>
          <w:lang w:val="en-US"/>
        </w:rPr>
        <w:t xml:space="preserve"> century Islamic history will captivate the souls of every art lover and inspire further reading in this creative field. </w:t>
      </w:r>
    </w:p>
    <w:p w14:paraId="57C8DAD6" w14:textId="77777777" w:rsidR="000D6186" w:rsidRDefault="000D6186" w:rsidP="00E71497">
      <w:pPr>
        <w:autoSpaceDE w:val="0"/>
        <w:autoSpaceDN w:val="0"/>
        <w:adjustRightInd w:val="0"/>
        <w:ind w:right="283"/>
        <w:rPr>
          <w:color w:val="000000"/>
          <w:lang w:val="en-US"/>
        </w:rPr>
      </w:pPr>
    </w:p>
    <w:p w14:paraId="4F801BC8" w14:textId="77777777" w:rsidR="000D6186" w:rsidRDefault="000D6186" w:rsidP="00E71497">
      <w:pPr>
        <w:autoSpaceDE w:val="0"/>
        <w:autoSpaceDN w:val="0"/>
        <w:adjustRightInd w:val="0"/>
        <w:ind w:right="283"/>
        <w:rPr>
          <w:i/>
          <w:iCs/>
          <w:color w:val="000000"/>
          <w:lang w:val="en-US"/>
        </w:rPr>
      </w:pPr>
      <w:r>
        <w:rPr>
          <w:i/>
          <w:iCs/>
          <w:color w:val="000000"/>
          <w:lang w:val="en-US"/>
        </w:rPr>
        <w:t>Safia Shahid</w:t>
      </w:r>
    </w:p>
    <w:p w14:paraId="00B6B1E9" w14:textId="77777777" w:rsidR="000D6186" w:rsidRDefault="000D6186" w:rsidP="00E71497">
      <w:pPr>
        <w:autoSpaceDE w:val="0"/>
        <w:autoSpaceDN w:val="0"/>
        <w:adjustRightInd w:val="0"/>
        <w:ind w:right="283"/>
        <w:rPr>
          <w:i/>
          <w:iCs/>
          <w:color w:val="000000"/>
          <w:lang w:val="en-US"/>
        </w:rPr>
      </w:pPr>
      <w:r>
        <w:rPr>
          <w:i/>
          <w:iCs/>
          <w:color w:val="000000"/>
          <w:lang w:val="en-US"/>
        </w:rPr>
        <w:t>University of Wales Trinity Saint David</w:t>
      </w:r>
    </w:p>
    <w:p w14:paraId="0971B2A6" w14:textId="77777777" w:rsidR="000D6186" w:rsidRDefault="000D6186" w:rsidP="00E71497">
      <w:pPr>
        <w:autoSpaceDE w:val="0"/>
        <w:autoSpaceDN w:val="0"/>
        <w:adjustRightInd w:val="0"/>
        <w:ind w:right="283"/>
        <w:rPr>
          <w:color w:val="000000"/>
          <w:lang w:val="en-US"/>
        </w:rPr>
      </w:pPr>
    </w:p>
    <w:p w14:paraId="135AD715" w14:textId="77777777" w:rsidR="000831E0" w:rsidRDefault="000831E0" w:rsidP="00E71497">
      <w:pPr>
        <w:autoSpaceDE w:val="0"/>
        <w:autoSpaceDN w:val="0"/>
        <w:adjustRightInd w:val="0"/>
        <w:ind w:right="283"/>
        <w:rPr>
          <w:b/>
          <w:bCs/>
          <w:i/>
          <w:iCs/>
          <w:color w:val="000000"/>
          <w:lang w:val="en-US"/>
        </w:rPr>
      </w:pPr>
    </w:p>
    <w:p w14:paraId="552B8360" w14:textId="77777777" w:rsidR="00E645E0" w:rsidRDefault="000D6186" w:rsidP="00E645E0">
      <w:pPr>
        <w:autoSpaceDE w:val="0"/>
        <w:autoSpaceDN w:val="0"/>
        <w:adjustRightInd w:val="0"/>
        <w:ind w:right="283"/>
        <w:rPr>
          <w:b/>
          <w:bCs/>
          <w:color w:val="000000"/>
          <w:lang w:val="en-US"/>
        </w:rPr>
      </w:pPr>
      <w:r w:rsidRPr="00C251D4">
        <w:rPr>
          <w:b/>
          <w:bCs/>
          <w:color w:val="000000"/>
          <w:lang w:val="en-US"/>
        </w:rPr>
        <w:t>Bibliography</w:t>
      </w:r>
    </w:p>
    <w:p w14:paraId="3E201F43" w14:textId="77777777" w:rsidR="00E645E0" w:rsidRDefault="00E645E0" w:rsidP="00E645E0">
      <w:pPr>
        <w:autoSpaceDE w:val="0"/>
        <w:autoSpaceDN w:val="0"/>
        <w:adjustRightInd w:val="0"/>
        <w:ind w:right="283"/>
        <w:rPr>
          <w:b/>
          <w:bCs/>
          <w:color w:val="000000"/>
          <w:lang w:val="en-US"/>
        </w:rPr>
      </w:pPr>
    </w:p>
    <w:p w14:paraId="0787D8E4" w14:textId="015BE9AC" w:rsidR="00BD737B" w:rsidRPr="00E645E0" w:rsidRDefault="00BD737B" w:rsidP="00E645E0">
      <w:pPr>
        <w:autoSpaceDE w:val="0"/>
        <w:autoSpaceDN w:val="0"/>
        <w:adjustRightInd w:val="0"/>
        <w:ind w:right="283"/>
        <w:rPr>
          <w:b/>
          <w:bCs/>
          <w:color w:val="000000"/>
          <w:lang w:val="en-US"/>
        </w:rPr>
      </w:pPr>
      <w:bookmarkStart w:id="0" w:name="_GoBack"/>
      <w:bookmarkEnd w:id="0"/>
      <w:r>
        <w:rPr>
          <w:color w:val="000000"/>
          <w:lang w:val="en-US"/>
        </w:rPr>
        <w:t>Schimme</w:t>
      </w:r>
      <w:r w:rsidR="00546EDC">
        <w:rPr>
          <w:color w:val="000000"/>
          <w:lang w:val="en-US"/>
        </w:rPr>
        <w:t xml:space="preserve">l, A. (1990) </w:t>
      </w:r>
      <w:r w:rsidR="00546EDC" w:rsidRPr="00780F39">
        <w:rPr>
          <w:i/>
          <w:iCs/>
          <w:color w:val="000000"/>
          <w:lang w:val="en-US"/>
        </w:rPr>
        <w:t>Calligraphy and Islamic Culture</w:t>
      </w:r>
      <w:r w:rsidR="00546EDC">
        <w:rPr>
          <w:i/>
          <w:iCs/>
          <w:color w:val="000000"/>
          <w:lang w:val="en-US"/>
        </w:rPr>
        <w:t xml:space="preserve">. </w:t>
      </w:r>
      <w:r w:rsidR="00546EDC">
        <w:rPr>
          <w:color w:val="000000"/>
          <w:lang w:val="en-US"/>
        </w:rPr>
        <w:t>London: I. B. Tauris.</w:t>
      </w:r>
    </w:p>
    <w:p w14:paraId="72760434" w14:textId="348C2F82" w:rsidR="00546EDC" w:rsidRDefault="00546EDC" w:rsidP="00E71497">
      <w:pPr>
        <w:ind w:right="283"/>
        <w:rPr>
          <w:color w:val="000000"/>
          <w:lang w:val="en-US"/>
        </w:rPr>
      </w:pPr>
    </w:p>
    <w:p w14:paraId="0107685F" w14:textId="75499307" w:rsidR="00546EDC" w:rsidRPr="00546EDC" w:rsidRDefault="00546EDC" w:rsidP="00E71497">
      <w:pPr>
        <w:ind w:right="283"/>
        <w:rPr>
          <w:color w:val="000000"/>
          <w:lang w:val="en-US"/>
        </w:rPr>
      </w:pPr>
      <w:r>
        <w:rPr>
          <w:color w:val="000000"/>
          <w:lang w:val="en-US"/>
        </w:rPr>
        <w:t xml:space="preserve">Blair, S, S. (2006) </w:t>
      </w:r>
      <w:r w:rsidRPr="00780F39">
        <w:rPr>
          <w:i/>
          <w:iCs/>
          <w:color w:val="000000"/>
          <w:lang w:val="en-US"/>
        </w:rPr>
        <w:t>Islamic Calligraphy</w:t>
      </w:r>
      <w:r>
        <w:rPr>
          <w:i/>
          <w:iCs/>
          <w:color w:val="000000"/>
          <w:lang w:val="en-US"/>
        </w:rPr>
        <w:t xml:space="preserve">. </w:t>
      </w:r>
      <w:r>
        <w:rPr>
          <w:color w:val="000000"/>
          <w:lang w:val="en-US"/>
        </w:rPr>
        <w:t xml:space="preserve">Edinburgh: </w:t>
      </w:r>
      <w:r>
        <w:rPr>
          <w:color w:val="000000"/>
          <w:lang w:val="en-US"/>
        </w:rPr>
        <w:t>Edinburgh</w:t>
      </w:r>
      <w:r>
        <w:rPr>
          <w:color w:val="000000"/>
          <w:lang w:val="en-US"/>
        </w:rPr>
        <w:t xml:space="preserve"> </w:t>
      </w:r>
      <w:r>
        <w:rPr>
          <w:color w:val="000000"/>
          <w:lang w:val="en-US"/>
        </w:rPr>
        <w:t>University Press</w:t>
      </w:r>
      <w:r>
        <w:rPr>
          <w:color w:val="000000"/>
          <w:lang w:val="en-US"/>
        </w:rPr>
        <w:t>.</w:t>
      </w:r>
    </w:p>
    <w:p w14:paraId="3CCFD0BD" w14:textId="77777777" w:rsidR="00546EDC" w:rsidRDefault="00546EDC" w:rsidP="00E71497">
      <w:pPr>
        <w:autoSpaceDE w:val="0"/>
        <w:autoSpaceDN w:val="0"/>
        <w:adjustRightInd w:val="0"/>
        <w:ind w:right="283"/>
      </w:pPr>
    </w:p>
    <w:p w14:paraId="6E31AB40" w14:textId="191B065D" w:rsidR="000D6186" w:rsidRDefault="000D6186" w:rsidP="00E71497">
      <w:pPr>
        <w:autoSpaceDE w:val="0"/>
        <w:autoSpaceDN w:val="0"/>
        <w:adjustRightInd w:val="0"/>
        <w:ind w:right="283"/>
        <w:rPr>
          <w:color w:val="000000"/>
          <w:lang w:val="en-US"/>
        </w:rPr>
      </w:pPr>
      <w:proofErr w:type="spellStart"/>
      <w:r>
        <w:rPr>
          <w:color w:val="000000"/>
          <w:lang w:val="en-US"/>
        </w:rPr>
        <w:t>Ettinghausen</w:t>
      </w:r>
      <w:proofErr w:type="spellEnd"/>
      <w:r>
        <w:rPr>
          <w:color w:val="000000"/>
          <w:lang w:val="en-US"/>
        </w:rPr>
        <w:t>, R., Grabar, O. and Jenkins-</w:t>
      </w:r>
      <w:proofErr w:type="spellStart"/>
      <w:r>
        <w:rPr>
          <w:color w:val="000000"/>
          <w:lang w:val="en-US"/>
        </w:rPr>
        <w:t>Madina</w:t>
      </w:r>
      <w:proofErr w:type="spellEnd"/>
      <w:r>
        <w:rPr>
          <w:color w:val="000000"/>
          <w:lang w:val="en-US"/>
        </w:rPr>
        <w:t xml:space="preserve">, M. (2003) </w:t>
      </w:r>
      <w:r>
        <w:rPr>
          <w:i/>
          <w:iCs/>
          <w:color w:val="000000"/>
          <w:lang w:val="en-US"/>
        </w:rPr>
        <w:t xml:space="preserve">Islamic Art and Architecture, 650–1250. </w:t>
      </w:r>
      <w:r>
        <w:rPr>
          <w:color w:val="000000"/>
          <w:lang w:val="en-US"/>
        </w:rPr>
        <w:t>3</w:t>
      </w:r>
      <w:r>
        <w:rPr>
          <w:color w:val="000000"/>
          <w:sz w:val="16"/>
          <w:szCs w:val="16"/>
          <w:vertAlign w:val="superscript"/>
          <w:lang w:val="en-US"/>
        </w:rPr>
        <w:t>rd</w:t>
      </w:r>
      <w:r>
        <w:rPr>
          <w:color w:val="000000"/>
          <w:lang w:val="en-US"/>
        </w:rPr>
        <w:t xml:space="preserve"> Ed. New Haven and London: Yale University Press.</w:t>
      </w:r>
    </w:p>
    <w:p w14:paraId="02839EB4" w14:textId="77777777" w:rsidR="000D6186" w:rsidRDefault="000D6186" w:rsidP="00E71497">
      <w:pPr>
        <w:autoSpaceDE w:val="0"/>
        <w:autoSpaceDN w:val="0"/>
        <w:adjustRightInd w:val="0"/>
        <w:ind w:right="283"/>
        <w:rPr>
          <w:color w:val="000000"/>
          <w:lang w:val="en-US"/>
        </w:rPr>
      </w:pPr>
    </w:p>
    <w:p w14:paraId="0E6C1AF6" w14:textId="77777777" w:rsidR="000D6186" w:rsidRDefault="000D6186" w:rsidP="00E71497">
      <w:pPr>
        <w:autoSpaceDE w:val="0"/>
        <w:autoSpaceDN w:val="0"/>
        <w:adjustRightInd w:val="0"/>
        <w:ind w:right="283"/>
        <w:rPr>
          <w:color w:val="000000"/>
          <w:lang w:val="en-US"/>
        </w:rPr>
      </w:pPr>
      <w:r>
        <w:rPr>
          <w:color w:val="000000"/>
          <w:lang w:val="en-US"/>
        </w:rPr>
        <w:t xml:space="preserve">Blair, S, S. and Bloom, J, M. (1996) </w:t>
      </w:r>
      <w:r>
        <w:rPr>
          <w:i/>
          <w:iCs/>
          <w:color w:val="000000"/>
          <w:lang w:val="en-US"/>
        </w:rPr>
        <w:t xml:space="preserve">The Art and Architecture of Islam, 1250-180. </w:t>
      </w:r>
      <w:r>
        <w:rPr>
          <w:color w:val="000000"/>
          <w:lang w:val="en-US"/>
        </w:rPr>
        <w:t>2</w:t>
      </w:r>
      <w:r>
        <w:rPr>
          <w:color w:val="000000"/>
          <w:sz w:val="16"/>
          <w:szCs w:val="16"/>
          <w:vertAlign w:val="superscript"/>
          <w:lang w:val="en-US"/>
        </w:rPr>
        <w:t>nd</w:t>
      </w:r>
      <w:r>
        <w:rPr>
          <w:color w:val="000000"/>
          <w:lang w:val="en-US"/>
        </w:rPr>
        <w:t xml:space="preserve"> Ed. New Haven and London: Yale University Press.</w:t>
      </w:r>
    </w:p>
    <w:p w14:paraId="2D056C37" w14:textId="77777777" w:rsidR="00E63041" w:rsidRDefault="00CD4B3E" w:rsidP="00E71497">
      <w:pPr>
        <w:ind w:right="283"/>
      </w:pPr>
    </w:p>
    <w:sectPr w:rsidR="00E63041" w:rsidSect="00FF1FF4">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C5F8CD" w14:textId="77777777" w:rsidR="00CD4B3E" w:rsidRDefault="00CD4B3E" w:rsidP="00DE022F">
      <w:r>
        <w:separator/>
      </w:r>
    </w:p>
  </w:endnote>
  <w:endnote w:type="continuationSeparator" w:id="0">
    <w:p w14:paraId="106AF65B" w14:textId="77777777" w:rsidR="00CD4B3E" w:rsidRDefault="00CD4B3E" w:rsidP="00DE02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0B50FB" w14:textId="77777777" w:rsidR="00CD4B3E" w:rsidRDefault="00CD4B3E" w:rsidP="00DE022F">
      <w:r>
        <w:separator/>
      </w:r>
    </w:p>
  </w:footnote>
  <w:footnote w:type="continuationSeparator" w:id="0">
    <w:p w14:paraId="01E53B0A" w14:textId="77777777" w:rsidR="00CD4B3E" w:rsidRDefault="00CD4B3E" w:rsidP="00DE022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3"/>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186"/>
    <w:rsid w:val="000831E0"/>
    <w:rsid w:val="000D6186"/>
    <w:rsid w:val="001709A1"/>
    <w:rsid w:val="00193C42"/>
    <w:rsid w:val="00302ABD"/>
    <w:rsid w:val="0032264D"/>
    <w:rsid w:val="00475594"/>
    <w:rsid w:val="004D5563"/>
    <w:rsid w:val="00546EDC"/>
    <w:rsid w:val="005D2412"/>
    <w:rsid w:val="006B08FA"/>
    <w:rsid w:val="006F5BA4"/>
    <w:rsid w:val="00780F39"/>
    <w:rsid w:val="008025E7"/>
    <w:rsid w:val="00BD737B"/>
    <w:rsid w:val="00C251D4"/>
    <w:rsid w:val="00CD4B3E"/>
    <w:rsid w:val="00DE022F"/>
    <w:rsid w:val="00E645E0"/>
    <w:rsid w:val="00E7149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2082E"/>
  <w14:defaultImageDpi w14:val="32767"/>
  <w15:chartTrackingRefBased/>
  <w15:docId w15:val="{F5681923-62E0-8D44-8B09-451761083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D737B"/>
    <w:rPr>
      <w:rFonts w:ascii="Times New Roman" w:eastAsia="Times New Roman" w:hAnsi="Times New Roman" w:cs="Times New Roman"/>
    </w:rPr>
  </w:style>
  <w:style w:type="paragraph" w:styleId="Heading3">
    <w:name w:val="heading 3"/>
    <w:basedOn w:val="Normal"/>
    <w:link w:val="Heading3Char"/>
    <w:uiPriority w:val="9"/>
    <w:qFormat/>
    <w:rsid w:val="00BD737B"/>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022F"/>
    <w:pPr>
      <w:tabs>
        <w:tab w:val="center" w:pos="4513"/>
        <w:tab w:val="right" w:pos="9026"/>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DE022F"/>
  </w:style>
  <w:style w:type="paragraph" w:styleId="Footer">
    <w:name w:val="footer"/>
    <w:basedOn w:val="Normal"/>
    <w:link w:val="FooterChar"/>
    <w:uiPriority w:val="99"/>
    <w:unhideWhenUsed/>
    <w:rsid w:val="00DE022F"/>
    <w:pPr>
      <w:tabs>
        <w:tab w:val="center" w:pos="4513"/>
        <w:tab w:val="right" w:pos="9026"/>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DE022F"/>
  </w:style>
  <w:style w:type="character" w:customStyle="1" w:styleId="Heading3Char">
    <w:name w:val="Heading 3 Char"/>
    <w:basedOn w:val="DefaultParagraphFont"/>
    <w:link w:val="Heading3"/>
    <w:uiPriority w:val="9"/>
    <w:rsid w:val="00BD737B"/>
    <w:rPr>
      <w:rFonts w:ascii="Times New Roman" w:eastAsia="Times New Roman" w:hAnsi="Times New Roman" w:cs="Times New Roman"/>
      <w:b/>
      <w:bCs/>
      <w:sz w:val="27"/>
      <w:szCs w:val="27"/>
    </w:rPr>
  </w:style>
  <w:style w:type="character" w:styleId="Hyperlink">
    <w:name w:val="Hyperlink"/>
    <w:basedOn w:val="DefaultParagraphFont"/>
    <w:uiPriority w:val="99"/>
    <w:semiHidden/>
    <w:unhideWhenUsed/>
    <w:rsid w:val="00BD737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8413326">
      <w:bodyDiv w:val="1"/>
      <w:marLeft w:val="0"/>
      <w:marRight w:val="0"/>
      <w:marTop w:val="0"/>
      <w:marBottom w:val="0"/>
      <w:divBdr>
        <w:top w:val="none" w:sz="0" w:space="0" w:color="auto"/>
        <w:left w:val="none" w:sz="0" w:space="0" w:color="auto"/>
        <w:bottom w:val="none" w:sz="0" w:space="0" w:color="auto"/>
        <w:right w:val="none" w:sz="0" w:space="0" w:color="auto"/>
      </w:divBdr>
    </w:div>
    <w:div w:id="1411270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3</Pages>
  <Words>1246</Words>
  <Characters>6878</Characters>
  <Application>Microsoft Office Word</Application>
  <DocSecurity>0</DocSecurity>
  <Lines>105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11</cp:revision>
  <dcterms:created xsi:type="dcterms:W3CDTF">2018-11-30T13:15:00Z</dcterms:created>
  <dcterms:modified xsi:type="dcterms:W3CDTF">2018-11-30T13:32:00Z</dcterms:modified>
</cp:coreProperties>
</file>