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CE99F5" w14:textId="7C4656FA" w:rsidR="00756A20" w:rsidRPr="00ED438B" w:rsidRDefault="00756A20" w:rsidP="00B00D25">
      <w:pPr>
        <w:spacing w:line="360" w:lineRule="auto"/>
        <w:jc w:val="center"/>
        <w:rPr>
          <w:b/>
          <w:bCs/>
          <w:sz w:val="24"/>
          <w:szCs w:val="24"/>
          <w:lang w:eastAsia="en-GB"/>
        </w:rPr>
      </w:pPr>
      <w:r w:rsidRPr="00ED438B">
        <w:rPr>
          <w:b/>
          <w:bCs/>
          <w:sz w:val="24"/>
          <w:szCs w:val="24"/>
          <w:lang w:eastAsia="en-GB"/>
        </w:rPr>
        <w:t>Medusa and the Depiction of Monstrosity</w:t>
      </w:r>
      <w:r w:rsidR="00623721">
        <w:rPr>
          <w:b/>
          <w:bCs/>
          <w:sz w:val="24"/>
          <w:szCs w:val="24"/>
          <w:lang w:eastAsia="en-GB"/>
        </w:rPr>
        <w:t xml:space="preserve"> in Greco-Roman Mythology.</w:t>
      </w:r>
    </w:p>
    <w:p w14:paraId="7AD179A7" w14:textId="540C268C" w:rsidR="00756A20" w:rsidRPr="00ED438B" w:rsidRDefault="00756A20" w:rsidP="00B00D25">
      <w:pPr>
        <w:spacing w:line="360" w:lineRule="auto"/>
        <w:rPr>
          <w:lang w:eastAsia="en-GB"/>
        </w:rPr>
      </w:pPr>
      <w:r w:rsidRPr="00ED438B">
        <w:rPr>
          <w:lang w:eastAsia="en-GB"/>
        </w:rPr>
        <w:t>In modern society Medusa is thought of as being a female creature with snakes for hair and eyes that can turn people into stone</w:t>
      </w:r>
      <w:r w:rsidRPr="00ED438B">
        <w:rPr>
          <w:rStyle w:val="FootnoteReference"/>
          <w:lang w:eastAsia="en-GB"/>
        </w:rPr>
        <w:footnoteReference w:id="1"/>
      </w:r>
      <w:r w:rsidRPr="00ED438B">
        <w:rPr>
          <w:lang w:eastAsia="en-GB"/>
        </w:rPr>
        <w:t>. Some depictions of her even go so far as to portray her with a snake’s tail instead of legs</w:t>
      </w:r>
      <w:r w:rsidRPr="00ED438B">
        <w:rPr>
          <w:rStyle w:val="FootnoteReference"/>
          <w:lang w:eastAsia="en-GB"/>
        </w:rPr>
        <w:footnoteReference w:id="2"/>
      </w:r>
      <w:r w:rsidRPr="00ED438B">
        <w:rPr>
          <w:lang w:eastAsia="en-GB"/>
        </w:rPr>
        <w:t xml:space="preserve">. This however was not always the case, as with </w:t>
      </w:r>
      <w:proofErr w:type="gramStart"/>
      <w:r w:rsidRPr="00ED438B">
        <w:rPr>
          <w:lang w:eastAsia="en-GB"/>
        </w:rPr>
        <w:t>the majority of</w:t>
      </w:r>
      <w:proofErr w:type="gramEnd"/>
      <w:r w:rsidRPr="00ED438B">
        <w:rPr>
          <w:lang w:eastAsia="en-GB"/>
        </w:rPr>
        <w:t xml:space="preserve"> long-lived myths, Medusa’s story has changed over time. For example, the ‘snake-haired’ aspect of Medusa supposedly did not become wide-spread or popularized until the first century BC</w:t>
      </w:r>
      <w:r w:rsidRPr="00ED438B">
        <w:rPr>
          <w:rStyle w:val="FootnoteReference"/>
          <w:lang w:eastAsia="en-GB"/>
        </w:rPr>
        <w:footnoteReference w:id="3"/>
      </w:r>
      <w:r w:rsidR="00664F3E">
        <w:rPr>
          <w:lang w:eastAsia="en-GB"/>
        </w:rPr>
        <w:t>,</w:t>
      </w:r>
      <w:r w:rsidRPr="00ED438B">
        <w:rPr>
          <w:lang w:eastAsia="en-GB"/>
        </w:rPr>
        <w:t xml:space="preserve"> and whilst her origins lie in the tales of ancient Greek mythology, her story has transcended cultures whose authors have all added their own embellishments. There are many variations as to the birth of Medusa, with authors such as Hesiod claiming her to be one of three sisters called the gorgons and authors like</w:t>
      </w:r>
      <w:r w:rsidR="00D145A9">
        <w:rPr>
          <w:lang w:eastAsia="en-GB"/>
        </w:rPr>
        <w:t xml:space="preserve"> Ovid who</w:t>
      </w:r>
      <w:r w:rsidRPr="00ED438B">
        <w:rPr>
          <w:lang w:eastAsia="en-GB"/>
        </w:rPr>
        <w:t xml:space="preserve"> describ</w:t>
      </w:r>
      <w:r w:rsidR="00D145A9">
        <w:rPr>
          <w:lang w:eastAsia="en-GB"/>
        </w:rPr>
        <w:t>ed</w:t>
      </w:r>
      <w:r w:rsidRPr="00ED438B">
        <w:rPr>
          <w:lang w:eastAsia="en-GB"/>
        </w:rPr>
        <w:t xml:space="preserve"> her as </w:t>
      </w:r>
      <w:r w:rsidR="00D145A9">
        <w:rPr>
          <w:lang w:eastAsia="en-GB"/>
        </w:rPr>
        <w:t>originating as a beautiful woman</w:t>
      </w:r>
      <w:r w:rsidR="005B68BE">
        <w:rPr>
          <w:rStyle w:val="FootnoteReference"/>
          <w:lang w:eastAsia="en-GB"/>
        </w:rPr>
        <w:footnoteReference w:id="4"/>
      </w:r>
      <w:r w:rsidR="00D145A9">
        <w:rPr>
          <w:lang w:eastAsia="en-GB"/>
        </w:rPr>
        <w:t>.</w:t>
      </w:r>
      <w:r w:rsidRPr="00ED438B">
        <w:rPr>
          <w:lang w:eastAsia="en-GB"/>
        </w:rPr>
        <w:t xml:space="preserve"> In Hesiod’s fables the gorgon sisters were supposedly born to the deities Phorcys and Ceto but whilst Medusa’s siblings inherited their parents’ immortality, she however did not</w:t>
      </w:r>
      <w:r w:rsidRPr="00ED438B">
        <w:rPr>
          <w:rStyle w:val="FootnoteReference"/>
          <w:lang w:eastAsia="en-GB"/>
        </w:rPr>
        <w:footnoteReference w:id="5"/>
      </w:r>
      <w:r w:rsidRPr="00ED438B">
        <w:rPr>
          <w:lang w:eastAsia="en-GB"/>
        </w:rPr>
        <w:t>.</w:t>
      </w:r>
    </w:p>
    <w:p w14:paraId="5134F93F" w14:textId="4273B9AB" w:rsidR="00756A20" w:rsidRPr="00ED438B" w:rsidRDefault="00756A20" w:rsidP="00B00D25">
      <w:pPr>
        <w:spacing w:line="360" w:lineRule="auto"/>
        <w:rPr>
          <w:lang w:eastAsia="en-GB"/>
        </w:rPr>
      </w:pPr>
      <w:r w:rsidRPr="00ED438B">
        <w:rPr>
          <w:lang w:eastAsia="en-GB"/>
        </w:rPr>
        <w:t>The earliest surviving literary reference we have to Medusa dates back to approximately the</w:t>
      </w:r>
      <w:r w:rsidR="00D64284">
        <w:rPr>
          <w:lang w:eastAsia="en-GB"/>
        </w:rPr>
        <w:t xml:space="preserve"> late 8</w:t>
      </w:r>
      <w:r w:rsidR="00D64284" w:rsidRPr="00D64284">
        <w:rPr>
          <w:vertAlign w:val="superscript"/>
          <w:lang w:eastAsia="en-GB"/>
        </w:rPr>
        <w:t>th</w:t>
      </w:r>
      <w:r w:rsidR="00D64284">
        <w:rPr>
          <w:lang w:eastAsia="en-GB"/>
        </w:rPr>
        <w:t xml:space="preserve"> or early 7</w:t>
      </w:r>
      <w:r w:rsidR="00D64284" w:rsidRPr="00D64284">
        <w:rPr>
          <w:vertAlign w:val="superscript"/>
          <w:lang w:eastAsia="en-GB"/>
        </w:rPr>
        <w:t>th</w:t>
      </w:r>
      <w:r w:rsidRPr="00ED438B">
        <w:rPr>
          <w:lang w:eastAsia="en-GB"/>
        </w:rPr>
        <w:t xml:space="preserve"> century BCE</w:t>
      </w:r>
      <w:r w:rsidR="00D64284">
        <w:rPr>
          <w:rStyle w:val="FootnoteReference"/>
          <w:lang w:eastAsia="en-GB"/>
        </w:rPr>
        <w:footnoteReference w:id="6"/>
      </w:r>
      <w:r w:rsidRPr="00ED438B">
        <w:rPr>
          <w:lang w:eastAsia="en-GB"/>
        </w:rPr>
        <w:t xml:space="preserve"> in the Homeric epics </w:t>
      </w:r>
      <w:r w:rsidR="00D145A9">
        <w:rPr>
          <w:lang w:eastAsia="en-GB"/>
        </w:rPr>
        <w:t>the</w:t>
      </w:r>
      <w:r w:rsidR="000F0BE6">
        <w:rPr>
          <w:lang w:eastAsia="en-GB"/>
        </w:rPr>
        <w:t xml:space="preserve"> </w:t>
      </w:r>
      <w:r w:rsidRPr="00ED438B">
        <w:rPr>
          <w:lang w:eastAsia="en-GB"/>
        </w:rPr>
        <w:t>‘</w:t>
      </w:r>
      <w:r w:rsidRPr="00ED438B">
        <w:rPr>
          <w:i/>
          <w:iCs/>
          <w:lang w:eastAsia="en-GB"/>
        </w:rPr>
        <w:t>Odyssey’</w:t>
      </w:r>
      <w:r w:rsidRPr="00ED438B">
        <w:rPr>
          <w:lang w:eastAsia="en-GB"/>
        </w:rPr>
        <w:t xml:space="preserve"> and </w:t>
      </w:r>
      <w:r w:rsidR="00D145A9">
        <w:rPr>
          <w:lang w:eastAsia="en-GB"/>
        </w:rPr>
        <w:t xml:space="preserve">the </w:t>
      </w:r>
      <w:r w:rsidRPr="00ED438B">
        <w:rPr>
          <w:lang w:eastAsia="en-GB"/>
        </w:rPr>
        <w:t>‘</w:t>
      </w:r>
      <w:r w:rsidRPr="00ED438B">
        <w:rPr>
          <w:i/>
          <w:iCs/>
          <w:lang w:eastAsia="en-GB"/>
        </w:rPr>
        <w:t>Iliad’</w:t>
      </w:r>
      <w:r w:rsidR="00D64284">
        <w:rPr>
          <w:i/>
          <w:iCs/>
          <w:lang w:eastAsia="en-GB"/>
        </w:rPr>
        <w:t>,</w:t>
      </w:r>
      <w:r w:rsidRPr="00ED438B">
        <w:rPr>
          <w:lang w:eastAsia="en-GB"/>
        </w:rPr>
        <w:t>  in which Medusa is described as</w:t>
      </w:r>
      <w:r w:rsidR="00063DE6">
        <w:rPr>
          <w:lang w:eastAsia="en-GB"/>
        </w:rPr>
        <w:t xml:space="preserve"> “</w:t>
      </w:r>
      <w:r w:rsidR="007D2220">
        <w:rPr>
          <w:lang w:eastAsia="en-GB"/>
        </w:rPr>
        <w:t>the head of the Gorgon, that awful monster.</w:t>
      </w:r>
      <w:r w:rsidR="00063DE6">
        <w:rPr>
          <w:lang w:eastAsia="en-GB"/>
        </w:rPr>
        <w:t>”</w:t>
      </w:r>
      <w:r w:rsidR="007D2220">
        <w:rPr>
          <w:rStyle w:val="FootnoteReference"/>
          <w:lang w:eastAsia="en-GB"/>
        </w:rPr>
        <w:footnoteReference w:id="7"/>
      </w:r>
      <w:r w:rsidR="00B13E41">
        <w:rPr>
          <w:lang w:eastAsia="en-GB"/>
        </w:rPr>
        <w:t xml:space="preserve"> And “therein is the head of the dread monster, the Gorgon, dread and awful, a portent of Zeus that </w:t>
      </w:r>
      <w:proofErr w:type="spellStart"/>
      <w:r w:rsidR="00B13E41">
        <w:rPr>
          <w:lang w:eastAsia="en-GB"/>
        </w:rPr>
        <w:t>beareth</w:t>
      </w:r>
      <w:proofErr w:type="spellEnd"/>
      <w:r w:rsidR="00B13E41">
        <w:rPr>
          <w:lang w:eastAsia="en-GB"/>
        </w:rPr>
        <w:t xml:space="preserve"> the aegis.”</w:t>
      </w:r>
      <w:r w:rsidR="00B13E41">
        <w:rPr>
          <w:rStyle w:val="FootnoteReference"/>
          <w:lang w:eastAsia="en-GB"/>
        </w:rPr>
        <w:footnoteReference w:id="8"/>
      </w:r>
      <w:r w:rsidR="007D2220">
        <w:rPr>
          <w:lang w:eastAsia="en-GB"/>
        </w:rPr>
        <w:t>.</w:t>
      </w:r>
      <w:r w:rsidR="00664F3E">
        <w:rPr>
          <w:lang w:eastAsia="en-GB"/>
        </w:rPr>
        <w:t xml:space="preserve"> Medusa’s monster status is clearly established within these descriptions.</w:t>
      </w:r>
      <w:r w:rsidRPr="00ED438B">
        <w:rPr>
          <w:lang w:eastAsia="en-GB"/>
        </w:rPr>
        <w:t xml:space="preserve"> The artistic depictions of Medusa date to around the sixth century BCE if not slightly earlier</w:t>
      </w:r>
      <w:r w:rsidR="00130B5B">
        <w:rPr>
          <w:rStyle w:val="FootnoteReference"/>
          <w:lang w:eastAsia="en-GB"/>
        </w:rPr>
        <w:footnoteReference w:id="9"/>
      </w:r>
      <w:r w:rsidR="00130B5B">
        <w:rPr>
          <w:lang w:eastAsia="en-GB"/>
        </w:rPr>
        <w:t>.</w:t>
      </w:r>
    </w:p>
    <w:p w14:paraId="784AD035" w14:textId="3545F3C7" w:rsidR="00756A20" w:rsidRPr="00ED438B" w:rsidRDefault="005E7CCF" w:rsidP="00B00D25">
      <w:pPr>
        <w:spacing w:line="360" w:lineRule="auto"/>
        <w:rPr>
          <w:lang w:eastAsia="en-GB"/>
        </w:rPr>
      </w:pPr>
      <w:r>
        <w:rPr>
          <w:noProof/>
        </w:rPr>
        <mc:AlternateContent>
          <mc:Choice Requires="wps">
            <w:drawing>
              <wp:anchor distT="0" distB="0" distL="114300" distR="114300" simplePos="0" relativeHeight="251663360" behindDoc="0" locked="0" layoutInCell="1" allowOverlap="1" wp14:anchorId="0242765D" wp14:editId="24A14372">
                <wp:simplePos x="0" y="0"/>
                <wp:positionH relativeFrom="column">
                  <wp:posOffset>4512310</wp:posOffset>
                </wp:positionH>
                <wp:positionV relativeFrom="paragraph">
                  <wp:posOffset>1462405</wp:posOffset>
                </wp:positionV>
                <wp:extent cx="1214120" cy="635"/>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1214120" cy="635"/>
                        </a:xfrm>
                        <a:prstGeom prst="rect">
                          <a:avLst/>
                        </a:prstGeom>
                        <a:solidFill>
                          <a:prstClr val="white"/>
                        </a:solidFill>
                        <a:ln>
                          <a:noFill/>
                        </a:ln>
                      </wps:spPr>
                      <wps:txbx>
                        <w:txbxContent>
                          <w:p w14:paraId="7DD9B4A8" w14:textId="0F098BB7" w:rsidR="003132AB" w:rsidRPr="007D35BB" w:rsidRDefault="003132AB" w:rsidP="003132AB">
                            <w:pPr>
                              <w:pStyle w:val="Caption"/>
                              <w:rPr>
                                <w:noProof/>
                              </w:rPr>
                            </w:pPr>
                            <w:r>
                              <w:t>Figure 2 Terracotta Stand ca.570 BC</w:t>
                            </w:r>
                            <w:r w:rsidR="00EF1917">
                              <w:t>. Met Museum.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242765D" id="_x0000_t202" coordsize="21600,21600" o:spt="202" path="m,l,21600r21600,l21600,xe">
                <v:stroke joinstyle="miter"/>
                <v:path gradientshapeok="t" o:connecttype="rect"/>
              </v:shapetype>
              <v:shape id="Text Box 5" o:spid="_x0000_s1026" type="#_x0000_t202" style="position:absolute;margin-left:355.3pt;margin-top:115.15pt;width:95.6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" stroked="f">
                <v:textbox style="mso-fit-shape-to-text:t" inset="0,0,0,0">
                  <w:txbxContent>
                    <w:p w14:paraId="7DD9B4A8" w14:textId="0F098BB7" w:rsidR="003132AB" w:rsidRPr="007D35BB" w:rsidRDefault="003132AB" w:rsidP="003132AB">
                      <w:pPr>
                        <w:pStyle w:val="Caption"/>
                        <w:rPr>
                          <w:noProof/>
                        </w:rPr>
                      </w:pPr>
                      <w:r>
                        <w:t>Figure 2 Terracotta Stand ca.570 BC</w:t>
                      </w:r>
                      <w:r w:rsidR="00EF1917">
                        <w:t>. Met Museum.</w:t>
                      </w:r>
                    </w:p>
                  </w:txbxContent>
                </v:textbox>
                <w10:wrap type="square"/>
              </v:shape>
            </w:pict>
          </mc:Fallback>
        </mc:AlternateContent>
      </w:r>
      <w:r w:rsidR="003132AB">
        <w:rPr>
          <w:noProof/>
          <w:lang w:eastAsia="en-GB"/>
        </w:rPr>
        <w:drawing>
          <wp:anchor distT="0" distB="0" distL="114300" distR="114300" simplePos="0" relativeHeight="251659264" behindDoc="0" locked="0" layoutInCell="1" allowOverlap="1" wp14:anchorId="3BBF4E61" wp14:editId="491D8E22">
            <wp:simplePos x="0" y="0"/>
            <wp:positionH relativeFrom="margin">
              <wp:align>right</wp:align>
            </wp:positionH>
            <wp:positionV relativeFrom="paragraph">
              <wp:posOffset>183515</wp:posOffset>
            </wp:positionV>
            <wp:extent cx="1214120" cy="1226185"/>
            <wp:effectExtent l="0" t="0" r="5080" b="0"/>
            <wp:wrapSquare wrapText="bothSides"/>
            <wp:docPr id="2" name="Picture 2" descr="A picture containing cup, plate, ho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53342.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14120" cy="1226185"/>
                    </a:xfrm>
                    <a:prstGeom prst="rect">
                      <a:avLst/>
                    </a:prstGeom>
                  </pic:spPr>
                </pic:pic>
              </a:graphicData>
            </a:graphic>
            <wp14:sizeRelH relativeFrom="page">
              <wp14:pctWidth>0</wp14:pctWidth>
            </wp14:sizeRelH>
            <wp14:sizeRelV relativeFrom="page">
              <wp14:pctHeight>0</wp14:pctHeight>
            </wp14:sizeRelV>
          </wp:anchor>
        </w:drawing>
      </w:r>
      <w:r w:rsidR="003132AB">
        <w:rPr>
          <w:noProof/>
        </w:rPr>
        <mc:AlternateContent>
          <mc:Choice Requires="wps">
            <w:drawing>
              <wp:anchor distT="0" distB="0" distL="114300" distR="114300" simplePos="0" relativeHeight="251661312" behindDoc="0" locked="0" layoutInCell="1" allowOverlap="1" wp14:anchorId="28E8BA49" wp14:editId="20B6FEAB">
                <wp:simplePos x="0" y="0"/>
                <wp:positionH relativeFrom="column">
                  <wp:posOffset>0</wp:posOffset>
                </wp:positionH>
                <wp:positionV relativeFrom="paragraph">
                  <wp:posOffset>1209040</wp:posOffset>
                </wp:positionV>
                <wp:extent cx="1149350" cy="635"/>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1149350" cy="635"/>
                        </a:xfrm>
                        <a:prstGeom prst="rect">
                          <a:avLst/>
                        </a:prstGeom>
                        <a:solidFill>
                          <a:prstClr val="white"/>
                        </a:solidFill>
                        <a:ln>
                          <a:noFill/>
                        </a:ln>
                      </wps:spPr>
                      <wps:txbx>
                        <w:txbxContent>
                          <w:p w14:paraId="5A830323" w14:textId="6FAC7E3A" w:rsidR="003132AB" w:rsidRPr="00E360AB" w:rsidRDefault="003132AB" w:rsidP="003132AB">
                            <w:pPr>
                              <w:pStyle w:val="Caption"/>
                              <w:rPr>
                                <w:noProof/>
                              </w:rPr>
                            </w:pPr>
                            <w:r>
                              <w:t xml:space="preserve">Figure </w:t>
                            </w:r>
                            <w:fldSimple w:instr=" SEQ Figure \* ARABIC ">
                              <w:r w:rsidR="005B68BE">
                                <w:rPr>
                                  <w:noProof/>
                                </w:rPr>
                                <w:t>1</w:t>
                              </w:r>
                            </w:fldSimple>
                            <w:r>
                              <w:t xml:space="preserve"> </w:t>
                            </w:r>
                            <w:r w:rsidRPr="000F22C3">
                              <w:t xml:space="preserve">Terracotta </w:t>
                            </w:r>
                            <w:proofErr w:type="spellStart"/>
                            <w:r w:rsidRPr="000F22C3">
                              <w:t>pelike</w:t>
                            </w:r>
                            <w:proofErr w:type="spellEnd"/>
                            <w:r w:rsidRPr="000F22C3">
                              <w:t xml:space="preserve"> (jar) ca.450-440 BC.</w:t>
                            </w:r>
                            <w:r w:rsidR="00EF1917">
                              <w:t xml:space="preserve"> Met Museum.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8E8BA49" id="Text Box 4" o:spid="_x0000_s1027" type="#_x0000_t202" style="position:absolute;margin-left:0;margin-top:95.2pt;width:90.5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" stroked="f">
                <v:textbox style="mso-fit-shape-to-text:t" inset="0,0,0,0">
                  <w:txbxContent>
                    <w:p w14:paraId="5A830323" w14:textId="6FAC7E3A" w:rsidR="003132AB" w:rsidRPr="00E360AB" w:rsidRDefault="003132AB" w:rsidP="003132AB">
                      <w:pPr>
                        <w:pStyle w:val="Caption"/>
                        <w:rPr>
                          <w:noProof/>
                        </w:rPr>
                      </w:pPr>
                      <w:r>
                        <w:t xml:space="preserve">Figure </w:t>
                      </w:r>
                      <w:fldSimple w:instr=" SEQ Figure \* ARABIC ">
                        <w:r w:rsidR="005B68BE">
                          <w:rPr>
                            <w:noProof/>
                          </w:rPr>
                          <w:t>1</w:t>
                        </w:r>
                      </w:fldSimple>
                      <w:r>
                        <w:t xml:space="preserve"> </w:t>
                      </w:r>
                      <w:r w:rsidRPr="000F22C3">
                        <w:t xml:space="preserve">Terracotta </w:t>
                      </w:r>
                      <w:proofErr w:type="spellStart"/>
                      <w:r w:rsidRPr="000F22C3">
                        <w:t>pelike</w:t>
                      </w:r>
                      <w:proofErr w:type="spellEnd"/>
                      <w:r w:rsidRPr="000F22C3">
                        <w:t xml:space="preserve"> (jar) ca.450-440 BC.</w:t>
                      </w:r>
                      <w:r w:rsidR="00EF1917">
                        <w:t xml:space="preserve"> Met Museum.</w:t>
                      </w:r>
                    </w:p>
                  </w:txbxContent>
                </v:textbox>
                <w10:wrap type="square"/>
              </v:shape>
            </w:pict>
          </mc:Fallback>
        </mc:AlternateContent>
      </w:r>
      <w:r w:rsidR="003132AB">
        <w:rPr>
          <w:noProof/>
          <w:lang w:eastAsia="en-GB"/>
        </w:rPr>
        <w:drawing>
          <wp:anchor distT="0" distB="0" distL="114300" distR="114300" simplePos="0" relativeHeight="251658240" behindDoc="1" locked="0" layoutInCell="1" allowOverlap="1" wp14:anchorId="24BFBAF3" wp14:editId="644B9CE8">
            <wp:simplePos x="0" y="0"/>
            <wp:positionH relativeFrom="margin">
              <wp:align>left</wp:align>
            </wp:positionH>
            <wp:positionV relativeFrom="paragraph">
              <wp:posOffset>5155</wp:posOffset>
            </wp:positionV>
            <wp:extent cx="1149350" cy="1146810"/>
            <wp:effectExtent l="0" t="0" r="0" b="0"/>
            <wp:wrapSquare wrapText="bothSides"/>
            <wp:docPr id="1" name="Picture 1" descr="A painting of a va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23.6Medousa.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49350" cy="1146810"/>
                    </a:xfrm>
                    <a:prstGeom prst="rect">
                      <a:avLst/>
                    </a:prstGeom>
                  </pic:spPr>
                </pic:pic>
              </a:graphicData>
            </a:graphic>
            <wp14:sizeRelH relativeFrom="page">
              <wp14:pctWidth>0</wp14:pctWidth>
            </wp14:sizeRelH>
            <wp14:sizeRelV relativeFrom="page">
              <wp14:pctHeight>0</wp14:pctHeight>
            </wp14:sizeRelV>
          </wp:anchor>
        </w:drawing>
      </w:r>
      <w:r w:rsidR="00756A20" w:rsidRPr="00ED438B">
        <w:rPr>
          <w:lang w:eastAsia="en-GB"/>
        </w:rPr>
        <w:t>In many artists’ renderings of the gorgons the creatures were female in gender with wings emerging from their backs and snakes for hair</w:t>
      </w:r>
      <w:r w:rsidR="00DE7558">
        <w:rPr>
          <w:lang w:eastAsia="en-GB"/>
        </w:rPr>
        <w:t>.</w:t>
      </w:r>
      <w:r w:rsidR="00367D61">
        <w:rPr>
          <w:lang w:eastAsia="en-GB"/>
        </w:rPr>
        <w:t xml:space="preserve"> </w:t>
      </w:r>
      <w:r w:rsidR="00756A20" w:rsidRPr="00ED438B">
        <w:rPr>
          <w:lang w:eastAsia="en-GB"/>
        </w:rPr>
        <w:t xml:space="preserve">This is corroborated in Aeschylus’ </w:t>
      </w:r>
      <w:r w:rsidR="00756A20" w:rsidRPr="00ED438B">
        <w:rPr>
          <w:i/>
          <w:iCs/>
          <w:lang w:eastAsia="en-GB"/>
        </w:rPr>
        <w:t xml:space="preserve">Prometheus </w:t>
      </w:r>
      <w:proofErr w:type="spellStart"/>
      <w:r w:rsidR="00760F29">
        <w:rPr>
          <w:i/>
          <w:iCs/>
          <w:lang w:eastAsia="en-GB"/>
        </w:rPr>
        <w:t>Vinctu</w:t>
      </w:r>
      <w:r w:rsidR="00756A20" w:rsidRPr="00ED438B">
        <w:rPr>
          <w:i/>
          <w:iCs/>
          <w:lang w:eastAsia="en-GB"/>
        </w:rPr>
        <w:t>s</w:t>
      </w:r>
      <w:proofErr w:type="spellEnd"/>
      <w:r w:rsidR="00756A20" w:rsidRPr="00ED438B">
        <w:rPr>
          <w:i/>
          <w:iCs/>
          <w:lang w:eastAsia="en-GB"/>
        </w:rPr>
        <w:t xml:space="preserve"> </w:t>
      </w:r>
      <w:r w:rsidR="00756A20" w:rsidRPr="00ED438B">
        <w:rPr>
          <w:lang w:eastAsia="en-GB"/>
        </w:rPr>
        <w:t>with the lines “</w:t>
      </w:r>
      <w:r w:rsidR="00D64284">
        <w:rPr>
          <w:lang w:eastAsia="en-GB"/>
        </w:rPr>
        <w:t>three winged-sisters</w:t>
      </w:r>
      <w:r w:rsidR="00760F29">
        <w:rPr>
          <w:lang w:eastAsia="en-GB"/>
        </w:rPr>
        <w:t xml:space="preserve">, the snake-haired </w:t>
      </w:r>
      <w:proofErr w:type="spellStart"/>
      <w:r w:rsidR="00760F29">
        <w:rPr>
          <w:lang w:eastAsia="en-GB"/>
        </w:rPr>
        <w:t>Gorgones</w:t>
      </w:r>
      <w:proofErr w:type="spellEnd"/>
      <w:r w:rsidR="00756A20" w:rsidRPr="00ED438B">
        <w:rPr>
          <w:lang w:eastAsia="en-GB"/>
        </w:rPr>
        <w:t>”</w:t>
      </w:r>
      <w:r w:rsidR="00760F29">
        <w:rPr>
          <w:rStyle w:val="FootnoteReference"/>
          <w:lang w:eastAsia="en-GB"/>
        </w:rPr>
        <w:footnoteReference w:id="10"/>
      </w:r>
      <w:r w:rsidR="00756A20" w:rsidRPr="00ED438B">
        <w:rPr>
          <w:lang w:eastAsia="en-GB"/>
        </w:rPr>
        <w:t xml:space="preserve">.  The original depictions of the gorgon Medusa however were less human and far more androgynous; with a large </w:t>
      </w:r>
      <w:r w:rsidR="00756A20" w:rsidRPr="00ED438B">
        <w:rPr>
          <w:lang w:eastAsia="en-GB"/>
        </w:rPr>
        <w:lastRenderedPageBreak/>
        <w:t>rounded head, fierce expression bearing long fang like tusks and sometimes even sporting a beard</w:t>
      </w:r>
      <w:r w:rsidR="00DE7558">
        <w:rPr>
          <w:lang w:eastAsia="en-GB"/>
        </w:rPr>
        <w:t>.</w:t>
      </w:r>
    </w:p>
    <w:p w14:paraId="692277CA" w14:textId="05795D48" w:rsidR="00756A20" w:rsidRPr="007A101E" w:rsidRDefault="00756A20" w:rsidP="00B00D25">
      <w:pPr>
        <w:spacing w:line="360" w:lineRule="auto"/>
        <w:rPr>
          <w:lang w:eastAsia="en-GB"/>
        </w:rPr>
      </w:pPr>
      <w:r w:rsidRPr="00ED438B">
        <w:rPr>
          <w:lang w:eastAsia="en-GB"/>
        </w:rPr>
        <w:t xml:space="preserve">Some earlier scholars such as </w:t>
      </w:r>
      <w:proofErr w:type="spellStart"/>
      <w:r w:rsidRPr="00ED438B">
        <w:rPr>
          <w:lang w:eastAsia="en-GB"/>
        </w:rPr>
        <w:t>Frothingham</w:t>
      </w:r>
      <w:proofErr w:type="spellEnd"/>
      <w:r w:rsidRPr="00ED438B">
        <w:rPr>
          <w:lang w:eastAsia="en-GB"/>
        </w:rPr>
        <w:t xml:space="preserve"> </w:t>
      </w:r>
      <w:r w:rsidRPr="00FC1728">
        <w:rPr>
          <w:lang w:eastAsia="en-GB"/>
        </w:rPr>
        <w:t xml:space="preserve">(writing in </w:t>
      </w:r>
      <w:r w:rsidR="00FC1728">
        <w:rPr>
          <w:lang w:eastAsia="en-GB"/>
        </w:rPr>
        <w:t>1911</w:t>
      </w:r>
      <w:r w:rsidRPr="00FC1728">
        <w:rPr>
          <w:lang w:eastAsia="en-GB"/>
        </w:rPr>
        <w:t>)</w:t>
      </w:r>
      <w:r w:rsidRPr="00ED438B">
        <w:rPr>
          <w:b/>
          <w:bCs/>
          <w:lang w:eastAsia="en-GB"/>
        </w:rPr>
        <w:t xml:space="preserve"> </w:t>
      </w:r>
      <w:r w:rsidRPr="00ED438B">
        <w:rPr>
          <w:lang w:eastAsia="en-GB"/>
        </w:rPr>
        <w:t>believed Medusa to actually represent balance with both the life giving and destructive nature of women, in a similar way to some of the primordial goddesses such as Gaea as well as the Olympian Demeter</w:t>
      </w:r>
      <w:r w:rsidR="00B00D25">
        <w:rPr>
          <w:rStyle w:val="FootnoteReference"/>
          <w:lang w:eastAsia="en-GB"/>
        </w:rPr>
        <w:footnoteReference w:id="11"/>
      </w:r>
      <w:r w:rsidRPr="00ED438B">
        <w:rPr>
          <w:lang w:eastAsia="en-GB"/>
        </w:rPr>
        <w:t xml:space="preserve">. This balance is supposedly demonstrated in Medusa’s story via her giving life to Pegasus and </w:t>
      </w:r>
      <w:proofErr w:type="spellStart"/>
      <w:r w:rsidRPr="00ED438B">
        <w:rPr>
          <w:lang w:eastAsia="en-GB"/>
        </w:rPr>
        <w:t>Chrysaor</w:t>
      </w:r>
      <w:proofErr w:type="spellEnd"/>
      <w:r w:rsidR="00D81A41" w:rsidRPr="00ED438B">
        <w:rPr>
          <w:rStyle w:val="FootnoteReference"/>
          <w:lang w:eastAsia="en-GB"/>
        </w:rPr>
        <w:footnoteReference w:id="12"/>
      </w:r>
      <w:r w:rsidRPr="00ED438B">
        <w:rPr>
          <w:lang w:eastAsia="en-GB"/>
        </w:rPr>
        <w:t xml:space="preserve"> versus her ability to </w:t>
      </w:r>
      <w:r w:rsidRPr="007A101E">
        <w:rPr>
          <w:lang w:eastAsia="en-GB"/>
        </w:rPr>
        <w:t>destroy with her gaze. The society contemporary to when the myths were written however vilified her instead and labelled her as a monster.</w:t>
      </w:r>
      <w:r w:rsidR="006C0ACD">
        <w:rPr>
          <w:lang w:eastAsia="en-GB"/>
        </w:rPr>
        <w:t xml:space="preserve"> </w:t>
      </w:r>
    </w:p>
    <w:p w14:paraId="3B849483" w14:textId="3EEC706D" w:rsidR="00756A20" w:rsidRPr="00ED438B" w:rsidRDefault="00756A20" w:rsidP="00B00D25">
      <w:pPr>
        <w:spacing w:line="360" w:lineRule="auto"/>
        <w:rPr>
          <w:lang w:eastAsia="en-GB"/>
        </w:rPr>
      </w:pPr>
      <w:r w:rsidRPr="007A101E">
        <w:rPr>
          <w:lang w:eastAsia="en-GB"/>
        </w:rPr>
        <w:t xml:space="preserve">Monsters are intertwined through the mythology of ancient Greece and Rome and so it is important to consider what attributes one might possess </w:t>
      </w:r>
      <w:proofErr w:type="gramStart"/>
      <w:r w:rsidRPr="007A101E">
        <w:rPr>
          <w:lang w:eastAsia="en-GB"/>
        </w:rPr>
        <w:t>in order to</w:t>
      </w:r>
      <w:proofErr w:type="gramEnd"/>
      <w:r w:rsidRPr="007A101E">
        <w:rPr>
          <w:lang w:eastAsia="en-GB"/>
        </w:rPr>
        <w:t xml:space="preserve"> be labelled as such. For example, there is what is considered a monstrous visage. This</w:t>
      </w:r>
      <w:r w:rsidRPr="00ED438B">
        <w:rPr>
          <w:lang w:eastAsia="en-GB"/>
        </w:rPr>
        <w:t xml:space="preserve"> can be seen in</w:t>
      </w:r>
      <w:r w:rsidR="007031A6">
        <w:rPr>
          <w:lang w:eastAsia="en-GB"/>
        </w:rPr>
        <w:t xml:space="preserve"> Hesiod’s Theogony when he describes </w:t>
      </w:r>
      <w:proofErr w:type="spellStart"/>
      <w:r w:rsidR="007031A6">
        <w:rPr>
          <w:lang w:eastAsia="en-GB"/>
        </w:rPr>
        <w:t>Cottus</w:t>
      </w:r>
      <w:proofErr w:type="spellEnd"/>
      <w:r w:rsidR="007031A6">
        <w:rPr>
          <w:lang w:eastAsia="en-GB"/>
        </w:rPr>
        <w:t xml:space="preserve">, </w:t>
      </w:r>
      <w:proofErr w:type="spellStart"/>
      <w:r w:rsidR="007031A6">
        <w:rPr>
          <w:lang w:eastAsia="en-GB"/>
        </w:rPr>
        <w:t>Briareos</w:t>
      </w:r>
      <w:proofErr w:type="spellEnd"/>
      <w:r w:rsidR="007031A6">
        <w:rPr>
          <w:lang w:eastAsia="en-GB"/>
        </w:rPr>
        <w:t xml:space="preserve"> and </w:t>
      </w:r>
      <w:proofErr w:type="spellStart"/>
      <w:r w:rsidR="007031A6">
        <w:rPr>
          <w:lang w:eastAsia="en-GB"/>
        </w:rPr>
        <w:t>Gyes</w:t>
      </w:r>
      <w:proofErr w:type="spellEnd"/>
      <w:r w:rsidR="007031A6">
        <w:rPr>
          <w:lang w:eastAsia="en-GB"/>
        </w:rPr>
        <w:t>, the children of Zeus who each had fifty heads and a hundred arms. He stated that even the god Zeus turned away from them and from the moment of their birth he hid them away “and Heaven rejoiced in his evil doing.”</w:t>
      </w:r>
      <w:r w:rsidR="007031A6">
        <w:rPr>
          <w:rStyle w:val="FootnoteReference"/>
          <w:lang w:eastAsia="en-GB"/>
        </w:rPr>
        <w:footnoteReference w:id="13"/>
      </w:r>
      <w:r w:rsidR="007031A6">
        <w:rPr>
          <w:lang w:eastAsia="en-GB"/>
        </w:rPr>
        <w:t>. The wording of this is very interesting as</w:t>
      </w:r>
      <w:r w:rsidR="00D83BA9">
        <w:rPr>
          <w:lang w:eastAsia="en-GB"/>
        </w:rPr>
        <w:t xml:space="preserve"> it very obviously states that what Zeus did was morally wrong but due to their deformities the gods applauded him and found his actions justified.</w:t>
      </w:r>
      <w:r w:rsidR="00664F3E">
        <w:rPr>
          <w:lang w:eastAsia="en-GB"/>
        </w:rPr>
        <w:t xml:space="preserve"> </w:t>
      </w:r>
      <w:r w:rsidRPr="00ED438B">
        <w:rPr>
          <w:lang w:eastAsia="en-GB"/>
        </w:rPr>
        <w:t> As although the creature</w:t>
      </w:r>
      <w:r w:rsidR="00664F3E">
        <w:rPr>
          <w:lang w:eastAsia="en-GB"/>
        </w:rPr>
        <w:t>s</w:t>
      </w:r>
      <w:r w:rsidRPr="00ED438B">
        <w:rPr>
          <w:lang w:eastAsia="en-GB"/>
        </w:rPr>
        <w:t xml:space="preserve"> ha</w:t>
      </w:r>
      <w:r w:rsidR="00664F3E">
        <w:rPr>
          <w:lang w:eastAsia="en-GB"/>
        </w:rPr>
        <w:t>ve</w:t>
      </w:r>
      <w:r w:rsidRPr="00ED438B">
        <w:rPr>
          <w:lang w:eastAsia="en-GB"/>
        </w:rPr>
        <w:t xml:space="preserve"> done nothing untoward to those within the story</w:t>
      </w:r>
      <w:r w:rsidR="006C0ACD">
        <w:rPr>
          <w:lang w:eastAsia="en-GB"/>
        </w:rPr>
        <w:t>,</w:t>
      </w:r>
      <w:r w:rsidRPr="00ED438B">
        <w:rPr>
          <w:lang w:eastAsia="en-GB"/>
        </w:rPr>
        <w:t xml:space="preserve"> they are still considered monstrous because they do not conform to the physical standards of humans</w:t>
      </w:r>
      <w:r w:rsidR="00664F3E">
        <w:rPr>
          <w:lang w:eastAsia="en-GB"/>
        </w:rPr>
        <w:t xml:space="preserve"> or even the gods</w:t>
      </w:r>
      <w:r w:rsidRPr="00ED438B">
        <w:rPr>
          <w:lang w:eastAsia="en-GB"/>
        </w:rPr>
        <w:t>. </w:t>
      </w:r>
    </w:p>
    <w:p w14:paraId="68422C05" w14:textId="196BA27C" w:rsidR="00756A20" w:rsidRPr="00ED438B" w:rsidRDefault="00756A20" w:rsidP="00B00D25">
      <w:pPr>
        <w:spacing w:line="360" w:lineRule="auto"/>
        <w:rPr>
          <w:lang w:eastAsia="en-GB"/>
        </w:rPr>
      </w:pPr>
      <w:r w:rsidRPr="00ED438B">
        <w:rPr>
          <w:lang w:eastAsia="en-GB"/>
        </w:rPr>
        <w:t xml:space="preserve">This is not an unfamiliar trait though as in real life there was evidence that the Greeks </w:t>
      </w:r>
      <w:proofErr w:type="gramStart"/>
      <w:r w:rsidRPr="00ED438B">
        <w:rPr>
          <w:lang w:eastAsia="en-GB"/>
        </w:rPr>
        <w:t>actually based</w:t>
      </w:r>
      <w:proofErr w:type="gramEnd"/>
      <w:r w:rsidRPr="00ED438B">
        <w:rPr>
          <w:lang w:eastAsia="en-GB"/>
        </w:rPr>
        <w:t xml:space="preserve"> some of their mythological creatures on different tribes that they had encountered in order to show their otherness</w:t>
      </w:r>
      <w:r w:rsidR="005D082B">
        <w:rPr>
          <w:rStyle w:val="FootnoteReference"/>
          <w:lang w:eastAsia="en-GB"/>
        </w:rPr>
        <w:footnoteReference w:id="14"/>
      </w:r>
      <w:r w:rsidRPr="00ED438B">
        <w:rPr>
          <w:lang w:eastAsia="en-GB"/>
        </w:rPr>
        <w:t xml:space="preserve">. Otherness is a large factor when it comes to looking at the characteristics of monsters, as even in modern civilisation people are considered monsters if they do not conform to the norms of the surrounding society and perhaps this is something that should be further explored in the Medusa story. Medusa is clearly depicted as a </w:t>
      </w:r>
      <w:proofErr w:type="gramStart"/>
      <w:r w:rsidR="006C0ACD" w:rsidRPr="00ED438B">
        <w:rPr>
          <w:lang w:eastAsia="en-GB"/>
        </w:rPr>
        <w:t>monster</w:t>
      </w:r>
      <w:proofErr w:type="gramEnd"/>
      <w:r w:rsidRPr="00ED438B">
        <w:rPr>
          <w:lang w:eastAsia="en-GB"/>
        </w:rPr>
        <w:t xml:space="preserve"> but it is important to consider why, for instance, monsters are such a recurring theme in Greco-Roman mythology. What is it that the monsters are used to communicate within their stories?</w:t>
      </w:r>
    </w:p>
    <w:p w14:paraId="4D9FB221" w14:textId="019FC558" w:rsidR="00756A20" w:rsidRPr="00ED438B" w:rsidRDefault="00756A20" w:rsidP="00B00D25">
      <w:pPr>
        <w:spacing w:line="360" w:lineRule="auto"/>
        <w:rPr>
          <w:lang w:eastAsia="en-GB"/>
        </w:rPr>
      </w:pPr>
      <w:r w:rsidRPr="00ED438B">
        <w:rPr>
          <w:lang w:eastAsia="en-GB"/>
        </w:rPr>
        <w:t xml:space="preserve">The </w:t>
      </w:r>
      <w:proofErr w:type="gramStart"/>
      <w:r w:rsidRPr="00ED438B">
        <w:rPr>
          <w:lang w:eastAsia="en-GB"/>
        </w:rPr>
        <w:t>particular features</w:t>
      </w:r>
      <w:proofErr w:type="gramEnd"/>
      <w:r w:rsidRPr="00ED438B">
        <w:rPr>
          <w:lang w:eastAsia="en-GB"/>
        </w:rPr>
        <w:t xml:space="preserve"> associated with Medusa have changed over time, however some of them such as her dangerous gaze have persisted throughout her transformations. How can we understand the </w:t>
      </w:r>
      <w:r w:rsidR="00A0351D">
        <w:rPr>
          <w:lang w:eastAsia="en-GB"/>
        </w:rPr>
        <w:t>unique</w:t>
      </w:r>
      <w:r w:rsidRPr="00ED438B">
        <w:rPr>
          <w:lang w:eastAsia="en-GB"/>
        </w:rPr>
        <w:t xml:space="preserve"> monstrous aspects of Medusa? What do they mean and why is she depicted as such? It is likely that there are clues in the history of the Greco-Roman world that will help us to understand </w:t>
      </w:r>
      <w:r w:rsidRPr="00ED438B">
        <w:rPr>
          <w:lang w:eastAsia="en-GB"/>
        </w:rPr>
        <w:lastRenderedPageBreak/>
        <w:t xml:space="preserve">the aspects and features of her depictions. How do her </w:t>
      </w:r>
      <w:r w:rsidR="00A0351D">
        <w:rPr>
          <w:lang w:eastAsia="en-GB"/>
        </w:rPr>
        <w:t>specific</w:t>
      </w:r>
      <w:r w:rsidRPr="00ED438B">
        <w:rPr>
          <w:lang w:eastAsia="en-GB"/>
        </w:rPr>
        <w:t xml:space="preserve"> monstrosities relate to the Greco-Roman world from which she came?</w:t>
      </w:r>
    </w:p>
    <w:p w14:paraId="02816E90" w14:textId="560AF0AA" w:rsidR="00756A20" w:rsidRPr="00ED438B" w:rsidRDefault="00756A20" w:rsidP="00B00D25">
      <w:pPr>
        <w:spacing w:line="360" w:lineRule="auto"/>
        <w:rPr>
          <w:lang w:eastAsia="en-GB"/>
        </w:rPr>
      </w:pPr>
      <w:r w:rsidRPr="00ED438B">
        <w:rPr>
          <w:lang w:eastAsia="en-GB"/>
        </w:rPr>
        <w:t>One of the most striking aspects of Medusa’s monstrosity is her deadly gaze which is at odds with the modest feminine ideals of the Greco-Roman society. Many scholars have already addressed the topic of sexual symbolism of the direct female gaze</w:t>
      </w:r>
      <w:r w:rsidR="00A43D72">
        <w:rPr>
          <w:rStyle w:val="FootnoteReference"/>
          <w:lang w:eastAsia="en-GB"/>
        </w:rPr>
        <w:footnoteReference w:id="15"/>
      </w:r>
      <w:r w:rsidR="00A0351D">
        <w:rPr>
          <w:lang w:eastAsia="en-GB"/>
        </w:rPr>
        <w:t xml:space="preserve">, </w:t>
      </w:r>
      <w:r w:rsidRPr="00ED438B">
        <w:rPr>
          <w:lang w:eastAsia="en-GB"/>
        </w:rPr>
        <w:t>but it is important to identify the social implications of why this attribute would be considered monstrous.</w:t>
      </w:r>
    </w:p>
    <w:p w14:paraId="3A7B443C" w14:textId="309B6CAD" w:rsidR="00756A20" w:rsidRDefault="00756A20" w:rsidP="00B00D25">
      <w:pPr>
        <w:spacing w:line="360" w:lineRule="auto"/>
        <w:rPr>
          <w:lang w:eastAsia="en-GB"/>
        </w:rPr>
      </w:pPr>
      <w:r w:rsidRPr="00ED438B">
        <w:rPr>
          <w:lang w:eastAsia="en-GB"/>
        </w:rPr>
        <w:t xml:space="preserve">This essay argues that Medusa’s story reflects the embedded ideologies of the Greco-Roman world, and </w:t>
      </w:r>
      <w:proofErr w:type="gramStart"/>
      <w:r w:rsidRPr="00ED438B">
        <w:rPr>
          <w:lang w:eastAsia="en-GB"/>
        </w:rPr>
        <w:t>in particular its</w:t>
      </w:r>
      <w:proofErr w:type="gramEnd"/>
      <w:r w:rsidRPr="00ED438B">
        <w:rPr>
          <w:lang w:eastAsia="en-GB"/>
        </w:rPr>
        <w:t xml:space="preserve"> view of a woman’s place within its society. This includes a strict view on whose place it is to control a woman’s sexuality</w:t>
      </w:r>
      <w:r w:rsidR="00241D4E">
        <w:rPr>
          <w:rStyle w:val="FootnoteReference"/>
          <w:lang w:eastAsia="en-GB"/>
        </w:rPr>
        <w:footnoteReference w:id="16"/>
      </w:r>
      <w:r w:rsidRPr="00ED438B">
        <w:rPr>
          <w:lang w:eastAsia="en-GB"/>
        </w:rPr>
        <w:t>, which is seen to be both deviant and dangerous when not controlled. The Medusa story further goes on to warn both men and women about the dangers of leaving a woman’s sexuality unbridled.</w:t>
      </w:r>
    </w:p>
    <w:p w14:paraId="25F574F0" w14:textId="03628CED" w:rsidR="00756A20" w:rsidRPr="00ED438B" w:rsidRDefault="00664F3E" w:rsidP="00B00D25">
      <w:pPr>
        <w:spacing w:line="360" w:lineRule="auto"/>
        <w:rPr>
          <w:lang w:eastAsia="en-GB"/>
        </w:rPr>
      </w:pPr>
      <w:r w:rsidRPr="007A101E">
        <w:rPr>
          <w:color w:val="000000"/>
        </w:rPr>
        <w:t xml:space="preserve">Also known as </w:t>
      </w:r>
      <w:proofErr w:type="spellStart"/>
      <w:r w:rsidRPr="007A101E">
        <w:rPr>
          <w:color w:val="000000"/>
        </w:rPr>
        <w:t>Ovidius</w:t>
      </w:r>
      <w:proofErr w:type="spellEnd"/>
      <w:r w:rsidRPr="007A101E">
        <w:rPr>
          <w:color w:val="000000"/>
        </w:rPr>
        <w:t xml:space="preserve"> </w:t>
      </w:r>
      <w:proofErr w:type="spellStart"/>
      <w:r w:rsidRPr="007A101E">
        <w:rPr>
          <w:color w:val="000000"/>
        </w:rPr>
        <w:t>Naso</w:t>
      </w:r>
      <w:proofErr w:type="spellEnd"/>
      <w:r w:rsidRPr="007A101E">
        <w:rPr>
          <w:color w:val="000000"/>
        </w:rPr>
        <w:t>, Ovid was a Roman poet who lived approx</w:t>
      </w:r>
      <w:r w:rsidR="006C0ACD">
        <w:rPr>
          <w:color w:val="000000"/>
        </w:rPr>
        <w:t>imately</w:t>
      </w:r>
      <w:r w:rsidRPr="007A101E">
        <w:rPr>
          <w:color w:val="000000"/>
        </w:rPr>
        <w:t xml:space="preserve"> 43 BCE to 17 CE</w:t>
      </w:r>
      <w:r w:rsidRPr="007A101E">
        <w:rPr>
          <w:rStyle w:val="FootnoteReference"/>
          <w:rFonts w:cstheme="minorHAnsi"/>
        </w:rPr>
        <w:footnoteReference w:id="17"/>
      </w:r>
      <w:r w:rsidRPr="007A101E">
        <w:rPr>
          <w:color w:val="000000"/>
        </w:rPr>
        <w:t>.</w:t>
      </w:r>
      <w:r>
        <w:rPr>
          <w:color w:val="000000"/>
        </w:rPr>
        <w:t xml:space="preserve"> His masterwork </w:t>
      </w:r>
      <w:r>
        <w:rPr>
          <w:i/>
          <w:iCs/>
          <w:color w:val="000000"/>
        </w:rPr>
        <w:t>Metamorphoses</w:t>
      </w:r>
      <w:r>
        <w:rPr>
          <w:color w:val="000000"/>
        </w:rPr>
        <w:t xml:space="preserve"> was completed around </w:t>
      </w:r>
      <w:r w:rsidRPr="007A101E">
        <w:rPr>
          <w:color w:val="000000"/>
        </w:rPr>
        <w:t xml:space="preserve">8 </w:t>
      </w:r>
      <w:proofErr w:type="gramStart"/>
      <w:r w:rsidRPr="007A101E">
        <w:rPr>
          <w:color w:val="000000"/>
        </w:rPr>
        <w:t>A.D</w:t>
      </w:r>
      <w:proofErr w:type="gramEnd"/>
      <w:r w:rsidRPr="007A101E">
        <w:rPr>
          <w:rStyle w:val="FootnoteReference"/>
          <w:rFonts w:cstheme="minorHAnsi"/>
        </w:rPr>
        <w:footnoteReference w:id="18"/>
      </w:r>
      <w:r>
        <w:rPr>
          <w:color w:val="000000"/>
        </w:rPr>
        <w:t xml:space="preserve"> and </w:t>
      </w:r>
      <w:r w:rsidRPr="007A101E">
        <w:rPr>
          <w:lang w:eastAsia="en-GB"/>
        </w:rPr>
        <w:t xml:space="preserve">tells </w:t>
      </w:r>
      <w:r w:rsidR="00612248">
        <w:rPr>
          <w:lang w:eastAsia="en-GB"/>
        </w:rPr>
        <w:t>his version of the creation myth and goes on to narrate</w:t>
      </w:r>
      <w:r w:rsidR="00724862">
        <w:rPr>
          <w:lang w:eastAsia="en-GB"/>
        </w:rPr>
        <w:t xml:space="preserve"> stories </w:t>
      </w:r>
      <w:r w:rsidR="00612248">
        <w:rPr>
          <w:lang w:eastAsia="en-GB"/>
        </w:rPr>
        <w:t>involving</w:t>
      </w:r>
      <w:r w:rsidR="00724862">
        <w:rPr>
          <w:lang w:eastAsia="en-GB"/>
        </w:rPr>
        <w:t xml:space="preserve"> different </w:t>
      </w:r>
      <w:r w:rsidR="00612248">
        <w:rPr>
          <w:lang w:eastAsia="en-GB"/>
        </w:rPr>
        <w:t xml:space="preserve">Roman </w:t>
      </w:r>
      <w:r w:rsidR="00724862">
        <w:rPr>
          <w:lang w:eastAsia="en-GB"/>
        </w:rPr>
        <w:t xml:space="preserve">gods </w:t>
      </w:r>
      <w:r w:rsidR="0013436A">
        <w:rPr>
          <w:lang w:eastAsia="en-GB"/>
        </w:rPr>
        <w:t xml:space="preserve">. </w:t>
      </w:r>
      <w:r w:rsidR="00724862">
        <w:rPr>
          <w:lang w:eastAsia="en-GB"/>
        </w:rPr>
        <w:t xml:space="preserve"> </w:t>
      </w:r>
      <w:r w:rsidRPr="007A101E">
        <w:rPr>
          <w:lang w:eastAsia="en-GB"/>
        </w:rPr>
        <w:t>Medusa</w:t>
      </w:r>
      <w:r w:rsidR="006C0ACD">
        <w:rPr>
          <w:lang w:eastAsia="en-GB"/>
        </w:rPr>
        <w:t>,</w:t>
      </w:r>
      <w:r w:rsidRPr="007A101E">
        <w:rPr>
          <w:lang w:eastAsia="en-GB"/>
        </w:rPr>
        <w:t xml:space="preserve"> although the focal point of this essay</w:t>
      </w:r>
      <w:r>
        <w:rPr>
          <w:lang w:eastAsia="en-GB"/>
        </w:rPr>
        <w:t>, only</w:t>
      </w:r>
      <w:r w:rsidRPr="007A101E">
        <w:rPr>
          <w:lang w:eastAsia="en-GB"/>
        </w:rPr>
        <w:t xml:space="preserve"> featured in part of Perseus’ story</w:t>
      </w:r>
      <w:r w:rsidR="00724862">
        <w:rPr>
          <w:b/>
          <w:bCs/>
          <w:lang w:eastAsia="en-GB"/>
        </w:rPr>
        <w:t xml:space="preserve"> </w:t>
      </w:r>
      <w:r w:rsidR="00724862">
        <w:rPr>
          <w:lang w:eastAsia="en-GB"/>
        </w:rPr>
        <w:t xml:space="preserve">which </w:t>
      </w:r>
      <w:proofErr w:type="gramStart"/>
      <w:r w:rsidR="00724862">
        <w:rPr>
          <w:lang w:eastAsia="en-GB"/>
        </w:rPr>
        <w:t>in itself was</w:t>
      </w:r>
      <w:proofErr w:type="gramEnd"/>
      <w:r w:rsidR="00724862">
        <w:rPr>
          <w:lang w:eastAsia="en-GB"/>
        </w:rPr>
        <w:t xml:space="preserve"> only a small section of the</w:t>
      </w:r>
      <w:r w:rsidR="006C0ACD">
        <w:rPr>
          <w:lang w:eastAsia="en-GB"/>
        </w:rPr>
        <w:t xml:space="preserve"> complete</w:t>
      </w:r>
      <w:r w:rsidR="00724862">
        <w:rPr>
          <w:lang w:eastAsia="en-GB"/>
        </w:rPr>
        <w:t xml:space="preserve"> narrative</w:t>
      </w:r>
      <w:r w:rsidR="0013436A">
        <w:rPr>
          <w:rStyle w:val="FootnoteReference"/>
          <w:lang w:eastAsia="en-GB"/>
        </w:rPr>
        <w:footnoteReference w:id="19"/>
      </w:r>
      <w:r w:rsidR="00724862">
        <w:rPr>
          <w:lang w:eastAsia="en-GB"/>
        </w:rPr>
        <w:t>.</w:t>
      </w:r>
      <w:r w:rsidR="006C0ACD">
        <w:rPr>
          <w:lang w:eastAsia="en-GB"/>
        </w:rPr>
        <w:t xml:space="preserve"> </w:t>
      </w:r>
      <w:r w:rsidR="0013436A">
        <w:rPr>
          <w:lang w:eastAsia="en-GB"/>
        </w:rPr>
        <w:t>Th</w:t>
      </w:r>
      <w:r w:rsidR="00612248">
        <w:rPr>
          <w:lang w:eastAsia="en-GB"/>
        </w:rPr>
        <w:t>ere are several different themes demonstrated throughout the different tales</w:t>
      </w:r>
      <w:r w:rsidR="006C0ACD">
        <w:rPr>
          <w:lang w:eastAsia="en-GB"/>
        </w:rPr>
        <w:t xml:space="preserve"> within </w:t>
      </w:r>
      <w:r w:rsidR="006C0ACD">
        <w:rPr>
          <w:i/>
          <w:iCs/>
          <w:lang w:eastAsia="en-GB"/>
        </w:rPr>
        <w:t>Metamorphoses</w:t>
      </w:r>
      <w:r w:rsidR="00612248">
        <w:rPr>
          <w:lang w:eastAsia="en-GB"/>
        </w:rPr>
        <w:t xml:space="preserve"> including divine rape</w:t>
      </w:r>
      <w:r w:rsidR="003B2468">
        <w:rPr>
          <w:lang w:eastAsia="en-GB"/>
        </w:rPr>
        <w:t>, defil</w:t>
      </w:r>
      <w:r w:rsidR="006C0ACD">
        <w:rPr>
          <w:lang w:eastAsia="en-GB"/>
        </w:rPr>
        <w:t>ement</w:t>
      </w:r>
      <w:r w:rsidR="003B2468">
        <w:rPr>
          <w:lang w:eastAsia="en-GB"/>
        </w:rPr>
        <w:t xml:space="preserve"> of purity</w:t>
      </w:r>
      <w:r w:rsidR="00397830">
        <w:rPr>
          <w:lang w:eastAsia="en-GB"/>
        </w:rPr>
        <w:t>, victim blaming</w:t>
      </w:r>
      <w:r w:rsidR="00612248">
        <w:rPr>
          <w:lang w:eastAsia="en-GB"/>
        </w:rPr>
        <w:t xml:space="preserve"> and physical transformation</w:t>
      </w:r>
      <w:r w:rsidR="00397830">
        <w:rPr>
          <w:lang w:eastAsia="en-GB"/>
        </w:rPr>
        <w:t xml:space="preserve">. These are presented from the beginning through </w:t>
      </w:r>
      <w:r w:rsidR="00612248">
        <w:rPr>
          <w:lang w:eastAsia="en-GB"/>
        </w:rPr>
        <w:t>the interactions of Phoebus and Daphne</w:t>
      </w:r>
      <w:r w:rsidR="00612248">
        <w:rPr>
          <w:rStyle w:val="FootnoteReference"/>
          <w:lang w:eastAsia="en-GB"/>
        </w:rPr>
        <w:footnoteReference w:id="20"/>
      </w:r>
      <w:r w:rsidR="00612248">
        <w:rPr>
          <w:lang w:eastAsia="en-GB"/>
        </w:rPr>
        <w:t xml:space="preserve"> as well as Jupiter and Io</w:t>
      </w:r>
      <w:r w:rsidR="003B2468">
        <w:rPr>
          <w:rStyle w:val="FootnoteReference"/>
          <w:lang w:eastAsia="en-GB"/>
        </w:rPr>
        <w:footnoteReference w:id="21"/>
      </w:r>
      <w:r w:rsidR="00612248">
        <w:rPr>
          <w:lang w:eastAsia="en-GB"/>
        </w:rPr>
        <w:t>.</w:t>
      </w:r>
      <w:r w:rsidR="003B2468">
        <w:rPr>
          <w:lang w:eastAsia="en-GB"/>
        </w:rPr>
        <w:t xml:space="preserve"> Medusa’s story </w:t>
      </w:r>
      <w:r w:rsidR="00397830">
        <w:rPr>
          <w:lang w:eastAsia="en-GB"/>
        </w:rPr>
        <w:t xml:space="preserve">very much </w:t>
      </w:r>
      <w:r w:rsidR="003B2468">
        <w:rPr>
          <w:lang w:eastAsia="en-GB"/>
        </w:rPr>
        <w:t xml:space="preserve">embodies these themes, having been born a great beauty until she was assaulted by the sea god Neptune in the temple of Minerva </w:t>
      </w:r>
      <w:r w:rsidR="00397830">
        <w:rPr>
          <w:lang w:eastAsia="en-GB"/>
        </w:rPr>
        <w:t>which led to Minerva transforming her into a monster in her rage</w:t>
      </w:r>
      <w:r w:rsidR="00397830">
        <w:rPr>
          <w:rStyle w:val="FootnoteReference"/>
          <w:lang w:eastAsia="en-GB"/>
        </w:rPr>
        <w:footnoteReference w:id="22"/>
      </w:r>
      <w:r w:rsidR="00397830">
        <w:rPr>
          <w:lang w:eastAsia="en-GB"/>
        </w:rPr>
        <w:t xml:space="preserve">. </w:t>
      </w:r>
      <w:r w:rsidR="005727DE">
        <w:rPr>
          <w:lang w:eastAsia="en-GB"/>
        </w:rPr>
        <w:t xml:space="preserve">Ovid’s version of the Medusa tale within </w:t>
      </w:r>
      <w:r w:rsidR="005727DE">
        <w:rPr>
          <w:i/>
          <w:iCs/>
          <w:lang w:eastAsia="en-GB"/>
        </w:rPr>
        <w:t xml:space="preserve">Metamorphoses </w:t>
      </w:r>
      <w:r w:rsidR="005727DE">
        <w:rPr>
          <w:lang w:eastAsia="en-GB"/>
        </w:rPr>
        <w:t>is t</w:t>
      </w:r>
      <w:r w:rsidR="00756A20" w:rsidRPr="00ED438B">
        <w:rPr>
          <w:lang w:eastAsia="en-GB"/>
        </w:rPr>
        <w:t>he primary source material this essay focus</w:t>
      </w:r>
      <w:r w:rsidR="006C0ACD">
        <w:rPr>
          <w:lang w:eastAsia="en-GB"/>
        </w:rPr>
        <w:t>ses</w:t>
      </w:r>
      <w:r w:rsidR="005727DE">
        <w:rPr>
          <w:lang w:eastAsia="en-GB"/>
        </w:rPr>
        <w:t xml:space="preserve"> on</w:t>
      </w:r>
      <w:r w:rsidR="0099383E">
        <w:rPr>
          <w:rStyle w:val="FootnoteReference"/>
          <w:lang w:eastAsia="en-GB"/>
        </w:rPr>
        <w:footnoteReference w:id="23"/>
      </w:r>
      <w:r w:rsidR="005727DE">
        <w:rPr>
          <w:lang w:eastAsia="en-GB"/>
        </w:rPr>
        <w:t>.</w:t>
      </w:r>
      <w:r w:rsidR="00756A20" w:rsidRPr="00ED438B">
        <w:rPr>
          <w:lang w:eastAsia="en-GB"/>
        </w:rPr>
        <w:t xml:space="preserve"> </w:t>
      </w:r>
      <w:r w:rsidR="005727DE">
        <w:rPr>
          <w:lang w:eastAsia="en-GB"/>
        </w:rPr>
        <w:t>I</w:t>
      </w:r>
      <w:r w:rsidR="00756A20" w:rsidRPr="00ED438B">
        <w:rPr>
          <w:lang w:eastAsia="en-GB"/>
        </w:rPr>
        <w:t xml:space="preserve">t is the oldest depiction of Medusa’s tale that </w:t>
      </w:r>
      <w:proofErr w:type="gramStart"/>
      <w:r w:rsidR="00756A20" w:rsidRPr="00ED438B">
        <w:rPr>
          <w:lang w:eastAsia="en-GB"/>
        </w:rPr>
        <w:t>actually showcases</w:t>
      </w:r>
      <w:proofErr w:type="gramEnd"/>
      <w:r w:rsidR="00756A20" w:rsidRPr="00ED438B">
        <w:rPr>
          <w:lang w:eastAsia="en-GB"/>
        </w:rPr>
        <w:t xml:space="preserve"> the transformation that the myth has undergone in a more deliberate way.</w:t>
      </w:r>
      <w:r w:rsidR="006C0ACD">
        <w:rPr>
          <w:lang w:eastAsia="en-GB"/>
        </w:rPr>
        <w:t xml:space="preserve"> </w:t>
      </w:r>
      <w:r w:rsidR="005727DE">
        <w:rPr>
          <w:lang w:eastAsia="en-GB"/>
        </w:rPr>
        <w:t xml:space="preserve"> Aspects of the monstrosity in the Greco-Roman mythology are examined and</w:t>
      </w:r>
      <w:r w:rsidR="006C0ACD">
        <w:rPr>
          <w:lang w:eastAsia="en-GB"/>
        </w:rPr>
        <w:t>,</w:t>
      </w:r>
      <w:r w:rsidR="005727DE">
        <w:rPr>
          <w:lang w:eastAsia="en-GB"/>
        </w:rPr>
        <w:t xml:space="preserve"> following this</w:t>
      </w:r>
      <w:r w:rsidR="006C0ACD">
        <w:rPr>
          <w:lang w:eastAsia="en-GB"/>
        </w:rPr>
        <w:t>,</w:t>
      </w:r>
      <w:r w:rsidR="005727DE">
        <w:rPr>
          <w:lang w:eastAsia="en-GB"/>
        </w:rPr>
        <w:t xml:space="preserve"> is an examination of the messaging and symbolism of</w:t>
      </w:r>
      <w:r w:rsidR="006C0ACD">
        <w:rPr>
          <w:lang w:eastAsia="en-GB"/>
        </w:rPr>
        <w:t xml:space="preserve"> Medusa within</w:t>
      </w:r>
      <w:r w:rsidR="005727DE">
        <w:rPr>
          <w:lang w:eastAsia="en-GB"/>
        </w:rPr>
        <w:t xml:space="preserve"> Ovid’s text.</w:t>
      </w:r>
    </w:p>
    <w:p w14:paraId="5493DC13" w14:textId="77777777" w:rsidR="00756A20" w:rsidRPr="00ED438B" w:rsidRDefault="00756A20" w:rsidP="00B00D25">
      <w:pPr>
        <w:spacing w:line="360" w:lineRule="auto"/>
        <w:rPr>
          <w:lang w:eastAsia="en-GB"/>
        </w:rPr>
      </w:pPr>
      <w:r w:rsidRPr="00ED438B">
        <w:rPr>
          <w:lang w:eastAsia="en-GB"/>
        </w:rPr>
        <w:t> </w:t>
      </w:r>
    </w:p>
    <w:p w14:paraId="12FF2938" w14:textId="77777777" w:rsidR="00756A20" w:rsidRPr="006C0ACD" w:rsidRDefault="00756A20" w:rsidP="00B00D25">
      <w:pPr>
        <w:spacing w:line="360" w:lineRule="auto"/>
        <w:rPr>
          <w:b/>
          <w:bCs/>
          <w:lang w:eastAsia="en-GB"/>
        </w:rPr>
      </w:pPr>
      <w:r w:rsidRPr="006C0ACD">
        <w:rPr>
          <w:b/>
          <w:bCs/>
          <w:lang w:eastAsia="en-GB"/>
        </w:rPr>
        <w:lastRenderedPageBreak/>
        <w:t>Section One: Monstrosity</w:t>
      </w:r>
    </w:p>
    <w:p w14:paraId="7706C882" w14:textId="0C5949D7" w:rsidR="00756A20" w:rsidRPr="00ED438B" w:rsidRDefault="00756A20" w:rsidP="00B00D25">
      <w:pPr>
        <w:spacing w:line="360" w:lineRule="auto"/>
        <w:rPr>
          <w:lang w:eastAsia="en-GB"/>
        </w:rPr>
      </w:pPr>
      <w:r w:rsidRPr="006C0ACD">
        <w:rPr>
          <w:lang w:eastAsia="en-GB"/>
        </w:rPr>
        <w:t>Monsters within Greco-Roman myth often had physical disfigurements or differences. The Homeric</w:t>
      </w:r>
      <w:r w:rsidRPr="00ED438B">
        <w:rPr>
          <w:lang w:eastAsia="en-GB"/>
        </w:rPr>
        <w:t xml:space="preserve"> epic </w:t>
      </w:r>
      <w:r w:rsidRPr="00ED438B">
        <w:rPr>
          <w:i/>
          <w:iCs/>
          <w:lang w:eastAsia="en-GB"/>
        </w:rPr>
        <w:t>The Odyssey</w:t>
      </w:r>
      <w:r w:rsidRPr="00ED438B">
        <w:rPr>
          <w:lang w:eastAsia="en-GB"/>
        </w:rPr>
        <w:t xml:space="preserve"> is littered with an array of different monsters. The hero Odysseus encountered such beasts as the six-headed sea monster </w:t>
      </w:r>
      <w:r w:rsidR="00ED438B" w:rsidRPr="00ED438B">
        <w:rPr>
          <w:lang w:eastAsia="en-GB"/>
        </w:rPr>
        <w:t>S</w:t>
      </w:r>
      <w:r w:rsidRPr="00ED438B">
        <w:rPr>
          <w:lang w:eastAsia="en-GB"/>
        </w:rPr>
        <w:t xml:space="preserve">cylla, the cyclops </w:t>
      </w:r>
      <w:r w:rsidRPr="00ED438B">
        <w:rPr>
          <w:shd w:val="clear" w:color="auto" w:fill="FFFFFF"/>
          <w:lang w:eastAsia="en-GB"/>
        </w:rPr>
        <w:t>Polyphemus, and the half-woman half-bird sirens who lured men to their deaths.  These monsters are easily identified as such through their noticeable disfigurements and</w:t>
      </w:r>
      <w:r w:rsidR="005727DE">
        <w:rPr>
          <w:shd w:val="clear" w:color="auto" w:fill="FFFFFF"/>
          <w:lang w:eastAsia="en-GB"/>
        </w:rPr>
        <w:t>,</w:t>
      </w:r>
      <w:r w:rsidRPr="00ED438B">
        <w:rPr>
          <w:shd w:val="clear" w:color="auto" w:fill="FFFFFF"/>
          <w:lang w:eastAsia="en-GB"/>
        </w:rPr>
        <w:t xml:space="preserve"> </w:t>
      </w:r>
      <w:proofErr w:type="gramStart"/>
      <w:r w:rsidRPr="00ED438B">
        <w:rPr>
          <w:shd w:val="clear" w:color="auto" w:fill="FFFFFF"/>
          <w:lang w:eastAsia="en-GB"/>
        </w:rPr>
        <w:t>more often than not</w:t>
      </w:r>
      <w:proofErr w:type="gramEnd"/>
      <w:r w:rsidR="005727DE">
        <w:rPr>
          <w:shd w:val="clear" w:color="auto" w:fill="FFFFFF"/>
          <w:lang w:eastAsia="en-GB"/>
        </w:rPr>
        <w:t>,</w:t>
      </w:r>
      <w:r w:rsidRPr="00ED438B">
        <w:rPr>
          <w:shd w:val="clear" w:color="auto" w:fill="FFFFFF"/>
          <w:lang w:eastAsia="en-GB"/>
        </w:rPr>
        <w:t xml:space="preserve"> they present a danger to those they encounter. Polyphemus was a giant with a singular large eye, his cave dwelling littered with the bones of the human men he devoured. </w:t>
      </w:r>
      <w:r w:rsidRPr="00ED438B">
        <w:rPr>
          <w:lang w:eastAsia="en-GB"/>
        </w:rPr>
        <w:t>Medusa herself had a monstrous appearance with her inhuman features</w:t>
      </w:r>
      <w:r w:rsidR="004F42CE">
        <w:rPr>
          <w:lang w:eastAsia="en-GB"/>
        </w:rPr>
        <w:t>.</w:t>
      </w:r>
      <w:r w:rsidR="00F171A9">
        <w:rPr>
          <w:lang w:eastAsia="en-GB"/>
        </w:rPr>
        <w:t xml:space="preserve"> </w:t>
      </w:r>
      <w:r w:rsidR="00F171A9" w:rsidRPr="00F171A9">
        <w:rPr>
          <w:b/>
          <w:bCs/>
          <w:lang w:eastAsia="en-GB"/>
        </w:rPr>
        <w:t xml:space="preserve">REF </w:t>
      </w:r>
      <w:proofErr w:type="spellStart"/>
      <w:r w:rsidR="00F171A9" w:rsidRPr="00F171A9">
        <w:rPr>
          <w:b/>
          <w:bCs/>
          <w:lang w:eastAsia="en-GB"/>
        </w:rPr>
        <w:t>Oddysey</w:t>
      </w:r>
      <w:proofErr w:type="spellEnd"/>
    </w:p>
    <w:p w14:paraId="5A471C62" w14:textId="43091E75" w:rsidR="00756A20" w:rsidRPr="00ED438B" w:rsidRDefault="005B68BE" w:rsidP="00B00D25">
      <w:pPr>
        <w:spacing w:line="360" w:lineRule="auto"/>
        <w:rPr>
          <w:lang w:eastAsia="en-GB"/>
        </w:rPr>
      </w:pPr>
      <w:r w:rsidRPr="00F171A9">
        <w:rPr>
          <w:noProof/>
        </w:rPr>
        <mc:AlternateContent>
          <mc:Choice Requires="wps">
            <w:drawing>
              <wp:anchor distT="0" distB="0" distL="114300" distR="114300" simplePos="0" relativeHeight="251669504" behindDoc="0" locked="0" layoutInCell="1" allowOverlap="1" wp14:anchorId="605D0E54" wp14:editId="5DC31E42">
                <wp:simplePos x="0" y="0"/>
                <wp:positionH relativeFrom="column">
                  <wp:posOffset>0</wp:posOffset>
                </wp:positionH>
                <wp:positionV relativeFrom="paragraph">
                  <wp:posOffset>1149985</wp:posOffset>
                </wp:positionV>
                <wp:extent cx="1198245" cy="635"/>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1198245" cy="635"/>
                        </a:xfrm>
                        <a:prstGeom prst="rect">
                          <a:avLst/>
                        </a:prstGeom>
                        <a:solidFill>
                          <a:prstClr val="white"/>
                        </a:solidFill>
                        <a:ln>
                          <a:noFill/>
                        </a:ln>
                      </wps:spPr>
                      <wps:txbx>
                        <w:txbxContent>
                          <w:p w14:paraId="1FB7897E" w14:textId="26D5CF9E" w:rsidR="005B68BE" w:rsidRPr="00C57AD9" w:rsidRDefault="005B68BE" w:rsidP="005B68BE">
                            <w:pPr>
                              <w:pStyle w:val="Caption"/>
                              <w:rPr>
                                <w:noProof/>
                              </w:rPr>
                            </w:pPr>
                            <w:r>
                              <w:t>Figure 3 Red-figured hydria ca.490 BC. British Museum.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05D0E54" id="Text Box 8" o:spid="_x0000_s1028" type="#_x0000_t202" style="position:absolute;margin-left:0;margin-top:90.55pt;width:94.35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" stroked="f">
                <v:textbox style="mso-fit-shape-to-text:t" inset="0,0,0,0">
                  <w:txbxContent>
                    <w:p w14:paraId="1FB7897E" w14:textId="26D5CF9E" w:rsidR="005B68BE" w:rsidRPr="00C57AD9" w:rsidRDefault="005B68BE" w:rsidP="005B68BE">
                      <w:pPr>
                        <w:pStyle w:val="Caption"/>
                        <w:rPr>
                          <w:noProof/>
                        </w:rPr>
                      </w:pPr>
                      <w:r>
                        <w:t>Figure 3 Red-figured hydria ca.490 BC. British Museum.</w:t>
                      </w:r>
                    </w:p>
                  </w:txbxContent>
                </v:textbox>
                <w10:wrap type="square"/>
              </v:shape>
            </w:pict>
          </mc:Fallback>
        </mc:AlternateContent>
      </w:r>
      <w:r w:rsidR="00644ED2" w:rsidRPr="00F171A9">
        <w:rPr>
          <w:noProof/>
        </w:rPr>
        <w:drawing>
          <wp:anchor distT="0" distB="0" distL="114300" distR="114300" simplePos="0" relativeHeight="251667456" behindDoc="0" locked="0" layoutInCell="1" allowOverlap="1" wp14:anchorId="1E519284" wp14:editId="5104FA51">
            <wp:simplePos x="0" y="0"/>
            <wp:positionH relativeFrom="column">
              <wp:posOffset>0</wp:posOffset>
            </wp:positionH>
            <wp:positionV relativeFrom="paragraph">
              <wp:posOffset>-847</wp:posOffset>
            </wp:positionV>
            <wp:extent cx="1198245" cy="1094696"/>
            <wp:effectExtent l="0" t="0" r="1905" b="0"/>
            <wp:wrapSquare wrapText="bothSides"/>
            <wp:docPr id="3" name="Picture 3"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ownload (2).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98245" cy="1094696"/>
                    </a:xfrm>
                    <a:prstGeom prst="rect">
                      <a:avLst/>
                    </a:prstGeom>
                  </pic:spPr>
                </pic:pic>
              </a:graphicData>
            </a:graphic>
            <wp14:sizeRelH relativeFrom="page">
              <wp14:pctWidth>0</wp14:pctWidth>
            </wp14:sizeRelH>
            <wp14:sizeRelV relativeFrom="page">
              <wp14:pctHeight>0</wp14:pctHeight>
            </wp14:sizeRelV>
          </wp:anchor>
        </w:drawing>
      </w:r>
      <w:r w:rsidR="00367D61" w:rsidRPr="00F171A9">
        <w:rPr>
          <w:noProof/>
        </w:rPr>
        <mc:AlternateContent>
          <mc:Choice Requires="wps">
            <w:drawing>
              <wp:anchor distT="0" distB="0" distL="114300" distR="114300" simplePos="0" relativeHeight="251666432" behindDoc="0" locked="0" layoutInCell="1" allowOverlap="1" wp14:anchorId="6E0132C6" wp14:editId="435BA68D">
                <wp:simplePos x="0" y="0"/>
                <wp:positionH relativeFrom="column">
                  <wp:posOffset>4417060</wp:posOffset>
                </wp:positionH>
                <wp:positionV relativeFrom="paragraph">
                  <wp:posOffset>2228215</wp:posOffset>
                </wp:positionV>
                <wp:extent cx="1308735" cy="635"/>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1308735" cy="635"/>
                        </a:xfrm>
                        <a:prstGeom prst="rect">
                          <a:avLst/>
                        </a:prstGeom>
                        <a:solidFill>
                          <a:prstClr val="white"/>
                        </a:solidFill>
                        <a:ln>
                          <a:noFill/>
                        </a:ln>
                      </wps:spPr>
                      <wps:txbx>
                        <w:txbxContent>
                          <w:p w14:paraId="7579C82D" w14:textId="27B95A24" w:rsidR="00367D61" w:rsidRPr="00401976" w:rsidRDefault="00367D61" w:rsidP="00367D61">
                            <w:pPr>
                              <w:pStyle w:val="Caption"/>
                              <w:rPr>
                                <w:noProof/>
                              </w:rPr>
                            </w:pPr>
                            <w:r>
                              <w:t xml:space="preserve">Figure </w:t>
                            </w:r>
                            <w:r w:rsidR="005B68BE">
                              <w:t>4</w:t>
                            </w:r>
                            <w:r>
                              <w:t xml:space="preserve"> Terracotta </w:t>
                            </w:r>
                            <w:proofErr w:type="spellStart"/>
                            <w:r>
                              <w:t>askos</w:t>
                            </w:r>
                            <w:proofErr w:type="spellEnd"/>
                            <w:r>
                              <w:t xml:space="preserve"> ca.300-250 BC.</w:t>
                            </w:r>
                            <w:r w:rsidR="00EF1917">
                              <w:t xml:space="preserve"> British Museum.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E0132C6" id="Text Box 7" o:spid="_x0000_s1029" type="#_x0000_t202" style="position:absolute;margin-left:347.8pt;margin-top:175.45pt;width:103.05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" stroked="f">
                <v:textbox style="mso-fit-shape-to-text:t" inset="0,0,0,0">
                  <w:txbxContent>
                    <w:p w14:paraId="7579C82D" w14:textId="27B95A24" w:rsidR="00367D61" w:rsidRPr="00401976" w:rsidRDefault="00367D61" w:rsidP="00367D61">
                      <w:pPr>
                        <w:pStyle w:val="Caption"/>
                        <w:rPr>
                          <w:noProof/>
                        </w:rPr>
                      </w:pPr>
                      <w:r>
                        <w:t xml:space="preserve">Figure </w:t>
                      </w:r>
                      <w:r w:rsidR="005B68BE">
                        <w:t>4</w:t>
                      </w:r>
                      <w:r>
                        <w:t xml:space="preserve"> Terracotta </w:t>
                      </w:r>
                      <w:proofErr w:type="spellStart"/>
                      <w:r>
                        <w:t>askos</w:t>
                      </w:r>
                      <w:proofErr w:type="spellEnd"/>
                      <w:r>
                        <w:t xml:space="preserve"> ca.300-250 BC.</w:t>
                      </w:r>
                      <w:r w:rsidR="00EF1917">
                        <w:t xml:space="preserve"> British Museum.</w:t>
                      </w:r>
                    </w:p>
                  </w:txbxContent>
                </v:textbox>
                <w10:wrap type="square"/>
              </v:shape>
            </w:pict>
          </mc:Fallback>
        </mc:AlternateContent>
      </w:r>
      <w:r w:rsidR="00367D61" w:rsidRPr="00F171A9">
        <w:rPr>
          <w:noProof/>
          <w:lang w:eastAsia="en-GB"/>
        </w:rPr>
        <w:drawing>
          <wp:anchor distT="0" distB="0" distL="114300" distR="114300" simplePos="0" relativeHeight="251664384" behindDoc="0" locked="0" layoutInCell="1" allowOverlap="1" wp14:anchorId="3C52A696" wp14:editId="632BE674">
            <wp:simplePos x="0" y="0"/>
            <wp:positionH relativeFrom="margin">
              <wp:align>right</wp:align>
            </wp:positionH>
            <wp:positionV relativeFrom="paragraph">
              <wp:posOffset>930910</wp:posOffset>
            </wp:positionV>
            <wp:extent cx="1308735" cy="1240155"/>
            <wp:effectExtent l="0" t="0" r="5715" b="0"/>
            <wp:wrapSquare wrapText="bothSides"/>
            <wp:docPr id="6" name="Picture 6" descr="A close up of a mans 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ownload.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08735" cy="1240155"/>
                    </a:xfrm>
                    <a:prstGeom prst="rect">
                      <a:avLst/>
                    </a:prstGeom>
                  </pic:spPr>
                </pic:pic>
              </a:graphicData>
            </a:graphic>
            <wp14:sizeRelH relativeFrom="page">
              <wp14:pctWidth>0</wp14:pctWidth>
            </wp14:sizeRelH>
            <wp14:sizeRelV relativeFrom="page">
              <wp14:pctHeight>0</wp14:pctHeight>
            </wp14:sizeRelV>
          </wp:anchor>
        </w:drawing>
      </w:r>
      <w:r w:rsidR="00756A20" w:rsidRPr="00F171A9">
        <w:rPr>
          <w:lang w:eastAsia="en-GB"/>
        </w:rPr>
        <w:t>Medusa’s monstrous visage has evolved over time.</w:t>
      </w:r>
      <w:r w:rsidR="00756A20" w:rsidRPr="00ED438B">
        <w:rPr>
          <w:lang w:eastAsia="en-GB"/>
        </w:rPr>
        <w:t xml:space="preserve"> Originally, she was depicted only as a head with distorted and exaggerated features, such as her misshapen </w:t>
      </w:r>
      <w:r w:rsidR="005727DE">
        <w:rPr>
          <w:lang w:eastAsia="en-GB"/>
        </w:rPr>
        <w:t>face</w:t>
      </w:r>
      <w:r w:rsidR="00756A20" w:rsidRPr="00ED438B">
        <w:rPr>
          <w:lang w:eastAsia="en-GB"/>
        </w:rPr>
        <w:t xml:space="preserve"> and tusked fangs</w:t>
      </w:r>
      <w:r w:rsidR="00644ED2">
        <w:rPr>
          <w:lang w:eastAsia="en-GB"/>
        </w:rPr>
        <w:t>.</w:t>
      </w:r>
      <w:r w:rsidR="00756A20" w:rsidRPr="00ED438B">
        <w:rPr>
          <w:lang w:eastAsia="en-GB"/>
        </w:rPr>
        <w:t xml:space="preserve"> Throughout the decades and centuries however, Medusa began to take on a more humanoid countenance and became distinctly feminine in her appearance within both literary and artistic representations</w:t>
      </w:r>
      <w:r w:rsidR="00A43D72">
        <w:rPr>
          <w:rStyle w:val="FootnoteReference"/>
          <w:lang w:eastAsia="en-GB"/>
        </w:rPr>
        <w:footnoteReference w:id="24"/>
      </w:r>
      <w:r w:rsidR="00B13E41">
        <w:rPr>
          <w:lang w:eastAsia="en-GB"/>
        </w:rPr>
        <w:t>.</w:t>
      </w:r>
      <w:r w:rsidR="00756A20" w:rsidRPr="00ED438B">
        <w:rPr>
          <w:lang w:eastAsia="en-GB"/>
        </w:rPr>
        <w:t xml:space="preserve"> It is possible that this is a deliberate attempt to portray Medusa’s sexuality in a more overt way. When Ovid first introduces her</w:t>
      </w:r>
      <w:r w:rsidR="00367D61">
        <w:rPr>
          <w:lang w:eastAsia="en-GB"/>
        </w:rPr>
        <w:t>,</w:t>
      </w:r>
      <w:r w:rsidR="00756A20" w:rsidRPr="00ED438B">
        <w:rPr>
          <w:lang w:eastAsia="en-GB"/>
        </w:rPr>
        <w:t xml:space="preserve"> he describes her serpent locks “Medusa only of the sisters wore snakes mingled with her hair”</w:t>
      </w:r>
      <w:r w:rsidR="00514E48">
        <w:rPr>
          <w:rStyle w:val="FootnoteReference"/>
          <w:lang w:eastAsia="en-GB"/>
        </w:rPr>
        <w:footnoteReference w:id="25"/>
      </w:r>
      <w:r w:rsidR="00756A20" w:rsidRPr="00ED438B">
        <w:rPr>
          <w:lang w:eastAsia="en-GB"/>
        </w:rPr>
        <w:t xml:space="preserve">. This aspect of her appearance is the one that he chooses to focus on immediately </w:t>
      </w:r>
      <w:proofErr w:type="gramStart"/>
      <w:r w:rsidR="00756A20" w:rsidRPr="00ED438B">
        <w:rPr>
          <w:lang w:eastAsia="en-GB"/>
        </w:rPr>
        <w:t>in order to</w:t>
      </w:r>
      <w:proofErr w:type="gramEnd"/>
      <w:r w:rsidR="00756A20" w:rsidRPr="00ED438B">
        <w:rPr>
          <w:lang w:eastAsia="en-GB"/>
        </w:rPr>
        <w:t xml:space="preserve"> identify her as a monster. Later when Perseus is threatening his rival with Medusa’s head, </w:t>
      </w:r>
      <w:proofErr w:type="spellStart"/>
      <w:r w:rsidR="00756A20" w:rsidRPr="00ED438B">
        <w:rPr>
          <w:lang w:eastAsia="en-GB"/>
        </w:rPr>
        <w:t>Phineus</w:t>
      </w:r>
      <w:proofErr w:type="spellEnd"/>
      <w:r w:rsidR="00756A20" w:rsidRPr="00ED438B">
        <w:rPr>
          <w:lang w:eastAsia="en-GB"/>
        </w:rPr>
        <w:t xml:space="preserve"> exclaims "Take away your monster and the face that turns men to stone”</w:t>
      </w:r>
      <w:r w:rsidR="00591D1F">
        <w:rPr>
          <w:rStyle w:val="FootnoteReference"/>
          <w:lang w:eastAsia="en-GB"/>
        </w:rPr>
        <w:footnoteReference w:id="26"/>
      </w:r>
      <w:r w:rsidR="00756A20" w:rsidRPr="00ED438B">
        <w:rPr>
          <w:lang w:eastAsia="en-GB"/>
        </w:rPr>
        <w:t>. This demonstrates that Medusa’s monstrosity is very much established at this point in the story.</w:t>
      </w:r>
      <w:r w:rsidR="00756A20" w:rsidRPr="00ED438B">
        <w:rPr>
          <w:i/>
          <w:iCs/>
          <w:lang w:eastAsia="en-GB"/>
        </w:rPr>
        <w:t> </w:t>
      </w:r>
    </w:p>
    <w:p w14:paraId="1CB930D2" w14:textId="6FC27CF0" w:rsidR="00F84074" w:rsidRPr="00ED438B" w:rsidRDefault="00F84074" w:rsidP="00B00D25">
      <w:pPr>
        <w:spacing w:line="360" w:lineRule="auto"/>
        <w:rPr>
          <w:lang w:eastAsia="en-GB"/>
        </w:rPr>
      </w:pPr>
      <w:r w:rsidRPr="00F171A9">
        <w:rPr>
          <w:lang w:eastAsia="en-GB"/>
        </w:rPr>
        <w:t>Medusa’s direct gaze is an aspect of her monstrous appearance.</w:t>
      </w:r>
      <w:r>
        <w:rPr>
          <w:b/>
          <w:bCs/>
          <w:i/>
          <w:iCs/>
          <w:lang w:eastAsia="en-GB"/>
        </w:rPr>
        <w:t xml:space="preserve"> </w:t>
      </w:r>
      <w:r>
        <w:rPr>
          <w:lang w:eastAsia="en-GB"/>
        </w:rPr>
        <w:t>When Ovid describes Perseus’ encounter with Atlas, he details how he uses her power. “he held out from his left hand the ghastly Medusa-head. Straight away Atlas became a mountain”</w:t>
      </w:r>
      <w:r>
        <w:rPr>
          <w:rStyle w:val="FootnoteReference"/>
          <w:lang w:eastAsia="en-GB"/>
        </w:rPr>
        <w:footnoteReference w:id="27"/>
      </w:r>
      <w:r>
        <w:rPr>
          <w:lang w:eastAsia="en-GB"/>
        </w:rPr>
        <w:t xml:space="preserve">. The mechanism by which she turns people into stone is made clear. </w:t>
      </w:r>
      <w:r w:rsidRPr="00ED438B">
        <w:rPr>
          <w:lang w:eastAsia="en-GB"/>
        </w:rPr>
        <w:t>Typically, women almost never faced directly forward in contemporary artwork, instead having their heads tilted to the side or lowered to show deference towards their male counterparts</w:t>
      </w:r>
      <w:r>
        <w:rPr>
          <w:lang w:eastAsia="en-GB"/>
        </w:rPr>
        <w:t>.</w:t>
      </w:r>
      <w:r w:rsidRPr="00ED438B">
        <w:rPr>
          <w:lang w:eastAsia="en-GB"/>
        </w:rPr>
        <w:t xml:space="preserve"> This rule is not strictly true for goddesses however, but that is because divinity takes precedence over gender in ancient beliefs, even if the pantheon itself is patriarchal in its </w:t>
      </w:r>
      <w:r w:rsidRPr="00ED438B">
        <w:rPr>
          <w:lang w:eastAsia="en-GB"/>
        </w:rPr>
        <w:lastRenderedPageBreak/>
        <w:t xml:space="preserve">hierarchy. Much like the inequality between men and women, the gods were above reproach when it came to the reproof of a goddess, which in turn could explain why it was Medusa who Minerva chose to punish rather than </w:t>
      </w:r>
      <w:r>
        <w:rPr>
          <w:lang w:eastAsia="en-GB"/>
        </w:rPr>
        <w:t>Neptune.</w:t>
      </w:r>
      <w:r w:rsidRPr="00ED438B">
        <w:rPr>
          <w:lang w:eastAsia="en-GB"/>
        </w:rPr>
        <w:t xml:space="preserve"> In ancient times, temples were often thought quite literally as the house of the gods they were dedicated to, and as such while Medusa was defiled within the temple of Minerva, so too was Minerva’s home defiled</w:t>
      </w:r>
      <w:r w:rsidR="00B00D25">
        <w:rPr>
          <w:lang w:eastAsia="en-GB"/>
        </w:rPr>
        <w:t>.</w:t>
      </w:r>
      <w:r w:rsidRPr="00ED438B">
        <w:rPr>
          <w:lang w:eastAsia="en-GB"/>
        </w:rPr>
        <w:t xml:space="preserve"> Such a pollution enraged the goddess of wisdom and battle strategy and so</w:t>
      </w:r>
      <w:r>
        <w:rPr>
          <w:lang w:eastAsia="en-GB"/>
        </w:rPr>
        <w:t>,</w:t>
      </w:r>
      <w:r w:rsidRPr="00ED438B">
        <w:rPr>
          <w:lang w:eastAsia="en-GB"/>
        </w:rPr>
        <w:t xml:space="preserve"> demanding retribution</w:t>
      </w:r>
      <w:r>
        <w:rPr>
          <w:lang w:eastAsia="en-GB"/>
        </w:rPr>
        <w:t>,</w:t>
      </w:r>
      <w:r w:rsidRPr="00ED438B">
        <w:rPr>
          <w:lang w:eastAsia="en-GB"/>
        </w:rPr>
        <w:t xml:space="preserve"> she turned her gaze upon the victim as she could not go against </w:t>
      </w:r>
      <w:r>
        <w:rPr>
          <w:lang w:eastAsia="en-GB"/>
        </w:rPr>
        <w:t>Neptune</w:t>
      </w:r>
      <w:r>
        <w:rPr>
          <w:rStyle w:val="FootnoteReference"/>
          <w:lang w:eastAsia="en-GB"/>
        </w:rPr>
        <w:footnoteReference w:id="28"/>
      </w:r>
      <w:r>
        <w:rPr>
          <w:lang w:eastAsia="en-GB"/>
        </w:rPr>
        <w:t>.</w:t>
      </w:r>
      <w:r w:rsidRPr="00ED438B">
        <w:rPr>
          <w:lang w:eastAsia="en-GB"/>
        </w:rPr>
        <w:t xml:space="preserve"> And so now Medusa is shown to be staring straight out, eyes wide to stare at the viewer, disregarding the hierarchy where Minerva did not in her furious judgement</w:t>
      </w:r>
      <w:r>
        <w:rPr>
          <w:lang w:eastAsia="en-GB"/>
        </w:rPr>
        <w:t>.</w:t>
      </w:r>
    </w:p>
    <w:p w14:paraId="05B326C3" w14:textId="7551226A" w:rsidR="00CA1379" w:rsidRPr="00727AF8" w:rsidRDefault="00CA1379" w:rsidP="00B00D25">
      <w:pPr>
        <w:spacing w:line="360" w:lineRule="auto"/>
        <w:rPr>
          <w:lang w:eastAsia="en-GB"/>
        </w:rPr>
      </w:pPr>
      <w:r w:rsidRPr="00F171A9">
        <w:rPr>
          <w:lang w:eastAsia="en-GB"/>
        </w:rPr>
        <w:t>T</w:t>
      </w:r>
      <w:r w:rsidR="00F171A9">
        <w:rPr>
          <w:lang w:eastAsia="en-GB"/>
        </w:rPr>
        <w:t>he</w:t>
      </w:r>
      <w:r w:rsidRPr="00F171A9">
        <w:rPr>
          <w:lang w:eastAsia="en-GB"/>
        </w:rPr>
        <w:t xml:space="preserve"> portrayal of being dangerous is often seen with Greco-Roman monsters.</w:t>
      </w:r>
      <w:r>
        <w:rPr>
          <w:i/>
          <w:iCs/>
          <w:lang w:eastAsia="en-GB"/>
        </w:rPr>
        <w:t xml:space="preserve"> </w:t>
      </w:r>
      <w:r>
        <w:rPr>
          <w:lang w:eastAsia="en-GB"/>
        </w:rPr>
        <w:t xml:space="preserve">Within Homer’s </w:t>
      </w:r>
      <w:r>
        <w:rPr>
          <w:i/>
          <w:iCs/>
          <w:lang w:eastAsia="en-GB"/>
        </w:rPr>
        <w:t xml:space="preserve">Odyssey </w:t>
      </w:r>
      <w:r>
        <w:rPr>
          <w:lang w:eastAsia="en-GB"/>
        </w:rPr>
        <w:t xml:space="preserve">alone there are plenty of examples of this throughout, each creature shown heralding calamity. </w:t>
      </w:r>
      <w:r w:rsidR="00F171A9">
        <w:rPr>
          <w:lang w:eastAsia="en-GB"/>
        </w:rPr>
        <w:t xml:space="preserve">Homer describes </w:t>
      </w:r>
      <w:r w:rsidRPr="00CD2676">
        <w:rPr>
          <w:lang w:eastAsia="en-GB"/>
        </w:rPr>
        <w:t>“godlike Polyphemus, whose might is greatest among all the Cyclopes”</w:t>
      </w:r>
      <w:r>
        <w:rPr>
          <w:rStyle w:val="FootnoteReference"/>
          <w:lang w:eastAsia="en-GB"/>
        </w:rPr>
        <w:footnoteReference w:id="29"/>
      </w:r>
      <w:r>
        <w:rPr>
          <w:lang w:eastAsia="en-GB"/>
        </w:rPr>
        <w:t xml:space="preserve"> </w:t>
      </w:r>
      <w:r w:rsidR="00F171A9">
        <w:rPr>
          <w:lang w:eastAsia="en-GB"/>
        </w:rPr>
        <w:t xml:space="preserve">as </w:t>
      </w:r>
      <w:r>
        <w:rPr>
          <w:lang w:eastAsia="en-GB"/>
        </w:rPr>
        <w:t>an eater of man</w:t>
      </w:r>
      <w:r>
        <w:rPr>
          <w:rStyle w:val="FootnoteReference"/>
          <w:lang w:eastAsia="en-GB"/>
        </w:rPr>
        <w:footnoteReference w:id="30"/>
      </w:r>
      <w:r>
        <w:rPr>
          <w:lang w:eastAsia="en-GB"/>
        </w:rPr>
        <w:t xml:space="preserve">. The </w:t>
      </w:r>
      <w:r w:rsidRPr="00C324BC">
        <w:rPr>
          <w:lang w:eastAsia="en-GB"/>
        </w:rPr>
        <w:t>“dread goddess”</w:t>
      </w:r>
      <w:r>
        <w:rPr>
          <w:rStyle w:val="FootnoteReference"/>
          <w:lang w:eastAsia="en-GB"/>
        </w:rPr>
        <w:footnoteReference w:id="31"/>
      </w:r>
      <w:r>
        <w:rPr>
          <w:lang w:eastAsia="en-GB"/>
        </w:rPr>
        <w:t xml:space="preserve"> </w:t>
      </w:r>
      <w:r w:rsidRPr="00C324BC">
        <w:rPr>
          <w:lang w:eastAsia="en-GB"/>
        </w:rPr>
        <w:t xml:space="preserve">Circe </w:t>
      </w:r>
      <w:r>
        <w:rPr>
          <w:lang w:eastAsia="en-GB"/>
        </w:rPr>
        <w:t>was a</w:t>
      </w:r>
      <w:r w:rsidRPr="00C324BC">
        <w:rPr>
          <w:lang w:eastAsia="en-GB"/>
        </w:rPr>
        <w:t xml:space="preserve"> witch who turns Odysseus’ men into </w:t>
      </w:r>
      <w:r>
        <w:rPr>
          <w:lang w:eastAsia="en-GB"/>
        </w:rPr>
        <w:t>swine</w:t>
      </w:r>
      <w:r>
        <w:rPr>
          <w:rStyle w:val="FootnoteReference"/>
          <w:lang w:eastAsia="en-GB"/>
        </w:rPr>
        <w:footnoteReference w:id="32"/>
      </w:r>
      <w:r>
        <w:rPr>
          <w:lang w:eastAsia="en-GB"/>
        </w:rPr>
        <w:t xml:space="preserve">. </w:t>
      </w:r>
      <w:proofErr w:type="gramStart"/>
      <w:r>
        <w:rPr>
          <w:lang w:eastAsia="en-GB"/>
        </w:rPr>
        <w:t>Scylla,</w:t>
      </w:r>
      <w:proofErr w:type="gramEnd"/>
      <w:r>
        <w:rPr>
          <w:lang w:eastAsia="en-GB"/>
        </w:rPr>
        <w:t xml:space="preserve"> </w:t>
      </w:r>
      <w:r w:rsidR="00F171A9">
        <w:rPr>
          <w:lang w:eastAsia="en-GB"/>
        </w:rPr>
        <w:t xml:space="preserve">is </w:t>
      </w:r>
      <w:r>
        <w:rPr>
          <w:lang w:eastAsia="en-GB"/>
        </w:rPr>
        <w:t>probably the most physically obvious “evil monster”</w:t>
      </w:r>
      <w:r w:rsidRPr="009D321A">
        <w:rPr>
          <w:rStyle w:val="FootnoteReference"/>
          <w:lang w:eastAsia="en-GB"/>
        </w:rPr>
        <w:t xml:space="preserve"> </w:t>
      </w:r>
      <w:r>
        <w:rPr>
          <w:rStyle w:val="FootnoteReference"/>
          <w:lang w:eastAsia="en-GB"/>
        </w:rPr>
        <w:footnoteReference w:id="33"/>
      </w:r>
      <w:r>
        <w:rPr>
          <w:lang w:eastAsia="en-GB"/>
        </w:rPr>
        <w:t xml:space="preserve"> with her </w:t>
      </w:r>
      <w:r w:rsidR="00F171A9">
        <w:rPr>
          <w:lang w:eastAsia="en-GB"/>
        </w:rPr>
        <w:t>twelve</w:t>
      </w:r>
      <w:r>
        <w:rPr>
          <w:lang w:eastAsia="en-GB"/>
        </w:rPr>
        <w:t xml:space="preserve"> mishappen feet and six heads each containing three rows of teeth, which she uses to snatch men from their ships</w:t>
      </w:r>
      <w:r>
        <w:rPr>
          <w:rStyle w:val="FootnoteReference"/>
          <w:lang w:eastAsia="en-GB"/>
        </w:rPr>
        <w:footnoteReference w:id="34"/>
      </w:r>
      <w:r>
        <w:rPr>
          <w:lang w:eastAsia="en-GB"/>
        </w:rPr>
        <w:t xml:space="preserve">. Another type of sea monster are the </w:t>
      </w:r>
      <w:r w:rsidRPr="00635860">
        <w:rPr>
          <w:lang w:eastAsia="en-GB"/>
        </w:rPr>
        <w:t>Sirens</w:t>
      </w:r>
      <w:r>
        <w:rPr>
          <w:lang w:eastAsia="en-GB"/>
        </w:rPr>
        <w:t>; sister sea nymphs who bewitched men with their songs, seducing them from their families to perish at their sides</w:t>
      </w:r>
      <w:r>
        <w:rPr>
          <w:rStyle w:val="FootnoteReference"/>
          <w:lang w:eastAsia="en-GB"/>
        </w:rPr>
        <w:footnoteReference w:id="35"/>
      </w:r>
      <w:r>
        <w:rPr>
          <w:lang w:eastAsia="en-GB"/>
        </w:rPr>
        <w:t>.</w:t>
      </w:r>
      <w:r w:rsidR="00F171A9">
        <w:rPr>
          <w:lang w:eastAsia="en-GB"/>
        </w:rPr>
        <w:t xml:space="preserve"> Homer shows this in the line </w:t>
      </w:r>
      <w:r>
        <w:rPr>
          <w:lang w:eastAsia="en-GB"/>
        </w:rPr>
        <w:t>“men’s corpses lie heaped up all around them”</w:t>
      </w:r>
      <w:r>
        <w:rPr>
          <w:rStyle w:val="FootnoteReference"/>
          <w:lang w:eastAsia="en-GB"/>
        </w:rPr>
        <w:footnoteReference w:id="36"/>
      </w:r>
      <w:r>
        <w:rPr>
          <w:lang w:eastAsia="en-GB"/>
        </w:rPr>
        <w:t>. All t</w:t>
      </w:r>
      <w:r w:rsidRPr="00727AF8">
        <w:rPr>
          <w:lang w:eastAsia="en-GB"/>
        </w:rPr>
        <w:t xml:space="preserve">hese monsters within the Greco-Roman myths playing the role of a challenge to overcome or an antagonist to defeat. </w:t>
      </w:r>
      <w:r w:rsidR="00F171A9">
        <w:rPr>
          <w:lang w:eastAsia="en-GB"/>
        </w:rPr>
        <w:t>The monsters are an essential ingredient of the hero narrative which serves to promote the bravery and skill of the hero.</w:t>
      </w:r>
    </w:p>
    <w:p w14:paraId="0CEF55DD" w14:textId="17684549" w:rsidR="007D1FD7" w:rsidRPr="00E07EB4" w:rsidRDefault="007D1FD7" w:rsidP="00B00D25">
      <w:pPr>
        <w:spacing w:line="360" w:lineRule="auto"/>
        <w:rPr>
          <w:lang w:val="en-US"/>
        </w:rPr>
      </w:pPr>
      <w:r w:rsidRPr="00F171A9">
        <w:rPr>
          <w:lang w:eastAsia="en-GB"/>
        </w:rPr>
        <w:t>Monsters in Greco-Roman myth are often characterised as outsiders and outcasts of society.</w:t>
      </w:r>
      <w:r w:rsidRPr="00ED438B">
        <w:rPr>
          <w:i/>
          <w:iCs/>
          <w:lang w:eastAsia="en-GB"/>
        </w:rPr>
        <w:t xml:space="preserve"> </w:t>
      </w:r>
      <w:r w:rsidRPr="00ED438B">
        <w:rPr>
          <w:lang w:eastAsia="en-GB"/>
        </w:rPr>
        <w:t>Poly</w:t>
      </w:r>
      <w:r>
        <w:rPr>
          <w:lang w:eastAsia="en-GB"/>
        </w:rPr>
        <w:t>p</w:t>
      </w:r>
      <w:r w:rsidRPr="00ED438B">
        <w:rPr>
          <w:lang w:eastAsia="en-GB"/>
        </w:rPr>
        <w:t>hemus</w:t>
      </w:r>
      <w:r>
        <w:rPr>
          <w:lang w:eastAsia="en-GB"/>
        </w:rPr>
        <w:t>, with his singular large eye and giant-like stature, resided alone in a cavern and as such Odysseus wonders if he is ignorant of the traditions between host and guests</w:t>
      </w:r>
      <w:r>
        <w:rPr>
          <w:rStyle w:val="FootnoteReference"/>
          <w:lang w:eastAsia="en-GB"/>
        </w:rPr>
        <w:footnoteReference w:id="37"/>
      </w:r>
      <w:r>
        <w:rPr>
          <w:lang w:eastAsia="en-GB"/>
        </w:rPr>
        <w:t>.</w:t>
      </w:r>
      <w:r w:rsidRPr="00ED438B">
        <w:rPr>
          <w:lang w:eastAsia="en-GB"/>
        </w:rPr>
        <w:t xml:space="preserve"> </w:t>
      </w:r>
      <w:r>
        <w:rPr>
          <w:lang w:eastAsia="en-GB"/>
        </w:rPr>
        <w:t>This physical segregation of the m</w:t>
      </w:r>
      <w:r w:rsidRPr="00ED438B">
        <w:rPr>
          <w:lang w:eastAsia="en-GB"/>
        </w:rPr>
        <w:t xml:space="preserve">onsters </w:t>
      </w:r>
      <w:r>
        <w:rPr>
          <w:lang w:eastAsia="en-GB"/>
        </w:rPr>
        <w:t xml:space="preserve">is to further highlight that they </w:t>
      </w:r>
      <w:r w:rsidRPr="00ED438B">
        <w:rPr>
          <w:lang w:eastAsia="en-GB"/>
        </w:rPr>
        <w:t>are outcasts</w:t>
      </w:r>
      <w:r w:rsidR="001233CC">
        <w:rPr>
          <w:lang w:eastAsia="en-GB"/>
        </w:rPr>
        <w:t xml:space="preserve"> and uncivilised in their behaviour</w:t>
      </w:r>
      <w:r w:rsidRPr="00ED438B">
        <w:rPr>
          <w:lang w:eastAsia="en-GB"/>
        </w:rPr>
        <w:t>. Comparable as Medusa herself is an outcast. Hesiod’s Theogony describes the fringes of the world where monsters lived in chaos</w:t>
      </w:r>
      <w:r>
        <w:rPr>
          <w:rStyle w:val="FootnoteReference"/>
          <w:lang w:eastAsia="en-GB"/>
        </w:rPr>
        <w:footnoteReference w:id="38"/>
      </w:r>
      <w:r>
        <w:rPr>
          <w:lang w:eastAsia="en-GB"/>
        </w:rPr>
        <w:t xml:space="preserve">. The description of the place where Medusa lives </w:t>
      </w:r>
      <w:r>
        <w:rPr>
          <w:lang w:eastAsia="en-GB"/>
        </w:rPr>
        <w:lastRenderedPageBreak/>
        <w:t>emphasises the remoteness and wildness of the location “far, remote, through rocky pathless crags, over wild hills that bristled with great woods, I thence arrived to where the Gorgon dwelt.” It is also often said that the gorgons themselves dwelled at the edge of the world</w:t>
      </w:r>
      <w:r>
        <w:rPr>
          <w:rStyle w:val="FootnoteReference"/>
          <w:lang w:eastAsia="en-GB"/>
        </w:rPr>
        <w:footnoteReference w:id="39"/>
      </w:r>
      <w:r>
        <w:rPr>
          <w:lang w:eastAsia="en-GB"/>
        </w:rPr>
        <w:t>.</w:t>
      </w:r>
      <w:r>
        <w:rPr>
          <w:b/>
          <w:bCs/>
          <w:lang w:eastAsia="en-GB"/>
        </w:rPr>
        <w:t xml:space="preserve"> </w:t>
      </w:r>
      <w:r w:rsidRPr="00ED438B">
        <w:rPr>
          <w:lang w:eastAsia="en-GB"/>
        </w:rPr>
        <w:t>Through these oddities the ‘monsters’ are meant to stand apart from society as distinct and ‘othered</w:t>
      </w:r>
      <w:r>
        <w:rPr>
          <w:lang w:eastAsia="en-GB"/>
        </w:rPr>
        <w:t>’.</w:t>
      </w:r>
    </w:p>
    <w:p w14:paraId="123B9DFB" w14:textId="77777777" w:rsidR="00644ED2" w:rsidRPr="00ED438B" w:rsidRDefault="00644ED2" w:rsidP="00B00D25">
      <w:pPr>
        <w:spacing w:line="360" w:lineRule="auto"/>
        <w:rPr>
          <w:lang w:eastAsia="en-GB"/>
        </w:rPr>
      </w:pPr>
    </w:p>
    <w:p w14:paraId="27E63229" w14:textId="26E8F4C9" w:rsidR="00756A20" w:rsidRPr="00105D6D" w:rsidRDefault="00756A20" w:rsidP="00B00D25">
      <w:pPr>
        <w:spacing w:line="360" w:lineRule="auto"/>
        <w:rPr>
          <w:b/>
          <w:bCs/>
          <w:i/>
          <w:iCs/>
          <w:lang w:eastAsia="en-GB"/>
        </w:rPr>
      </w:pPr>
      <w:r w:rsidRPr="00105D6D">
        <w:rPr>
          <w:b/>
          <w:bCs/>
          <w:lang w:eastAsia="en-GB"/>
        </w:rPr>
        <w:t xml:space="preserve">Section Two: Ovid’s Medusa within </w:t>
      </w:r>
      <w:r w:rsidRPr="00105D6D">
        <w:rPr>
          <w:b/>
          <w:bCs/>
          <w:i/>
          <w:iCs/>
          <w:lang w:eastAsia="en-GB"/>
        </w:rPr>
        <w:t>Metamorphoses</w:t>
      </w:r>
    </w:p>
    <w:p w14:paraId="52039A4F" w14:textId="6C1256C6" w:rsidR="00495627" w:rsidRPr="00495627" w:rsidRDefault="00495627" w:rsidP="00B00D25">
      <w:pPr>
        <w:spacing w:line="360" w:lineRule="auto"/>
        <w:rPr>
          <w:lang w:eastAsia="en-GB"/>
        </w:rPr>
      </w:pPr>
      <w:r>
        <w:rPr>
          <w:lang w:eastAsia="en-GB"/>
        </w:rPr>
        <w:t xml:space="preserve">Ovid was a Roman writing for a Roman </w:t>
      </w:r>
      <w:r w:rsidR="005D082B">
        <w:rPr>
          <w:lang w:eastAsia="en-GB"/>
        </w:rPr>
        <w:t>audience,</w:t>
      </w:r>
      <w:r>
        <w:rPr>
          <w:lang w:eastAsia="en-GB"/>
        </w:rPr>
        <w:t xml:space="preserve"> but his version was based on the ancient Greek myth that would have been passed down through the oral tradition of </w:t>
      </w:r>
      <w:r w:rsidR="005D082B">
        <w:rPr>
          <w:lang w:eastAsia="en-GB"/>
        </w:rPr>
        <w:t>storytelling</w:t>
      </w:r>
      <w:r>
        <w:rPr>
          <w:lang w:eastAsia="en-GB"/>
        </w:rPr>
        <w:t xml:space="preserve"> and the artistic depictions. Within his </w:t>
      </w:r>
      <w:r>
        <w:rPr>
          <w:i/>
          <w:iCs/>
          <w:lang w:eastAsia="en-GB"/>
        </w:rPr>
        <w:t xml:space="preserve">Metamorphoses </w:t>
      </w:r>
      <w:r>
        <w:rPr>
          <w:lang w:eastAsia="en-GB"/>
        </w:rPr>
        <w:t>he provides a little more of a background to Medusa and her sisters but is really detailing a hero narrative of Perseus</w:t>
      </w:r>
      <w:r w:rsidR="0099383E">
        <w:rPr>
          <w:rStyle w:val="FootnoteReference"/>
          <w:lang w:eastAsia="en-GB"/>
        </w:rPr>
        <w:footnoteReference w:id="40"/>
      </w:r>
      <w:r>
        <w:rPr>
          <w:lang w:eastAsia="en-GB"/>
        </w:rPr>
        <w:t>.</w:t>
      </w:r>
    </w:p>
    <w:p w14:paraId="451F28BC" w14:textId="12F3604D" w:rsidR="00756A20" w:rsidRPr="00ED438B" w:rsidRDefault="00756A20" w:rsidP="00B00D25">
      <w:pPr>
        <w:spacing w:line="360" w:lineRule="auto"/>
        <w:rPr>
          <w:b/>
          <w:bCs/>
          <w:lang w:eastAsia="en-GB"/>
        </w:rPr>
      </w:pPr>
      <w:r w:rsidRPr="00105D6D">
        <w:rPr>
          <w:lang w:eastAsia="en-GB"/>
        </w:rPr>
        <w:t>Within Ovid’s Metamorphoses Medusa is not the central character of the story</w:t>
      </w:r>
      <w:r w:rsidRPr="00ED438B">
        <w:rPr>
          <w:i/>
          <w:iCs/>
          <w:lang w:eastAsia="en-GB"/>
        </w:rPr>
        <w:t xml:space="preserve">. </w:t>
      </w:r>
      <w:r w:rsidRPr="00ED438B">
        <w:rPr>
          <w:lang w:eastAsia="en-GB"/>
        </w:rPr>
        <w:t xml:space="preserve">Ovid, whilst he does offer more information on the transmutation of Medusa, he chose to do so in a seemingly inconsequential conversation Perseus has when recounting his heroics. This demonstrates to the readers that Ovid gives little relevance to who Medusa was before she met her pitiful fate. </w:t>
      </w:r>
      <w:r w:rsidRPr="00495627">
        <w:rPr>
          <w:lang w:eastAsia="en-GB"/>
        </w:rPr>
        <w:t>We first encounter medusa in </w:t>
      </w:r>
      <w:r w:rsidR="005B68BE" w:rsidRPr="00495627">
        <w:rPr>
          <w:lang w:eastAsia="en-GB"/>
        </w:rPr>
        <w:t xml:space="preserve">book four of </w:t>
      </w:r>
      <w:r w:rsidR="005B68BE" w:rsidRPr="00495627">
        <w:rPr>
          <w:i/>
          <w:iCs/>
          <w:lang w:eastAsia="en-GB"/>
        </w:rPr>
        <w:t>Metamorphoses</w:t>
      </w:r>
      <w:r w:rsidR="00D3574E" w:rsidRPr="00495627">
        <w:rPr>
          <w:lang w:eastAsia="en-GB"/>
        </w:rPr>
        <w:t xml:space="preserve"> at which time she has already been bereft of her head</w:t>
      </w:r>
      <w:r w:rsidR="00043D38">
        <w:rPr>
          <w:rStyle w:val="FootnoteReference"/>
          <w:lang w:eastAsia="en-GB"/>
        </w:rPr>
        <w:footnoteReference w:id="41"/>
      </w:r>
      <w:r w:rsidR="00043D38">
        <w:rPr>
          <w:lang w:eastAsia="en-GB"/>
        </w:rPr>
        <w:t>.</w:t>
      </w:r>
    </w:p>
    <w:p w14:paraId="26EB3052" w14:textId="77777777" w:rsidR="002446E4" w:rsidRDefault="002446E4" w:rsidP="00B00D25">
      <w:pPr>
        <w:spacing w:line="360" w:lineRule="auto"/>
        <w:rPr>
          <w:lang w:eastAsia="en-GB"/>
        </w:rPr>
      </w:pPr>
      <w:r w:rsidRPr="00105D6D">
        <w:rPr>
          <w:lang w:eastAsia="en-GB"/>
        </w:rPr>
        <w:t>It is Medusa’s direct gaze that makes her so dangerous in this story</w:t>
      </w:r>
      <w:r w:rsidRPr="00ED438B">
        <w:rPr>
          <w:i/>
          <w:iCs/>
          <w:lang w:eastAsia="en-GB"/>
        </w:rPr>
        <w:t xml:space="preserve">. </w:t>
      </w:r>
      <w:r w:rsidRPr="00ED438B">
        <w:rPr>
          <w:lang w:eastAsia="en-GB"/>
        </w:rPr>
        <w:t> She is described as dangerous with her stony gaze but throughout the different interpretations of her stories it appears to be only men that have been met with this cursed fate</w:t>
      </w:r>
      <w:r>
        <w:rPr>
          <w:lang w:eastAsia="en-GB"/>
        </w:rPr>
        <w:t>. “On all sides of the fields and along the ways he saw the forms of men and beasts changed into stone by one look at Medusa’s face.</w:t>
      </w:r>
      <w:r>
        <w:rPr>
          <w:rStyle w:val="FootnoteReference"/>
          <w:lang w:eastAsia="en-GB"/>
        </w:rPr>
        <w:footnoteReference w:id="42"/>
      </w:r>
      <w:r>
        <w:rPr>
          <w:lang w:eastAsia="en-GB"/>
        </w:rPr>
        <w:t xml:space="preserve">” </w:t>
      </w:r>
      <w:r w:rsidRPr="00ED438B">
        <w:rPr>
          <w:lang w:eastAsia="en-GB"/>
        </w:rPr>
        <w:t>This aspect of the tale is very important to consider when it concerns a society which veiled its women. </w:t>
      </w:r>
    </w:p>
    <w:p w14:paraId="2DA8342F" w14:textId="1E59AF68" w:rsidR="00756A20" w:rsidRPr="00ED438B" w:rsidRDefault="00756A20" w:rsidP="00B00D25">
      <w:pPr>
        <w:spacing w:line="360" w:lineRule="auto"/>
        <w:rPr>
          <w:lang w:eastAsia="en-GB"/>
        </w:rPr>
      </w:pPr>
      <w:r w:rsidRPr="00105D6D">
        <w:rPr>
          <w:lang w:eastAsia="en-GB"/>
        </w:rPr>
        <w:t>Greco-Roman society valued submissiveness in its female citizens</w:t>
      </w:r>
      <w:r w:rsidRPr="00ED438B">
        <w:rPr>
          <w:i/>
          <w:iCs/>
          <w:lang w:eastAsia="en-GB"/>
        </w:rPr>
        <w:t xml:space="preserve">. </w:t>
      </w:r>
      <w:r w:rsidRPr="00ED438B">
        <w:rPr>
          <w:lang w:eastAsia="en-GB"/>
        </w:rPr>
        <w:t xml:space="preserve">Traditions such as veiling could act as evidence as to why a direct gaze from a female would </w:t>
      </w:r>
      <w:proofErr w:type="gramStart"/>
      <w:r w:rsidRPr="00ED438B">
        <w:rPr>
          <w:lang w:eastAsia="en-GB"/>
        </w:rPr>
        <w:t>be seen as</w:t>
      </w:r>
      <w:proofErr w:type="gramEnd"/>
      <w:r w:rsidRPr="00ED438B">
        <w:rPr>
          <w:lang w:eastAsia="en-GB"/>
        </w:rPr>
        <w:t xml:space="preserve"> shocking. During and since the archaic period at least</w:t>
      </w:r>
      <w:r w:rsidR="00105D6D">
        <w:rPr>
          <w:lang w:eastAsia="en-GB"/>
        </w:rPr>
        <w:t>,</w:t>
      </w:r>
      <w:r w:rsidRPr="00ED438B">
        <w:rPr>
          <w:lang w:eastAsia="en-GB"/>
        </w:rPr>
        <w:t xml:space="preserve"> it was expected of women in both the Greco-Roman and Mesopotamian regions</w:t>
      </w:r>
      <w:r w:rsidR="00D81A41" w:rsidRPr="00ED438B">
        <w:rPr>
          <w:rStyle w:val="FootnoteReference"/>
          <w:lang w:eastAsia="en-GB"/>
        </w:rPr>
        <w:footnoteReference w:id="43"/>
      </w:r>
      <w:r w:rsidRPr="00ED438B">
        <w:rPr>
          <w:lang w:eastAsia="en-GB"/>
        </w:rPr>
        <w:t xml:space="preserve"> to wear a covering around their head </w:t>
      </w:r>
      <w:proofErr w:type="gramStart"/>
      <w:r w:rsidRPr="00ED438B">
        <w:rPr>
          <w:lang w:eastAsia="en-GB"/>
        </w:rPr>
        <w:t>in order to</w:t>
      </w:r>
      <w:proofErr w:type="gramEnd"/>
      <w:r w:rsidRPr="00ED438B">
        <w:rPr>
          <w:lang w:eastAsia="en-GB"/>
        </w:rPr>
        <w:t xml:space="preserve"> hide the majority of </w:t>
      </w:r>
      <w:r w:rsidR="00495627">
        <w:rPr>
          <w:lang w:eastAsia="en-GB"/>
        </w:rPr>
        <w:t>t</w:t>
      </w:r>
      <w:r w:rsidRPr="00ED438B">
        <w:rPr>
          <w:lang w:eastAsia="en-GB"/>
        </w:rPr>
        <w:t>he</w:t>
      </w:r>
      <w:r w:rsidR="00495627">
        <w:rPr>
          <w:lang w:eastAsia="en-GB"/>
        </w:rPr>
        <w:t>i</w:t>
      </w:r>
      <w:r w:rsidRPr="00ED438B">
        <w:rPr>
          <w:lang w:eastAsia="en-GB"/>
        </w:rPr>
        <w:t>r face</w:t>
      </w:r>
      <w:r w:rsidR="00D81A41" w:rsidRPr="00ED438B">
        <w:rPr>
          <w:rStyle w:val="FootnoteReference"/>
          <w:lang w:eastAsia="en-GB"/>
        </w:rPr>
        <w:footnoteReference w:id="44"/>
      </w:r>
      <w:r w:rsidRPr="00ED438B">
        <w:rPr>
          <w:lang w:eastAsia="en-GB"/>
        </w:rPr>
        <w:t>. Llewellyn-Jones</w:t>
      </w:r>
      <w:r w:rsidR="00495627">
        <w:rPr>
          <w:lang w:eastAsia="en-GB"/>
        </w:rPr>
        <w:t>,</w:t>
      </w:r>
      <w:r w:rsidRPr="00ED438B">
        <w:rPr>
          <w:lang w:eastAsia="en-GB"/>
        </w:rPr>
        <w:t xml:space="preserve"> whilst acknowledging the restrictions to women’s freedom that veiling posed</w:t>
      </w:r>
      <w:r w:rsidR="00495627">
        <w:rPr>
          <w:lang w:eastAsia="en-GB"/>
        </w:rPr>
        <w:t>,</w:t>
      </w:r>
      <w:r w:rsidRPr="00ED438B">
        <w:rPr>
          <w:lang w:eastAsia="en-GB"/>
        </w:rPr>
        <w:t xml:space="preserve"> also offers a positive way to understand this information stating that “whilst it was desirable for the </w:t>
      </w:r>
      <w:r w:rsidRPr="00ED438B">
        <w:rPr>
          <w:lang w:eastAsia="en-GB"/>
        </w:rPr>
        <w:lastRenderedPageBreak/>
        <w:t>women of ancient Greece to remain separated from male society, when they were allowed out of their houses, their use of the veil enabled them to operate with some autonomy.”</w:t>
      </w:r>
      <w:r w:rsidR="00D81A41" w:rsidRPr="00ED438B">
        <w:rPr>
          <w:rStyle w:val="FootnoteReference"/>
          <w:lang w:eastAsia="en-GB"/>
        </w:rPr>
        <w:footnoteReference w:id="45"/>
      </w:r>
      <w:r w:rsidRPr="00ED438B">
        <w:rPr>
          <w:lang w:eastAsia="en-GB"/>
        </w:rPr>
        <w:t>.</w:t>
      </w:r>
      <w:r w:rsidR="00495627">
        <w:rPr>
          <w:lang w:eastAsia="en-GB"/>
        </w:rPr>
        <w:t xml:space="preserve"> Where veiling was expected custom, a woman who looked directly at a man such as Medusa would be considered challenging and immodest. </w:t>
      </w:r>
      <w:r w:rsidRPr="00ED438B">
        <w:rPr>
          <w:lang w:eastAsia="en-GB"/>
        </w:rPr>
        <w:t xml:space="preserve">Another attribute </w:t>
      </w:r>
      <w:r w:rsidR="005B6875">
        <w:rPr>
          <w:lang w:eastAsia="en-GB"/>
        </w:rPr>
        <w:t>valued</w:t>
      </w:r>
      <w:r w:rsidRPr="00ED438B">
        <w:rPr>
          <w:lang w:eastAsia="en-GB"/>
        </w:rPr>
        <w:t xml:space="preserve"> by the Greco-Romans was the purity of its women</w:t>
      </w:r>
      <w:r w:rsidR="00241D4E">
        <w:rPr>
          <w:rStyle w:val="FootnoteReference"/>
          <w:lang w:eastAsia="en-GB"/>
        </w:rPr>
        <w:footnoteReference w:id="46"/>
      </w:r>
      <w:r w:rsidR="00756463">
        <w:rPr>
          <w:lang w:eastAsia="en-GB"/>
        </w:rPr>
        <w:t xml:space="preserve">, </w:t>
      </w:r>
      <w:r w:rsidRPr="00ED438B">
        <w:rPr>
          <w:lang w:eastAsia="en-GB"/>
        </w:rPr>
        <w:t>so when the beautiful maiden Medusa was robbed of her virginity, she became unworthy and less in the eyes of her peers.</w:t>
      </w:r>
      <w:r w:rsidR="005B6875">
        <w:rPr>
          <w:lang w:eastAsia="en-GB"/>
        </w:rPr>
        <w:t xml:space="preserve"> This could be understood as a form of commodification of a female’s purity.</w:t>
      </w:r>
      <w:r w:rsidRPr="00ED438B">
        <w:rPr>
          <w:lang w:eastAsia="en-GB"/>
        </w:rPr>
        <w:t xml:space="preserve"> This idea that a woman’s worth it tied into her sexuality was ingrained within the very foundation of Greco-Roman society with them believing that a ‘respectable woman’s’ sexuality belonged solely to her husband, whilst those of disrepute were available to many</w:t>
      </w:r>
      <w:r w:rsidR="00D81A41" w:rsidRPr="00ED438B">
        <w:rPr>
          <w:rStyle w:val="FootnoteReference"/>
          <w:lang w:eastAsia="en-GB"/>
        </w:rPr>
        <w:footnoteReference w:id="47"/>
      </w:r>
      <w:r w:rsidRPr="00ED438B">
        <w:rPr>
          <w:lang w:eastAsia="en-GB"/>
        </w:rPr>
        <w:t>.</w:t>
      </w:r>
      <w:r w:rsidR="005B6875">
        <w:rPr>
          <w:lang w:eastAsia="en-GB"/>
        </w:rPr>
        <w:t xml:space="preserve"> </w:t>
      </w:r>
    </w:p>
    <w:p w14:paraId="68B0AA96" w14:textId="0B5C7BCA" w:rsidR="00B34746" w:rsidRPr="00ED438B" w:rsidRDefault="00B34746" w:rsidP="00B00D25">
      <w:pPr>
        <w:spacing w:line="360" w:lineRule="auto"/>
        <w:rPr>
          <w:lang w:eastAsia="en-GB"/>
        </w:rPr>
      </w:pPr>
      <w:r w:rsidRPr="00ED438B">
        <w:rPr>
          <w:lang w:eastAsia="en-GB"/>
        </w:rPr>
        <w:t xml:space="preserve">The difference between what was considered appropriate or acceptable feminine behaviour is demonstrated in the Medusa fable by the contrasting characters of Medusa herself and Andromeda in </w:t>
      </w:r>
      <w:r w:rsidRPr="00ED438B">
        <w:rPr>
          <w:i/>
          <w:iCs/>
          <w:lang w:eastAsia="en-GB"/>
        </w:rPr>
        <w:t>Metamorphos</w:t>
      </w:r>
      <w:r>
        <w:rPr>
          <w:i/>
          <w:iCs/>
          <w:lang w:eastAsia="en-GB"/>
        </w:rPr>
        <w:t>e</w:t>
      </w:r>
      <w:r w:rsidRPr="00ED438B">
        <w:rPr>
          <w:i/>
          <w:iCs/>
          <w:lang w:eastAsia="en-GB"/>
        </w:rPr>
        <w:t xml:space="preserve">s. </w:t>
      </w:r>
      <w:r w:rsidRPr="00ED438B">
        <w:rPr>
          <w:lang w:eastAsia="en-GB"/>
        </w:rPr>
        <w:t xml:space="preserve">Andromeda fully embodies the characteristics of a respectable woman when she ensnares the attention of the hero Perseus. </w:t>
      </w:r>
      <w:r w:rsidR="00105D6D">
        <w:rPr>
          <w:lang w:eastAsia="en-GB"/>
        </w:rPr>
        <w:t xml:space="preserve">When Perseus first sees her </w:t>
      </w:r>
      <w:r w:rsidRPr="00ED438B">
        <w:rPr>
          <w:lang w:eastAsia="en-GB"/>
        </w:rPr>
        <w:t>“</w:t>
      </w:r>
      <w:r>
        <w:rPr>
          <w:lang w:eastAsia="en-GB"/>
        </w:rPr>
        <w:t>save that her hair gently stirred in the breeze, and the warm tears were trickling down her cheeks, he would have thought her a marble statue</w:t>
      </w:r>
      <w:r w:rsidRPr="00ED438B">
        <w:rPr>
          <w:lang w:eastAsia="en-GB"/>
        </w:rPr>
        <w:t>”</w:t>
      </w:r>
      <w:r>
        <w:rPr>
          <w:rStyle w:val="FootnoteReference"/>
          <w:lang w:eastAsia="en-GB"/>
        </w:rPr>
        <w:footnoteReference w:id="48"/>
      </w:r>
      <w:r w:rsidRPr="00ED438B">
        <w:rPr>
          <w:lang w:eastAsia="en-GB"/>
        </w:rPr>
        <w:t xml:space="preserve">. The idea that being docile and statue-like are attractive qualities in Greco-Roman women is an interesting </w:t>
      </w:r>
      <w:r w:rsidR="00105D6D">
        <w:rPr>
          <w:lang w:eastAsia="en-GB"/>
        </w:rPr>
        <w:t>one</w:t>
      </w:r>
      <w:r w:rsidRPr="00ED438B">
        <w:rPr>
          <w:lang w:eastAsia="en-GB"/>
        </w:rPr>
        <w:t>, especially considering Medusa’s ability to turn men into statues. Forcing men to take on the entirely passive role which was usually imposed upon women</w:t>
      </w:r>
      <w:r>
        <w:rPr>
          <w:rStyle w:val="FootnoteReference"/>
          <w:lang w:eastAsia="en-GB"/>
        </w:rPr>
        <w:footnoteReference w:id="49"/>
      </w:r>
      <w:r>
        <w:rPr>
          <w:lang w:eastAsia="en-GB"/>
        </w:rPr>
        <w:t xml:space="preserve">. These ideas were </w:t>
      </w:r>
      <w:proofErr w:type="gramStart"/>
      <w:r>
        <w:rPr>
          <w:lang w:eastAsia="en-GB"/>
        </w:rPr>
        <w:t>looked into</w:t>
      </w:r>
      <w:proofErr w:type="gramEnd"/>
      <w:r>
        <w:rPr>
          <w:lang w:eastAsia="en-GB"/>
        </w:rPr>
        <w:t xml:space="preserve"> more in depth by Currie when she compares Ovid’s </w:t>
      </w:r>
      <w:r>
        <w:rPr>
          <w:i/>
          <w:iCs/>
          <w:lang w:eastAsia="en-GB"/>
        </w:rPr>
        <w:t xml:space="preserve">Metamorphoses </w:t>
      </w:r>
      <w:r>
        <w:rPr>
          <w:lang w:eastAsia="en-GB"/>
        </w:rPr>
        <w:t xml:space="preserve">to Goethe’s </w:t>
      </w:r>
      <w:r>
        <w:rPr>
          <w:i/>
          <w:iCs/>
          <w:lang w:eastAsia="en-GB"/>
        </w:rPr>
        <w:t>Faust</w:t>
      </w:r>
      <w:r>
        <w:rPr>
          <w:rStyle w:val="FootnoteReference"/>
          <w:i/>
          <w:iCs/>
          <w:lang w:eastAsia="en-GB"/>
        </w:rPr>
        <w:footnoteReference w:id="50"/>
      </w:r>
      <w:r>
        <w:rPr>
          <w:lang w:eastAsia="en-GB"/>
        </w:rPr>
        <w:t>. The propriety of looking a man in the eyes is once again demonstrated through Andromeda’s character “She was silent at first, for, being a maid, she did not dare address a man; she would have hidden her face modestly with her hands but that her hands were bound”</w:t>
      </w:r>
      <w:r>
        <w:rPr>
          <w:rStyle w:val="FootnoteReference"/>
          <w:lang w:eastAsia="en-GB"/>
        </w:rPr>
        <w:footnoteReference w:id="51"/>
      </w:r>
      <w:r>
        <w:rPr>
          <w:lang w:eastAsia="en-GB"/>
        </w:rPr>
        <w:t xml:space="preserve">. </w:t>
      </w:r>
      <w:r w:rsidRPr="00ED438B">
        <w:rPr>
          <w:lang w:eastAsia="en-GB"/>
        </w:rPr>
        <w:t>Keith is one of the many schola</w:t>
      </w:r>
      <w:r>
        <w:rPr>
          <w:lang w:eastAsia="en-GB"/>
        </w:rPr>
        <w:t>rs</w:t>
      </w:r>
      <w:r w:rsidRPr="00ED438B">
        <w:rPr>
          <w:lang w:eastAsia="en-GB"/>
        </w:rPr>
        <w:t xml:space="preserve"> that makes the link between Medusa’s gaze and female sexual power “</w:t>
      </w:r>
      <w:r>
        <w:rPr>
          <w:lang w:eastAsia="en-GB"/>
        </w:rPr>
        <w:t>we can see the Latin epic poets treating Medusa’s gaze as a powerful image of the desiring female and wrestling with the threat it poses to masculine projects</w:t>
      </w:r>
      <w:r w:rsidRPr="00ED438B">
        <w:rPr>
          <w:lang w:eastAsia="en-GB"/>
        </w:rPr>
        <w:t>”</w:t>
      </w:r>
      <w:r>
        <w:rPr>
          <w:rStyle w:val="FootnoteReference"/>
          <w:lang w:eastAsia="en-GB"/>
        </w:rPr>
        <w:footnoteReference w:id="52"/>
      </w:r>
      <w:r>
        <w:rPr>
          <w:lang w:eastAsia="en-GB"/>
        </w:rPr>
        <w:t>. Keith demonstrates how feminine power is decisively brought under masculine control by both Perseus and Ovid through their use of Medusa.</w:t>
      </w:r>
    </w:p>
    <w:p w14:paraId="0166B93B" w14:textId="77777777" w:rsidR="003B260F" w:rsidRDefault="00756A20" w:rsidP="00B00D25">
      <w:pPr>
        <w:spacing w:line="360" w:lineRule="auto"/>
        <w:rPr>
          <w:lang w:eastAsia="en-GB"/>
        </w:rPr>
      </w:pPr>
      <w:r w:rsidRPr="00105D6D">
        <w:rPr>
          <w:lang w:eastAsia="en-GB"/>
        </w:rPr>
        <w:t>Within Ovid’s portrayal of Medusa, female sexual power was dehumanised as its potency exists even after her demise, becoming a weapon for Perseus to manipulate</w:t>
      </w:r>
      <w:r w:rsidRPr="00727AF8">
        <w:rPr>
          <w:b/>
          <w:bCs/>
          <w:i/>
          <w:iCs/>
          <w:lang w:eastAsia="en-GB"/>
        </w:rPr>
        <w:t>.</w:t>
      </w:r>
      <w:r w:rsidRPr="00ED438B">
        <w:rPr>
          <w:i/>
          <w:iCs/>
          <w:lang w:eastAsia="en-GB"/>
        </w:rPr>
        <w:t xml:space="preserve"> </w:t>
      </w:r>
      <w:r w:rsidRPr="00ED438B">
        <w:rPr>
          <w:lang w:eastAsia="en-GB"/>
        </w:rPr>
        <w:t xml:space="preserve">The idea of a woman’s sexuality </w:t>
      </w:r>
      <w:r w:rsidRPr="00ED438B">
        <w:rPr>
          <w:lang w:eastAsia="en-GB"/>
        </w:rPr>
        <w:lastRenderedPageBreak/>
        <w:t xml:space="preserve">being used as a weapon was not unseen in Greek literature, with Aristophanes’ comedic play </w:t>
      </w:r>
      <w:r w:rsidRPr="00ED438B">
        <w:rPr>
          <w:i/>
          <w:iCs/>
          <w:lang w:eastAsia="en-GB"/>
        </w:rPr>
        <w:t xml:space="preserve">Lysistrata, </w:t>
      </w:r>
      <w:r w:rsidRPr="00ED438B">
        <w:rPr>
          <w:lang w:eastAsia="en-GB"/>
        </w:rPr>
        <w:t>exploring this very idea some four centuries prior</w:t>
      </w:r>
      <w:r w:rsidR="000D64C1">
        <w:rPr>
          <w:rStyle w:val="FootnoteReference"/>
          <w:lang w:eastAsia="en-GB"/>
        </w:rPr>
        <w:footnoteReference w:id="53"/>
      </w:r>
      <w:r w:rsidRPr="00ED438B">
        <w:rPr>
          <w:lang w:eastAsia="en-GB"/>
        </w:rPr>
        <w:t xml:space="preserve">. In this play, Greek women attempt to use their sexuality </w:t>
      </w:r>
      <w:proofErr w:type="gramStart"/>
      <w:r w:rsidRPr="00ED438B">
        <w:rPr>
          <w:lang w:eastAsia="en-GB"/>
        </w:rPr>
        <w:t>in order to</w:t>
      </w:r>
      <w:proofErr w:type="gramEnd"/>
      <w:r w:rsidRPr="00ED438B">
        <w:rPr>
          <w:lang w:eastAsia="en-GB"/>
        </w:rPr>
        <w:t xml:space="preserve"> manipulate their men into ending a war they have grown weary of</w:t>
      </w:r>
      <w:r w:rsidR="00993A5D">
        <w:rPr>
          <w:rStyle w:val="FootnoteReference"/>
          <w:lang w:eastAsia="en-GB"/>
        </w:rPr>
        <w:footnoteReference w:id="54"/>
      </w:r>
      <w:r w:rsidRPr="00ED438B">
        <w:rPr>
          <w:lang w:eastAsia="en-GB"/>
        </w:rPr>
        <w:t xml:space="preserve"> but they are ultimately unsuccessful, being unable to restrain themselves. Within this, Aristophanes ultimately mocks them in their efforts and goes on to infer that it was only men that could control female sexuality</w:t>
      </w:r>
      <w:r w:rsidR="00496430">
        <w:rPr>
          <w:rStyle w:val="FootnoteReference"/>
          <w:lang w:eastAsia="en-GB"/>
        </w:rPr>
        <w:footnoteReference w:id="55"/>
      </w:r>
      <w:r w:rsidR="00496430">
        <w:rPr>
          <w:lang w:eastAsia="en-GB"/>
        </w:rPr>
        <w:t xml:space="preserve">. </w:t>
      </w:r>
      <w:r w:rsidRPr="00ED438B">
        <w:rPr>
          <w:lang w:eastAsia="en-GB"/>
        </w:rPr>
        <w:t xml:space="preserve">Medusa’s severed head acts as a potent weapon not only through her </w:t>
      </w:r>
      <w:r w:rsidR="00D81A41" w:rsidRPr="00ED438B">
        <w:rPr>
          <w:lang w:eastAsia="en-GB"/>
        </w:rPr>
        <w:t>stony</w:t>
      </w:r>
      <w:r w:rsidRPr="00ED438B">
        <w:rPr>
          <w:lang w:eastAsia="en-GB"/>
        </w:rPr>
        <w:t xml:space="preserve"> gaze manipulated by Perseus but also in the unintentional effect that it had when her blood sprang forth snakes in the desert. </w:t>
      </w:r>
    </w:p>
    <w:p w14:paraId="0149D85E" w14:textId="5CDCCA5C" w:rsidR="003B260F" w:rsidRDefault="00F107D9" w:rsidP="00B00D25">
      <w:pPr>
        <w:spacing w:line="360" w:lineRule="auto"/>
        <w:ind w:left="720" w:right="521"/>
        <w:rPr>
          <w:lang w:eastAsia="en-GB"/>
        </w:rPr>
      </w:pPr>
      <w:r>
        <w:rPr>
          <w:lang w:eastAsia="en-GB"/>
        </w:rPr>
        <w:t xml:space="preserve">As he was flying over the sandy wastes of Libya, bloody drops from the Gorgon’s head </w:t>
      </w:r>
      <w:proofErr w:type="gramStart"/>
      <w:r>
        <w:rPr>
          <w:lang w:eastAsia="en-GB"/>
        </w:rPr>
        <w:t>fell down</w:t>
      </w:r>
      <w:proofErr w:type="gramEnd"/>
      <w:r>
        <w:rPr>
          <w:lang w:eastAsia="en-GB"/>
        </w:rPr>
        <w:t>; and the earth received them as they fell and changed them into snakes of various kinds. And for this cause the land of Libya is full of deadly serpents.</w:t>
      </w:r>
      <w:r>
        <w:rPr>
          <w:rStyle w:val="FootnoteReference"/>
          <w:lang w:eastAsia="en-GB"/>
        </w:rPr>
        <w:footnoteReference w:id="56"/>
      </w:r>
      <w:r w:rsidR="00756A20" w:rsidRPr="00ED438B">
        <w:rPr>
          <w:lang w:eastAsia="en-GB"/>
        </w:rPr>
        <w:t xml:space="preserve"> </w:t>
      </w:r>
    </w:p>
    <w:p w14:paraId="1D1088D5" w14:textId="6CA6BCAC" w:rsidR="00756A20" w:rsidRDefault="00756A20" w:rsidP="00B00D25">
      <w:pPr>
        <w:spacing w:line="360" w:lineRule="auto"/>
        <w:rPr>
          <w:lang w:eastAsia="en-GB"/>
        </w:rPr>
      </w:pPr>
      <w:r w:rsidRPr="00ED438B">
        <w:rPr>
          <w:lang w:eastAsia="en-GB"/>
        </w:rPr>
        <w:t xml:space="preserve">Perseus </w:t>
      </w:r>
      <w:r w:rsidR="003B260F">
        <w:rPr>
          <w:lang w:eastAsia="en-GB"/>
        </w:rPr>
        <w:t xml:space="preserve">also </w:t>
      </w:r>
      <w:r w:rsidRPr="00ED438B">
        <w:rPr>
          <w:lang w:eastAsia="en-GB"/>
        </w:rPr>
        <w:t>uses her head</w:t>
      </w:r>
      <w:r w:rsidR="003B260F">
        <w:rPr>
          <w:lang w:eastAsia="en-GB"/>
        </w:rPr>
        <w:t xml:space="preserve"> </w:t>
      </w:r>
      <w:proofErr w:type="gramStart"/>
      <w:r w:rsidR="003B260F">
        <w:rPr>
          <w:lang w:eastAsia="en-GB"/>
        </w:rPr>
        <w:t>in order</w:t>
      </w:r>
      <w:r w:rsidRPr="00ED438B">
        <w:rPr>
          <w:lang w:eastAsia="en-GB"/>
        </w:rPr>
        <w:t xml:space="preserve"> to</w:t>
      </w:r>
      <w:proofErr w:type="gramEnd"/>
      <w:r w:rsidRPr="00ED438B">
        <w:rPr>
          <w:lang w:eastAsia="en-GB"/>
        </w:rPr>
        <w:t xml:space="preserve"> defeat the sea monster set on attacking Andromeda and then </w:t>
      </w:r>
      <w:r w:rsidR="003B260F">
        <w:rPr>
          <w:lang w:eastAsia="en-GB"/>
        </w:rPr>
        <w:t xml:space="preserve">against </w:t>
      </w:r>
      <w:r w:rsidRPr="00ED438B">
        <w:rPr>
          <w:lang w:eastAsia="en-GB"/>
        </w:rPr>
        <w:t>his rivals</w:t>
      </w:r>
      <w:r w:rsidR="00043D38">
        <w:rPr>
          <w:rStyle w:val="FootnoteReference"/>
          <w:lang w:eastAsia="en-GB"/>
        </w:rPr>
        <w:footnoteReference w:id="57"/>
      </w:r>
      <w:r w:rsidRPr="00ED438B">
        <w:rPr>
          <w:lang w:eastAsia="en-GB"/>
        </w:rPr>
        <w:t>.</w:t>
      </w:r>
    </w:p>
    <w:p w14:paraId="5DB573F2" w14:textId="43F2839D" w:rsidR="00756A20" w:rsidRPr="00ED438B" w:rsidRDefault="00756A20" w:rsidP="00B00D25">
      <w:pPr>
        <w:spacing w:line="360" w:lineRule="auto"/>
        <w:rPr>
          <w:lang w:eastAsia="en-GB"/>
        </w:rPr>
      </w:pPr>
      <w:r w:rsidRPr="00B00D25">
        <w:rPr>
          <w:lang w:eastAsia="en-GB"/>
        </w:rPr>
        <w:t xml:space="preserve">Medusa has been objectified since the beginning of her tale, first by being raped by </w:t>
      </w:r>
      <w:r w:rsidR="005142D6" w:rsidRPr="00B00D25">
        <w:rPr>
          <w:lang w:eastAsia="en-GB"/>
        </w:rPr>
        <w:t>Neptune</w:t>
      </w:r>
      <w:r w:rsidRPr="00B00D25">
        <w:rPr>
          <w:lang w:eastAsia="en-GB"/>
        </w:rPr>
        <w:t>, then by Perseus who uses her severed head as a weapon and ultimately by Ovid</w:t>
      </w:r>
      <w:r w:rsidR="003B260F" w:rsidRPr="00B00D25">
        <w:rPr>
          <w:lang w:eastAsia="en-GB"/>
        </w:rPr>
        <w:t>.</w:t>
      </w:r>
      <w:r w:rsidR="003B260F">
        <w:rPr>
          <w:b/>
          <w:bCs/>
          <w:i/>
          <w:iCs/>
          <w:lang w:eastAsia="en-GB"/>
        </w:rPr>
        <w:t xml:space="preserve"> </w:t>
      </w:r>
      <w:r w:rsidR="003B260F">
        <w:rPr>
          <w:lang w:eastAsia="en-GB"/>
        </w:rPr>
        <w:t xml:space="preserve">The tone of Medusa’s tale is established from the beginning identifying Medusa as subject to male dominance. Ovid’s use of the hero narrative and his denying Medusa a voice </w:t>
      </w:r>
      <w:r w:rsidRPr="00ED438B">
        <w:rPr>
          <w:lang w:eastAsia="en-GB"/>
        </w:rPr>
        <w:t>further enforces the objectification of Medusa as it is only her use to Perseus that is important rather than her as an individual. The fact that most of the narrative occurs after her death continues to cement this notion and whilst his description of her origins illustrates Medusa as a victim, both Perseus and Ovid offer her little sympathy for her unjust fate</w:t>
      </w:r>
      <w:r w:rsidR="00D3574E">
        <w:rPr>
          <w:rStyle w:val="FootnoteReference"/>
          <w:lang w:eastAsia="en-GB"/>
        </w:rPr>
        <w:footnoteReference w:id="58"/>
      </w:r>
      <w:r w:rsidR="00D3574E">
        <w:rPr>
          <w:lang w:eastAsia="en-GB"/>
        </w:rPr>
        <w:t>.</w:t>
      </w:r>
      <w:r w:rsidRPr="00ED438B">
        <w:rPr>
          <w:lang w:eastAsia="en-GB"/>
        </w:rPr>
        <w:t xml:space="preserve"> All the attention and sympathy of the author and in turn the audience are focused on the supposed hero Perseus.</w:t>
      </w:r>
      <w:r w:rsidR="003B260F">
        <w:rPr>
          <w:lang w:eastAsia="en-GB"/>
        </w:rPr>
        <w:t xml:space="preserve"> </w:t>
      </w:r>
      <w:r w:rsidRPr="00ED438B">
        <w:rPr>
          <w:lang w:eastAsia="en-GB"/>
        </w:rPr>
        <w:t>Minerva’s wearing of Medusa’s severed head</w:t>
      </w:r>
      <w:r w:rsidR="000D64C1">
        <w:rPr>
          <w:lang w:eastAsia="en-GB"/>
        </w:rPr>
        <w:t xml:space="preserve"> on her aegis </w:t>
      </w:r>
      <w:r w:rsidRPr="00ED438B">
        <w:rPr>
          <w:lang w:eastAsia="en-GB"/>
        </w:rPr>
        <w:t>provides a legitimate use of the gorgon’s gaze by a female, but only in battle. Furthermore, there is almost no references of Minerva having ever actually having used the abilities of the head other than as a fierce adornment for her shield</w:t>
      </w:r>
      <w:r w:rsidR="00496430">
        <w:rPr>
          <w:rStyle w:val="FootnoteReference"/>
          <w:lang w:eastAsia="en-GB"/>
        </w:rPr>
        <w:footnoteReference w:id="59"/>
      </w:r>
      <w:r w:rsidRPr="00ED438B">
        <w:rPr>
          <w:lang w:eastAsia="en-GB"/>
        </w:rPr>
        <w:t>. </w:t>
      </w:r>
    </w:p>
    <w:p w14:paraId="19EA5E46" w14:textId="7D6205EE" w:rsidR="00664F3E" w:rsidRPr="002446E4" w:rsidRDefault="00756A20" w:rsidP="00B00D25">
      <w:pPr>
        <w:spacing w:line="360" w:lineRule="auto"/>
        <w:rPr>
          <w:lang w:eastAsia="en-GB"/>
        </w:rPr>
      </w:pPr>
      <w:r w:rsidRPr="00B00D25">
        <w:rPr>
          <w:lang w:eastAsia="en-GB"/>
        </w:rPr>
        <w:t>The messaging within this tale tells of the dangers of a woman’s sexuality and power</w:t>
      </w:r>
      <w:r w:rsidRPr="002446E4">
        <w:rPr>
          <w:i/>
          <w:iCs/>
          <w:lang w:eastAsia="en-GB"/>
        </w:rPr>
        <w:t xml:space="preserve">. </w:t>
      </w:r>
      <w:r w:rsidRPr="002446E4">
        <w:rPr>
          <w:lang w:eastAsia="en-GB"/>
        </w:rPr>
        <w:t>Only men seem to be affected by the gorgon’s gaze</w:t>
      </w:r>
      <w:r w:rsidR="002446E4" w:rsidRPr="002446E4">
        <w:rPr>
          <w:rStyle w:val="FootnoteReference"/>
          <w:lang w:eastAsia="en-GB"/>
        </w:rPr>
        <w:footnoteReference w:id="60"/>
      </w:r>
      <w:r w:rsidRPr="002446E4">
        <w:rPr>
          <w:lang w:eastAsia="en-GB"/>
        </w:rPr>
        <w:t xml:space="preserve">. This very much showcases the fable’s message warning </w:t>
      </w:r>
      <w:r w:rsidR="003B260F" w:rsidRPr="002446E4">
        <w:rPr>
          <w:lang w:eastAsia="en-GB"/>
        </w:rPr>
        <w:lastRenderedPageBreak/>
        <w:t xml:space="preserve">men of </w:t>
      </w:r>
      <w:r w:rsidR="00AB5E66" w:rsidRPr="002446E4">
        <w:rPr>
          <w:lang w:eastAsia="en-GB"/>
        </w:rPr>
        <w:t>the dangers of female sexual power and women of the consequences of</w:t>
      </w:r>
      <w:r w:rsidRPr="002446E4">
        <w:rPr>
          <w:lang w:eastAsia="en-GB"/>
        </w:rPr>
        <w:t xml:space="preserve"> female disobedience</w:t>
      </w:r>
      <w:r w:rsidR="00AB5E66" w:rsidRPr="002446E4">
        <w:rPr>
          <w:lang w:eastAsia="en-GB"/>
        </w:rPr>
        <w:t>.</w:t>
      </w:r>
      <w:r w:rsidRPr="002446E4">
        <w:rPr>
          <w:lang w:eastAsia="en-GB"/>
        </w:rPr>
        <w:t xml:space="preserve"> </w:t>
      </w:r>
      <w:r w:rsidR="00AB5E66" w:rsidRPr="002446E4">
        <w:rPr>
          <w:lang w:eastAsia="en-GB"/>
        </w:rPr>
        <w:t xml:space="preserve">This is shown in Metamorphoses with </w:t>
      </w:r>
      <w:r w:rsidRPr="002446E4">
        <w:rPr>
          <w:lang w:eastAsia="en-GB"/>
        </w:rPr>
        <w:t>Medusa as the representative of non-conforming and rebellious women</w:t>
      </w:r>
      <w:r w:rsidR="00AB5E66" w:rsidRPr="002446E4">
        <w:rPr>
          <w:lang w:eastAsia="en-GB"/>
        </w:rPr>
        <w:t>,</w:t>
      </w:r>
      <w:r w:rsidRPr="002446E4">
        <w:rPr>
          <w:lang w:eastAsia="en-GB"/>
        </w:rPr>
        <w:t xml:space="preserve"> presented as a danger to the very foundations of a patriarchal society. As for women however, it warns of what could become of a woman should she defy her male counterparts; despised, </w:t>
      </w:r>
      <w:proofErr w:type="gramStart"/>
      <w:r w:rsidRPr="002446E4">
        <w:rPr>
          <w:lang w:eastAsia="en-GB"/>
        </w:rPr>
        <w:t>disfigured</w:t>
      </w:r>
      <w:proofErr w:type="gramEnd"/>
      <w:r w:rsidRPr="002446E4">
        <w:rPr>
          <w:lang w:eastAsia="en-GB"/>
        </w:rPr>
        <w:t xml:space="preserve"> and outcast.</w:t>
      </w:r>
      <w:r w:rsidR="00664F3E" w:rsidRPr="002446E4">
        <w:rPr>
          <w:lang w:eastAsia="en-GB"/>
        </w:rPr>
        <w:t xml:space="preserve"> </w:t>
      </w:r>
    </w:p>
    <w:p w14:paraId="74EC7EFD" w14:textId="05DA2DE7" w:rsidR="00756A20" w:rsidRPr="00ED438B" w:rsidRDefault="00756A20" w:rsidP="00B00D25">
      <w:pPr>
        <w:spacing w:line="360" w:lineRule="auto"/>
        <w:rPr>
          <w:lang w:eastAsia="en-GB"/>
        </w:rPr>
      </w:pPr>
    </w:p>
    <w:p w14:paraId="550BCC19" w14:textId="66CF19DE" w:rsidR="00EF1917" w:rsidRDefault="00623721" w:rsidP="00B00D25">
      <w:pPr>
        <w:spacing w:line="360" w:lineRule="auto"/>
        <w:rPr>
          <w:lang w:eastAsia="en-GB"/>
        </w:rPr>
      </w:pPr>
      <w:r>
        <w:rPr>
          <w:lang w:eastAsia="en-GB"/>
        </w:rPr>
        <w:t>Medusa’s story provides an insight into the Greco-Roman world in which women were encouraged to be submissive and passive to their male guardians. Female sexuality was appropriated for the male agenda within their patriarchal society. The myth of Medusa serves as propaganda that uncontrolled female sexuality is dangerous. The Medusa story achieves this by presenting her as a monster with her monstrous visage and hideous features. While the specific features of her monstrosity ha</w:t>
      </w:r>
      <w:r w:rsidR="00AB5E66">
        <w:rPr>
          <w:lang w:eastAsia="en-GB"/>
        </w:rPr>
        <w:t>ve</w:t>
      </w:r>
      <w:r>
        <w:rPr>
          <w:lang w:eastAsia="en-GB"/>
        </w:rPr>
        <w:t xml:space="preserve"> evolved over time, her direct stony gaze has remained a consistent feature. Her identity as a monster is further confirmed by her condition as an outcast living without the guidance of men. Ovid’s </w:t>
      </w:r>
      <w:r w:rsidRPr="00D3574E">
        <w:rPr>
          <w:i/>
          <w:iCs/>
          <w:lang w:eastAsia="en-GB"/>
        </w:rPr>
        <w:t>Metamorphoses</w:t>
      </w:r>
      <w:r>
        <w:rPr>
          <w:lang w:eastAsia="en-GB"/>
        </w:rPr>
        <w:t xml:space="preserve"> contains one of the most complete versions of the Medusa’s story however tellingly within it, she is not the central character, which was a position reserved for the hero Perseus. The directness of her gaze is what vilifies her in the eyes of the audience who lived in a society that desired submissiveness in females. This direct gaze is symbolic of female sexual power in a society whose women were veiled in the public sphere. Ovid’s Medusa was disarmed, or rather beheaded, by the hero who in turn controls her power for his own ends.</w:t>
      </w:r>
      <w:r w:rsidR="009F701F">
        <w:rPr>
          <w:lang w:eastAsia="en-GB"/>
        </w:rPr>
        <w:t xml:space="preserve"> This objectification and forced subjugation </w:t>
      </w:r>
      <w:proofErr w:type="gramStart"/>
      <w:r w:rsidR="009F701F">
        <w:rPr>
          <w:lang w:eastAsia="en-GB"/>
        </w:rPr>
        <w:t>is</w:t>
      </w:r>
      <w:proofErr w:type="gramEnd"/>
      <w:r w:rsidR="009F701F">
        <w:rPr>
          <w:lang w:eastAsia="en-GB"/>
        </w:rPr>
        <w:t xml:space="preserve"> a running theme throughout Medusa’s story</w:t>
      </w:r>
      <w:r w:rsidR="00AB5E66">
        <w:rPr>
          <w:lang w:eastAsia="en-GB"/>
        </w:rPr>
        <w:t>,</w:t>
      </w:r>
      <w:r w:rsidR="009F701F">
        <w:rPr>
          <w:lang w:eastAsia="en-GB"/>
        </w:rPr>
        <w:t xml:space="preserve"> beginning with her being assaulted by Neptune and finally by Minerva’s continued use of her decapitated </w:t>
      </w:r>
      <w:r w:rsidR="00AB5E66">
        <w:rPr>
          <w:lang w:eastAsia="en-GB"/>
        </w:rPr>
        <w:t>head</w:t>
      </w:r>
      <w:r w:rsidR="009F701F">
        <w:rPr>
          <w:lang w:eastAsia="en-GB"/>
        </w:rPr>
        <w:t xml:space="preserve"> as a decoration. This tale could very well be classified as a fable, containing internal messages of the perils of female </w:t>
      </w:r>
      <w:r w:rsidR="00AB5E66">
        <w:rPr>
          <w:lang w:eastAsia="en-GB"/>
        </w:rPr>
        <w:t>power</w:t>
      </w:r>
      <w:r w:rsidR="009F701F">
        <w:rPr>
          <w:lang w:eastAsia="en-GB"/>
        </w:rPr>
        <w:t xml:space="preserve"> and sexuality.</w:t>
      </w:r>
    </w:p>
    <w:p w14:paraId="32204638" w14:textId="77777777" w:rsidR="00B00D25" w:rsidRPr="00623721" w:rsidRDefault="00B00D25" w:rsidP="00B00D25">
      <w:pPr>
        <w:spacing w:line="360" w:lineRule="auto"/>
        <w:rPr>
          <w:lang w:eastAsia="en-GB"/>
        </w:rPr>
      </w:pPr>
    </w:p>
    <w:p w14:paraId="0326ABB0" w14:textId="77777777" w:rsidR="00B00D25" w:rsidRDefault="00B00D25" w:rsidP="00B00D25">
      <w:pPr>
        <w:spacing w:line="360" w:lineRule="auto"/>
        <w:jc w:val="center"/>
        <w:rPr>
          <w:b/>
          <w:bCs/>
        </w:rPr>
      </w:pPr>
      <w:bookmarkStart w:id="0" w:name="_Hlk43559711"/>
    </w:p>
    <w:p w14:paraId="6087F500" w14:textId="77777777" w:rsidR="00B00D25" w:rsidRDefault="00B00D25" w:rsidP="00B00D25">
      <w:pPr>
        <w:spacing w:line="360" w:lineRule="auto"/>
        <w:jc w:val="center"/>
        <w:rPr>
          <w:b/>
          <w:bCs/>
        </w:rPr>
      </w:pPr>
    </w:p>
    <w:p w14:paraId="4C74BE5D" w14:textId="77777777" w:rsidR="00B00D25" w:rsidRDefault="00B00D25" w:rsidP="00B00D25">
      <w:pPr>
        <w:spacing w:line="360" w:lineRule="auto"/>
        <w:jc w:val="center"/>
        <w:rPr>
          <w:b/>
          <w:bCs/>
        </w:rPr>
      </w:pPr>
    </w:p>
    <w:p w14:paraId="686E35BE" w14:textId="77777777" w:rsidR="00B00D25" w:rsidRDefault="00B00D25" w:rsidP="00B00D25">
      <w:pPr>
        <w:spacing w:line="360" w:lineRule="auto"/>
        <w:jc w:val="center"/>
        <w:rPr>
          <w:b/>
          <w:bCs/>
        </w:rPr>
      </w:pPr>
    </w:p>
    <w:p w14:paraId="04B737EC" w14:textId="77777777" w:rsidR="00B00D25" w:rsidRDefault="00B00D25" w:rsidP="00B00D25">
      <w:pPr>
        <w:spacing w:line="360" w:lineRule="auto"/>
        <w:jc w:val="center"/>
        <w:rPr>
          <w:b/>
          <w:bCs/>
        </w:rPr>
      </w:pPr>
    </w:p>
    <w:p w14:paraId="1FB6F795" w14:textId="77777777" w:rsidR="00B00D25" w:rsidRDefault="00B00D25" w:rsidP="00B00D25">
      <w:pPr>
        <w:spacing w:line="360" w:lineRule="auto"/>
        <w:jc w:val="center"/>
        <w:rPr>
          <w:b/>
          <w:bCs/>
        </w:rPr>
      </w:pPr>
    </w:p>
    <w:p w14:paraId="715FDE25" w14:textId="1E1F9F28" w:rsidR="00B00D25" w:rsidRDefault="00B00D25" w:rsidP="00B00D25">
      <w:pPr>
        <w:spacing w:line="360" w:lineRule="auto"/>
        <w:jc w:val="center"/>
        <w:rPr>
          <w:b/>
          <w:bCs/>
        </w:rPr>
      </w:pPr>
    </w:p>
    <w:p w14:paraId="1F7F64A1" w14:textId="4944D9AF" w:rsidR="0080270A" w:rsidRPr="00B00D25" w:rsidRDefault="0080270A" w:rsidP="00B00D25">
      <w:pPr>
        <w:spacing w:line="360" w:lineRule="auto"/>
        <w:jc w:val="center"/>
        <w:rPr>
          <w:b/>
          <w:bCs/>
        </w:rPr>
      </w:pPr>
      <w:r w:rsidRPr="00B00D25">
        <w:rPr>
          <w:b/>
          <w:bCs/>
        </w:rPr>
        <w:lastRenderedPageBreak/>
        <w:t>Bibliography</w:t>
      </w:r>
    </w:p>
    <w:p w14:paraId="75444290" w14:textId="77777777" w:rsidR="0080270A" w:rsidRPr="00B00D25" w:rsidRDefault="0080270A" w:rsidP="00B00D25">
      <w:pPr>
        <w:spacing w:line="360" w:lineRule="auto"/>
        <w:rPr>
          <w:b/>
          <w:bCs/>
        </w:rPr>
      </w:pPr>
      <w:r w:rsidRPr="00B00D25">
        <w:rPr>
          <w:b/>
          <w:bCs/>
        </w:rPr>
        <w:t>Ancient</w:t>
      </w:r>
    </w:p>
    <w:p w14:paraId="56BA727E" w14:textId="77777777" w:rsidR="0080270A" w:rsidRPr="00ED438B" w:rsidRDefault="0080270A" w:rsidP="00B00D25">
      <w:pPr>
        <w:spacing w:line="360" w:lineRule="auto"/>
      </w:pPr>
      <w:r w:rsidRPr="00ED438B">
        <w:t>Aeschylus, Prometheus bound. 1926. Herbert Weir Smyth (trans.) Cambridge; Harvard University Press.</w:t>
      </w:r>
    </w:p>
    <w:p w14:paraId="49C72011" w14:textId="4C6A2731" w:rsidR="0080270A" w:rsidRDefault="0080270A" w:rsidP="00B00D25">
      <w:pPr>
        <w:spacing w:line="360" w:lineRule="auto"/>
      </w:pPr>
      <w:r w:rsidRPr="00ED438B">
        <w:t xml:space="preserve">Aristophanes, </w:t>
      </w:r>
      <w:r w:rsidR="00756A20" w:rsidRPr="00ED438B">
        <w:t xml:space="preserve">Lysistrata. 1990. Alan H. </w:t>
      </w:r>
      <w:proofErr w:type="spellStart"/>
      <w:r w:rsidR="00756A20" w:rsidRPr="00ED438B">
        <w:t>Sommerstein</w:t>
      </w:r>
      <w:proofErr w:type="spellEnd"/>
      <w:r w:rsidR="00756A20" w:rsidRPr="00ED438B">
        <w:t xml:space="preserve"> (trans.) Warminster; Aris and Phillips.</w:t>
      </w:r>
    </w:p>
    <w:p w14:paraId="0ABE623D" w14:textId="77777777" w:rsidR="0080270A" w:rsidRPr="00ED438B" w:rsidRDefault="0080270A" w:rsidP="00B00D25">
      <w:pPr>
        <w:spacing w:line="360" w:lineRule="auto"/>
      </w:pPr>
      <w:r w:rsidRPr="00ED438B">
        <w:t>Hesiod, Theogony. 1914. Hugh G. Evelyn-White (trans.) Cambridge; Harvard University Press.</w:t>
      </w:r>
    </w:p>
    <w:p w14:paraId="44CB70BD" w14:textId="6D8C4B7B" w:rsidR="0080270A" w:rsidRDefault="0080270A" w:rsidP="00B00D25">
      <w:pPr>
        <w:spacing w:line="360" w:lineRule="auto"/>
      </w:pPr>
      <w:r w:rsidRPr="00ED438B">
        <w:t>Homer, Iliad. 1924. A.T. Murray (trans.) Cambridge; Harvard University Press.</w:t>
      </w:r>
    </w:p>
    <w:p w14:paraId="183AD41F" w14:textId="4F5CBBDF" w:rsidR="004F42CE" w:rsidRDefault="004F42CE" w:rsidP="00B00D25">
      <w:pPr>
        <w:spacing w:line="360" w:lineRule="auto"/>
      </w:pPr>
      <w:r>
        <w:t>Homer, Odyssey.</w:t>
      </w:r>
      <w:r w:rsidR="007D2220">
        <w:t xml:space="preserve"> 1919. A.T. Murray (trans.) Cambridge, Harvard University Press.</w:t>
      </w:r>
    </w:p>
    <w:p w14:paraId="33A02BE9" w14:textId="7D6A7055" w:rsidR="00A53119" w:rsidRPr="00ED438B" w:rsidRDefault="00A53119" w:rsidP="00B00D25">
      <w:pPr>
        <w:spacing w:line="360" w:lineRule="auto"/>
      </w:pPr>
      <w:r>
        <w:t>Ovid, Metamorphoses. 1922. Brookes More (trans.) Boston; Cornhill Publishing Co.</w:t>
      </w:r>
    </w:p>
    <w:p w14:paraId="4BB0CD70" w14:textId="02F2B1FE" w:rsidR="0080270A" w:rsidRPr="00ED438B" w:rsidRDefault="0080270A" w:rsidP="00B00D25">
      <w:pPr>
        <w:spacing w:line="360" w:lineRule="auto"/>
      </w:pPr>
      <w:r w:rsidRPr="00ED438B">
        <w:t>Ovid, Metamorphos</w:t>
      </w:r>
      <w:r w:rsidR="00A53119">
        <w:t>e</w:t>
      </w:r>
      <w:r w:rsidRPr="00ED438B">
        <w:t>s. 1958. Frank Justus Miller (trans.) London; Heinemann Ltd.</w:t>
      </w:r>
    </w:p>
    <w:p w14:paraId="58C6262A" w14:textId="77777777" w:rsidR="0080270A" w:rsidRPr="00ED438B" w:rsidRDefault="0080270A" w:rsidP="00B00D25">
      <w:pPr>
        <w:spacing w:line="360" w:lineRule="auto"/>
      </w:pPr>
      <w:r w:rsidRPr="00ED438B">
        <w:t>Pindar, Olympian Odes. 1997. William H. Race (trans.) Cambridge; Harvard University Press.</w:t>
      </w:r>
    </w:p>
    <w:p w14:paraId="44B3095A" w14:textId="77777777" w:rsidR="0080270A" w:rsidRPr="00ED438B" w:rsidRDefault="0080270A" w:rsidP="00B00D25">
      <w:pPr>
        <w:spacing w:line="360" w:lineRule="auto"/>
      </w:pPr>
      <w:r w:rsidRPr="00ED438B">
        <w:t>Pseudo-</w:t>
      </w:r>
      <w:proofErr w:type="spellStart"/>
      <w:r w:rsidRPr="00ED438B">
        <w:t>Apollodorus</w:t>
      </w:r>
      <w:proofErr w:type="spellEnd"/>
      <w:r w:rsidRPr="00ED438B">
        <w:t>, The Library. 1921. Sir James George Fraser (trans.) Cambridge; Harvard University Press.</w:t>
      </w:r>
    </w:p>
    <w:p w14:paraId="237A9159" w14:textId="77777777" w:rsidR="0080270A" w:rsidRPr="00ED438B" w:rsidRDefault="0080270A" w:rsidP="00B00D25">
      <w:pPr>
        <w:spacing w:line="360" w:lineRule="auto"/>
      </w:pPr>
    </w:p>
    <w:p w14:paraId="3026BA08" w14:textId="77777777" w:rsidR="0080270A" w:rsidRPr="00B00D25" w:rsidRDefault="0080270A" w:rsidP="00B00D25">
      <w:pPr>
        <w:spacing w:line="360" w:lineRule="auto"/>
        <w:rPr>
          <w:b/>
          <w:bCs/>
        </w:rPr>
      </w:pPr>
      <w:r w:rsidRPr="00B00D25">
        <w:rPr>
          <w:b/>
          <w:bCs/>
        </w:rPr>
        <w:t>Modern</w:t>
      </w:r>
    </w:p>
    <w:p w14:paraId="0BA89239" w14:textId="7CC81053" w:rsidR="00D64284" w:rsidRDefault="00D64284" w:rsidP="00B00D25">
      <w:pPr>
        <w:spacing w:line="360" w:lineRule="auto"/>
      </w:pPr>
      <w:r>
        <w:t>Affleck, J. 2011. Homer, In; Classical Literature: An Introduction. New York; Routledge.</w:t>
      </w:r>
    </w:p>
    <w:p w14:paraId="58BB8F4F" w14:textId="473EEEF9" w:rsidR="0080270A" w:rsidRDefault="0080270A" w:rsidP="00B00D25">
      <w:pPr>
        <w:spacing w:line="360" w:lineRule="auto"/>
      </w:pPr>
      <w:r w:rsidRPr="00ED438B">
        <w:t xml:space="preserve">Ahmed, L. 1992. Women and Gender in Islam: Historical Roots of a Modern Debate. London; Yale University Press. </w:t>
      </w:r>
      <w:r w:rsidR="0034288F">
        <w:t>Available at</w:t>
      </w:r>
      <w:r w:rsidRPr="00ED438B">
        <w:t xml:space="preserve"> </w:t>
      </w:r>
      <w:hyperlink r:id="rId11" w:history="1">
        <w:r w:rsidRPr="00ED438B">
          <w:rPr>
            <w:rStyle w:val="Hyperlink"/>
            <w:rFonts w:cstheme="minorHAnsi"/>
            <w:color w:val="auto"/>
          </w:rPr>
          <w:t>https://www.jstor.org/stable/j.ctt32bg61.5</w:t>
        </w:r>
      </w:hyperlink>
      <w:r w:rsidRPr="00ED438B">
        <w:t xml:space="preserve"> [Accessed 05/06/2020]</w:t>
      </w:r>
    </w:p>
    <w:p w14:paraId="412489D4" w14:textId="61B2EE14" w:rsidR="0034288F" w:rsidRPr="00ED438B" w:rsidRDefault="0034288F" w:rsidP="00B00D25">
      <w:pPr>
        <w:spacing w:line="360" w:lineRule="auto"/>
      </w:pPr>
      <w:proofErr w:type="spellStart"/>
      <w:r>
        <w:t>Atsma</w:t>
      </w:r>
      <w:proofErr w:type="spellEnd"/>
      <w:r>
        <w:t xml:space="preserve">, A. J. 2017. </w:t>
      </w:r>
      <w:proofErr w:type="spellStart"/>
      <w:r>
        <w:t>Seirenes</w:t>
      </w:r>
      <w:proofErr w:type="spellEnd"/>
      <w:r>
        <w:t xml:space="preserve">. Available at </w:t>
      </w:r>
      <w:hyperlink r:id="rId12" w:history="1">
        <w:r>
          <w:rPr>
            <w:rStyle w:val="Hyperlink"/>
          </w:rPr>
          <w:t>https://www.theoi.com/Pontios/Seirenes.html</w:t>
        </w:r>
      </w:hyperlink>
      <w:r>
        <w:t xml:space="preserve"> [Accessed 09/07/2020]</w:t>
      </w:r>
    </w:p>
    <w:p w14:paraId="2E75B1B3" w14:textId="2BBDE043" w:rsidR="0080270A" w:rsidRDefault="0080270A" w:rsidP="00B00D25">
      <w:pPr>
        <w:spacing w:line="360" w:lineRule="auto"/>
      </w:pPr>
      <w:r w:rsidRPr="00ED438B">
        <w:t xml:space="preserve">Bowers, S. R. 1990. Medusa and the Female Gaze. NWSA Journal 2(2), 217-235. Johns Hopkins University Press. </w:t>
      </w:r>
      <w:r w:rsidR="0034288F">
        <w:t>Available at</w:t>
      </w:r>
      <w:r w:rsidR="0034288F" w:rsidRPr="00ED438B">
        <w:t xml:space="preserve"> </w:t>
      </w:r>
      <w:hyperlink r:id="rId13" w:history="1">
        <w:r w:rsidRPr="00ED438B">
          <w:rPr>
            <w:rStyle w:val="Hyperlink"/>
            <w:rFonts w:cstheme="minorHAnsi"/>
            <w:color w:val="auto"/>
            <w:shd w:val="clear" w:color="auto" w:fill="FFFFFF"/>
          </w:rPr>
          <w:t>www.jstor.org/stable/4316018</w:t>
        </w:r>
      </w:hyperlink>
      <w:r w:rsidRPr="00ED438B">
        <w:rPr>
          <w:shd w:val="clear" w:color="auto" w:fill="FFFFFF"/>
        </w:rPr>
        <w:t xml:space="preserve"> </w:t>
      </w:r>
      <w:r w:rsidRPr="00ED438B">
        <w:t>[Accessed //2020]</w:t>
      </w:r>
    </w:p>
    <w:p w14:paraId="4C210D86" w14:textId="7D6F78DD" w:rsidR="00496430" w:rsidRDefault="00496430" w:rsidP="00B00D25">
      <w:pPr>
        <w:spacing w:line="360" w:lineRule="auto"/>
      </w:pPr>
      <w:r>
        <w:t xml:space="preserve">Cartwright, M. 2013. Aristophanes. </w:t>
      </w:r>
      <w:r w:rsidR="0034288F">
        <w:t>Available at</w:t>
      </w:r>
      <w:r w:rsidR="0034288F" w:rsidRPr="00ED438B">
        <w:t xml:space="preserve"> </w:t>
      </w:r>
      <w:hyperlink r:id="rId14" w:history="1">
        <w:r>
          <w:rPr>
            <w:rStyle w:val="Hyperlink"/>
          </w:rPr>
          <w:t>https://www.ancient.eu/Aristophanes/</w:t>
        </w:r>
      </w:hyperlink>
      <w:r>
        <w:t xml:space="preserve"> [Accessed 01/07/2020]</w:t>
      </w:r>
    </w:p>
    <w:p w14:paraId="6F48C831" w14:textId="238E69DE" w:rsidR="00130B5B" w:rsidRDefault="00130B5B" w:rsidP="00B00D25">
      <w:pPr>
        <w:spacing w:line="360" w:lineRule="auto"/>
      </w:pPr>
      <w:r>
        <w:t xml:space="preserve">Cartwright, M. 2014. </w:t>
      </w:r>
      <w:proofErr w:type="spellStart"/>
      <w:r>
        <w:t>Selinus</w:t>
      </w:r>
      <w:proofErr w:type="spellEnd"/>
      <w:r>
        <w:t xml:space="preserve">. </w:t>
      </w:r>
      <w:r w:rsidR="0034288F">
        <w:t>Available at</w:t>
      </w:r>
      <w:r w:rsidR="0034288F" w:rsidRPr="00ED438B">
        <w:t xml:space="preserve"> </w:t>
      </w:r>
      <w:hyperlink r:id="rId15" w:history="1">
        <w:r>
          <w:rPr>
            <w:rStyle w:val="Hyperlink"/>
          </w:rPr>
          <w:t>https://www.ancient.eu/Selinus/</w:t>
        </w:r>
      </w:hyperlink>
      <w:r>
        <w:t xml:space="preserve"> [Accessed 02/07/2020]</w:t>
      </w:r>
    </w:p>
    <w:p w14:paraId="3D401902" w14:textId="3376FFF6" w:rsidR="00241D4E" w:rsidRPr="00ED438B" w:rsidRDefault="00241D4E" w:rsidP="00B00D25">
      <w:pPr>
        <w:spacing w:line="360" w:lineRule="auto"/>
      </w:pPr>
      <w:r>
        <w:t xml:space="preserve">Clark, G. 1981. Roman Women. Greece &amp; Rome 28(2), 193-212. </w:t>
      </w:r>
      <w:r w:rsidR="0034288F">
        <w:t>Available at</w:t>
      </w:r>
      <w:r w:rsidR="0034288F" w:rsidRPr="00ED438B">
        <w:t xml:space="preserve"> </w:t>
      </w:r>
      <w:hyperlink r:id="rId16" w:history="1">
        <w:r w:rsidRPr="009B400F">
          <w:rPr>
            <w:rStyle w:val="Hyperlink"/>
          </w:rPr>
          <w:t>https://www.jstor.org/stable/642866</w:t>
        </w:r>
      </w:hyperlink>
      <w:r>
        <w:t xml:space="preserve"> [Accessed 03/07/2020]</w:t>
      </w:r>
    </w:p>
    <w:p w14:paraId="742EFE5C" w14:textId="5F6A2729" w:rsidR="0080270A" w:rsidRPr="00ED438B" w:rsidRDefault="0080270A" w:rsidP="00B00D25">
      <w:pPr>
        <w:spacing w:line="360" w:lineRule="auto"/>
      </w:pPr>
      <w:r w:rsidRPr="00ED438B">
        <w:lastRenderedPageBreak/>
        <w:t xml:space="preserve">Currie, C. 2011. Transforming Medusa. </w:t>
      </w:r>
      <w:proofErr w:type="spellStart"/>
      <w:r w:rsidRPr="00ED438B">
        <w:t>Amaltea</w:t>
      </w:r>
      <w:proofErr w:type="spellEnd"/>
      <w:r w:rsidRPr="00ED438B">
        <w:t xml:space="preserve">. </w:t>
      </w:r>
      <w:proofErr w:type="spellStart"/>
      <w:r w:rsidRPr="00ED438B">
        <w:t>Revista</w:t>
      </w:r>
      <w:proofErr w:type="spellEnd"/>
      <w:r w:rsidRPr="00ED438B">
        <w:t xml:space="preserve"> de </w:t>
      </w:r>
      <w:proofErr w:type="spellStart"/>
      <w:r w:rsidRPr="00ED438B">
        <w:t>mitocritica</w:t>
      </w:r>
      <w:proofErr w:type="spellEnd"/>
      <w:r w:rsidRPr="00ED438B">
        <w:t xml:space="preserve"> 3, 169-181. </w:t>
      </w:r>
      <w:r w:rsidR="0034288F">
        <w:t>Available at</w:t>
      </w:r>
      <w:r w:rsidR="0034288F" w:rsidRPr="00ED438B">
        <w:t xml:space="preserve"> </w:t>
      </w:r>
      <w:hyperlink r:id="rId17" w:history="1">
        <w:r w:rsidRPr="00ED438B">
          <w:rPr>
            <w:rStyle w:val="Hyperlink"/>
            <w:rFonts w:cstheme="minorHAnsi"/>
            <w:color w:val="auto"/>
          </w:rPr>
          <w:t>https://revistas.ucm.es/index.php/AMAL/article/view/37616</w:t>
        </w:r>
      </w:hyperlink>
      <w:r w:rsidRPr="00ED438B">
        <w:t xml:space="preserve"> [Accessed //2020]</w:t>
      </w:r>
    </w:p>
    <w:p w14:paraId="49E1038F" w14:textId="25B019EB" w:rsidR="0080270A" w:rsidRPr="00ED438B" w:rsidRDefault="0080270A" w:rsidP="00B00D25">
      <w:pPr>
        <w:spacing w:line="360" w:lineRule="auto"/>
      </w:pPr>
      <w:proofErr w:type="spellStart"/>
      <w:r w:rsidRPr="00ED438B">
        <w:t>Frothingham</w:t>
      </w:r>
      <w:proofErr w:type="spellEnd"/>
      <w:r w:rsidRPr="00ED438B">
        <w:t xml:space="preserve">, A. L. 1911. Medusa, </w:t>
      </w:r>
      <w:proofErr w:type="gramStart"/>
      <w:r w:rsidRPr="00ED438B">
        <w:t>Apollo</w:t>
      </w:r>
      <w:proofErr w:type="gramEnd"/>
      <w:r w:rsidRPr="00ED438B">
        <w:t xml:space="preserve"> and the Great Mother. American Journal of Archaeology 15, 349-377. </w:t>
      </w:r>
      <w:r w:rsidR="0034288F">
        <w:t>Available at</w:t>
      </w:r>
      <w:r w:rsidR="0034288F" w:rsidRPr="00ED438B">
        <w:t xml:space="preserve"> </w:t>
      </w:r>
      <w:hyperlink r:id="rId18" w:history="1">
        <w:r w:rsidRPr="00ED438B">
          <w:rPr>
            <w:rStyle w:val="Hyperlink"/>
            <w:rFonts w:cstheme="minorHAnsi"/>
            <w:color w:val="auto"/>
          </w:rPr>
          <w:t>www.jstor.org/stable/497414</w:t>
        </w:r>
      </w:hyperlink>
      <w:r w:rsidRPr="00ED438B">
        <w:t xml:space="preserve"> [Accessed 20/06/2020]</w:t>
      </w:r>
    </w:p>
    <w:p w14:paraId="585273C4" w14:textId="5BBBDA77" w:rsidR="0080270A" w:rsidRDefault="0080270A" w:rsidP="00B00D25">
      <w:pPr>
        <w:spacing w:line="360" w:lineRule="auto"/>
      </w:pPr>
      <w:r w:rsidRPr="00ED438B">
        <w:t xml:space="preserve">Glennon, M. 2017. Medusa in Ancient Greek Art. In </w:t>
      </w:r>
      <w:proofErr w:type="spellStart"/>
      <w:r w:rsidRPr="00ED438B">
        <w:t>Heilbrunn</w:t>
      </w:r>
      <w:proofErr w:type="spellEnd"/>
      <w:r w:rsidRPr="00ED438B">
        <w:t xml:space="preserve"> Timeline of Art History. New York; The Metropolitan Museum of Art. </w:t>
      </w:r>
      <w:r w:rsidR="0034288F">
        <w:t>Available at</w:t>
      </w:r>
      <w:r w:rsidR="0034288F" w:rsidRPr="00ED438B">
        <w:t xml:space="preserve"> </w:t>
      </w:r>
      <w:hyperlink r:id="rId19" w:history="1">
        <w:r w:rsidRPr="00ED438B">
          <w:rPr>
            <w:rStyle w:val="Hyperlink"/>
            <w:rFonts w:cstheme="minorHAnsi"/>
            <w:color w:val="auto"/>
          </w:rPr>
          <w:t>http://www.metmuseum.org/toah/hd/medu/hd_medu.htm</w:t>
        </w:r>
      </w:hyperlink>
      <w:r w:rsidRPr="00ED438B">
        <w:t xml:space="preserve"> [Accessed 09/06/2020]</w:t>
      </w:r>
    </w:p>
    <w:p w14:paraId="3F2624B7" w14:textId="3E2371DF" w:rsidR="002446E4" w:rsidRDefault="002446E4" w:rsidP="00B00D25">
      <w:pPr>
        <w:spacing w:line="360" w:lineRule="auto"/>
      </w:pPr>
      <w:proofErr w:type="spellStart"/>
      <w:r>
        <w:t>Hedreen</w:t>
      </w:r>
      <w:proofErr w:type="spellEnd"/>
      <w:r>
        <w:t>, G. 2016. The Image of the Artist in Archaic and Classical Greece: Art, Poetry and Subjectivity. New York; Cambridge University Press.</w:t>
      </w:r>
    </w:p>
    <w:p w14:paraId="2BA7C845" w14:textId="77777777" w:rsidR="002446E4" w:rsidRPr="002446E4" w:rsidRDefault="002446E4" w:rsidP="00B00D25">
      <w:pPr>
        <w:spacing w:line="360" w:lineRule="auto"/>
        <w:rPr>
          <w:vanish/>
        </w:rPr>
      </w:pPr>
    </w:p>
    <w:p w14:paraId="6E3018D7" w14:textId="60D5B33E" w:rsidR="0080270A" w:rsidRPr="00ED438B" w:rsidRDefault="0080270A" w:rsidP="00B00D25">
      <w:pPr>
        <w:spacing w:line="360" w:lineRule="auto"/>
      </w:pPr>
      <w:r w:rsidRPr="00ED438B">
        <w:t xml:space="preserve">Hemingway, C. 2004. Women in Classical Greece. In </w:t>
      </w:r>
      <w:proofErr w:type="spellStart"/>
      <w:r w:rsidRPr="00ED438B">
        <w:t>Heilbrunn</w:t>
      </w:r>
      <w:proofErr w:type="spellEnd"/>
      <w:r w:rsidRPr="00ED438B">
        <w:t xml:space="preserve"> Timeline of Art History. New York; Metropolitan Museum of Art. </w:t>
      </w:r>
      <w:r w:rsidR="0034288F">
        <w:t>Available at</w:t>
      </w:r>
      <w:r w:rsidR="0034288F" w:rsidRPr="00ED438B">
        <w:t xml:space="preserve"> </w:t>
      </w:r>
      <w:hyperlink r:id="rId20" w:history="1">
        <w:r w:rsidRPr="00ED438B">
          <w:rPr>
            <w:rStyle w:val="Hyperlink"/>
            <w:rFonts w:cstheme="minorHAnsi"/>
            <w:color w:val="auto"/>
          </w:rPr>
          <w:t>https://www.metmuseum.org/toah/hd/wmna/hd_wmna.htm</w:t>
        </w:r>
      </w:hyperlink>
      <w:r w:rsidRPr="00ED438B">
        <w:t xml:space="preserve"> [Accessed 19/06/2020</w:t>
      </w:r>
    </w:p>
    <w:p w14:paraId="4635ECDC" w14:textId="17A786DA" w:rsidR="0080270A" w:rsidRPr="00ED438B" w:rsidRDefault="0080270A" w:rsidP="00B00D25">
      <w:pPr>
        <w:spacing w:line="360" w:lineRule="auto"/>
      </w:pPr>
      <w:r w:rsidRPr="00ED438B">
        <w:t xml:space="preserve">Keith, A. 2018. Medusa’s Gaze in Imperial Latin Epic: In memoriam R. Elaine </w:t>
      </w:r>
      <w:proofErr w:type="spellStart"/>
      <w:r w:rsidRPr="00ED438B">
        <w:t>Fantham</w:t>
      </w:r>
      <w:proofErr w:type="spellEnd"/>
      <w:r w:rsidRPr="00ED438B">
        <w:t xml:space="preserve"> (1933-2016). Helios 45, 145-167. </w:t>
      </w:r>
      <w:r w:rsidR="0034288F">
        <w:t>Available at</w:t>
      </w:r>
      <w:r w:rsidR="0034288F" w:rsidRPr="00ED438B">
        <w:t xml:space="preserve"> </w:t>
      </w:r>
      <w:hyperlink r:id="rId21" w:history="1">
        <w:r w:rsidRPr="00ED438B">
          <w:rPr>
            <w:rStyle w:val="Hyperlink"/>
            <w:rFonts w:cstheme="minorHAnsi"/>
            <w:color w:val="auto"/>
          </w:rPr>
          <w:t>https://ezproxy.uwtsd.ac.uk/login?url=https://search.ebscohost.com/login.aspx?direct=true&amp;db=aph&amp;AN=136001240&amp;site=ehost-live</w:t>
        </w:r>
      </w:hyperlink>
      <w:r w:rsidRPr="00ED438B">
        <w:t xml:space="preserve"> [Accessed //2020]</w:t>
      </w:r>
    </w:p>
    <w:p w14:paraId="1DCC9E66" w14:textId="77777777" w:rsidR="0080270A" w:rsidRPr="00ED438B" w:rsidRDefault="0080270A" w:rsidP="00B00D25">
      <w:pPr>
        <w:spacing w:line="360" w:lineRule="auto"/>
      </w:pPr>
      <w:r w:rsidRPr="00ED438B">
        <w:t>Leeming, D. 2005. Ovid in The Oxford Companion to World Mythology. Oxford; Oxford University Press.</w:t>
      </w:r>
    </w:p>
    <w:p w14:paraId="4DE566CD" w14:textId="752DD010" w:rsidR="0080270A" w:rsidRPr="00ED438B" w:rsidRDefault="0080270A" w:rsidP="00B00D25">
      <w:pPr>
        <w:spacing w:line="360" w:lineRule="auto"/>
      </w:pPr>
      <w:r w:rsidRPr="00ED438B">
        <w:t>Llewellyn-Jones, L. 2007. House and v</w:t>
      </w:r>
      <w:r w:rsidR="00FC1728">
        <w:t>e</w:t>
      </w:r>
      <w:r w:rsidRPr="00ED438B">
        <w:t xml:space="preserve">il in ancient Greece. British School at Athens Studies 15, 251-258. </w:t>
      </w:r>
      <w:r w:rsidR="0034288F">
        <w:t>Available at</w:t>
      </w:r>
      <w:r w:rsidR="0034288F" w:rsidRPr="00ED438B">
        <w:t xml:space="preserve"> </w:t>
      </w:r>
      <w:hyperlink r:id="rId22" w:history="1">
        <w:r w:rsidRPr="00ED438B">
          <w:rPr>
            <w:rStyle w:val="Hyperlink"/>
            <w:rFonts w:cstheme="minorHAnsi"/>
            <w:color w:val="auto"/>
          </w:rPr>
          <w:t>https://www.jstor.org/stable/40960594</w:t>
        </w:r>
      </w:hyperlink>
      <w:r w:rsidR="00FC1728">
        <w:rPr>
          <w:rStyle w:val="Hyperlink"/>
          <w:rFonts w:cstheme="minorHAnsi"/>
          <w:color w:val="auto"/>
        </w:rPr>
        <w:t xml:space="preserve"> </w:t>
      </w:r>
      <w:r w:rsidRPr="00ED438B">
        <w:t>[Accessed 05/06/2020]</w:t>
      </w:r>
    </w:p>
    <w:p w14:paraId="74A5A5B4" w14:textId="120F63E9" w:rsidR="0080270A" w:rsidRDefault="0080270A" w:rsidP="00B00D25">
      <w:pPr>
        <w:spacing w:line="360" w:lineRule="auto"/>
      </w:pPr>
      <w:r w:rsidRPr="00ED438B">
        <w:t>Mack, S. 1988. Ovid. London; Yale University Press.</w:t>
      </w:r>
    </w:p>
    <w:p w14:paraId="7378AE71" w14:textId="67D368D4" w:rsidR="005D082B" w:rsidRPr="00ED438B" w:rsidRDefault="005D082B" w:rsidP="00B00D25">
      <w:pPr>
        <w:spacing w:line="360" w:lineRule="auto"/>
      </w:pPr>
      <w:r>
        <w:t>Mayor, A. 2000. The First Fossil Hunters: Dinosaurs, Mammoths and Myth in Greek and Roman Times. New Jersey; Princeton University Press</w:t>
      </w:r>
    </w:p>
    <w:p w14:paraId="11D2E56D" w14:textId="77777777" w:rsidR="0080270A" w:rsidRPr="00ED438B" w:rsidRDefault="0080270A" w:rsidP="00B00D25">
      <w:pPr>
        <w:spacing w:line="360" w:lineRule="auto"/>
      </w:pPr>
      <w:r w:rsidRPr="00ED438B">
        <w:t>Murgatroyd, P. 2013. Mythical Monsters in Classical Literature. London; Bloomsbury Publications.</w:t>
      </w:r>
    </w:p>
    <w:p w14:paraId="62B843F6" w14:textId="77777777" w:rsidR="0080270A" w:rsidRPr="00ED438B" w:rsidRDefault="0080270A" w:rsidP="00B00D25">
      <w:pPr>
        <w:spacing w:line="360" w:lineRule="auto"/>
      </w:pPr>
      <w:r w:rsidRPr="00ED438B">
        <w:t xml:space="preserve">Ogden, D. 2013. </w:t>
      </w:r>
      <w:proofErr w:type="spellStart"/>
      <w:r w:rsidRPr="00ED438B">
        <w:t>Drakon</w:t>
      </w:r>
      <w:proofErr w:type="spellEnd"/>
      <w:r w:rsidRPr="00ED438B">
        <w:t>. Oxford; Oxford university Press.</w:t>
      </w:r>
    </w:p>
    <w:p w14:paraId="52142B81" w14:textId="3B64A3E8" w:rsidR="0080270A" w:rsidRPr="00ED438B" w:rsidRDefault="0080270A" w:rsidP="00B00D25">
      <w:pPr>
        <w:spacing w:line="360" w:lineRule="auto"/>
      </w:pPr>
      <w:r w:rsidRPr="00ED438B">
        <w:t xml:space="preserve">Room, J. 1998. Herodotus. London; Yale University Press. </w:t>
      </w:r>
      <w:r w:rsidR="0034288F">
        <w:t>Available at</w:t>
      </w:r>
      <w:r w:rsidR="0034288F" w:rsidRPr="00ED438B">
        <w:t xml:space="preserve"> </w:t>
      </w:r>
      <w:hyperlink r:id="rId23" w:history="1">
        <w:r w:rsidRPr="00ED438B">
          <w:rPr>
            <w:rStyle w:val="Hyperlink"/>
            <w:rFonts w:cstheme="minorHAnsi"/>
            <w:color w:val="auto"/>
          </w:rPr>
          <w:t>https://www.jstor.org/stable/j.ctt32bkm5.6</w:t>
        </w:r>
      </w:hyperlink>
      <w:r w:rsidR="00FC1728">
        <w:t xml:space="preserve"> </w:t>
      </w:r>
      <w:r w:rsidRPr="00ED438B">
        <w:t>[Accessed //2020]</w:t>
      </w:r>
    </w:p>
    <w:p w14:paraId="5A9C736C" w14:textId="18E4CFA9" w:rsidR="00241D4E" w:rsidRDefault="00241D4E" w:rsidP="00B00D25">
      <w:pPr>
        <w:spacing w:line="360" w:lineRule="auto"/>
      </w:pPr>
      <w:r>
        <w:lastRenderedPageBreak/>
        <w:t xml:space="preserve">Russell, B. F. 2003. Wine, Women, and the Polis: Gender and the Formation of the City-State in Archaic Rome. Greece &amp; Rome 50(1), 77-84. </w:t>
      </w:r>
      <w:r w:rsidR="0034288F">
        <w:t>Available at</w:t>
      </w:r>
      <w:r w:rsidR="0034288F" w:rsidRPr="00ED438B">
        <w:t xml:space="preserve"> </w:t>
      </w:r>
      <w:hyperlink r:id="rId24" w:history="1">
        <w:r w:rsidRPr="009B400F">
          <w:rPr>
            <w:rStyle w:val="Hyperlink"/>
          </w:rPr>
          <w:t>https://www.jstor.org/stable/3567821</w:t>
        </w:r>
      </w:hyperlink>
      <w:r>
        <w:t xml:space="preserve"> [Accessed 03/07/2020]</w:t>
      </w:r>
    </w:p>
    <w:p w14:paraId="6AD5C65B" w14:textId="197FE5B8" w:rsidR="0080270A" w:rsidRPr="00ED438B" w:rsidRDefault="0080270A" w:rsidP="00B00D25">
      <w:pPr>
        <w:spacing w:line="360" w:lineRule="auto"/>
      </w:pPr>
      <w:proofErr w:type="spellStart"/>
      <w:r w:rsidRPr="00ED438B">
        <w:t>Scodel</w:t>
      </w:r>
      <w:proofErr w:type="spellEnd"/>
      <w:r w:rsidRPr="00ED438B">
        <w:t>, R. 2010. Hesiod in The Oxford Encyclopaedia of Ancient Greece and Rome. Oxford; Oxford University Press.</w:t>
      </w:r>
    </w:p>
    <w:p w14:paraId="262790BD" w14:textId="77777777" w:rsidR="0080270A" w:rsidRPr="00ED438B" w:rsidRDefault="0080270A" w:rsidP="00B00D25">
      <w:pPr>
        <w:spacing w:line="360" w:lineRule="auto"/>
      </w:pPr>
      <w:r w:rsidRPr="00ED438B">
        <w:t>Tyrell, WM. B. 2010. Mythography in The Oxford Encyclopaedia of Ancient Greece and Rome. Oxford; Oxford University Press.</w:t>
      </w:r>
    </w:p>
    <w:p w14:paraId="56E869EA" w14:textId="77777777" w:rsidR="0080270A" w:rsidRPr="00ED438B" w:rsidRDefault="0080270A" w:rsidP="00B00D25">
      <w:pPr>
        <w:spacing w:line="360" w:lineRule="auto"/>
      </w:pPr>
      <w:proofErr w:type="spellStart"/>
      <w:r w:rsidRPr="00ED438B">
        <w:t>Willcock</w:t>
      </w:r>
      <w:proofErr w:type="spellEnd"/>
      <w:r w:rsidRPr="00ED438B">
        <w:t>, M.M.W.M. 2012. Homer in The Oxford Classical Dictionary. Oxford; Oxford University Press.</w:t>
      </w:r>
    </w:p>
    <w:p w14:paraId="2D342C3F" w14:textId="01A2807E" w:rsidR="0080270A" w:rsidRPr="00ED438B" w:rsidRDefault="0080270A" w:rsidP="00B00D25">
      <w:pPr>
        <w:spacing w:line="360" w:lineRule="auto"/>
      </w:pPr>
    </w:p>
    <w:p w14:paraId="52282103" w14:textId="0EF0BB5B" w:rsidR="0008318F" w:rsidRPr="00B00D25" w:rsidRDefault="0008318F" w:rsidP="00B00D25">
      <w:pPr>
        <w:spacing w:line="360" w:lineRule="auto"/>
        <w:rPr>
          <w:b/>
          <w:bCs/>
        </w:rPr>
      </w:pPr>
      <w:r w:rsidRPr="00B00D25">
        <w:rPr>
          <w:b/>
          <w:bCs/>
        </w:rPr>
        <w:t>Cinematography</w:t>
      </w:r>
    </w:p>
    <w:p w14:paraId="4592387D" w14:textId="6124F6DB" w:rsidR="0080270A" w:rsidRPr="00ED438B" w:rsidRDefault="0008318F" w:rsidP="00B00D25">
      <w:pPr>
        <w:spacing w:line="360" w:lineRule="auto"/>
      </w:pPr>
      <w:r w:rsidRPr="00ED438B">
        <w:rPr>
          <w:i/>
          <w:iCs/>
        </w:rPr>
        <w:t>Clash of the Titans</w:t>
      </w:r>
      <w:r w:rsidRPr="00ED438B">
        <w:t xml:space="preserve"> (2010) Directed by Louis Leterrier [DVD] United States: Warner Bros. Pictures.</w:t>
      </w:r>
    </w:p>
    <w:p w14:paraId="71EFCF2D" w14:textId="11CFE747" w:rsidR="0008318F" w:rsidRPr="00ED438B" w:rsidRDefault="0008318F" w:rsidP="00B00D25">
      <w:pPr>
        <w:spacing w:line="360" w:lineRule="auto"/>
      </w:pPr>
      <w:r w:rsidRPr="00ED438B">
        <w:rPr>
          <w:i/>
          <w:iCs/>
        </w:rPr>
        <w:t xml:space="preserve">Percy Jackson &amp; the Olympians: The Lightning Thief </w:t>
      </w:r>
      <w:r w:rsidRPr="00ED438B">
        <w:t>(2010) Directed by Chris Columbus [DVD] United States: 20</w:t>
      </w:r>
      <w:r w:rsidRPr="00ED438B">
        <w:rPr>
          <w:vertAlign w:val="superscript"/>
        </w:rPr>
        <w:t>th</w:t>
      </w:r>
      <w:r w:rsidRPr="00ED438B">
        <w:t xml:space="preserve"> Century Fox.</w:t>
      </w:r>
    </w:p>
    <w:p w14:paraId="158DF7D1" w14:textId="1C71782E" w:rsidR="0080270A" w:rsidRPr="00B00D25" w:rsidRDefault="0080270A" w:rsidP="00B00D25">
      <w:pPr>
        <w:spacing w:line="360" w:lineRule="auto"/>
        <w:rPr>
          <w:b/>
          <w:bCs/>
        </w:rPr>
      </w:pPr>
      <w:r w:rsidRPr="00B00D25">
        <w:rPr>
          <w:b/>
          <w:bCs/>
        </w:rPr>
        <w:t>Images</w:t>
      </w:r>
    </w:p>
    <w:p w14:paraId="481C4F5B" w14:textId="2FCCFF9C" w:rsidR="00727AF8" w:rsidRDefault="003132AB" w:rsidP="00B00D25">
      <w:pPr>
        <w:spacing w:line="360" w:lineRule="auto"/>
      </w:pPr>
      <w:r>
        <w:t xml:space="preserve">Figure 1 – Terracotta </w:t>
      </w:r>
      <w:proofErr w:type="spellStart"/>
      <w:r>
        <w:t>pelike</w:t>
      </w:r>
      <w:proofErr w:type="spellEnd"/>
      <w:r>
        <w:t xml:space="preserve"> (jar) Ca.450-440 BC.</w:t>
      </w:r>
      <w:r w:rsidR="00EF1917">
        <w:t xml:space="preserve"> Met Museum [Online].</w:t>
      </w:r>
      <w:r>
        <w:t xml:space="preserve"> </w:t>
      </w:r>
      <w:r w:rsidR="00EF1917">
        <w:t>Available at</w:t>
      </w:r>
      <w:r>
        <w:t xml:space="preserve"> </w:t>
      </w:r>
      <w:hyperlink r:id="rId25" w:history="1">
        <w:r>
          <w:rPr>
            <w:rStyle w:val="Hyperlink"/>
          </w:rPr>
          <w:t>https://www.metmuseum.org/art/collection/search/254523</w:t>
        </w:r>
      </w:hyperlink>
    </w:p>
    <w:p w14:paraId="097AA37E" w14:textId="16D78E87" w:rsidR="005B68BE" w:rsidRPr="005B68BE" w:rsidRDefault="003132AB" w:rsidP="00B00D25">
      <w:pPr>
        <w:spacing w:line="360" w:lineRule="auto"/>
        <w:rPr>
          <w:color w:val="0000FF"/>
          <w:u w:val="single"/>
        </w:rPr>
      </w:pPr>
      <w:r>
        <w:t xml:space="preserve">Figure 2 </w:t>
      </w:r>
      <w:r w:rsidR="00367D61">
        <w:t>–</w:t>
      </w:r>
      <w:r>
        <w:t xml:space="preserve"> </w:t>
      </w:r>
      <w:r w:rsidR="00367D61">
        <w:t xml:space="preserve">Terracotta stand Ca. 570 BC. </w:t>
      </w:r>
      <w:r w:rsidR="00EF1917">
        <w:t xml:space="preserve">Met Museum [Online]. Available at </w:t>
      </w:r>
      <w:hyperlink r:id="rId26" w:history="1">
        <w:r w:rsidR="00367D61">
          <w:rPr>
            <w:rStyle w:val="Hyperlink"/>
          </w:rPr>
          <w:t>https://www.metmuseum.org/art/collection/search/253342</w:t>
        </w:r>
      </w:hyperlink>
    </w:p>
    <w:p w14:paraId="5EF2AED0" w14:textId="5D1732D6" w:rsidR="005B68BE" w:rsidRDefault="005B68BE" w:rsidP="00B00D25">
      <w:pPr>
        <w:spacing w:line="360" w:lineRule="auto"/>
      </w:pPr>
      <w:r>
        <w:t xml:space="preserve">Figure 3 – Red-figured hydria Ca. 490 BC. British Museum [Online] Available at </w:t>
      </w:r>
      <w:hyperlink r:id="rId27" w:history="1">
        <w:r>
          <w:rPr>
            <w:rStyle w:val="Hyperlink"/>
          </w:rPr>
          <w:t>https://www.britishmuseum.org/collection/object/G_1867-0508-1048</w:t>
        </w:r>
      </w:hyperlink>
    </w:p>
    <w:p w14:paraId="23FE3107" w14:textId="66838784" w:rsidR="00367D61" w:rsidRDefault="00367D61" w:rsidP="00B00D25">
      <w:pPr>
        <w:spacing w:line="360" w:lineRule="auto"/>
      </w:pPr>
      <w:r>
        <w:t xml:space="preserve">Figure </w:t>
      </w:r>
      <w:r w:rsidR="005B68BE">
        <w:t xml:space="preserve">4 </w:t>
      </w:r>
      <w:r>
        <w:t xml:space="preserve">- Terracotta </w:t>
      </w:r>
      <w:proofErr w:type="spellStart"/>
      <w:r>
        <w:t>askos</w:t>
      </w:r>
      <w:proofErr w:type="spellEnd"/>
      <w:r>
        <w:t xml:space="preserve"> Ca. 300-250 BC.</w:t>
      </w:r>
      <w:r w:rsidR="00EF1917">
        <w:t xml:space="preserve"> British Museum [Online] Available at</w:t>
      </w:r>
      <w:r>
        <w:t xml:space="preserve"> </w:t>
      </w:r>
      <w:hyperlink r:id="rId28" w:history="1">
        <w:r>
          <w:rPr>
            <w:rStyle w:val="Hyperlink"/>
          </w:rPr>
          <w:t>https://www.britishmuseum.org/collection/object/G_1856-1226-427</w:t>
        </w:r>
      </w:hyperlink>
      <w:r>
        <w:t xml:space="preserve"> </w:t>
      </w:r>
    </w:p>
    <w:p w14:paraId="6B5C56BB" w14:textId="2E3975B5" w:rsidR="00727AF8" w:rsidRDefault="00727AF8" w:rsidP="00B00D25">
      <w:pPr>
        <w:spacing w:line="360" w:lineRule="auto"/>
      </w:pPr>
    </w:p>
    <w:p w14:paraId="6D657259" w14:textId="016CEA45" w:rsidR="00727AF8" w:rsidRDefault="00727AF8" w:rsidP="00B00D25">
      <w:pPr>
        <w:spacing w:line="360" w:lineRule="auto"/>
      </w:pPr>
    </w:p>
    <w:p w14:paraId="4A640234" w14:textId="77777777" w:rsidR="00727AF8" w:rsidRPr="00ED438B" w:rsidRDefault="00727AF8" w:rsidP="00B00D25">
      <w:pPr>
        <w:spacing w:line="360" w:lineRule="auto"/>
      </w:pPr>
    </w:p>
    <w:bookmarkEnd w:id="0"/>
    <w:p w14:paraId="051C0884" w14:textId="77777777" w:rsidR="0080270A" w:rsidRPr="00ED438B" w:rsidRDefault="0080270A" w:rsidP="00B00D25">
      <w:pPr>
        <w:spacing w:line="360" w:lineRule="auto"/>
        <w:rPr>
          <w:lang w:val="en-US"/>
        </w:rPr>
      </w:pPr>
    </w:p>
    <w:p w14:paraId="1FB3A392" w14:textId="321567BC" w:rsidR="00F44C13" w:rsidRDefault="00F44C13" w:rsidP="00B00D25">
      <w:pPr>
        <w:spacing w:line="360" w:lineRule="auto"/>
      </w:pPr>
      <w:r>
        <w:lastRenderedPageBreak/>
        <w:t xml:space="preserve">Gorgon of the </w:t>
      </w:r>
      <w:proofErr w:type="spellStart"/>
      <w:r>
        <w:t>snakey</w:t>
      </w:r>
      <w:proofErr w:type="spellEnd"/>
      <w:r>
        <w:t xml:space="preserve"> locks </w:t>
      </w:r>
      <w:r>
        <w:sym w:font="Wingdings" w:char="F0E0"/>
      </w:r>
      <w:r>
        <w:t xml:space="preserve"> </w:t>
      </w:r>
      <w:hyperlink r:id="rId29" w:history="1">
        <w:r>
          <w:rPr>
            <w:rStyle w:val="Hyperlink"/>
          </w:rPr>
          <w:t>https://www-loebclassics-com.ezproxy.uwtsd.ac.uk/view/ovid-metamorphoses/1916/pb_LCL042.227.xml?mainRsKey=5J7WuP&amp;result=6&amp;rskey=qUSO5w</w:t>
        </w:r>
      </w:hyperlink>
    </w:p>
    <w:p w14:paraId="7A396059" w14:textId="50E9D1F7" w:rsidR="00F44C13" w:rsidRDefault="00F44C13" w:rsidP="00B00D25">
      <w:pPr>
        <w:spacing w:line="360" w:lineRule="auto"/>
      </w:pPr>
      <w:r>
        <w:t xml:space="preserve">Gorgons </w:t>
      </w:r>
      <w:proofErr w:type="spellStart"/>
      <w:r>
        <w:t>snakey</w:t>
      </w:r>
      <w:proofErr w:type="spellEnd"/>
      <w:r>
        <w:t xml:space="preserve"> </w:t>
      </w:r>
      <w:proofErr w:type="spellStart"/>
      <w:r>
        <w:t>haed</w:t>
      </w:r>
      <w:proofErr w:type="spellEnd"/>
      <w:r>
        <w:t xml:space="preserve"> </w:t>
      </w:r>
      <w:r>
        <w:sym w:font="Wingdings" w:char="F0E0"/>
      </w:r>
      <w:r>
        <w:t xml:space="preserve"> </w:t>
      </w:r>
      <w:hyperlink r:id="rId30" w:history="1">
        <w:r>
          <w:rPr>
            <w:rStyle w:val="Hyperlink"/>
          </w:rPr>
          <w:t>https://www-loebclassics-com.ezproxy.uwtsd.ac.uk/view/ovid-metamorphoses/1916/pb_LCL042.231.xml?mainRsKey=5J7WuP&amp;result=6&amp;rskey=qUSO5w</w:t>
        </w:r>
      </w:hyperlink>
    </w:p>
    <w:p w14:paraId="3528E0D3" w14:textId="696F66E3" w:rsidR="00514E48" w:rsidRDefault="00514E48" w:rsidP="00B00D25">
      <w:pPr>
        <w:spacing w:line="360" w:lineRule="auto"/>
      </w:pPr>
      <w:r>
        <w:t xml:space="preserve">Raised the gorgons head </w:t>
      </w:r>
      <w:r>
        <w:sym w:font="Wingdings" w:char="F0E0"/>
      </w:r>
      <w:r>
        <w:t xml:space="preserve"> </w:t>
      </w:r>
      <w:hyperlink r:id="rId31" w:history="1">
        <w:r>
          <w:rPr>
            <w:rStyle w:val="Hyperlink"/>
          </w:rPr>
          <w:t>https://www-loebclassics-com.ezproxy.uwtsd.ac.uk/view/ovid-metamorphoses/1916/pb_LCL042.251.xml?mainRsKey=5J7WuP&amp;result=6&amp;rskey=qUSO5w</w:t>
        </w:r>
      </w:hyperlink>
    </w:p>
    <w:p w14:paraId="1D083D09" w14:textId="601A4CD2" w:rsidR="00514E48" w:rsidRDefault="00514E48" w:rsidP="00B00D25">
      <w:pPr>
        <w:spacing w:line="360" w:lineRule="auto"/>
      </w:pPr>
    </w:p>
    <w:p w14:paraId="6C020A39" w14:textId="77777777" w:rsidR="00514E48" w:rsidRPr="00ED438B" w:rsidRDefault="00514E48" w:rsidP="00B00D25">
      <w:pPr>
        <w:spacing w:line="360" w:lineRule="auto"/>
        <w:rPr>
          <w:lang w:val="en-US"/>
        </w:rPr>
      </w:pPr>
    </w:p>
    <w:sectPr w:rsidR="00514E48" w:rsidRPr="00ED438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BFF03D" w14:textId="77777777" w:rsidR="00B73803" w:rsidRDefault="00B73803" w:rsidP="00360D32">
      <w:pPr>
        <w:spacing w:after="0" w:line="240" w:lineRule="auto"/>
      </w:pPr>
      <w:r>
        <w:separator/>
      </w:r>
    </w:p>
  </w:endnote>
  <w:endnote w:type="continuationSeparator" w:id="0">
    <w:p w14:paraId="2B7052DA" w14:textId="77777777" w:rsidR="00B73803" w:rsidRDefault="00B73803" w:rsidP="00360D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15B266" w14:textId="77777777" w:rsidR="00B73803" w:rsidRDefault="00B73803" w:rsidP="00360D32">
      <w:pPr>
        <w:spacing w:after="0" w:line="240" w:lineRule="auto"/>
      </w:pPr>
      <w:r>
        <w:separator/>
      </w:r>
    </w:p>
  </w:footnote>
  <w:footnote w:type="continuationSeparator" w:id="0">
    <w:p w14:paraId="6C065FF8" w14:textId="77777777" w:rsidR="00B73803" w:rsidRDefault="00B73803" w:rsidP="00360D32">
      <w:pPr>
        <w:spacing w:after="0" w:line="240" w:lineRule="auto"/>
      </w:pPr>
      <w:r>
        <w:continuationSeparator/>
      </w:r>
    </w:p>
  </w:footnote>
  <w:footnote w:id="1">
    <w:p w14:paraId="39BCAB98" w14:textId="08766235" w:rsidR="005142D6" w:rsidRDefault="005142D6">
      <w:pPr>
        <w:pStyle w:val="FootnoteText"/>
      </w:pPr>
      <w:r>
        <w:rPr>
          <w:rStyle w:val="FootnoteReference"/>
        </w:rPr>
        <w:footnoteRef/>
      </w:r>
      <w:r>
        <w:t xml:space="preserve"> </w:t>
      </w:r>
      <w:r w:rsidRPr="00756A20">
        <w:rPr>
          <w:i/>
          <w:iCs/>
        </w:rPr>
        <w:t>Percy Jackson &amp; the Olympians: The Lightning Thief</w:t>
      </w:r>
      <w:r>
        <w:t>. 2010.</w:t>
      </w:r>
    </w:p>
  </w:footnote>
  <w:footnote w:id="2">
    <w:p w14:paraId="13EA3FC2" w14:textId="5D7F70DD" w:rsidR="005142D6" w:rsidRDefault="005142D6">
      <w:pPr>
        <w:pStyle w:val="FootnoteText"/>
      </w:pPr>
      <w:r>
        <w:rPr>
          <w:rStyle w:val="FootnoteReference"/>
        </w:rPr>
        <w:footnoteRef/>
      </w:r>
      <w:r>
        <w:t xml:space="preserve"> </w:t>
      </w:r>
      <w:r w:rsidRPr="00756A20">
        <w:rPr>
          <w:i/>
          <w:iCs/>
        </w:rPr>
        <w:t>Clash of the Titans.</w:t>
      </w:r>
      <w:r>
        <w:t xml:space="preserve"> 2010.</w:t>
      </w:r>
    </w:p>
  </w:footnote>
  <w:footnote w:id="3">
    <w:p w14:paraId="61D3405E" w14:textId="0A2F0E68" w:rsidR="005142D6" w:rsidRPr="00756A20" w:rsidRDefault="005142D6">
      <w:pPr>
        <w:pStyle w:val="FootnoteText"/>
      </w:pPr>
      <w:r>
        <w:rPr>
          <w:rStyle w:val="FootnoteReference"/>
        </w:rPr>
        <w:footnoteRef/>
      </w:r>
      <w:r>
        <w:t xml:space="preserve"> Glennon. SV. </w:t>
      </w:r>
      <w:r>
        <w:rPr>
          <w:i/>
          <w:iCs/>
        </w:rPr>
        <w:t xml:space="preserve">Medusa in Ancient Greek Art. </w:t>
      </w:r>
      <w:r>
        <w:t>2017.</w:t>
      </w:r>
    </w:p>
  </w:footnote>
  <w:footnote w:id="4">
    <w:p w14:paraId="08B734C9" w14:textId="5FB9FB7F" w:rsidR="005B68BE" w:rsidRPr="005B68BE" w:rsidRDefault="005B68BE">
      <w:pPr>
        <w:pStyle w:val="FootnoteText"/>
        <w:rPr>
          <w:lang w:val="en-US"/>
        </w:rPr>
      </w:pPr>
      <w:r>
        <w:rPr>
          <w:rStyle w:val="FootnoteReference"/>
        </w:rPr>
        <w:footnoteRef/>
      </w:r>
      <w:r>
        <w:t xml:space="preserve"> </w:t>
      </w:r>
      <w:proofErr w:type="spellStart"/>
      <w:r>
        <w:rPr>
          <w:lang w:val="en-US"/>
        </w:rPr>
        <w:t>Ov</w:t>
      </w:r>
      <w:proofErr w:type="spellEnd"/>
      <w:r>
        <w:rPr>
          <w:lang w:val="en-US"/>
        </w:rPr>
        <w:t>. Met. 4.794-797.</w:t>
      </w:r>
    </w:p>
  </w:footnote>
  <w:footnote w:id="5">
    <w:p w14:paraId="173E6118" w14:textId="633194B3" w:rsidR="005142D6" w:rsidRDefault="005142D6">
      <w:pPr>
        <w:pStyle w:val="FootnoteText"/>
      </w:pPr>
      <w:r>
        <w:rPr>
          <w:rStyle w:val="FootnoteReference"/>
        </w:rPr>
        <w:footnoteRef/>
      </w:r>
      <w:r>
        <w:t xml:space="preserve"> </w:t>
      </w:r>
      <w:proofErr w:type="spellStart"/>
      <w:r>
        <w:t>Hes</w:t>
      </w:r>
      <w:proofErr w:type="spellEnd"/>
      <w:r>
        <w:t xml:space="preserve">. </w:t>
      </w:r>
      <w:proofErr w:type="spellStart"/>
      <w:r>
        <w:t>Theog</w:t>
      </w:r>
      <w:proofErr w:type="spellEnd"/>
      <w:r>
        <w:t>. 270-280.</w:t>
      </w:r>
    </w:p>
  </w:footnote>
  <w:footnote w:id="6">
    <w:p w14:paraId="09865180" w14:textId="081B3F87" w:rsidR="00D64284" w:rsidRDefault="00D64284">
      <w:pPr>
        <w:pStyle w:val="FootnoteText"/>
      </w:pPr>
      <w:r>
        <w:rPr>
          <w:rStyle w:val="FootnoteReference"/>
        </w:rPr>
        <w:footnoteRef/>
      </w:r>
      <w:r>
        <w:t xml:space="preserve"> Affleck. 2011. 25-26.</w:t>
      </w:r>
    </w:p>
  </w:footnote>
  <w:footnote w:id="7">
    <w:p w14:paraId="255F7C7A" w14:textId="73C3D87F" w:rsidR="007D2220" w:rsidRPr="007D2220" w:rsidRDefault="007D2220">
      <w:pPr>
        <w:pStyle w:val="FootnoteText"/>
        <w:rPr>
          <w:lang w:val="en-US"/>
        </w:rPr>
      </w:pPr>
      <w:r>
        <w:rPr>
          <w:rStyle w:val="FootnoteReference"/>
        </w:rPr>
        <w:footnoteRef/>
      </w:r>
      <w:r>
        <w:t xml:space="preserve"> </w:t>
      </w:r>
      <w:proofErr w:type="spellStart"/>
      <w:r>
        <w:rPr>
          <w:lang w:val="en-US"/>
        </w:rPr>
        <w:t>Hom</w:t>
      </w:r>
      <w:proofErr w:type="spellEnd"/>
      <w:r>
        <w:rPr>
          <w:lang w:val="en-US"/>
        </w:rPr>
        <w:t>. Od. 11.634-635.</w:t>
      </w:r>
    </w:p>
  </w:footnote>
  <w:footnote w:id="8">
    <w:p w14:paraId="652CEB57" w14:textId="4AD4CCBE" w:rsidR="00B13E41" w:rsidRPr="00B13E41" w:rsidRDefault="00B13E41">
      <w:pPr>
        <w:pStyle w:val="FootnoteText"/>
        <w:rPr>
          <w:lang w:val="en-US"/>
        </w:rPr>
      </w:pPr>
      <w:r>
        <w:rPr>
          <w:rStyle w:val="FootnoteReference"/>
        </w:rPr>
        <w:footnoteRef/>
      </w:r>
      <w:r>
        <w:t xml:space="preserve"> </w:t>
      </w:r>
      <w:proofErr w:type="spellStart"/>
      <w:r>
        <w:rPr>
          <w:lang w:val="en-US"/>
        </w:rPr>
        <w:t>Hom</w:t>
      </w:r>
      <w:proofErr w:type="spellEnd"/>
      <w:r>
        <w:rPr>
          <w:lang w:val="en-US"/>
        </w:rPr>
        <w:t>. Il. 5.741-742.</w:t>
      </w:r>
    </w:p>
  </w:footnote>
  <w:footnote w:id="9">
    <w:p w14:paraId="69B5102E" w14:textId="25994FB7" w:rsidR="00130B5B" w:rsidRPr="00130B5B" w:rsidRDefault="00130B5B">
      <w:pPr>
        <w:pStyle w:val="FootnoteText"/>
      </w:pPr>
      <w:r>
        <w:rPr>
          <w:rStyle w:val="FootnoteReference"/>
        </w:rPr>
        <w:footnoteRef/>
      </w:r>
      <w:r>
        <w:t xml:space="preserve"> Cartwright. SV. </w:t>
      </w:r>
      <w:proofErr w:type="spellStart"/>
      <w:r>
        <w:rPr>
          <w:i/>
          <w:iCs/>
        </w:rPr>
        <w:t>Selinus</w:t>
      </w:r>
      <w:proofErr w:type="spellEnd"/>
      <w:r>
        <w:rPr>
          <w:i/>
          <w:iCs/>
        </w:rPr>
        <w:t xml:space="preserve">. </w:t>
      </w:r>
      <w:r>
        <w:t>2014.</w:t>
      </w:r>
    </w:p>
  </w:footnote>
  <w:footnote w:id="10">
    <w:p w14:paraId="7FC5F95D" w14:textId="0C541C54" w:rsidR="00760F29" w:rsidRDefault="00760F29">
      <w:pPr>
        <w:pStyle w:val="FootnoteText"/>
      </w:pPr>
      <w:r>
        <w:rPr>
          <w:rStyle w:val="FootnoteReference"/>
        </w:rPr>
        <w:footnoteRef/>
      </w:r>
      <w:r>
        <w:t xml:space="preserve"> </w:t>
      </w:r>
      <w:proofErr w:type="spellStart"/>
      <w:r>
        <w:t>Aesch</w:t>
      </w:r>
      <w:proofErr w:type="spellEnd"/>
      <w:r>
        <w:t>. PV. 797.</w:t>
      </w:r>
    </w:p>
  </w:footnote>
  <w:footnote w:id="11">
    <w:p w14:paraId="15C133D7" w14:textId="1ECC5015" w:rsidR="00B00D25" w:rsidRDefault="00B00D25">
      <w:pPr>
        <w:pStyle w:val="FootnoteText"/>
      </w:pPr>
      <w:r>
        <w:rPr>
          <w:rStyle w:val="FootnoteReference"/>
        </w:rPr>
        <w:footnoteRef/>
      </w:r>
      <w:r>
        <w:t xml:space="preserve"> </w:t>
      </w:r>
      <w:proofErr w:type="spellStart"/>
      <w:r>
        <w:t>Frothingham</w:t>
      </w:r>
      <w:proofErr w:type="spellEnd"/>
      <w:r>
        <w:t xml:space="preserve">. 1911. </w:t>
      </w:r>
      <w:r w:rsidR="004159AD">
        <w:t>369-370.</w:t>
      </w:r>
    </w:p>
  </w:footnote>
  <w:footnote w:id="12">
    <w:p w14:paraId="5AAD96CB" w14:textId="6D0D2C2E" w:rsidR="005142D6" w:rsidRDefault="005142D6">
      <w:pPr>
        <w:pStyle w:val="FootnoteText"/>
      </w:pPr>
      <w:r>
        <w:rPr>
          <w:rStyle w:val="FootnoteReference"/>
        </w:rPr>
        <w:footnoteRef/>
      </w:r>
      <w:r>
        <w:t xml:space="preserve"> </w:t>
      </w:r>
      <w:proofErr w:type="spellStart"/>
      <w:r>
        <w:t>Hes</w:t>
      </w:r>
      <w:proofErr w:type="spellEnd"/>
      <w:r>
        <w:t xml:space="preserve">. </w:t>
      </w:r>
      <w:proofErr w:type="spellStart"/>
      <w:r>
        <w:t>Theog</w:t>
      </w:r>
      <w:proofErr w:type="spellEnd"/>
      <w:r>
        <w:t>. 280-287.</w:t>
      </w:r>
    </w:p>
  </w:footnote>
  <w:footnote w:id="13">
    <w:p w14:paraId="7955CF65" w14:textId="12CFA9AD" w:rsidR="007031A6" w:rsidRPr="007031A6" w:rsidRDefault="007031A6">
      <w:pPr>
        <w:pStyle w:val="FootnoteText"/>
        <w:rPr>
          <w:lang w:val="en-US"/>
        </w:rPr>
      </w:pPr>
      <w:r>
        <w:rPr>
          <w:rStyle w:val="FootnoteReference"/>
        </w:rPr>
        <w:footnoteRef/>
      </w:r>
      <w:r>
        <w:t xml:space="preserve"> </w:t>
      </w:r>
      <w:proofErr w:type="spellStart"/>
      <w:r>
        <w:rPr>
          <w:lang w:val="en-US"/>
        </w:rPr>
        <w:t>Hes</w:t>
      </w:r>
      <w:proofErr w:type="spellEnd"/>
      <w:r>
        <w:rPr>
          <w:lang w:val="en-US"/>
        </w:rPr>
        <w:t xml:space="preserve">. </w:t>
      </w:r>
      <w:proofErr w:type="spellStart"/>
      <w:r>
        <w:rPr>
          <w:lang w:val="en-US"/>
        </w:rPr>
        <w:t>Theog</w:t>
      </w:r>
      <w:proofErr w:type="spellEnd"/>
      <w:r>
        <w:rPr>
          <w:lang w:val="en-US"/>
        </w:rPr>
        <w:t>. 149-159.</w:t>
      </w:r>
    </w:p>
  </w:footnote>
  <w:footnote w:id="14">
    <w:p w14:paraId="501F8288" w14:textId="58CB808C" w:rsidR="005D082B" w:rsidRPr="005D082B" w:rsidRDefault="005D082B">
      <w:pPr>
        <w:pStyle w:val="FootnoteText"/>
        <w:rPr>
          <w:lang w:val="en-US"/>
        </w:rPr>
      </w:pPr>
      <w:r>
        <w:rPr>
          <w:rStyle w:val="FootnoteReference"/>
        </w:rPr>
        <w:footnoteRef/>
      </w:r>
      <w:r>
        <w:t xml:space="preserve"> </w:t>
      </w:r>
      <w:r>
        <w:rPr>
          <w:lang w:val="en-US"/>
        </w:rPr>
        <w:t>Mayor. 2000. 232.</w:t>
      </w:r>
    </w:p>
  </w:footnote>
  <w:footnote w:id="15">
    <w:p w14:paraId="7C32D82F" w14:textId="23FA57E7" w:rsidR="00A43D72" w:rsidRPr="00A43D72" w:rsidRDefault="00A43D72">
      <w:pPr>
        <w:pStyle w:val="FootnoteText"/>
        <w:rPr>
          <w:lang w:val="en-US"/>
        </w:rPr>
      </w:pPr>
      <w:r>
        <w:rPr>
          <w:rStyle w:val="FootnoteReference"/>
        </w:rPr>
        <w:footnoteRef/>
      </w:r>
      <w:r>
        <w:t xml:space="preserve"> </w:t>
      </w:r>
      <w:r>
        <w:rPr>
          <w:lang w:val="en-US"/>
        </w:rPr>
        <w:t>Keith. 2018. 145.</w:t>
      </w:r>
      <w:r w:rsidR="005727DE">
        <w:rPr>
          <w:lang w:val="en-US"/>
        </w:rPr>
        <w:t xml:space="preserve"> Currie. 2011. 172.</w:t>
      </w:r>
    </w:p>
  </w:footnote>
  <w:footnote w:id="16">
    <w:p w14:paraId="3AEB5180" w14:textId="175FC81F" w:rsidR="00241D4E" w:rsidRPr="00241D4E" w:rsidRDefault="009F701F">
      <w:pPr>
        <w:pStyle w:val="FootnoteText"/>
        <w:rPr>
          <w:lang w:val="en-US"/>
        </w:rPr>
      </w:pPr>
      <w:r>
        <w:rPr>
          <w:rStyle w:val="FootnoteReference"/>
        </w:rPr>
        <w:footnoteRef/>
      </w:r>
      <w:r w:rsidR="00241D4E">
        <w:t xml:space="preserve"> </w:t>
      </w:r>
      <w:r w:rsidR="00241D4E">
        <w:rPr>
          <w:lang w:val="en-US"/>
        </w:rPr>
        <w:t>Russell. 2003. 79.</w:t>
      </w:r>
    </w:p>
  </w:footnote>
  <w:footnote w:id="17">
    <w:p w14:paraId="0E77ECED" w14:textId="77777777" w:rsidR="00664F3E" w:rsidRPr="00A50827" w:rsidRDefault="00664F3E" w:rsidP="00664F3E">
      <w:pPr>
        <w:pStyle w:val="FootnoteText"/>
        <w:rPr>
          <w:lang w:val="en-US"/>
        </w:rPr>
      </w:pPr>
      <w:r w:rsidRPr="00803BFB">
        <w:rPr>
          <w:rStyle w:val="FootnoteReference"/>
        </w:rPr>
        <w:footnoteRef/>
      </w:r>
      <w:r>
        <w:t xml:space="preserve"> Leeming. SV. </w:t>
      </w:r>
      <w:r>
        <w:rPr>
          <w:i/>
          <w:iCs/>
        </w:rPr>
        <w:t>Ovid.</w:t>
      </w:r>
      <w:r>
        <w:t xml:space="preserve"> 2005</w:t>
      </w:r>
    </w:p>
  </w:footnote>
  <w:footnote w:id="18">
    <w:p w14:paraId="29C90688" w14:textId="77777777" w:rsidR="00664F3E" w:rsidRPr="00A50827" w:rsidRDefault="00664F3E" w:rsidP="00664F3E">
      <w:pPr>
        <w:pStyle w:val="FootnoteText"/>
        <w:rPr>
          <w:lang w:val="en-US"/>
        </w:rPr>
      </w:pPr>
      <w:r w:rsidRPr="00803BFB">
        <w:rPr>
          <w:rStyle w:val="FootnoteReference"/>
        </w:rPr>
        <w:footnoteRef/>
      </w:r>
      <w:r>
        <w:t xml:space="preserve"> </w:t>
      </w:r>
      <w:r>
        <w:rPr>
          <w:lang w:val="en-US"/>
        </w:rPr>
        <w:t>Mack. 1939. 1.</w:t>
      </w:r>
    </w:p>
  </w:footnote>
  <w:footnote w:id="19">
    <w:p w14:paraId="5D9BD8A9" w14:textId="1CE7E849" w:rsidR="0013436A" w:rsidRDefault="0013436A">
      <w:pPr>
        <w:pStyle w:val="FootnoteText"/>
      </w:pPr>
      <w:r>
        <w:rPr>
          <w:rStyle w:val="FootnoteReference"/>
        </w:rPr>
        <w:footnoteRef/>
      </w:r>
      <w:r>
        <w:t xml:space="preserve"> </w:t>
      </w:r>
      <w:proofErr w:type="spellStart"/>
      <w:r>
        <w:t>Ov</w:t>
      </w:r>
      <w:proofErr w:type="spellEnd"/>
      <w:r>
        <w:t>. Met. 4.604-5.73.</w:t>
      </w:r>
    </w:p>
  </w:footnote>
  <w:footnote w:id="20">
    <w:p w14:paraId="4CB1D704" w14:textId="18705CD9" w:rsidR="00612248" w:rsidRDefault="00612248">
      <w:pPr>
        <w:pStyle w:val="FootnoteText"/>
      </w:pPr>
      <w:r>
        <w:rPr>
          <w:rStyle w:val="FootnoteReference"/>
        </w:rPr>
        <w:footnoteRef/>
      </w:r>
      <w:r>
        <w:t xml:space="preserve"> </w:t>
      </w:r>
      <w:proofErr w:type="spellStart"/>
      <w:r>
        <w:t>Ov</w:t>
      </w:r>
      <w:proofErr w:type="spellEnd"/>
      <w:r>
        <w:t>. Met. 1.452-</w:t>
      </w:r>
      <w:r w:rsidR="003B2468">
        <w:t>566.</w:t>
      </w:r>
    </w:p>
  </w:footnote>
  <w:footnote w:id="21">
    <w:p w14:paraId="7923B254" w14:textId="785E2889" w:rsidR="003B2468" w:rsidRDefault="003B2468">
      <w:pPr>
        <w:pStyle w:val="FootnoteText"/>
      </w:pPr>
      <w:r>
        <w:rPr>
          <w:rStyle w:val="FootnoteReference"/>
        </w:rPr>
        <w:footnoteRef/>
      </w:r>
      <w:r>
        <w:t xml:space="preserve"> </w:t>
      </w:r>
      <w:proofErr w:type="spellStart"/>
      <w:r>
        <w:t>Ov</w:t>
      </w:r>
      <w:proofErr w:type="spellEnd"/>
      <w:r>
        <w:t>. Met. 1.567-745.</w:t>
      </w:r>
    </w:p>
  </w:footnote>
  <w:footnote w:id="22">
    <w:p w14:paraId="63AD72AC" w14:textId="7F102735" w:rsidR="00397830" w:rsidRDefault="00397830">
      <w:pPr>
        <w:pStyle w:val="FootnoteText"/>
      </w:pPr>
      <w:r>
        <w:rPr>
          <w:rStyle w:val="FootnoteReference"/>
        </w:rPr>
        <w:footnoteRef/>
      </w:r>
      <w:r>
        <w:t xml:space="preserve"> </w:t>
      </w:r>
      <w:proofErr w:type="spellStart"/>
      <w:r>
        <w:t>Ov</w:t>
      </w:r>
      <w:proofErr w:type="spellEnd"/>
      <w:r>
        <w:t>. Met. 4.793-803.</w:t>
      </w:r>
    </w:p>
  </w:footnote>
  <w:footnote w:id="23">
    <w:p w14:paraId="0B5EA983" w14:textId="0BF5FCE3" w:rsidR="0099383E" w:rsidRDefault="0099383E">
      <w:pPr>
        <w:pStyle w:val="FootnoteText"/>
      </w:pPr>
      <w:r>
        <w:rPr>
          <w:rStyle w:val="FootnoteReference"/>
        </w:rPr>
        <w:footnoteRef/>
      </w:r>
      <w:r>
        <w:t xml:space="preserve"> </w:t>
      </w:r>
      <w:proofErr w:type="spellStart"/>
      <w:r w:rsidR="00043D38">
        <w:t>Ov</w:t>
      </w:r>
      <w:proofErr w:type="spellEnd"/>
      <w:r w:rsidR="00043D38">
        <w:t>. Met. 4.615-5.249.</w:t>
      </w:r>
    </w:p>
  </w:footnote>
  <w:footnote w:id="24">
    <w:p w14:paraId="282537FC" w14:textId="789CB4D7" w:rsidR="00A43D72" w:rsidRPr="00A43D72" w:rsidRDefault="00A43D72">
      <w:pPr>
        <w:pStyle w:val="FootnoteText"/>
        <w:rPr>
          <w:lang w:val="en-US"/>
        </w:rPr>
      </w:pPr>
      <w:r>
        <w:rPr>
          <w:rStyle w:val="FootnoteReference"/>
        </w:rPr>
        <w:footnoteRef/>
      </w:r>
      <w:r>
        <w:t xml:space="preserve"> </w:t>
      </w:r>
      <w:r>
        <w:rPr>
          <w:lang w:val="en-US"/>
        </w:rPr>
        <w:t>Currie. 2011. 171.</w:t>
      </w:r>
    </w:p>
  </w:footnote>
  <w:footnote w:id="25">
    <w:p w14:paraId="3FCC74F0" w14:textId="5E885D11" w:rsidR="005142D6" w:rsidRDefault="005142D6">
      <w:pPr>
        <w:pStyle w:val="FootnoteText"/>
      </w:pPr>
      <w:r>
        <w:rPr>
          <w:rStyle w:val="FootnoteReference"/>
        </w:rPr>
        <w:footnoteRef/>
      </w:r>
      <w:r>
        <w:t xml:space="preserve"> </w:t>
      </w:r>
      <w:proofErr w:type="spellStart"/>
      <w:r>
        <w:t>Ov</w:t>
      </w:r>
      <w:proofErr w:type="spellEnd"/>
      <w:r>
        <w:t>. Met. 4.790-795.</w:t>
      </w:r>
    </w:p>
  </w:footnote>
  <w:footnote w:id="26">
    <w:p w14:paraId="23BCE3C5" w14:textId="0D71D2CE" w:rsidR="005142D6" w:rsidRDefault="005142D6">
      <w:pPr>
        <w:pStyle w:val="FootnoteText"/>
      </w:pPr>
      <w:r>
        <w:rPr>
          <w:rStyle w:val="FootnoteReference"/>
        </w:rPr>
        <w:footnoteRef/>
      </w:r>
      <w:r>
        <w:t xml:space="preserve"> </w:t>
      </w:r>
      <w:proofErr w:type="spellStart"/>
      <w:r>
        <w:t>Ov</w:t>
      </w:r>
      <w:proofErr w:type="spellEnd"/>
      <w:r>
        <w:t>. Met. 5.240-250.</w:t>
      </w:r>
    </w:p>
  </w:footnote>
  <w:footnote w:id="27">
    <w:p w14:paraId="07929B65" w14:textId="77777777" w:rsidR="00F84074" w:rsidRDefault="00F84074" w:rsidP="00F84074">
      <w:pPr>
        <w:pStyle w:val="FootnoteText"/>
      </w:pPr>
      <w:r>
        <w:rPr>
          <w:rStyle w:val="FootnoteReference"/>
        </w:rPr>
        <w:footnoteRef/>
      </w:r>
      <w:r>
        <w:t xml:space="preserve"> </w:t>
      </w:r>
      <w:proofErr w:type="spellStart"/>
      <w:r>
        <w:t>Ov</w:t>
      </w:r>
      <w:proofErr w:type="spellEnd"/>
      <w:r>
        <w:t>. Met. 4.655-658.</w:t>
      </w:r>
    </w:p>
  </w:footnote>
  <w:footnote w:id="28">
    <w:p w14:paraId="1E602086" w14:textId="77777777" w:rsidR="00F84074" w:rsidRDefault="00F84074" w:rsidP="00F84074">
      <w:pPr>
        <w:pStyle w:val="FootnoteText"/>
      </w:pPr>
      <w:r>
        <w:rPr>
          <w:rStyle w:val="FootnoteReference"/>
        </w:rPr>
        <w:footnoteRef/>
      </w:r>
      <w:r>
        <w:t xml:space="preserve"> </w:t>
      </w:r>
      <w:proofErr w:type="spellStart"/>
      <w:r>
        <w:t>Ov</w:t>
      </w:r>
      <w:proofErr w:type="spellEnd"/>
      <w:r>
        <w:t>. Met. 4.795-800.</w:t>
      </w:r>
    </w:p>
  </w:footnote>
  <w:footnote w:id="29">
    <w:p w14:paraId="44E2CBEC" w14:textId="77777777" w:rsidR="00CA1379" w:rsidRPr="00CD2676" w:rsidRDefault="00CA1379" w:rsidP="00CA1379">
      <w:pPr>
        <w:pStyle w:val="FootnoteText"/>
        <w:rPr>
          <w:lang w:val="en-US"/>
        </w:rPr>
      </w:pPr>
      <w:r>
        <w:rPr>
          <w:rStyle w:val="FootnoteReference"/>
        </w:rPr>
        <w:footnoteRef/>
      </w:r>
      <w:r>
        <w:t xml:space="preserve"> </w:t>
      </w:r>
      <w:proofErr w:type="spellStart"/>
      <w:r>
        <w:rPr>
          <w:lang w:val="en-US"/>
        </w:rPr>
        <w:t>Hom</w:t>
      </w:r>
      <w:proofErr w:type="spellEnd"/>
      <w:r>
        <w:rPr>
          <w:lang w:val="en-US"/>
        </w:rPr>
        <w:t>. Od. 1.70-71.</w:t>
      </w:r>
    </w:p>
  </w:footnote>
  <w:footnote w:id="30">
    <w:p w14:paraId="4BB608B5" w14:textId="77777777" w:rsidR="00CA1379" w:rsidRPr="00C324BC" w:rsidRDefault="00CA1379" w:rsidP="00CA1379">
      <w:pPr>
        <w:pStyle w:val="FootnoteText"/>
        <w:rPr>
          <w:lang w:val="en-US"/>
        </w:rPr>
      </w:pPr>
      <w:r>
        <w:rPr>
          <w:rStyle w:val="FootnoteReference"/>
        </w:rPr>
        <w:footnoteRef/>
      </w:r>
      <w:r>
        <w:t xml:space="preserve"> </w:t>
      </w:r>
      <w:proofErr w:type="spellStart"/>
      <w:r>
        <w:rPr>
          <w:lang w:val="en-US"/>
        </w:rPr>
        <w:t>Hom</w:t>
      </w:r>
      <w:proofErr w:type="spellEnd"/>
      <w:r>
        <w:rPr>
          <w:lang w:val="en-US"/>
        </w:rPr>
        <w:t>. Od. 10.200.</w:t>
      </w:r>
    </w:p>
  </w:footnote>
  <w:footnote w:id="31">
    <w:p w14:paraId="2178D7C8" w14:textId="77777777" w:rsidR="00CA1379" w:rsidRPr="00C324BC" w:rsidRDefault="00CA1379" w:rsidP="00CA1379">
      <w:pPr>
        <w:pStyle w:val="FootnoteText"/>
        <w:rPr>
          <w:lang w:val="en-US"/>
        </w:rPr>
      </w:pPr>
      <w:r>
        <w:rPr>
          <w:rStyle w:val="FootnoteReference"/>
        </w:rPr>
        <w:footnoteRef/>
      </w:r>
      <w:r>
        <w:t xml:space="preserve"> </w:t>
      </w:r>
      <w:proofErr w:type="spellStart"/>
      <w:r>
        <w:rPr>
          <w:lang w:val="en-US"/>
        </w:rPr>
        <w:t>Hom</w:t>
      </w:r>
      <w:proofErr w:type="spellEnd"/>
      <w:r>
        <w:rPr>
          <w:lang w:val="en-US"/>
        </w:rPr>
        <w:t>. Od. 10.136.</w:t>
      </w:r>
    </w:p>
  </w:footnote>
  <w:footnote w:id="32">
    <w:p w14:paraId="33FAC6D5" w14:textId="77777777" w:rsidR="00CA1379" w:rsidRPr="00635860" w:rsidRDefault="00CA1379" w:rsidP="00CA1379">
      <w:pPr>
        <w:pStyle w:val="FootnoteText"/>
        <w:rPr>
          <w:lang w:val="en-US"/>
        </w:rPr>
      </w:pPr>
      <w:r>
        <w:rPr>
          <w:rStyle w:val="FootnoteReference"/>
        </w:rPr>
        <w:footnoteRef/>
      </w:r>
      <w:r>
        <w:t xml:space="preserve"> </w:t>
      </w:r>
      <w:proofErr w:type="spellStart"/>
      <w:r>
        <w:rPr>
          <w:lang w:val="en-US"/>
        </w:rPr>
        <w:t>Hom</w:t>
      </w:r>
      <w:proofErr w:type="spellEnd"/>
      <w:r>
        <w:rPr>
          <w:lang w:val="en-US"/>
        </w:rPr>
        <w:t>. Od. 10.335-340.</w:t>
      </w:r>
    </w:p>
  </w:footnote>
  <w:footnote w:id="33">
    <w:p w14:paraId="36AAB58B" w14:textId="77777777" w:rsidR="00CA1379" w:rsidRPr="00635860" w:rsidRDefault="00CA1379" w:rsidP="00CA1379">
      <w:pPr>
        <w:pStyle w:val="FootnoteText"/>
        <w:rPr>
          <w:lang w:val="en-US"/>
        </w:rPr>
      </w:pPr>
      <w:r>
        <w:rPr>
          <w:rStyle w:val="FootnoteReference"/>
        </w:rPr>
        <w:footnoteRef/>
      </w:r>
      <w:r>
        <w:t xml:space="preserve"> </w:t>
      </w:r>
      <w:proofErr w:type="spellStart"/>
      <w:r>
        <w:rPr>
          <w:lang w:val="en-US"/>
        </w:rPr>
        <w:t>Hom</w:t>
      </w:r>
      <w:proofErr w:type="spellEnd"/>
      <w:r>
        <w:rPr>
          <w:lang w:val="en-US"/>
        </w:rPr>
        <w:t>. Od. 12.87.</w:t>
      </w:r>
    </w:p>
  </w:footnote>
  <w:footnote w:id="34">
    <w:p w14:paraId="4E035902" w14:textId="77777777" w:rsidR="00CA1379" w:rsidRDefault="00CA1379" w:rsidP="00CA1379">
      <w:pPr>
        <w:pStyle w:val="FootnoteText"/>
      </w:pPr>
      <w:r>
        <w:rPr>
          <w:rStyle w:val="FootnoteReference"/>
        </w:rPr>
        <w:footnoteRef/>
      </w:r>
      <w:r>
        <w:t xml:space="preserve"> </w:t>
      </w:r>
      <w:proofErr w:type="spellStart"/>
      <w:r>
        <w:t>Hom</w:t>
      </w:r>
      <w:proofErr w:type="spellEnd"/>
      <w:r>
        <w:t>. Od. 12.85-100.</w:t>
      </w:r>
    </w:p>
  </w:footnote>
  <w:footnote w:id="35">
    <w:p w14:paraId="717A6E73" w14:textId="77777777" w:rsidR="00CA1379" w:rsidRPr="00A14FED" w:rsidRDefault="00CA1379" w:rsidP="00CA1379">
      <w:pPr>
        <w:pStyle w:val="FootnoteText"/>
      </w:pPr>
      <w:r>
        <w:rPr>
          <w:rStyle w:val="FootnoteReference"/>
        </w:rPr>
        <w:footnoteRef/>
      </w:r>
      <w:r>
        <w:t xml:space="preserve"> </w:t>
      </w:r>
      <w:proofErr w:type="spellStart"/>
      <w:r>
        <w:t>Atsma</w:t>
      </w:r>
      <w:proofErr w:type="spellEnd"/>
      <w:r>
        <w:t xml:space="preserve">. SV. </w:t>
      </w:r>
      <w:proofErr w:type="spellStart"/>
      <w:r>
        <w:rPr>
          <w:i/>
          <w:iCs/>
        </w:rPr>
        <w:t>Seirenes</w:t>
      </w:r>
      <w:proofErr w:type="spellEnd"/>
      <w:r>
        <w:rPr>
          <w:i/>
          <w:iCs/>
        </w:rPr>
        <w:t xml:space="preserve">. </w:t>
      </w:r>
      <w:r>
        <w:t>2017.</w:t>
      </w:r>
    </w:p>
  </w:footnote>
  <w:footnote w:id="36">
    <w:p w14:paraId="00EC31FC" w14:textId="77777777" w:rsidR="00CA1379" w:rsidRDefault="00CA1379" w:rsidP="00CA1379">
      <w:pPr>
        <w:pStyle w:val="FootnoteText"/>
      </w:pPr>
      <w:r>
        <w:rPr>
          <w:rStyle w:val="FootnoteReference"/>
        </w:rPr>
        <w:footnoteRef/>
      </w:r>
      <w:r>
        <w:t xml:space="preserve"> </w:t>
      </w:r>
      <w:proofErr w:type="spellStart"/>
      <w:r>
        <w:t>Hom</w:t>
      </w:r>
      <w:proofErr w:type="spellEnd"/>
      <w:r>
        <w:t>. Od. 12.45-46.</w:t>
      </w:r>
    </w:p>
  </w:footnote>
  <w:footnote w:id="37">
    <w:p w14:paraId="54BDC485" w14:textId="77777777" w:rsidR="007D1FD7" w:rsidRDefault="007D1FD7" w:rsidP="007D1FD7">
      <w:pPr>
        <w:pStyle w:val="FootnoteText"/>
      </w:pPr>
      <w:r>
        <w:rPr>
          <w:rStyle w:val="FootnoteReference"/>
        </w:rPr>
        <w:footnoteRef/>
      </w:r>
      <w:r>
        <w:t xml:space="preserve"> </w:t>
      </w:r>
      <w:proofErr w:type="spellStart"/>
      <w:r>
        <w:t>Hom</w:t>
      </w:r>
      <w:proofErr w:type="spellEnd"/>
      <w:r>
        <w:t>. Od. 9.215-229.</w:t>
      </w:r>
    </w:p>
  </w:footnote>
  <w:footnote w:id="38">
    <w:p w14:paraId="0F28F5DD" w14:textId="77777777" w:rsidR="007D1FD7" w:rsidRPr="00644ED2" w:rsidRDefault="007D1FD7" w:rsidP="007D1FD7">
      <w:pPr>
        <w:pStyle w:val="FootnoteText"/>
        <w:rPr>
          <w:lang w:val="en-US"/>
        </w:rPr>
      </w:pPr>
      <w:r>
        <w:rPr>
          <w:rStyle w:val="FootnoteReference"/>
        </w:rPr>
        <w:footnoteRef/>
      </w:r>
      <w:r>
        <w:t xml:space="preserve"> </w:t>
      </w:r>
      <w:proofErr w:type="spellStart"/>
      <w:r>
        <w:rPr>
          <w:lang w:val="en-US"/>
        </w:rPr>
        <w:t>Hes</w:t>
      </w:r>
      <w:proofErr w:type="spellEnd"/>
      <w:r>
        <w:rPr>
          <w:lang w:val="en-US"/>
        </w:rPr>
        <w:t xml:space="preserve">. </w:t>
      </w:r>
      <w:proofErr w:type="spellStart"/>
      <w:r>
        <w:rPr>
          <w:lang w:val="en-US"/>
        </w:rPr>
        <w:t>Theog</w:t>
      </w:r>
      <w:proofErr w:type="spellEnd"/>
      <w:r>
        <w:rPr>
          <w:lang w:val="en-US"/>
        </w:rPr>
        <w:t>. 810-815.</w:t>
      </w:r>
    </w:p>
  </w:footnote>
  <w:footnote w:id="39">
    <w:p w14:paraId="316CE711" w14:textId="77777777" w:rsidR="007D1FD7" w:rsidRDefault="007D1FD7" w:rsidP="007D1FD7">
      <w:pPr>
        <w:pStyle w:val="FootnoteText"/>
      </w:pPr>
      <w:r>
        <w:rPr>
          <w:rStyle w:val="FootnoteReference"/>
        </w:rPr>
        <w:footnoteRef/>
      </w:r>
      <w:r>
        <w:t xml:space="preserve"> </w:t>
      </w:r>
      <w:proofErr w:type="spellStart"/>
      <w:r>
        <w:t>Hedreen</w:t>
      </w:r>
      <w:proofErr w:type="spellEnd"/>
      <w:r>
        <w:t>. 2016. 187.</w:t>
      </w:r>
    </w:p>
  </w:footnote>
  <w:footnote w:id="40">
    <w:p w14:paraId="7E8CD550" w14:textId="60CF7F3C" w:rsidR="0099383E" w:rsidRDefault="0099383E">
      <w:pPr>
        <w:pStyle w:val="FootnoteText"/>
      </w:pPr>
      <w:r>
        <w:rPr>
          <w:rStyle w:val="FootnoteReference"/>
        </w:rPr>
        <w:footnoteRef/>
      </w:r>
      <w:r>
        <w:t xml:space="preserve"> </w:t>
      </w:r>
      <w:proofErr w:type="spellStart"/>
      <w:r>
        <w:t>Ov</w:t>
      </w:r>
      <w:proofErr w:type="spellEnd"/>
      <w:r>
        <w:t>. Met. 4.604-5.249.</w:t>
      </w:r>
    </w:p>
  </w:footnote>
  <w:footnote w:id="41">
    <w:p w14:paraId="5B827D2B" w14:textId="513E342C" w:rsidR="00043D38" w:rsidRDefault="00043D38">
      <w:pPr>
        <w:pStyle w:val="FootnoteText"/>
      </w:pPr>
      <w:r>
        <w:rPr>
          <w:rStyle w:val="FootnoteReference"/>
        </w:rPr>
        <w:footnoteRef/>
      </w:r>
      <w:r>
        <w:t xml:space="preserve"> </w:t>
      </w:r>
      <w:proofErr w:type="spellStart"/>
      <w:r>
        <w:t>Ov</w:t>
      </w:r>
      <w:proofErr w:type="spellEnd"/>
      <w:r>
        <w:t>. Met. 4.615.</w:t>
      </w:r>
    </w:p>
  </w:footnote>
  <w:footnote w:id="42">
    <w:p w14:paraId="27A9780E" w14:textId="77777777" w:rsidR="002446E4" w:rsidRDefault="002446E4" w:rsidP="002446E4">
      <w:pPr>
        <w:pStyle w:val="FootnoteText"/>
      </w:pPr>
      <w:r>
        <w:rPr>
          <w:rStyle w:val="FootnoteReference"/>
        </w:rPr>
        <w:footnoteRef/>
      </w:r>
      <w:r>
        <w:t xml:space="preserve"> </w:t>
      </w:r>
      <w:proofErr w:type="spellStart"/>
      <w:r>
        <w:t>Ov</w:t>
      </w:r>
      <w:proofErr w:type="spellEnd"/>
      <w:r>
        <w:t>. Met. 4.779-785.</w:t>
      </w:r>
    </w:p>
  </w:footnote>
  <w:footnote w:id="43">
    <w:p w14:paraId="5C3A83DA" w14:textId="544D464E" w:rsidR="005142D6" w:rsidRDefault="005142D6">
      <w:pPr>
        <w:pStyle w:val="FootnoteText"/>
      </w:pPr>
      <w:r>
        <w:rPr>
          <w:rStyle w:val="FootnoteReference"/>
        </w:rPr>
        <w:footnoteRef/>
      </w:r>
      <w:r>
        <w:t xml:space="preserve"> Ahmed. 1992. 12-15.</w:t>
      </w:r>
    </w:p>
  </w:footnote>
  <w:footnote w:id="44">
    <w:p w14:paraId="1E8B1365" w14:textId="1F505D5C" w:rsidR="005142D6" w:rsidRPr="00D81A41" w:rsidRDefault="005142D6">
      <w:pPr>
        <w:pStyle w:val="FootnoteText"/>
      </w:pPr>
      <w:r>
        <w:rPr>
          <w:rStyle w:val="FootnoteReference"/>
        </w:rPr>
        <w:footnoteRef/>
      </w:r>
      <w:r>
        <w:t xml:space="preserve"> Hemingway. SV. </w:t>
      </w:r>
      <w:r>
        <w:rPr>
          <w:i/>
          <w:iCs/>
        </w:rPr>
        <w:t xml:space="preserve">Women in Classical Greece. </w:t>
      </w:r>
      <w:r>
        <w:t>2004.</w:t>
      </w:r>
    </w:p>
  </w:footnote>
  <w:footnote w:id="45">
    <w:p w14:paraId="29A9E736" w14:textId="31B44E3B" w:rsidR="005142D6" w:rsidRDefault="005142D6">
      <w:pPr>
        <w:pStyle w:val="FootnoteText"/>
      </w:pPr>
      <w:r>
        <w:rPr>
          <w:rStyle w:val="FootnoteReference"/>
        </w:rPr>
        <w:footnoteRef/>
      </w:r>
      <w:r>
        <w:t xml:space="preserve"> Llewellyn-Jones. 2007. 257.</w:t>
      </w:r>
    </w:p>
  </w:footnote>
  <w:footnote w:id="46">
    <w:p w14:paraId="5DAC1ACA" w14:textId="585DDB87" w:rsidR="00241D4E" w:rsidRPr="00241D4E" w:rsidRDefault="00241D4E">
      <w:pPr>
        <w:pStyle w:val="FootnoteText"/>
        <w:rPr>
          <w:lang w:val="en-US"/>
        </w:rPr>
      </w:pPr>
      <w:r>
        <w:rPr>
          <w:rStyle w:val="FootnoteReference"/>
        </w:rPr>
        <w:footnoteRef/>
      </w:r>
      <w:r>
        <w:t xml:space="preserve"> </w:t>
      </w:r>
      <w:r>
        <w:rPr>
          <w:lang w:val="en-US"/>
        </w:rPr>
        <w:t>Russell. 2003. 79.</w:t>
      </w:r>
      <w:r w:rsidR="005B6875">
        <w:rPr>
          <w:lang w:val="en-US"/>
        </w:rPr>
        <w:t xml:space="preserve"> Clark. 1981. 202.</w:t>
      </w:r>
    </w:p>
  </w:footnote>
  <w:footnote w:id="47">
    <w:p w14:paraId="42204FC9" w14:textId="1F2ED097" w:rsidR="005142D6" w:rsidRDefault="005142D6">
      <w:pPr>
        <w:pStyle w:val="FootnoteText"/>
      </w:pPr>
      <w:r>
        <w:rPr>
          <w:rStyle w:val="FootnoteReference"/>
        </w:rPr>
        <w:footnoteRef/>
      </w:r>
      <w:r>
        <w:t xml:space="preserve"> Ahmed. 1992. 12.</w:t>
      </w:r>
    </w:p>
  </w:footnote>
  <w:footnote w:id="48">
    <w:p w14:paraId="5C8D2278" w14:textId="77777777" w:rsidR="00B34746" w:rsidRDefault="00B34746" w:rsidP="00B34746">
      <w:pPr>
        <w:pStyle w:val="FootnoteText"/>
      </w:pPr>
      <w:r>
        <w:rPr>
          <w:rStyle w:val="FootnoteReference"/>
        </w:rPr>
        <w:footnoteRef/>
      </w:r>
      <w:r>
        <w:t xml:space="preserve"> </w:t>
      </w:r>
      <w:proofErr w:type="spellStart"/>
      <w:r>
        <w:t>Ov</w:t>
      </w:r>
      <w:proofErr w:type="spellEnd"/>
      <w:r>
        <w:t>. Met. 4.675-680.</w:t>
      </w:r>
    </w:p>
  </w:footnote>
  <w:footnote w:id="49">
    <w:p w14:paraId="2D70379A" w14:textId="77777777" w:rsidR="00B34746" w:rsidRPr="00A43D72" w:rsidRDefault="00B34746" w:rsidP="00B34746">
      <w:pPr>
        <w:pStyle w:val="FootnoteText"/>
        <w:rPr>
          <w:lang w:val="en-US"/>
        </w:rPr>
      </w:pPr>
      <w:r>
        <w:rPr>
          <w:rStyle w:val="FootnoteReference"/>
        </w:rPr>
        <w:footnoteRef/>
      </w:r>
      <w:r>
        <w:t xml:space="preserve"> </w:t>
      </w:r>
      <w:r>
        <w:rPr>
          <w:lang w:val="en-US"/>
        </w:rPr>
        <w:t>Currie. 2011. 170.</w:t>
      </w:r>
    </w:p>
  </w:footnote>
  <w:footnote w:id="50">
    <w:p w14:paraId="4511D8E6" w14:textId="77777777" w:rsidR="00B34746" w:rsidRDefault="00B34746" w:rsidP="00B34746">
      <w:pPr>
        <w:pStyle w:val="FootnoteText"/>
      </w:pPr>
      <w:r>
        <w:rPr>
          <w:rStyle w:val="FootnoteReference"/>
        </w:rPr>
        <w:footnoteRef/>
      </w:r>
      <w:r>
        <w:t xml:space="preserve"> Currie. 2011. 174.</w:t>
      </w:r>
    </w:p>
  </w:footnote>
  <w:footnote w:id="51">
    <w:p w14:paraId="58BAD41B" w14:textId="77777777" w:rsidR="00B34746" w:rsidRDefault="00B34746" w:rsidP="00B34746">
      <w:pPr>
        <w:pStyle w:val="FootnoteText"/>
      </w:pPr>
      <w:r>
        <w:rPr>
          <w:rStyle w:val="FootnoteReference"/>
        </w:rPr>
        <w:footnoteRef/>
      </w:r>
      <w:r>
        <w:t xml:space="preserve"> </w:t>
      </w:r>
      <w:proofErr w:type="spellStart"/>
      <w:r>
        <w:t>Ov</w:t>
      </w:r>
      <w:proofErr w:type="spellEnd"/>
      <w:r>
        <w:t>. Met. 4.681-685.</w:t>
      </w:r>
    </w:p>
  </w:footnote>
  <w:footnote w:id="52">
    <w:p w14:paraId="126806DF" w14:textId="77777777" w:rsidR="00B34746" w:rsidRPr="00810137" w:rsidRDefault="00B34746" w:rsidP="00B34746">
      <w:pPr>
        <w:pStyle w:val="FootnoteText"/>
        <w:rPr>
          <w:lang w:val="en-US"/>
        </w:rPr>
      </w:pPr>
      <w:r>
        <w:rPr>
          <w:rStyle w:val="FootnoteReference"/>
        </w:rPr>
        <w:footnoteRef/>
      </w:r>
      <w:r>
        <w:t xml:space="preserve"> </w:t>
      </w:r>
      <w:r>
        <w:rPr>
          <w:lang w:val="en-US"/>
        </w:rPr>
        <w:t>Keith. 2018. 145.</w:t>
      </w:r>
    </w:p>
  </w:footnote>
  <w:footnote w:id="53">
    <w:p w14:paraId="09935067" w14:textId="1745B605" w:rsidR="005142D6" w:rsidRPr="000D64C1" w:rsidRDefault="005142D6">
      <w:pPr>
        <w:pStyle w:val="FootnoteText"/>
      </w:pPr>
      <w:r>
        <w:rPr>
          <w:rStyle w:val="FootnoteReference"/>
        </w:rPr>
        <w:footnoteRef/>
      </w:r>
      <w:r>
        <w:t xml:space="preserve"> Cartwright. SV. </w:t>
      </w:r>
      <w:r>
        <w:rPr>
          <w:i/>
          <w:iCs/>
        </w:rPr>
        <w:t xml:space="preserve">Aristophanes. </w:t>
      </w:r>
      <w:r>
        <w:t>2013.</w:t>
      </w:r>
    </w:p>
  </w:footnote>
  <w:footnote w:id="54">
    <w:p w14:paraId="132B72AB" w14:textId="7DB52B65" w:rsidR="005142D6" w:rsidRDefault="005142D6">
      <w:pPr>
        <w:pStyle w:val="FootnoteText"/>
      </w:pPr>
      <w:r>
        <w:rPr>
          <w:rStyle w:val="FootnoteReference"/>
        </w:rPr>
        <w:footnoteRef/>
      </w:r>
      <w:r>
        <w:t xml:space="preserve"> Ar. Lys. 1-45.</w:t>
      </w:r>
    </w:p>
  </w:footnote>
  <w:footnote w:id="55">
    <w:p w14:paraId="30980DB6" w14:textId="70DC4C94" w:rsidR="005142D6" w:rsidRDefault="005142D6">
      <w:pPr>
        <w:pStyle w:val="FootnoteText"/>
      </w:pPr>
      <w:r>
        <w:rPr>
          <w:rStyle w:val="FootnoteReference"/>
        </w:rPr>
        <w:footnoteRef/>
      </w:r>
      <w:r>
        <w:t xml:space="preserve"> Ar. Lys. 117-129.</w:t>
      </w:r>
    </w:p>
  </w:footnote>
  <w:footnote w:id="56">
    <w:p w14:paraId="792450D0" w14:textId="66544A54" w:rsidR="005142D6" w:rsidRDefault="005142D6">
      <w:pPr>
        <w:pStyle w:val="FootnoteText"/>
      </w:pPr>
      <w:r>
        <w:rPr>
          <w:rStyle w:val="FootnoteReference"/>
        </w:rPr>
        <w:footnoteRef/>
      </w:r>
      <w:r>
        <w:t xml:space="preserve"> </w:t>
      </w:r>
      <w:proofErr w:type="spellStart"/>
      <w:r>
        <w:t>Ov</w:t>
      </w:r>
      <w:proofErr w:type="spellEnd"/>
      <w:r>
        <w:t>. Met. 4.6</w:t>
      </w:r>
      <w:r w:rsidR="006B70A5">
        <w:t>20</w:t>
      </w:r>
      <w:r>
        <w:t>-62</w:t>
      </w:r>
      <w:r w:rsidR="006B70A5">
        <w:t>5</w:t>
      </w:r>
      <w:r>
        <w:t>.</w:t>
      </w:r>
    </w:p>
  </w:footnote>
  <w:footnote w:id="57">
    <w:p w14:paraId="53A0F277" w14:textId="2CB58FC2" w:rsidR="00043D38" w:rsidRDefault="00043D38">
      <w:pPr>
        <w:pStyle w:val="FootnoteText"/>
      </w:pPr>
      <w:r>
        <w:rPr>
          <w:rStyle w:val="FootnoteReference"/>
        </w:rPr>
        <w:footnoteRef/>
      </w:r>
      <w:r>
        <w:t xml:space="preserve"> </w:t>
      </w:r>
      <w:proofErr w:type="spellStart"/>
      <w:r>
        <w:t>Ov</w:t>
      </w:r>
      <w:proofErr w:type="spellEnd"/>
      <w:r>
        <w:t>. Met. 5.1-249.</w:t>
      </w:r>
    </w:p>
  </w:footnote>
  <w:footnote w:id="58">
    <w:p w14:paraId="4C86EF1D" w14:textId="3B256C38" w:rsidR="00D3574E" w:rsidRPr="00D3574E" w:rsidRDefault="00D3574E">
      <w:pPr>
        <w:pStyle w:val="FootnoteText"/>
        <w:rPr>
          <w:lang w:val="en-US"/>
        </w:rPr>
      </w:pPr>
      <w:r>
        <w:rPr>
          <w:rStyle w:val="FootnoteReference"/>
        </w:rPr>
        <w:footnoteRef/>
      </w:r>
      <w:r>
        <w:t xml:space="preserve"> </w:t>
      </w:r>
      <w:proofErr w:type="spellStart"/>
      <w:r>
        <w:rPr>
          <w:lang w:val="en-US"/>
        </w:rPr>
        <w:t>Ov</w:t>
      </w:r>
      <w:proofErr w:type="spellEnd"/>
      <w:r>
        <w:rPr>
          <w:lang w:val="en-US"/>
        </w:rPr>
        <w:t>. Met. 4.782-786.</w:t>
      </w:r>
    </w:p>
  </w:footnote>
  <w:footnote w:id="59">
    <w:p w14:paraId="0D2C80D2" w14:textId="78E71EFA" w:rsidR="005142D6" w:rsidRDefault="005142D6">
      <w:pPr>
        <w:pStyle w:val="FootnoteText"/>
      </w:pPr>
      <w:r>
        <w:rPr>
          <w:rStyle w:val="FootnoteReference"/>
        </w:rPr>
        <w:footnoteRef/>
      </w:r>
      <w:r>
        <w:t xml:space="preserve"> </w:t>
      </w:r>
      <w:proofErr w:type="spellStart"/>
      <w:r>
        <w:t>Ov</w:t>
      </w:r>
      <w:proofErr w:type="spellEnd"/>
      <w:r>
        <w:t>. Met. 4.800-803.</w:t>
      </w:r>
    </w:p>
  </w:footnote>
  <w:footnote w:id="60">
    <w:p w14:paraId="5662DCEF" w14:textId="05762150" w:rsidR="002446E4" w:rsidRDefault="002446E4">
      <w:pPr>
        <w:pStyle w:val="FootnoteText"/>
      </w:pPr>
      <w:r>
        <w:rPr>
          <w:rStyle w:val="FootnoteReference"/>
        </w:rPr>
        <w:footnoteRef/>
      </w:r>
      <w:r>
        <w:t xml:space="preserve"> </w:t>
      </w:r>
      <w:proofErr w:type="spellStart"/>
      <w:r>
        <w:t>Ov</w:t>
      </w:r>
      <w:proofErr w:type="spellEnd"/>
      <w:r>
        <w:t>. Met. 4.779-785.</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4F3E"/>
    <w:rsid w:val="00043D38"/>
    <w:rsid w:val="00063DE6"/>
    <w:rsid w:val="0007763C"/>
    <w:rsid w:val="0008318F"/>
    <w:rsid w:val="00097F94"/>
    <w:rsid w:val="000C3E15"/>
    <w:rsid w:val="000D08D1"/>
    <w:rsid w:val="000D64C1"/>
    <w:rsid w:val="000F0BE6"/>
    <w:rsid w:val="00105D6D"/>
    <w:rsid w:val="00112FD1"/>
    <w:rsid w:val="001233CC"/>
    <w:rsid w:val="00130B5B"/>
    <w:rsid w:val="0013436A"/>
    <w:rsid w:val="0018179D"/>
    <w:rsid w:val="00184B06"/>
    <w:rsid w:val="0022735B"/>
    <w:rsid w:val="00241D4E"/>
    <w:rsid w:val="002446E4"/>
    <w:rsid w:val="00285B0F"/>
    <w:rsid w:val="002A56A0"/>
    <w:rsid w:val="002B5D82"/>
    <w:rsid w:val="002D1F8D"/>
    <w:rsid w:val="003132AB"/>
    <w:rsid w:val="003160E9"/>
    <w:rsid w:val="00320C78"/>
    <w:rsid w:val="0034288F"/>
    <w:rsid w:val="00360D32"/>
    <w:rsid w:val="00367D61"/>
    <w:rsid w:val="0038004C"/>
    <w:rsid w:val="00397830"/>
    <w:rsid w:val="003B2468"/>
    <w:rsid w:val="003B260F"/>
    <w:rsid w:val="004159AD"/>
    <w:rsid w:val="00495627"/>
    <w:rsid w:val="00496430"/>
    <w:rsid w:val="004C4F3E"/>
    <w:rsid w:val="004F42CE"/>
    <w:rsid w:val="005142D6"/>
    <w:rsid w:val="00514E48"/>
    <w:rsid w:val="005727DE"/>
    <w:rsid w:val="00574881"/>
    <w:rsid w:val="005773EC"/>
    <w:rsid w:val="005857E0"/>
    <w:rsid w:val="00591D1F"/>
    <w:rsid w:val="005B6875"/>
    <w:rsid w:val="005B68BE"/>
    <w:rsid w:val="005D082B"/>
    <w:rsid w:val="005E7CCF"/>
    <w:rsid w:val="00612248"/>
    <w:rsid w:val="00623721"/>
    <w:rsid w:val="00625CC8"/>
    <w:rsid w:val="00644ED2"/>
    <w:rsid w:val="00664F3E"/>
    <w:rsid w:val="006B5359"/>
    <w:rsid w:val="006B70A5"/>
    <w:rsid w:val="006C0ACD"/>
    <w:rsid w:val="006E19DC"/>
    <w:rsid w:val="007031A6"/>
    <w:rsid w:val="00724862"/>
    <w:rsid w:val="007253FE"/>
    <w:rsid w:val="00727512"/>
    <w:rsid w:val="00727AF8"/>
    <w:rsid w:val="00756463"/>
    <w:rsid w:val="00756A20"/>
    <w:rsid w:val="00760F29"/>
    <w:rsid w:val="00771EE7"/>
    <w:rsid w:val="0078078A"/>
    <w:rsid w:val="007A101E"/>
    <w:rsid w:val="007D1FD7"/>
    <w:rsid w:val="007D2220"/>
    <w:rsid w:val="008017F2"/>
    <w:rsid w:val="0080270A"/>
    <w:rsid w:val="00810137"/>
    <w:rsid w:val="00894DBD"/>
    <w:rsid w:val="008A689E"/>
    <w:rsid w:val="0099383E"/>
    <w:rsid w:val="00993A5D"/>
    <w:rsid w:val="009E20B6"/>
    <w:rsid w:val="009F701F"/>
    <w:rsid w:val="00A0351D"/>
    <w:rsid w:val="00A43D72"/>
    <w:rsid w:val="00A505DA"/>
    <w:rsid w:val="00A53119"/>
    <w:rsid w:val="00A57573"/>
    <w:rsid w:val="00AB56A3"/>
    <w:rsid w:val="00AB5E66"/>
    <w:rsid w:val="00AC7311"/>
    <w:rsid w:val="00B00D25"/>
    <w:rsid w:val="00B13E41"/>
    <w:rsid w:val="00B34746"/>
    <w:rsid w:val="00B73803"/>
    <w:rsid w:val="00C26D08"/>
    <w:rsid w:val="00C570B2"/>
    <w:rsid w:val="00C72973"/>
    <w:rsid w:val="00CA1379"/>
    <w:rsid w:val="00CB0306"/>
    <w:rsid w:val="00D145A9"/>
    <w:rsid w:val="00D14D83"/>
    <w:rsid w:val="00D308D8"/>
    <w:rsid w:val="00D3574E"/>
    <w:rsid w:val="00D64284"/>
    <w:rsid w:val="00D81A41"/>
    <w:rsid w:val="00D83BA9"/>
    <w:rsid w:val="00DE7558"/>
    <w:rsid w:val="00E74982"/>
    <w:rsid w:val="00ED438B"/>
    <w:rsid w:val="00EF1917"/>
    <w:rsid w:val="00F107D9"/>
    <w:rsid w:val="00F171A9"/>
    <w:rsid w:val="00F44C13"/>
    <w:rsid w:val="00F84074"/>
    <w:rsid w:val="00FB686F"/>
    <w:rsid w:val="00FC1728"/>
    <w:rsid w:val="00FF02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3E60A"/>
  <w15:chartTrackingRefBased/>
  <w15:docId w15:val="{E5C2A062-F225-4F52-87E8-A064CFFB1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0D32"/>
  </w:style>
  <w:style w:type="paragraph" w:styleId="Heading1">
    <w:name w:val="heading 1"/>
    <w:basedOn w:val="Normal"/>
    <w:next w:val="Normal"/>
    <w:link w:val="Heading1Char"/>
    <w:uiPriority w:val="9"/>
    <w:qFormat/>
    <w:rsid w:val="0080270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0270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4F3E"/>
    <w:pPr>
      <w:spacing w:after="0" w:line="240" w:lineRule="auto"/>
    </w:pPr>
  </w:style>
  <w:style w:type="paragraph" w:styleId="FootnoteText">
    <w:name w:val="footnote text"/>
    <w:basedOn w:val="Normal"/>
    <w:link w:val="FootnoteTextChar"/>
    <w:uiPriority w:val="99"/>
    <w:semiHidden/>
    <w:unhideWhenUsed/>
    <w:rsid w:val="00360D3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60D32"/>
    <w:rPr>
      <w:sz w:val="20"/>
      <w:szCs w:val="20"/>
    </w:rPr>
  </w:style>
  <w:style w:type="character" w:styleId="FootnoteReference">
    <w:name w:val="footnote reference"/>
    <w:basedOn w:val="DefaultParagraphFont"/>
    <w:uiPriority w:val="99"/>
    <w:semiHidden/>
    <w:unhideWhenUsed/>
    <w:rsid w:val="00360D32"/>
    <w:rPr>
      <w:vertAlign w:val="superscript"/>
    </w:rPr>
  </w:style>
  <w:style w:type="paragraph" w:styleId="NormalWeb">
    <w:name w:val="Normal (Web)"/>
    <w:basedOn w:val="Normal"/>
    <w:uiPriority w:val="99"/>
    <w:unhideWhenUsed/>
    <w:rsid w:val="00D14D8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80270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0270A"/>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80270A"/>
    <w:rPr>
      <w:color w:val="0000FF"/>
      <w:u w:val="single"/>
    </w:rPr>
  </w:style>
  <w:style w:type="paragraph" w:styleId="Caption">
    <w:name w:val="caption"/>
    <w:basedOn w:val="Normal"/>
    <w:next w:val="Normal"/>
    <w:uiPriority w:val="35"/>
    <w:unhideWhenUsed/>
    <w:qFormat/>
    <w:rsid w:val="003132AB"/>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241D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1693961">
      <w:bodyDiv w:val="1"/>
      <w:marLeft w:val="0"/>
      <w:marRight w:val="0"/>
      <w:marTop w:val="0"/>
      <w:marBottom w:val="0"/>
      <w:divBdr>
        <w:top w:val="none" w:sz="0" w:space="0" w:color="auto"/>
        <w:left w:val="none" w:sz="0" w:space="0" w:color="auto"/>
        <w:bottom w:val="none" w:sz="0" w:space="0" w:color="auto"/>
        <w:right w:val="none" w:sz="0" w:space="0" w:color="auto"/>
      </w:divBdr>
    </w:div>
    <w:div w:id="1464696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jstor.org/stable/4316018" TargetMode="External"/><Relationship Id="rId18" Type="http://schemas.openxmlformats.org/officeDocument/2006/relationships/hyperlink" Target="http://www.jstor.org/stable/497414" TargetMode="External"/><Relationship Id="rId26" Type="http://schemas.openxmlformats.org/officeDocument/2006/relationships/hyperlink" Target="https://www.metmuseum.org/art/collection/search/253342" TargetMode="External"/><Relationship Id="rId3" Type="http://schemas.openxmlformats.org/officeDocument/2006/relationships/settings" Target="settings.xml"/><Relationship Id="rId21" Type="http://schemas.openxmlformats.org/officeDocument/2006/relationships/hyperlink" Target="https://ezproxy.uwtsd.ac.uk/login?url=https://search.ebscohost.com/login.aspx?direct=true&amp;db=aph&amp;AN=136001240&amp;site=ehost-live" TargetMode="External"/><Relationship Id="rId7" Type="http://schemas.openxmlformats.org/officeDocument/2006/relationships/image" Target="media/image1.jpeg"/><Relationship Id="rId12" Type="http://schemas.openxmlformats.org/officeDocument/2006/relationships/hyperlink" Target="https://www.theoi.com/Pontios/Seirenes.html" TargetMode="External"/><Relationship Id="rId17" Type="http://schemas.openxmlformats.org/officeDocument/2006/relationships/hyperlink" Target="https://revistas.ucm.es/index.php/AMAL/article/view/37616" TargetMode="External"/><Relationship Id="rId25" Type="http://schemas.openxmlformats.org/officeDocument/2006/relationships/hyperlink" Target="https://www.metmuseum.org/art/collection/search/254523"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jstor.org/stable/642866" TargetMode="External"/><Relationship Id="rId20" Type="http://schemas.openxmlformats.org/officeDocument/2006/relationships/hyperlink" Target="https://www.metmuseum.org/toah/hd/wmna/hd_wmna.htm" TargetMode="External"/><Relationship Id="rId29" Type="http://schemas.openxmlformats.org/officeDocument/2006/relationships/hyperlink" Target="https://www-loebclassics-com.ezproxy.uwtsd.ac.uk/view/ovid-metamorphoses/1916/pb_LCL042.227.xml?mainRsKey=5J7WuP&amp;result=6&amp;rskey=qUSO5w"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jstor.org/stable/j.ctt32bg61.5" TargetMode="External"/><Relationship Id="rId24" Type="http://schemas.openxmlformats.org/officeDocument/2006/relationships/hyperlink" Target="https://www.jstor.org/stable/3567821"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ancient.eu/Selinus/" TargetMode="External"/><Relationship Id="rId23" Type="http://schemas.openxmlformats.org/officeDocument/2006/relationships/hyperlink" Target="https://www.jstor.org/stable/j.ctt32bkm5.6" TargetMode="External"/><Relationship Id="rId28" Type="http://schemas.openxmlformats.org/officeDocument/2006/relationships/hyperlink" Target="https://www.britishmuseum.org/collection/object/G_1856-1226-427" TargetMode="External"/><Relationship Id="rId10" Type="http://schemas.openxmlformats.org/officeDocument/2006/relationships/image" Target="media/image4.png"/><Relationship Id="rId19" Type="http://schemas.openxmlformats.org/officeDocument/2006/relationships/hyperlink" Target="http://www.metmuseum.org/toah/hd/medu/hd_medu.htm" TargetMode="External"/><Relationship Id="rId31" Type="http://schemas.openxmlformats.org/officeDocument/2006/relationships/hyperlink" Target="https://www-loebclassics-com.ezproxy.uwtsd.ac.uk/view/ovid-metamorphoses/1916/pb_LCL042.251.xml?mainRsKey=5J7WuP&amp;result=6&amp;rskey=qUSO5w"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ancient.eu/Aristophanes/" TargetMode="External"/><Relationship Id="rId22" Type="http://schemas.openxmlformats.org/officeDocument/2006/relationships/hyperlink" Target="https://www.jstor.org/stable/40960594" TargetMode="External"/><Relationship Id="rId27" Type="http://schemas.openxmlformats.org/officeDocument/2006/relationships/hyperlink" Target="https://www.britishmuseum.org/collection/object/G_1867-0508-1048" TargetMode="External"/><Relationship Id="rId30" Type="http://schemas.openxmlformats.org/officeDocument/2006/relationships/hyperlink" Target="https://www-loebclassics-com.ezproxy.uwtsd.ac.uk/view/ovid-metamorphoses/1916/pb_LCL042.231.xml?mainRsKey=5J7WuP&amp;result=6&amp;rskey=qUSO5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6F961EA-C9CF-4E53-BA74-4F8DF5913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6926</TotalTime>
  <Pages>13</Pages>
  <Words>4208</Words>
  <Characters>23986</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Hadrian Watson (1803093)</dc:creator>
  <cp:keywords/>
  <dc:description/>
  <cp:lastModifiedBy>Hadrian Watson (1803093)</cp:lastModifiedBy>
  <cp:revision>30</cp:revision>
  <dcterms:created xsi:type="dcterms:W3CDTF">2020-06-19T10:03:00Z</dcterms:created>
  <dcterms:modified xsi:type="dcterms:W3CDTF">2020-07-09T14:56:00Z</dcterms:modified>
</cp:coreProperties>
</file>