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3AA91" w14:textId="77777777" w:rsidR="00A44EA7" w:rsidRPr="0074648E" w:rsidRDefault="00A44EA7" w:rsidP="00A44EA7">
      <w:pPr>
        <w:spacing w:line="259" w:lineRule="auto"/>
        <w:jc w:val="left"/>
        <w:rPr>
          <w:rFonts w:ascii="Arial" w:hAnsi="Arial" w:cs="Arial"/>
        </w:rPr>
      </w:pPr>
      <w:r w:rsidRPr="0074648E">
        <w:rPr>
          <w:rFonts w:ascii="Arial" w:hAnsi="Arial" w:cs="Arial"/>
          <w:noProof/>
        </w:rPr>
        <w:drawing>
          <wp:anchor distT="0" distB="0" distL="114300" distR="114300" simplePos="0" relativeHeight="251659264" behindDoc="1" locked="0" layoutInCell="1" allowOverlap="1" wp14:anchorId="71A99DD8" wp14:editId="13196BCC">
            <wp:simplePos x="0" y="0"/>
            <wp:positionH relativeFrom="column">
              <wp:posOffset>0</wp:posOffset>
            </wp:positionH>
            <wp:positionV relativeFrom="paragraph">
              <wp:posOffset>292100</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AF3589E" w14:textId="77777777" w:rsidR="00A44EA7" w:rsidRPr="0074648E" w:rsidRDefault="00A44EA7" w:rsidP="00A44EA7">
      <w:pPr>
        <w:spacing w:line="259" w:lineRule="auto"/>
        <w:jc w:val="left"/>
        <w:rPr>
          <w:rFonts w:ascii="Arial" w:hAnsi="Arial" w:cs="Arial"/>
        </w:rPr>
      </w:pPr>
    </w:p>
    <w:p w14:paraId="349B5401" w14:textId="77777777" w:rsidR="00A44EA7" w:rsidRPr="0074648E" w:rsidRDefault="00A44EA7" w:rsidP="00A44EA7">
      <w:pPr>
        <w:spacing w:line="259" w:lineRule="auto"/>
        <w:jc w:val="left"/>
        <w:rPr>
          <w:rFonts w:ascii="Arial" w:hAnsi="Arial" w:cs="Arial"/>
        </w:rPr>
      </w:pPr>
    </w:p>
    <w:p w14:paraId="45F28374" w14:textId="77777777" w:rsidR="00A44EA7" w:rsidRPr="0074648E" w:rsidRDefault="00A44EA7" w:rsidP="00A44EA7">
      <w:pPr>
        <w:spacing w:line="259" w:lineRule="auto"/>
        <w:jc w:val="left"/>
        <w:rPr>
          <w:rFonts w:ascii="Arial" w:hAnsi="Arial" w:cs="Arial"/>
        </w:rPr>
      </w:pPr>
    </w:p>
    <w:p w14:paraId="03A9D1DC" w14:textId="77777777" w:rsidR="00A44EA7" w:rsidRPr="0074648E" w:rsidRDefault="00A44EA7" w:rsidP="000B65D7">
      <w:pPr>
        <w:spacing w:line="259" w:lineRule="auto"/>
        <w:jc w:val="left"/>
        <w:rPr>
          <w:rFonts w:ascii="Arial" w:hAnsi="Arial" w:cs="Arial"/>
        </w:rPr>
      </w:pPr>
      <w:r w:rsidRPr="0074648E">
        <w:rPr>
          <w:rFonts w:ascii="Arial" w:hAnsi="Arial" w:cs="Arial"/>
        </w:rPr>
        <w:t xml:space="preserve">Programme Name: </w:t>
      </w:r>
      <w:r w:rsidRPr="0074648E">
        <w:rPr>
          <w:rFonts w:ascii="Arial" w:hAnsi="Arial" w:cs="Arial"/>
          <w:sz w:val="22"/>
        </w:rPr>
        <w:t>Master of Business Administration</w:t>
      </w:r>
    </w:p>
    <w:p w14:paraId="24E49ACC" w14:textId="0D8DA60B" w:rsidR="00A44EA7" w:rsidRPr="0074648E" w:rsidRDefault="00A44EA7" w:rsidP="000B65D7">
      <w:pPr>
        <w:spacing w:line="259" w:lineRule="auto"/>
        <w:jc w:val="left"/>
        <w:rPr>
          <w:rFonts w:ascii="Arial" w:hAnsi="Arial" w:cs="Arial"/>
        </w:rPr>
      </w:pPr>
      <w:r w:rsidRPr="0074648E">
        <w:rPr>
          <w:rFonts w:ascii="Arial" w:hAnsi="Arial" w:cs="Arial"/>
        </w:rPr>
        <w:t xml:space="preserve">Module Code: </w:t>
      </w:r>
      <w:r w:rsidR="000B65D7" w:rsidRPr="0074648E">
        <w:rPr>
          <w:rFonts w:ascii="Arial" w:hAnsi="Arial" w:cs="Arial"/>
          <w:sz w:val="22"/>
        </w:rPr>
        <w:t>LCMB7002</w:t>
      </w:r>
    </w:p>
    <w:p w14:paraId="71134E96" w14:textId="7B5C6E90" w:rsidR="00A44EA7" w:rsidRPr="0074648E" w:rsidRDefault="00A44EA7" w:rsidP="000B65D7">
      <w:pPr>
        <w:spacing w:line="259" w:lineRule="auto"/>
        <w:jc w:val="left"/>
        <w:rPr>
          <w:rFonts w:ascii="Arial" w:hAnsi="Arial" w:cs="Arial"/>
          <w:sz w:val="22"/>
        </w:rPr>
      </w:pPr>
      <w:r w:rsidRPr="0074648E">
        <w:rPr>
          <w:rFonts w:ascii="Arial" w:hAnsi="Arial" w:cs="Arial"/>
        </w:rPr>
        <w:t xml:space="preserve">Module Title: </w:t>
      </w:r>
      <w:r w:rsidR="000B65D7" w:rsidRPr="0074648E">
        <w:rPr>
          <w:rFonts w:ascii="Arial" w:hAnsi="Arial" w:cs="Arial"/>
          <w:szCs w:val="24"/>
        </w:rPr>
        <w:t>Financial Management</w:t>
      </w:r>
    </w:p>
    <w:p w14:paraId="0CBABF77" w14:textId="6E1E1042" w:rsidR="00A44EA7" w:rsidRPr="0074648E" w:rsidRDefault="00A44EA7" w:rsidP="000B65D7">
      <w:pPr>
        <w:spacing w:line="259" w:lineRule="auto"/>
        <w:jc w:val="left"/>
        <w:rPr>
          <w:rFonts w:ascii="Arial" w:hAnsi="Arial" w:cs="Arial"/>
        </w:rPr>
      </w:pPr>
      <w:r w:rsidRPr="0074648E">
        <w:rPr>
          <w:rFonts w:ascii="Arial" w:hAnsi="Arial" w:cs="Arial"/>
        </w:rPr>
        <w:t xml:space="preserve">Title: </w:t>
      </w:r>
      <w:r w:rsidR="000B65D7" w:rsidRPr="0074648E">
        <w:rPr>
          <w:rFonts w:ascii="Arial" w:hAnsi="Arial" w:cs="Arial"/>
        </w:rPr>
        <w:t>General Electronics Turnaround: Five-Year Financial Health Check, Restructuring Strategy, and Capital Allocation Plan</w:t>
      </w:r>
    </w:p>
    <w:p w14:paraId="734FEC27" w14:textId="2AFCA8DF" w:rsidR="00A44EA7" w:rsidRPr="0074648E" w:rsidRDefault="00A44EA7" w:rsidP="000B65D7">
      <w:pPr>
        <w:spacing w:line="259" w:lineRule="auto"/>
        <w:jc w:val="left"/>
        <w:rPr>
          <w:rFonts w:ascii="Arial" w:hAnsi="Arial" w:cs="Arial"/>
        </w:rPr>
      </w:pPr>
      <w:r w:rsidRPr="0074648E">
        <w:rPr>
          <w:rFonts w:ascii="Arial" w:hAnsi="Arial" w:cs="Arial"/>
        </w:rPr>
        <w:t xml:space="preserve">Lecturer Name: </w:t>
      </w:r>
      <w:r w:rsidR="000B65D7" w:rsidRPr="0074648E">
        <w:rPr>
          <w:rFonts w:ascii="Arial" w:hAnsi="Arial" w:cs="Arial"/>
          <w:sz w:val="22"/>
        </w:rPr>
        <w:t>Patrick Yeboah</w:t>
      </w:r>
    </w:p>
    <w:p w14:paraId="5C238FA6" w14:textId="0FFDB44A" w:rsidR="00A44EA7" w:rsidRPr="0074648E" w:rsidRDefault="00A44EA7" w:rsidP="000B65D7">
      <w:pPr>
        <w:spacing w:line="259" w:lineRule="auto"/>
        <w:jc w:val="left"/>
        <w:rPr>
          <w:rFonts w:ascii="Arial" w:hAnsi="Arial" w:cs="Arial"/>
        </w:rPr>
      </w:pPr>
      <w:r w:rsidRPr="0074648E">
        <w:rPr>
          <w:rFonts w:ascii="Arial" w:hAnsi="Arial" w:cs="Arial"/>
        </w:rPr>
        <w:t>Student Name:</w:t>
      </w:r>
      <w:r w:rsidR="001B3E73">
        <w:rPr>
          <w:rFonts w:ascii="Arial" w:hAnsi="Arial" w:cs="Arial"/>
        </w:rPr>
        <w:t xml:space="preserve"> Sharaf Uddin</w:t>
      </w:r>
    </w:p>
    <w:p w14:paraId="5B4ABA54" w14:textId="28433D3C" w:rsidR="00A44EA7" w:rsidRPr="0074648E" w:rsidRDefault="00A44EA7" w:rsidP="000B65D7">
      <w:pPr>
        <w:spacing w:line="259" w:lineRule="auto"/>
        <w:jc w:val="left"/>
        <w:rPr>
          <w:rFonts w:ascii="Arial" w:hAnsi="Arial" w:cs="Arial"/>
        </w:rPr>
      </w:pPr>
      <w:r w:rsidRPr="0074648E">
        <w:rPr>
          <w:rFonts w:ascii="Arial" w:hAnsi="Arial" w:cs="Arial"/>
        </w:rPr>
        <w:t>Student ID:</w:t>
      </w:r>
      <w:r w:rsidR="001B3E73" w:rsidRPr="001B3E73">
        <w:t xml:space="preserve"> </w:t>
      </w:r>
      <w:r w:rsidR="001B3E73" w:rsidRPr="001B3E73">
        <w:rPr>
          <w:rFonts w:ascii="Arial" w:hAnsi="Arial" w:cs="Arial"/>
        </w:rPr>
        <w:t>2438922</w:t>
      </w:r>
    </w:p>
    <w:p w14:paraId="5CDB1F5A" w14:textId="3289DF8B" w:rsidR="00A44EA7" w:rsidRPr="0074648E" w:rsidRDefault="00A44EA7" w:rsidP="000B65D7">
      <w:pPr>
        <w:spacing w:line="259" w:lineRule="auto"/>
        <w:jc w:val="left"/>
        <w:rPr>
          <w:rFonts w:ascii="Arial" w:hAnsi="Arial" w:cs="Arial"/>
        </w:rPr>
      </w:pPr>
      <w:r w:rsidRPr="0074648E">
        <w:rPr>
          <w:rFonts w:ascii="Arial" w:hAnsi="Arial" w:cs="Arial"/>
        </w:rPr>
        <w:t>Word Count: 5271</w:t>
      </w:r>
    </w:p>
    <w:p w14:paraId="5D4E9CAE" w14:textId="78C34F46" w:rsidR="00053B89" w:rsidRPr="0074648E" w:rsidRDefault="00A44EA7" w:rsidP="000B65D7">
      <w:pPr>
        <w:spacing w:line="259" w:lineRule="auto"/>
        <w:jc w:val="left"/>
        <w:rPr>
          <w:rFonts w:ascii="Arial" w:hAnsi="Arial" w:cs="Arial"/>
        </w:rPr>
      </w:pPr>
      <w:r w:rsidRPr="0074648E">
        <w:rPr>
          <w:rFonts w:ascii="Arial" w:hAnsi="Arial" w:cs="Arial"/>
        </w:rPr>
        <w:t>Submission Date:</w:t>
      </w:r>
      <w:r w:rsidR="001B3E73">
        <w:rPr>
          <w:rFonts w:ascii="Arial" w:hAnsi="Arial" w:cs="Arial"/>
        </w:rPr>
        <w:t xml:space="preserve"> 24/11/2025</w:t>
      </w:r>
    </w:p>
    <w:p w14:paraId="06C9FAAE" w14:textId="77777777" w:rsidR="00053B89" w:rsidRPr="0074648E" w:rsidRDefault="00053B89">
      <w:pPr>
        <w:spacing w:line="259" w:lineRule="auto"/>
        <w:jc w:val="left"/>
        <w:rPr>
          <w:rFonts w:ascii="Arial" w:hAnsi="Arial" w:cs="Arial"/>
        </w:rPr>
      </w:pPr>
      <w:r w:rsidRPr="0074648E">
        <w:rPr>
          <w:rFonts w:ascii="Arial" w:hAnsi="Arial" w:cs="Arial"/>
        </w:rPr>
        <w:br w:type="page"/>
      </w:r>
    </w:p>
    <w:p w14:paraId="2A7D82FD" w14:textId="6F9147D4" w:rsidR="00A44EA7" w:rsidRPr="0074648E" w:rsidRDefault="00053B89" w:rsidP="00053B89">
      <w:pPr>
        <w:pStyle w:val="Heading1"/>
        <w:rPr>
          <w:rFonts w:ascii="Arial" w:hAnsi="Arial" w:cs="Arial"/>
          <w:color w:val="auto"/>
        </w:rPr>
      </w:pPr>
      <w:bookmarkStart w:id="0" w:name="_Toc210855223"/>
      <w:r w:rsidRPr="0074648E">
        <w:rPr>
          <w:rFonts w:ascii="Arial" w:hAnsi="Arial" w:cs="Arial"/>
          <w:color w:val="auto"/>
        </w:rPr>
        <w:lastRenderedPageBreak/>
        <w:t>Executive Summary</w:t>
      </w:r>
      <w:bookmarkEnd w:id="0"/>
    </w:p>
    <w:p w14:paraId="733224BD" w14:textId="7836C386" w:rsidR="00053B89" w:rsidRPr="0074648E" w:rsidRDefault="0074648E" w:rsidP="0074648E">
      <w:pPr>
        <w:rPr>
          <w:rFonts w:ascii="Arial" w:hAnsi="Arial" w:cs="Arial"/>
        </w:rPr>
      </w:pPr>
      <w:r w:rsidRPr="0074648E">
        <w:rPr>
          <w:rFonts w:ascii="Arial" w:hAnsi="Arial" w:cs="Arial"/>
        </w:rPr>
        <w:t>General Electronics is experiencing a downturn since 2020 to 2024 since it is no longer stable. The turnover fell, operating losses were reported, debt to equity increased to more than one, the interest coverage was negative, and the Altman Z Score became grey. Trends of the ratios indicate a decline in the return on assets and equity, a weak liquidity position, a slow rate in the recovery of receivables, a low rate in the inventory turnover and a weak operating cash that no longer can sustain short term obligations. The strategy focuses on quick turnover of working capital by enhancing collections, streamlined inventories, and enhanced supplier terms, which are aided by a concentrated cash governance rhythm. Structural measures involve specified divestitures, liability management and selective equity solutions, which are planned keeping in mind taxation, currency, inflation, and responsible sourcing. Investment appraisal chooses Project C and rejects Project B and stages off Project A with stage gated controls under less than a sixty million capital limit.</w:t>
      </w:r>
    </w:p>
    <w:p w14:paraId="4375B2D3" w14:textId="1D7BC4DD" w:rsidR="00637F01" w:rsidRPr="0074648E" w:rsidRDefault="00A44EA7" w:rsidP="0074648E">
      <w:pPr>
        <w:rPr>
          <w:rFonts w:ascii="Arial" w:hAnsi="Arial" w:cs="Arial"/>
        </w:rPr>
      </w:pPr>
      <w:r w:rsidRPr="0074648E">
        <w:rPr>
          <w:rFonts w:ascii="Arial" w:hAnsi="Arial" w:cs="Arial"/>
        </w:rPr>
        <w:br w:type="page"/>
      </w:r>
    </w:p>
    <w:sdt>
      <w:sdtPr>
        <w:rPr>
          <w:rFonts w:ascii="Arial" w:eastAsiaTheme="minorHAnsi" w:hAnsi="Arial" w:cs="Arial"/>
          <w:color w:val="auto"/>
          <w:kern w:val="2"/>
          <w:sz w:val="24"/>
          <w:szCs w:val="22"/>
          <w14:ligatures w14:val="standardContextual"/>
        </w:rPr>
        <w:id w:val="1747301310"/>
        <w:docPartObj>
          <w:docPartGallery w:val="Table of Contents"/>
          <w:docPartUnique/>
        </w:docPartObj>
      </w:sdtPr>
      <w:sdtEndPr>
        <w:rPr>
          <w:b/>
          <w:bCs/>
          <w:noProof/>
        </w:rPr>
      </w:sdtEndPr>
      <w:sdtContent>
        <w:p w14:paraId="646F1ABF" w14:textId="051FEDA9" w:rsidR="00637F01" w:rsidRPr="0074648E" w:rsidRDefault="00637F01" w:rsidP="00934DB9">
          <w:pPr>
            <w:pStyle w:val="TOCHeading"/>
            <w:spacing w:line="360" w:lineRule="auto"/>
            <w:rPr>
              <w:rFonts w:ascii="Arial" w:hAnsi="Arial" w:cs="Arial"/>
              <w:color w:val="auto"/>
            </w:rPr>
          </w:pPr>
          <w:r w:rsidRPr="0074648E">
            <w:rPr>
              <w:rFonts w:ascii="Arial" w:hAnsi="Arial" w:cs="Arial"/>
              <w:color w:val="auto"/>
            </w:rPr>
            <w:t>Table of Contents</w:t>
          </w:r>
        </w:p>
        <w:p w14:paraId="3870FA04" w14:textId="0722DC48" w:rsidR="00C338BD" w:rsidRDefault="00637F01">
          <w:pPr>
            <w:pStyle w:val="TOC1"/>
            <w:tabs>
              <w:tab w:val="right" w:leader="dot" w:pos="9350"/>
            </w:tabs>
            <w:rPr>
              <w:rFonts w:asciiTheme="minorHAnsi" w:eastAsiaTheme="minorEastAsia" w:hAnsiTheme="minorHAnsi"/>
              <w:noProof/>
              <w:szCs w:val="24"/>
            </w:rPr>
          </w:pPr>
          <w:r w:rsidRPr="0074648E">
            <w:rPr>
              <w:rFonts w:ascii="Arial" w:hAnsi="Arial" w:cs="Arial"/>
            </w:rPr>
            <w:fldChar w:fldCharType="begin"/>
          </w:r>
          <w:r w:rsidRPr="0074648E">
            <w:rPr>
              <w:rFonts w:ascii="Arial" w:hAnsi="Arial" w:cs="Arial"/>
            </w:rPr>
            <w:instrText xml:space="preserve"> TOC \o "1-3" \h \z \u </w:instrText>
          </w:r>
          <w:r w:rsidRPr="0074648E">
            <w:rPr>
              <w:rFonts w:ascii="Arial" w:hAnsi="Arial" w:cs="Arial"/>
            </w:rPr>
            <w:fldChar w:fldCharType="separate"/>
          </w:r>
          <w:hyperlink w:anchor="_Toc210855223" w:history="1">
            <w:r w:rsidR="00C338BD" w:rsidRPr="00F072AF">
              <w:rPr>
                <w:rStyle w:val="Hyperlink"/>
                <w:rFonts w:ascii="Arial" w:hAnsi="Arial" w:cs="Arial"/>
                <w:noProof/>
              </w:rPr>
              <w:t>Executive Summary</w:t>
            </w:r>
            <w:r w:rsidR="00C338BD">
              <w:rPr>
                <w:noProof/>
                <w:webHidden/>
              </w:rPr>
              <w:tab/>
            </w:r>
            <w:r w:rsidR="00C338BD">
              <w:rPr>
                <w:noProof/>
                <w:webHidden/>
              </w:rPr>
              <w:fldChar w:fldCharType="begin"/>
            </w:r>
            <w:r w:rsidR="00C338BD">
              <w:rPr>
                <w:noProof/>
                <w:webHidden/>
              </w:rPr>
              <w:instrText xml:space="preserve"> PAGEREF _Toc210855223 \h </w:instrText>
            </w:r>
            <w:r w:rsidR="00C338BD">
              <w:rPr>
                <w:noProof/>
                <w:webHidden/>
              </w:rPr>
            </w:r>
            <w:r w:rsidR="00C338BD">
              <w:rPr>
                <w:noProof/>
                <w:webHidden/>
              </w:rPr>
              <w:fldChar w:fldCharType="separate"/>
            </w:r>
            <w:r w:rsidR="00C338BD">
              <w:rPr>
                <w:noProof/>
                <w:webHidden/>
              </w:rPr>
              <w:t>2</w:t>
            </w:r>
            <w:r w:rsidR="00C338BD">
              <w:rPr>
                <w:noProof/>
                <w:webHidden/>
              </w:rPr>
              <w:fldChar w:fldCharType="end"/>
            </w:r>
          </w:hyperlink>
        </w:p>
        <w:p w14:paraId="61343F13" w14:textId="6ABB5560" w:rsidR="00C338BD" w:rsidRDefault="00C338BD">
          <w:pPr>
            <w:pStyle w:val="TOC1"/>
            <w:tabs>
              <w:tab w:val="right" w:leader="dot" w:pos="9350"/>
            </w:tabs>
            <w:rPr>
              <w:rFonts w:asciiTheme="minorHAnsi" w:eastAsiaTheme="minorEastAsia" w:hAnsiTheme="minorHAnsi"/>
              <w:noProof/>
              <w:szCs w:val="24"/>
            </w:rPr>
          </w:pPr>
          <w:hyperlink w:anchor="_Toc210855224" w:history="1">
            <w:r w:rsidRPr="00F072A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_Toc210855224 \h </w:instrText>
            </w:r>
            <w:r>
              <w:rPr>
                <w:noProof/>
                <w:webHidden/>
              </w:rPr>
            </w:r>
            <w:r>
              <w:rPr>
                <w:noProof/>
                <w:webHidden/>
              </w:rPr>
              <w:fldChar w:fldCharType="separate"/>
            </w:r>
            <w:r>
              <w:rPr>
                <w:noProof/>
                <w:webHidden/>
              </w:rPr>
              <w:t>5</w:t>
            </w:r>
            <w:r>
              <w:rPr>
                <w:noProof/>
                <w:webHidden/>
              </w:rPr>
              <w:fldChar w:fldCharType="end"/>
            </w:r>
          </w:hyperlink>
        </w:p>
        <w:p w14:paraId="2C64961E" w14:textId="0610988B" w:rsidR="00C338BD" w:rsidRDefault="00C338BD">
          <w:pPr>
            <w:pStyle w:val="TOC1"/>
            <w:tabs>
              <w:tab w:val="right" w:leader="dot" w:pos="9350"/>
            </w:tabs>
            <w:rPr>
              <w:rFonts w:asciiTheme="minorHAnsi" w:eastAsiaTheme="minorEastAsia" w:hAnsiTheme="minorHAnsi"/>
              <w:noProof/>
              <w:szCs w:val="24"/>
            </w:rPr>
          </w:pPr>
          <w:hyperlink w:anchor="_Toc210855225" w:history="1">
            <w:r w:rsidRPr="00F072AF">
              <w:rPr>
                <w:rStyle w:val="Hyperlink"/>
                <w:rFonts w:ascii="Arial" w:hAnsi="Arial" w:cs="Arial"/>
                <w:noProof/>
              </w:rPr>
              <w:t>Main Body</w:t>
            </w:r>
            <w:r>
              <w:rPr>
                <w:noProof/>
                <w:webHidden/>
              </w:rPr>
              <w:tab/>
            </w:r>
            <w:r>
              <w:rPr>
                <w:noProof/>
                <w:webHidden/>
              </w:rPr>
              <w:fldChar w:fldCharType="begin"/>
            </w:r>
            <w:r>
              <w:rPr>
                <w:noProof/>
                <w:webHidden/>
              </w:rPr>
              <w:instrText xml:space="preserve"> PAGEREF _Toc210855225 \h </w:instrText>
            </w:r>
            <w:r>
              <w:rPr>
                <w:noProof/>
                <w:webHidden/>
              </w:rPr>
            </w:r>
            <w:r>
              <w:rPr>
                <w:noProof/>
                <w:webHidden/>
              </w:rPr>
              <w:fldChar w:fldCharType="separate"/>
            </w:r>
            <w:r>
              <w:rPr>
                <w:noProof/>
                <w:webHidden/>
              </w:rPr>
              <w:t>6</w:t>
            </w:r>
            <w:r>
              <w:rPr>
                <w:noProof/>
                <w:webHidden/>
              </w:rPr>
              <w:fldChar w:fldCharType="end"/>
            </w:r>
          </w:hyperlink>
        </w:p>
        <w:p w14:paraId="29DFCB0D" w14:textId="5ACC2F16" w:rsidR="00C338BD" w:rsidRDefault="00C338BD">
          <w:pPr>
            <w:pStyle w:val="TOC1"/>
            <w:tabs>
              <w:tab w:val="right" w:leader="dot" w:pos="9350"/>
            </w:tabs>
            <w:rPr>
              <w:rFonts w:asciiTheme="minorHAnsi" w:eastAsiaTheme="minorEastAsia" w:hAnsiTheme="minorHAnsi"/>
              <w:noProof/>
              <w:szCs w:val="24"/>
            </w:rPr>
          </w:pPr>
          <w:hyperlink w:anchor="_Toc210855226" w:history="1">
            <w:r w:rsidRPr="00F072AF">
              <w:rPr>
                <w:rStyle w:val="Hyperlink"/>
                <w:rFonts w:ascii="Arial" w:hAnsi="Arial" w:cs="Arial"/>
                <w:noProof/>
              </w:rPr>
              <w:t>Financial Health Check: General Electronics (2020–2024)</w:t>
            </w:r>
            <w:r>
              <w:rPr>
                <w:noProof/>
                <w:webHidden/>
              </w:rPr>
              <w:tab/>
            </w:r>
            <w:r>
              <w:rPr>
                <w:noProof/>
                <w:webHidden/>
              </w:rPr>
              <w:fldChar w:fldCharType="begin"/>
            </w:r>
            <w:r>
              <w:rPr>
                <w:noProof/>
                <w:webHidden/>
              </w:rPr>
              <w:instrText xml:space="preserve"> PAGEREF _Toc210855226 \h </w:instrText>
            </w:r>
            <w:r>
              <w:rPr>
                <w:noProof/>
                <w:webHidden/>
              </w:rPr>
            </w:r>
            <w:r>
              <w:rPr>
                <w:noProof/>
                <w:webHidden/>
              </w:rPr>
              <w:fldChar w:fldCharType="separate"/>
            </w:r>
            <w:r>
              <w:rPr>
                <w:noProof/>
                <w:webHidden/>
              </w:rPr>
              <w:t>6</w:t>
            </w:r>
            <w:r>
              <w:rPr>
                <w:noProof/>
                <w:webHidden/>
              </w:rPr>
              <w:fldChar w:fldCharType="end"/>
            </w:r>
          </w:hyperlink>
        </w:p>
        <w:p w14:paraId="097D7683" w14:textId="710A63D9" w:rsidR="00C338BD" w:rsidRDefault="00C338BD">
          <w:pPr>
            <w:pStyle w:val="TOC2"/>
            <w:tabs>
              <w:tab w:val="right" w:leader="dot" w:pos="9350"/>
            </w:tabs>
            <w:rPr>
              <w:rFonts w:asciiTheme="minorHAnsi" w:eastAsiaTheme="minorEastAsia" w:hAnsiTheme="minorHAnsi"/>
              <w:noProof/>
              <w:szCs w:val="24"/>
            </w:rPr>
          </w:pPr>
          <w:hyperlink w:anchor="_Toc210855227" w:history="1">
            <w:r w:rsidRPr="00F072AF">
              <w:rPr>
                <w:rStyle w:val="Hyperlink"/>
                <w:rFonts w:ascii="Arial" w:hAnsi="Arial" w:cs="Arial"/>
                <w:noProof/>
              </w:rPr>
              <w:t>Financial Ratio Analysis</w:t>
            </w:r>
            <w:r>
              <w:rPr>
                <w:noProof/>
                <w:webHidden/>
              </w:rPr>
              <w:tab/>
            </w:r>
            <w:r>
              <w:rPr>
                <w:noProof/>
                <w:webHidden/>
              </w:rPr>
              <w:fldChar w:fldCharType="begin"/>
            </w:r>
            <w:r>
              <w:rPr>
                <w:noProof/>
                <w:webHidden/>
              </w:rPr>
              <w:instrText xml:space="preserve"> PAGEREF _Toc210855227 \h </w:instrText>
            </w:r>
            <w:r>
              <w:rPr>
                <w:noProof/>
                <w:webHidden/>
              </w:rPr>
            </w:r>
            <w:r>
              <w:rPr>
                <w:noProof/>
                <w:webHidden/>
              </w:rPr>
              <w:fldChar w:fldCharType="separate"/>
            </w:r>
            <w:r>
              <w:rPr>
                <w:noProof/>
                <w:webHidden/>
              </w:rPr>
              <w:t>6</w:t>
            </w:r>
            <w:r>
              <w:rPr>
                <w:noProof/>
                <w:webHidden/>
              </w:rPr>
              <w:fldChar w:fldCharType="end"/>
            </w:r>
          </w:hyperlink>
        </w:p>
        <w:p w14:paraId="2D382954" w14:textId="03DC6AE2" w:rsidR="00C338BD" w:rsidRDefault="00C338BD">
          <w:pPr>
            <w:pStyle w:val="TOC3"/>
            <w:tabs>
              <w:tab w:val="right" w:leader="dot" w:pos="9350"/>
            </w:tabs>
            <w:rPr>
              <w:rFonts w:asciiTheme="minorHAnsi" w:eastAsiaTheme="minorEastAsia" w:hAnsiTheme="minorHAnsi"/>
              <w:noProof/>
              <w:szCs w:val="24"/>
            </w:rPr>
          </w:pPr>
          <w:hyperlink w:anchor="_Toc210855228" w:history="1">
            <w:r w:rsidRPr="00F072AF">
              <w:rPr>
                <w:rStyle w:val="Hyperlink"/>
                <w:rFonts w:ascii="Arial" w:hAnsi="Arial" w:cs="Arial"/>
                <w:noProof/>
              </w:rPr>
              <w:t>Profitability</w:t>
            </w:r>
            <w:r>
              <w:rPr>
                <w:noProof/>
                <w:webHidden/>
              </w:rPr>
              <w:tab/>
            </w:r>
            <w:r>
              <w:rPr>
                <w:noProof/>
                <w:webHidden/>
              </w:rPr>
              <w:fldChar w:fldCharType="begin"/>
            </w:r>
            <w:r>
              <w:rPr>
                <w:noProof/>
                <w:webHidden/>
              </w:rPr>
              <w:instrText xml:space="preserve"> PAGEREF _Toc210855228 \h </w:instrText>
            </w:r>
            <w:r>
              <w:rPr>
                <w:noProof/>
                <w:webHidden/>
              </w:rPr>
            </w:r>
            <w:r>
              <w:rPr>
                <w:noProof/>
                <w:webHidden/>
              </w:rPr>
              <w:fldChar w:fldCharType="separate"/>
            </w:r>
            <w:r>
              <w:rPr>
                <w:noProof/>
                <w:webHidden/>
              </w:rPr>
              <w:t>6</w:t>
            </w:r>
            <w:r>
              <w:rPr>
                <w:noProof/>
                <w:webHidden/>
              </w:rPr>
              <w:fldChar w:fldCharType="end"/>
            </w:r>
          </w:hyperlink>
        </w:p>
        <w:p w14:paraId="5E9635A9" w14:textId="3BAB9489" w:rsidR="00C338BD" w:rsidRDefault="00C338BD">
          <w:pPr>
            <w:pStyle w:val="TOC3"/>
            <w:tabs>
              <w:tab w:val="right" w:leader="dot" w:pos="9350"/>
            </w:tabs>
            <w:rPr>
              <w:rFonts w:asciiTheme="minorHAnsi" w:eastAsiaTheme="minorEastAsia" w:hAnsiTheme="minorHAnsi"/>
              <w:noProof/>
              <w:szCs w:val="24"/>
            </w:rPr>
          </w:pPr>
          <w:hyperlink w:anchor="_Toc210855229" w:history="1">
            <w:r w:rsidRPr="00F072AF">
              <w:rPr>
                <w:rStyle w:val="Hyperlink"/>
                <w:rFonts w:ascii="Arial" w:hAnsi="Arial" w:cs="Arial"/>
                <w:noProof/>
              </w:rPr>
              <w:t>Liquidity</w:t>
            </w:r>
            <w:r>
              <w:rPr>
                <w:noProof/>
                <w:webHidden/>
              </w:rPr>
              <w:tab/>
            </w:r>
            <w:r>
              <w:rPr>
                <w:noProof/>
                <w:webHidden/>
              </w:rPr>
              <w:fldChar w:fldCharType="begin"/>
            </w:r>
            <w:r>
              <w:rPr>
                <w:noProof/>
                <w:webHidden/>
              </w:rPr>
              <w:instrText xml:space="preserve"> PAGEREF _Toc210855229 \h </w:instrText>
            </w:r>
            <w:r>
              <w:rPr>
                <w:noProof/>
                <w:webHidden/>
              </w:rPr>
            </w:r>
            <w:r>
              <w:rPr>
                <w:noProof/>
                <w:webHidden/>
              </w:rPr>
              <w:fldChar w:fldCharType="separate"/>
            </w:r>
            <w:r>
              <w:rPr>
                <w:noProof/>
                <w:webHidden/>
              </w:rPr>
              <w:t>7</w:t>
            </w:r>
            <w:r>
              <w:rPr>
                <w:noProof/>
                <w:webHidden/>
              </w:rPr>
              <w:fldChar w:fldCharType="end"/>
            </w:r>
          </w:hyperlink>
        </w:p>
        <w:p w14:paraId="43956C6F" w14:textId="5AE81763" w:rsidR="00C338BD" w:rsidRDefault="00C338BD">
          <w:pPr>
            <w:pStyle w:val="TOC3"/>
            <w:tabs>
              <w:tab w:val="right" w:leader="dot" w:pos="9350"/>
            </w:tabs>
            <w:rPr>
              <w:rFonts w:asciiTheme="minorHAnsi" w:eastAsiaTheme="minorEastAsia" w:hAnsiTheme="minorHAnsi"/>
              <w:noProof/>
              <w:szCs w:val="24"/>
            </w:rPr>
          </w:pPr>
          <w:hyperlink w:anchor="_Toc210855230" w:history="1">
            <w:r w:rsidRPr="00F072AF">
              <w:rPr>
                <w:rStyle w:val="Hyperlink"/>
                <w:rFonts w:ascii="Arial" w:hAnsi="Arial" w:cs="Arial"/>
                <w:noProof/>
              </w:rPr>
              <w:t>Efficiency</w:t>
            </w:r>
            <w:r>
              <w:rPr>
                <w:noProof/>
                <w:webHidden/>
              </w:rPr>
              <w:tab/>
            </w:r>
            <w:r>
              <w:rPr>
                <w:noProof/>
                <w:webHidden/>
              </w:rPr>
              <w:fldChar w:fldCharType="begin"/>
            </w:r>
            <w:r>
              <w:rPr>
                <w:noProof/>
                <w:webHidden/>
              </w:rPr>
              <w:instrText xml:space="preserve"> PAGEREF _Toc210855230 \h </w:instrText>
            </w:r>
            <w:r>
              <w:rPr>
                <w:noProof/>
                <w:webHidden/>
              </w:rPr>
            </w:r>
            <w:r>
              <w:rPr>
                <w:noProof/>
                <w:webHidden/>
              </w:rPr>
              <w:fldChar w:fldCharType="separate"/>
            </w:r>
            <w:r>
              <w:rPr>
                <w:noProof/>
                <w:webHidden/>
              </w:rPr>
              <w:t>8</w:t>
            </w:r>
            <w:r>
              <w:rPr>
                <w:noProof/>
                <w:webHidden/>
              </w:rPr>
              <w:fldChar w:fldCharType="end"/>
            </w:r>
          </w:hyperlink>
        </w:p>
        <w:p w14:paraId="566DC892" w14:textId="76154837" w:rsidR="00C338BD" w:rsidRDefault="00C338BD">
          <w:pPr>
            <w:pStyle w:val="TOC3"/>
            <w:tabs>
              <w:tab w:val="right" w:leader="dot" w:pos="9350"/>
            </w:tabs>
            <w:rPr>
              <w:rFonts w:asciiTheme="minorHAnsi" w:eastAsiaTheme="minorEastAsia" w:hAnsiTheme="minorHAnsi"/>
              <w:noProof/>
              <w:szCs w:val="24"/>
            </w:rPr>
          </w:pPr>
          <w:hyperlink w:anchor="_Toc210855231" w:history="1">
            <w:r w:rsidRPr="00F072AF">
              <w:rPr>
                <w:rStyle w:val="Hyperlink"/>
                <w:rFonts w:ascii="Arial" w:hAnsi="Arial" w:cs="Arial"/>
                <w:noProof/>
              </w:rPr>
              <w:t>Gearing</w:t>
            </w:r>
            <w:r>
              <w:rPr>
                <w:noProof/>
                <w:webHidden/>
              </w:rPr>
              <w:tab/>
            </w:r>
            <w:r>
              <w:rPr>
                <w:noProof/>
                <w:webHidden/>
              </w:rPr>
              <w:fldChar w:fldCharType="begin"/>
            </w:r>
            <w:r>
              <w:rPr>
                <w:noProof/>
                <w:webHidden/>
              </w:rPr>
              <w:instrText xml:space="preserve"> PAGEREF _Toc210855231 \h </w:instrText>
            </w:r>
            <w:r>
              <w:rPr>
                <w:noProof/>
                <w:webHidden/>
              </w:rPr>
            </w:r>
            <w:r>
              <w:rPr>
                <w:noProof/>
                <w:webHidden/>
              </w:rPr>
              <w:fldChar w:fldCharType="separate"/>
            </w:r>
            <w:r>
              <w:rPr>
                <w:noProof/>
                <w:webHidden/>
              </w:rPr>
              <w:t>9</w:t>
            </w:r>
            <w:r>
              <w:rPr>
                <w:noProof/>
                <w:webHidden/>
              </w:rPr>
              <w:fldChar w:fldCharType="end"/>
            </w:r>
          </w:hyperlink>
        </w:p>
        <w:p w14:paraId="4CB4789B" w14:textId="3D10D3EE" w:rsidR="00C338BD" w:rsidRDefault="00C338BD">
          <w:pPr>
            <w:pStyle w:val="TOC3"/>
            <w:tabs>
              <w:tab w:val="right" w:leader="dot" w:pos="9350"/>
            </w:tabs>
            <w:rPr>
              <w:rFonts w:asciiTheme="minorHAnsi" w:eastAsiaTheme="minorEastAsia" w:hAnsiTheme="minorHAnsi"/>
              <w:noProof/>
              <w:szCs w:val="24"/>
            </w:rPr>
          </w:pPr>
          <w:hyperlink w:anchor="_Toc210855232" w:history="1">
            <w:r w:rsidRPr="00F072AF">
              <w:rPr>
                <w:rStyle w:val="Hyperlink"/>
                <w:rFonts w:ascii="Arial" w:hAnsi="Arial" w:cs="Arial"/>
                <w:noProof/>
              </w:rPr>
              <w:t>Investment</w:t>
            </w:r>
            <w:r>
              <w:rPr>
                <w:noProof/>
                <w:webHidden/>
              </w:rPr>
              <w:tab/>
            </w:r>
            <w:r>
              <w:rPr>
                <w:noProof/>
                <w:webHidden/>
              </w:rPr>
              <w:fldChar w:fldCharType="begin"/>
            </w:r>
            <w:r>
              <w:rPr>
                <w:noProof/>
                <w:webHidden/>
              </w:rPr>
              <w:instrText xml:space="preserve"> PAGEREF _Toc210855232 \h </w:instrText>
            </w:r>
            <w:r>
              <w:rPr>
                <w:noProof/>
                <w:webHidden/>
              </w:rPr>
            </w:r>
            <w:r>
              <w:rPr>
                <w:noProof/>
                <w:webHidden/>
              </w:rPr>
              <w:fldChar w:fldCharType="separate"/>
            </w:r>
            <w:r>
              <w:rPr>
                <w:noProof/>
                <w:webHidden/>
              </w:rPr>
              <w:t>10</w:t>
            </w:r>
            <w:r>
              <w:rPr>
                <w:noProof/>
                <w:webHidden/>
              </w:rPr>
              <w:fldChar w:fldCharType="end"/>
            </w:r>
          </w:hyperlink>
        </w:p>
        <w:p w14:paraId="4283BDE8" w14:textId="7816B41E" w:rsidR="00C338BD" w:rsidRDefault="00C338BD">
          <w:pPr>
            <w:pStyle w:val="TOC3"/>
            <w:tabs>
              <w:tab w:val="right" w:leader="dot" w:pos="9350"/>
            </w:tabs>
            <w:rPr>
              <w:rFonts w:asciiTheme="minorHAnsi" w:eastAsiaTheme="minorEastAsia" w:hAnsiTheme="minorHAnsi"/>
              <w:noProof/>
              <w:szCs w:val="24"/>
            </w:rPr>
          </w:pPr>
          <w:hyperlink w:anchor="_Toc210855233" w:history="1">
            <w:r w:rsidRPr="00F072AF">
              <w:rPr>
                <w:rStyle w:val="Hyperlink"/>
                <w:rFonts w:ascii="Arial" w:hAnsi="Arial" w:cs="Arial"/>
                <w:noProof/>
              </w:rPr>
              <w:t>Cash Flow</w:t>
            </w:r>
            <w:r>
              <w:rPr>
                <w:noProof/>
                <w:webHidden/>
              </w:rPr>
              <w:tab/>
            </w:r>
            <w:r>
              <w:rPr>
                <w:noProof/>
                <w:webHidden/>
              </w:rPr>
              <w:fldChar w:fldCharType="begin"/>
            </w:r>
            <w:r>
              <w:rPr>
                <w:noProof/>
                <w:webHidden/>
              </w:rPr>
              <w:instrText xml:space="preserve"> PAGEREF _Toc210855233 \h </w:instrText>
            </w:r>
            <w:r>
              <w:rPr>
                <w:noProof/>
                <w:webHidden/>
              </w:rPr>
            </w:r>
            <w:r>
              <w:rPr>
                <w:noProof/>
                <w:webHidden/>
              </w:rPr>
              <w:fldChar w:fldCharType="separate"/>
            </w:r>
            <w:r>
              <w:rPr>
                <w:noProof/>
                <w:webHidden/>
              </w:rPr>
              <w:t>11</w:t>
            </w:r>
            <w:r>
              <w:rPr>
                <w:noProof/>
                <w:webHidden/>
              </w:rPr>
              <w:fldChar w:fldCharType="end"/>
            </w:r>
          </w:hyperlink>
        </w:p>
        <w:p w14:paraId="531940D3" w14:textId="62DA8428" w:rsidR="00C338BD" w:rsidRDefault="00C338BD">
          <w:pPr>
            <w:pStyle w:val="TOC2"/>
            <w:tabs>
              <w:tab w:val="right" w:leader="dot" w:pos="9350"/>
            </w:tabs>
            <w:rPr>
              <w:rFonts w:asciiTheme="minorHAnsi" w:eastAsiaTheme="minorEastAsia" w:hAnsiTheme="minorHAnsi"/>
              <w:noProof/>
              <w:szCs w:val="24"/>
            </w:rPr>
          </w:pPr>
          <w:hyperlink w:anchor="_Toc210855234" w:history="1">
            <w:r w:rsidRPr="00F072AF">
              <w:rPr>
                <w:rStyle w:val="Hyperlink"/>
                <w:rFonts w:ascii="Arial" w:hAnsi="Arial" w:cs="Arial"/>
                <w:noProof/>
              </w:rPr>
              <w:t>Trend Summary-Strengths and Threats</w:t>
            </w:r>
            <w:r>
              <w:rPr>
                <w:noProof/>
                <w:webHidden/>
              </w:rPr>
              <w:tab/>
            </w:r>
            <w:r>
              <w:rPr>
                <w:noProof/>
                <w:webHidden/>
              </w:rPr>
              <w:fldChar w:fldCharType="begin"/>
            </w:r>
            <w:r>
              <w:rPr>
                <w:noProof/>
                <w:webHidden/>
              </w:rPr>
              <w:instrText xml:space="preserve"> PAGEREF _Toc210855234 \h </w:instrText>
            </w:r>
            <w:r>
              <w:rPr>
                <w:noProof/>
                <w:webHidden/>
              </w:rPr>
            </w:r>
            <w:r>
              <w:rPr>
                <w:noProof/>
                <w:webHidden/>
              </w:rPr>
              <w:fldChar w:fldCharType="separate"/>
            </w:r>
            <w:r>
              <w:rPr>
                <w:noProof/>
                <w:webHidden/>
              </w:rPr>
              <w:t>11</w:t>
            </w:r>
            <w:r>
              <w:rPr>
                <w:noProof/>
                <w:webHidden/>
              </w:rPr>
              <w:fldChar w:fldCharType="end"/>
            </w:r>
          </w:hyperlink>
        </w:p>
        <w:p w14:paraId="0AD8CCCD" w14:textId="2E281AB9" w:rsidR="00C338BD" w:rsidRDefault="00C338BD">
          <w:pPr>
            <w:pStyle w:val="TOC2"/>
            <w:tabs>
              <w:tab w:val="right" w:leader="dot" w:pos="9350"/>
            </w:tabs>
            <w:rPr>
              <w:rFonts w:asciiTheme="minorHAnsi" w:eastAsiaTheme="minorEastAsia" w:hAnsiTheme="minorHAnsi"/>
              <w:noProof/>
              <w:szCs w:val="24"/>
            </w:rPr>
          </w:pPr>
          <w:hyperlink w:anchor="_Toc210855235" w:history="1">
            <w:r w:rsidRPr="00F072AF">
              <w:rPr>
                <w:rStyle w:val="Hyperlink"/>
                <w:rFonts w:ascii="Arial" w:hAnsi="Arial" w:cs="Arial"/>
                <w:noProof/>
              </w:rPr>
              <w:t>Corporate failure prediction using the Altman Z-score model</w:t>
            </w:r>
            <w:r>
              <w:rPr>
                <w:noProof/>
                <w:webHidden/>
              </w:rPr>
              <w:tab/>
            </w:r>
            <w:r>
              <w:rPr>
                <w:noProof/>
                <w:webHidden/>
              </w:rPr>
              <w:fldChar w:fldCharType="begin"/>
            </w:r>
            <w:r>
              <w:rPr>
                <w:noProof/>
                <w:webHidden/>
              </w:rPr>
              <w:instrText xml:space="preserve"> PAGEREF _Toc210855235 \h </w:instrText>
            </w:r>
            <w:r>
              <w:rPr>
                <w:noProof/>
                <w:webHidden/>
              </w:rPr>
            </w:r>
            <w:r>
              <w:rPr>
                <w:noProof/>
                <w:webHidden/>
              </w:rPr>
              <w:fldChar w:fldCharType="separate"/>
            </w:r>
            <w:r>
              <w:rPr>
                <w:noProof/>
                <w:webHidden/>
              </w:rPr>
              <w:t>12</w:t>
            </w:r>
            <w:r>
              <w:rPr>
                <w:noProof/>
                <w:webHidden/>
              </w:rPr>
              <w:fldChar w:fldCharType="end"/>
            </w:r>
          </w:hyperlink>
        </w:p>
        <w:p w14:paraId="3A358866" w14:textId="3ACE4BBE" w:rsidR="00C338BD" w:rsidRDefault="00C338BD">
          <w:pPr>
            <w:pStyle w:val="TOC1"/>
            <w:tabs>
              <w:tab w:val="right" w:leader="dot" w:pos="9350"/>
            </w:tabs>
            <w:rPr>
              <w:rFonts w:asciiTheme="minorHAnsi" w:eastAsiaTheme="minorEastAsia" w:hAnsiTheme="minorHAnsi"/>
              <w:noProof/>
              <w:szCs w:val="24"/>
            </w:rPr>
          </w:pPr>
          <w:hyperlink w:anchor="_Toc210855236" w:history="1">
            <w:r w:rsidRPr="00F072AF">
              <w:rPr>
                <w:rStyle w:val="Hyperlink"/>
                <w:rFonts w:ascii="Arial" w:hAnsi="Arial" w:cs="Arial"/>
                <w:noProof/>
              </w:rPr>
              <w:t>Working Capital Management Analysis</w:t>
            </w:r>
            <w:r>
              <w:rPr>
                <w:noProof/>
                <w:webHidden/>
              </w:rPr>
              <w:tab/>
            </w:r>
            <w:r>
              <w:rPr>
                <w:noProof/>
                <w:webHidden/>
              </w:rPr>
              <w:fldChar w:fldCharType="begin"/>
            </w:r>
            <w:r>
              <w:rPr>
                <w:noProof/>
                <w:webHidden/>
              </w:rPr>
              <w:instrText xml:space="preserve"> PAGEREF _Toc210855236 \h </w:instrText>
            </w:r>
            <w:r>
              <w:rPr>
                <w:noProof/>
                <w:webHidden/>
              </w:rPr>
            </w:r>
            <w:r>
              <w:rPr>
                <w:noProof/>
                <w:webHidden/>
              </w:rPr>
              <w:fldChar w:fldCharType="separate"/>
            </w:r>
            <w:r>
              <w:rPr>
                <w:noProof/>
                <w:webHidden/>
              </w:rPr>
              <w:t>13</w:t>
            </w:r>
            <w:r>
              <w:rPr>
                <w:noProof/>
                <w:webHidden/>
              </w:rPr>
              <w:fldChar w:fldCharType="end"/>
            </w:r>
          </w:hyperlink>
        </w:p>
        <w:p w14:paraId="32BE862D" w14:textId="08C327D3" w:rsidR="00C338BD" w:rsidRDefault="00C338BD">
          <w:pPr>
            <w:pStyle w:val="TOC1"/>
            <w:tabs>
              <w:tab w:val="right" w:leader="dot" w:pos="9350"/>
            </w:tabs>
            <w:rPr>
              <w:rFonts w:asciiTheme="minorHAnsi" w:eastAsiaTheme="minorEastAsia" w:hAnsiTheme="minorHAnsi"/>
              <w:noProof/>
              <w:szCs w:val="24"/>
            </w:rPr>
          </w:pPr>
          <w:hyperlink w:anchor="_Toc210855237" w:history="1">
            <w:r w:rsidRPr="00F072AF">
              <w:rPr>
                <w:rStyle w:val="Hyperlink"/>
                <w:rFonts w:ascii="Arial" w:hAnsi="Arial" w:cs="Arial"/>
                <w:noProof/>
              </w:rPr>
              <w:t>Strategic Financial Restructuring Plan</w:t>
            </w:r>
            <w:r>
              <w:rPr>
                <w:noProof/>
                <w:webHidden/>
              </w:rPr>
              <w:tab/>
            </w:r>
            <w:r>
              <w:rPr>
                <w:noProof/>
                <w:webHidden/>
              </w:rPr>
              <w:fldChar w:fldCharType="begin"/>
            </w:r>
            <w:r>
              <w:rPr>
                <w:noProof/>
                <w:webHidden/>
              </w:rPr>
              <w:instrText xml:space="preserve"> PAGEREF _Toc210855237 \h </w:instrText>
            </w:r>
            <w:r>
              <w:rPr>
                <w:noProof/>
                <w:webHidden/>
              </w:rPr>
            </w:r>
            <w:r>
              <w:rPr>
                <w:noProof/>
                <w:webHidden/>
              </w:rPr>
              <w:fldChar w:fldCharType="separate"/>
            </w:r>
            <w:r>
              <w:rPr>
                <w:noProof/>
                <w:webHidden/>
              </w:rPr>
              <w:t>17</w:t>
            </w:r>
            <w:r>
              <w:rPr>
                <w:noProof/>
                <w:webHidden/>
              </w:rPr>
              <w:fldChar w:fldCharType="end"/>
            </w:r>
          </w:hyperlink>
        </w:p>
        <w:p w14:paraId="522E2D03" w14:textId="1C6D6BE3" w:rsidR="00C338BD" w:rsidRDefault="00C338BD">
          <w:pPr>
            <w:pStyle w:val="TOC2"/>
            <w:tabs>
              <w:tab w:val="right" w:leader="dot" w:pos="9350"/>
            </w:tabs>
            <w:rPr>
              <w:rFonts w:asciiTheme="minorHAnsi" w:eastAsiaTheme="minorEastAsia" w:hAnsiTheme="minorHAnsi"/>
              <w:noProof/>
              <w:szCs w:val="24"/>
            </w:rPr>
          </w:pPr>
          <w:hyperlink w:anchor="_Toc210855238" w:history="1">
            <w:r w:rsidRPr="00F072AF">
              <w:rPr>
                <w:rStyle w:val="Hyperlink"/>
                <w:rFonts w:ascii="Arial" w:hAnsi="Arial" w:cs="Arial"/>
                <w:noProof/>
              </w:rPr>
              <w:t>Equity Injection: Rights Issue vs. Strategic Investor</w:t>
            </w:r>
            <w:r>
              <w:rPr>
                <w:noProof/>
                <w:webHidden/>
              </w:rPr>
              <w:tab/>
            </w:r>
            <w:r>
              <w:rPr>
                <w:noProof/>
                <w:webHidden/>
              </w:rPr>
              <w:fldChar w:fldCharType="begin"/>
            </w:r>
            <w:r>
              <w:rPr>
                <w:noProof/>
                <w:webHidden/>
              </w:rPr>
              <w:instrText xml:space="preserve"> PAGEREF _Toc210855238 \h </w:instrText>
            </w:r>
            <w:r>
              <w:rPr>
                <w:noProof/>
                <w:webHidden/>
              </w:rPr>
            </w:r>
            <w:r>
              <w:rPr>
                <w:noProof/>
                <w:webHidden/>
              </w:rPr>
              <w:fldChar w:fldCharType="separate"/>
            </w:r>
            <w:r>
              <w:rPr>
                <w:noProof/>
                <w:webHidden/>
              </w:rPr>
              <w:t>18</w:t>
            </w:r>
            <w:r>
              <w:rPr>
                <w:noProof/>
                <w:webHidden/>
              </w:rPr>
              <w:fldChar w:fldCharType="end"/>
            </w:r>
          </w:hyperlink>
        </w:p>
        <w:p w14:paraId="50819C90" w14:textId="5B355676" w:rsidR="00C338BD" w:rsidRDefault="00C338BD">
          <w:pPr>
            <w:pStyle w:val="TOC1"/>
            <w:tabs>
              <w:tab w:val="right" w:leader="dot" w:pos="9350"/>
            </w:tabs>
            <w:rPr>
              <w:rFonts w:asciiTheme="minorHAnsi" w:eastAsiaTheme="minorEastAsia" w:hAnsiTheme="minorHAnsi"/>
              <w:noProof/>
              <w:szCs w:val="24"/>
            </w:rPr>
          </w:pPr>
          <w:hyperlink w:anchor="_Toc210855239" w:history="1">
            <w:r w:rsidRPr="00F072AF">
              <w:rPr>
                <w:rStyle w:val="Hyperlink"/>
                <w:rFonts w:ascii="Arial" w:hAnsi="Arial" w:cs="Arial"/>
                <w:noProof/>
              </w:rPr>
              <w:t>Investment Appraisal and Capital Budgeting</w:t>
            </w:r>
            <w:r>
              <w:rPr>
                <w:noProof/>
                <w:webHidden/>
              </w:rPr>
              <w:tab/>
            </w:r>
            <w:r>
              <w:rPr>
                <w:noProof/>
                <w:webHidden/>
              </w:rPr>
              <w:fldChar w:fldCharType="begin"/>
            </w:r>
            <w:r>
              <w:rPr>
                <w:noProof/>
                <w:webHidden/>
              </w:rPr>
              <w:instrText xml:space="preserve"> PAGEREF _Toc210855239 \h </w:instrText>
            </w:r>
            <w:r>
              <w:rPr>
                <w:noProof/>
                <w:webHidden/>
              </w:rPr>
            </w:r>
            <w:r>
              <w:rPr>
                <w:noProof/>
                <w:webHidden/>
              </w:rPr>
              <w:fldChar w:fldCharType="separate"/>
            </w:r>
            <w:r>
              <w:rPr>
                <w:noProof/>
                <w:webHidden/>
              </w:rPr>
              <w:t>20</w:t>
            </w:r>
            <w:r>
              <w:rPr>
                <w:noProof/>
                <w:webHidden/>
              </w:rPr>
              <w:fldChar w:fldCharType="end"/>
            </w:r>
          </w:hyperlink>
        </w:p>
        <w:p w14:paraId="17601D4D" w14:textId="254699FF" w:rsidR="00C338BD" w:rsidRDefault="00C338BD">
          <w:pPr>
            <w:pStyle w:val="TOC2"/>
            <w:tabs>
              <w:tab w:val="right" w:leader="dot" w:pos="9350"/>
            </w:tabs>
            <w:rPr>
              <w:rFonts w:asciiTheme="minorHAnsi" w:eastAsiaTheme="minorEastAsia" w:hAnsiTheme="minorHAnsi"/>
              <w:noProof/>
              <w:szCs w:val="24"/>
            </w:rPr>
          </w:pPr>
          <w:hyperlink w:anchor="_Toc210855240" w:history="1">
            <w:r w:rsidRPr="00F072AF">
              <w:rPr>
                <w:rStyle w:val="Hyperlink"/>
                <w:rFonts w:ascii="Arial" w:hAnsi="Arial" w:cs="Arial"/>
                <w:noProof/>
              </w:rPr>
              <w:t>Decision Summary</w:t>
            </w:r>
            <w:r>
              <w:rPr>
                <w:noProof/>
                <w:webHidden/>
              </w:rPr>
              <w:tab/>
            </w:r>
            <w:r>
              <w:rPr>
                <w:noProof/>
                <w:webHidden/>
              </w:rPr>
              <w:fldChar w:fldCharType="begin"/>
            </w:r>
            <w:r>
              <w:rPr>
                <w:noProof/>
                <w:webHidden/>
              </w:rPr>
              <w:instrText xml:space="preserve"> PAGEREF _Toc210855240 \h </w:instrText>
            </w:r>
            <w:r>
              <w:rPr>
                <w:noProof/>
                <w:webHidden/>
              </w:rPr>
            </w:r>
            <w:r>
              <w:rPr>
                <w:noProof/>
                <w:webHidden/>
              </w:rPr>
              <w:fldChar w:fldCharType="separate"/>
            </w:r>
            <w:r>
              <w:rPr>
                <w:noProof/>
                <w:webHidden/>
              </w:rPr>
              <w:t>21</w:t>
            </w:r>
            <w:r>
              <w:rPr>
                <w:noProof/>
                <w:webHidden/>
              </w:rPr>
              <w:fldChar w:fldCharType="end"/>
            </w:r>
          </w:hyperlink>
        </w:p>
        <w:p w14:paraId="5D50D668" w14:textId="186CADA7" w:rsidR="00C338BD" w:rsidRDefault="00C338BD">
          <w:pPr>
            <w:pStyle w:val="TOC2"/>
            <w:tabs>
              <w:tab w:val="right" w:leader="dot" w:pos="9350"/>
            </w:tabs>
            <w:rPr>
              <w:rFonts w:asciiTheme="minorHAnsi" w:eastAsiaTheme="minorEastAsia" w:hAnsiTheme="minorHAnsi"/>
              <w:noProof/>
              <w:szCs w:val="24"/>
            </w:rPr>
          </w:pPr>
          <w:hyperlink w:anchor="_Toc210855241" w:history="1">
            <w:r w:rsidRPr="00F072AF">
              <w:rPr>
                <w:rStyle w:val="Hyperlink"/>
                <w:rFonts w:ascii="Arial" w:hAnsi="Arial" w:cs="Arial"/>
                <w:noProof/>
              </w:rPr>
              <w:t>Financing and Balance-Sheet Optics</w:t>
            </w:r>
            <w:r>
              <w:rPr>
                <w:noProof/>
                <w:webHidden/>
              </w:rPr>
              <w:tab/>
            </w:r>
            <w:r>
              <w:rPr>
                <w:noProof/>
                <w:webHidden/>
              </w:rPr>
              <w:fldChar w:fldCharType="begin"/>
            </w:r>
            <w:r>
              <w:rPr>
                <w:noProof/>
                <w:webHidden/>
              </w:rPr>
              <w:instrText xml:space="preserve"> PAGEREF _Toc210855241 \h </w:instrText>
            </w:r>
            <w:r>
              <w:rPr>
                <w:noProof/>
                <w:webHidden/>
              </w:rPr>
            </w:r>
            <w:r>
              <w:rPr>
                <w:noProof/>
                <w:webHidden/>
              </w:rPr>
              <w:fldChar w:fldCharType="separate"/>
            </w:r>
            <w:r>
              <w:rPr>
                <w:noProof/>
                <w:webHidden/>
              </w:rPr>
              <w:t>23</w:t>
            </w:r>
            <w:r>
              <w:rPr>
                <w:noProof/>
                <w:webHidden/>
              </w:rPr>
              <w:fldChar w:fldCharType="end"/>
            </w:r>
          </w:hyperlink>
        </w:p>
        <w:p w14:paraId="013E3FE8" w14:textId="11E7D0A5" w:rsidR="00C338BD" w:rsidRDefault="00C338BD">
          <w:pPr>
            <w:pStyle w:val="TOC1"/>
            <w:tabs>
              <w:tab w:val="right" w:leader="dot" w:pos="9350"/>
            </w:tabs>
            <w:rPr>
              <w:rFonts w:asciiTheme="minorHAnsi" w:eastAsiaTheme="minorEastAsia" w:hAnsiTheme="minorHAnsi"/>
              <w:noProof/>
              <w:szCs w:val="24"/>
            </w:rPr>
          </w:pPr>
          <w:hyperlink w:anchor="_Toc210855242" w:history="1">
            <w:r w:rsidRPr="00F072A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_Toc210855242 \h </w:instrText>
            </w:r>
            <w:r>
              <w:rPr>
                <w:noProof/>
                <w:webHidden/>
              </w:rPr>
            </w:r>
            <w:r>
              <w:rPr>
                <w:noProof/>
                <w:webHidden/>
              </w:rPr>
              <w:fldChar w:fldCharType="separate"/>
            </w:r>
            <w:r>
              <w:rPr>
                <w:noProof/>
                <w:webHidden/>
              </w:rPr>
              <w:t>26</w:t>
            </w:r>
            <w:r>
              <w:rPr>
                <w:noProof/>
                <w:webHidden/>
              </w:rPr>
              <w:fldChar w:fldCharType="end"/>
            </w:r>
          </w:hyperlink>
        </w:p>
        <w:p w14:paraId="4C265EE1" w14:textId="6ACEB406" w:rsidR="00C338BD" w:rsidRDefault="00C338BD">
          <w:pPr>
            <w:pStyle w:val="TOC1"/>
            <w:tabs>
              <w:tab w:val="right" w:leader="dot" w:pos="9350"/>
            </w:tabs>
            <w:rPr>
              <w:rFonts w:asciiTheme="minorHAnsi" w:eastAsiaTheme="minorEastAsia" w:hAnsiTheme="minorHAnsi"/>
              <w:noProof/>
              <w:szCs w:val="24"/>
            </w:rPr>
          </w:pPr>
          <w:hyperlink w:anchor="_Toc210855243" w:history="1">
            <w:r w:rsidRPr="00F072AF">
              <w:rPr>
                <w:rStyle w:val="Hyperlink"/>
                <w:rFonts w:ascii="Arial" w:hAnsi="Arial" w:cs="Arial"/>
                <w:noProof/>
              </w:rPr>
              <w:t>Reference</w:t>
            </w:r>
            <w:r>
              <w:rPr>
                <w:noProof/>
                <w:webHidden/>
              </w:rPr>
              <w:tab/>
            </w:r>
            <w:r>
              <w:rPr>
                <w:noProof/>
                <w:webHidden/>
              </w:rPr>
              <w:fldChar w:fldCharType="begin"/>
            </w:r>
            <w:r>
              <w:rPr>
                <w:noProof/>
                <w:webHidden/>
              </w:rPr>
              <w:instrText xml:space="preserve"> PAGEREF _Toc210855243 \h </w:instrText>
            </w:r>
            <w:r>
              <w:rPr>
                <w:noProof/>
                <w:webHidden/>
              </w:rPr>
            </w:r>
            <w:r>
              <w:rPr>
                <w:noProof/>
                <w:webHidden/>
              </w:rPr>
              <w:fldChar w:fldCharType="separate"/>
            </w:r>
            <w:r>
              <w:rPr>
                <w:noProof/>
                <w:webHidden/>
              </w:rPr>
              <w:t>27</w:t>
            </w:r>
            <w:r>
              <w:rPr>
                <w:noProof/>
                <w:webHidden/>
              </w:rPr>
              <w:fldChar w:fldCharType="end"/>
            </w:r>
          </w:hyperlink>
        </w:p>
        <w:p w14:paraId="7712AF09" w14:textId="3D4B5F19" w:rsidR="00C338BD" w:rsidRDefault="00C338BD">
          <w:pPr>
            <w:pStyle w:val="TOC1"/>
            <w:tabs>
              <w:tab w:val="right" w:leader="dot" w:pos="9350"/>
            </w:tabs>
            <w:rPr>
              <w:rFonts w:asciiTheme="minorHAnsi" w:eastAsiaTheme="minorEastAsia" w:hAnsiTheme="minorHAnsi"/>
              <w:noProof/>
              <w:szCs w:val="24"/>
            </w:rPr>
          </w:pPr>
          <w:hyperlink w:anchor="_Toc210855244" w:history="1">
            <w:r w:rsidRPr="00F072AF">
              <w:rPr>
                <w:rStyle w:val="Hyperlink"/>
                <w:rFonts w:ascii="Arial" w:hAnsi="Arial" w:cs="Arial"/>
                <w:noProof/>
              </w:rPr>
              <w:t>Appendix</w:t>
            </w:r>
            <w:r>
              <w:rPr>
                <w:noProof/>
                <w:webHidden/>
              </w:rPr>
              <w:tab/>
            </w:r>
            <w:r>
              <w:rPr>
                <w:noProof/>
                <w:webHidden/>
              </w:rPr>
              <w:fldChar w:fldCharType="begin"/>
            </w:r>
            <w:r>
              <w:rPr>
                <w:noProof/>
                <w:webHidden/>
              </w:rPr>
              <w:instrText xml:space="preserve"> PAGEREF _Toc210855244 \h </w:instrText>
            </w:r>
            <w:r>
              <w:rPr>
                <w:noProof/>
                <w:webHidden/>
              </w:rPr>
            </w:r>
            <w:r>
              <w:rPr>
                <w:noProof/>
                <w:webHidden/>
              </w:rPr>
              <w:fldChar w:fldCharType="separate"/>
            </w:r>
            <w:r>
              <w:rPr>
                <w:noProof/>
                <w:webHidden/>
              </w:rPr>
              <w:t>29</w:t>
            </w:r>
            <w:r>
              <w:rPr>
                <w:noProof/>
                <w:webHidden/>
              </w:rPr>
              <w:fldChar w:fldCharType="end"/>
            </w:r>
          </w:hyperlink>
        </w:p>
        <w:p w14:paraId="1561EAEE" w14:textId="22D1D4A6" w:rsidR="00637F01" w:rsidRPr="0074648E" w:rsidRDefault="00637F01" w:rsidP="00934DB9">
          <w:pPr>
            <w:rPr>
              <w:rFonts w:ascii="Arial" w:hAnsi="Arial" w:cs="Arial"/>
            </w:rPr>
          </w:pPr>
          <w:r w:rsidRPr="0074648E">
            <w:rPr>
              <w:rFonts w:ascii="Arial" w:hAnsi="Arial" w:cs="Arial"/>
              <w:b/>
              <w:bCs/>
              <w:noProof/>
            </w:rPr>
            <w:fldChar w:fldCharType="end"/>
          </w:r>
        </w:p>
      </w:sdtContent>
    </w:sdt>
    <w:p w14:paraId="535A348C" w14:textId="71BCED65" w:rsidR="00A474F9" w:rsidRPr="0074648E" w:rsidRDefault="00A474F9">
      <w:pPr>
        <w:pStyle w:val="TableofFigures"/>
        <w:tabs>
          <w:tab w:val="right" w:leader="dot" w:pos="9350"/>
        </w:tabs>
        <w:rPr>
          <w:rFonts w:ascii="Arial" w:eastAsiaTheme="minorEastAsia" w:hAnsi="Arial" w:cs="Arial"/>
          <w:noProof/>
          <w:szCs w:val="24"/>
        </w:rPr>
      </w:pPr>
      <w:r w:rsidRPr="0074648E">
        <w:rPr>
          <w:rFonts w:ascii="Arial" w:hAnsi="Arial" w:cs="Arial"/>
        </w:rPr>
        <w:fldChar w:fldCharType="begin"/>
      </w:r>
      <w:r w:rsidRPr="0074648E">
        <w:rPr>
          <w:rFonts w:ascii="Arial" w:hAnsi="Arial" w:cs="Arial"/>
        </w:rPr>
        <w:instrText xml:space="preserve"> TOC \h \z \c "Figure" </w:instrText>
      </w:r>
      <w:r w:rsidRPr="0074648E">
        <w:rPr>
          <w:rFonts w:ascii="Arial" w:hAnsi="Arial" w:cs="Arial"/>
        </w:rPr>
        <w:fldChar w:fldCharType="separate"/>
      </w:r>
      <w:hyperlink w:anchor="_Toc210664717" w:history="1">
        <w:r w:rsidRPr="0074648E">
          <w:rPr>
            <w:rStyle w:val="Hyperlink"/>
            <w:rFonts w:ascii="Arial" w:hAnsi="Arial" w:cs="Arial"/>
            <w:noProof/>
            <w:color w:val="auto"/>
          </w:rPr>
          <w:t>Figure 1: Profitability Ratios</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_Toc210664717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5</w:t>
        </w:r>
        <w:r w:rsidRPr="0074648E">
          <w:rPr>
            <w:rFonts w:ascii="Arial" w:hAnsi="Arial" w:cs="Arial"/>
            <w:noProof/>
            <w:webHidden/>
          </w:rPr>
          <w:fldChar w:fldCharType="end"/>
        </w:r>
      </w:hyperlink>
    </w:p>
    <w:p w14:paraId="469EB28E" w14:textId="3C0A9A37" w:rsidR="00A474F9" w:rsidRPr="0074648E" w:rsidRDefault="00A474F9">
      <w:pPr>
        <w:pStyle w:val="TableofFigures"/>
        <w:tabs>
          <w:tab w:val="right" w:leader="dot" w:pos="9350"/>
        </w:tabs>
        <w:rPr>
          <w:rFonts w:ascii="Arial" w:eastAsiaTheme="minorEastAsia" w:hAnsi="Arial" w:cs="Arial"/>
          <w:noProof/>
          <w:szCs w:val="24"/>
        </w:rPr>
      </w:pPr>
      <w:hyperlink w:anchor="_Toc210664718" w:history="1">
        <w:r w:rsidRPr="0074648E">
          <w:rPr>
            <w:rStyle w:val="Hyperlink"/>
            <w:rFonts w:ascii="Arial" w:hAnsi="Arial" w:cs="Arial"/>
            <w:noProof/>
            <w:color w:val="auto"/>
          </w:rPr>
          <w:t>Figure 2: Liquidity Ratios</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_Toc210664718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6</w:t>
        </w:r>
        <w:r w:rsidRPr="0074648E">
          <w:rPr>
            <w:rFonts w:ascii="Arial" w:hAnsi="Arial" w:cs="Arial"/>
            <w:noProof/>
            <w:webHidden/>
          </w:rPr>
          <w:fldChar w:fldCharType="end"/>
        </w:r>
      </w:hyperlink>
    </w:p>
    <w:p w14:paraId="5134C74E" w14:textId="71898BDB" w:rsidR="00A474F9" w:rsidRPr="0074648E" w:rsidRDefault="00A474F9">
      <w:pPr>
        <w:pStyle w:val="TableofFigures"/>
        <w:tabs>
          <w:tab w:val="right" w:leader="dot" w:pos="9350"/>
        </w:tabs>
        <w:rPr>
          <w:rFonts w:ascii="Arial" w:eastAsiaTheme="minorEastAsia" w:hAnsi="Arial" w:cs="Arial"/>
          <w:noProof/>
          <w:szCs w:val="24"/>
        </w:rPr>
      </w:pPr>
      <w:hyperlink w:anchor="_Toc210664719" w:history="1">
        <w:r w:rsidRPr="0074648E">
          <w:rPr>
            <w:rStyle w:val="Hyperlink"/>
            <w:rFonts w:ascii="Arial" w:hAnsi="Arial" w:cs="Arial"/>
            <w:noProof/>
            <w:color w:val="auto"/>
          </w:rPr>
          <w:t>Figure 3: Efficiency Ratios</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_Toc210664719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7</w:t>
        </w:r>
        <w:r w:rsidRPr="0074648E">
          <w:rPr>
            <w:rFonts w:ascii="Arial" w:hAnsi="Arial" w:cs="Arial"/>
            <w:noProof/>
            <w:webHidden/>
          </w:rPr>
          <w:fldChar w:fldCharType="end"/>
        </w:r>
      </w:hyperlink>
    </w:p>
    <w:p w14:paraId="70CECD61" w14:textId="2A13C163" w:rsidR="00A474F9" w:rsidRPr="0074648E" w:rsidRDefault="00A474F9">
      <w:pPr>
        <w:pStyle w:val="TableofFigures"/>
        <w:tabs>
          <w:tab w:val="right" w:leader="dot" w:pos="9350"/>
        </w:tabs>
        <w:rPr>
          <w:rFonts w:ascii="Arial" w:eastAsiaTheme="minorEastAsia" w:hAnsi="Arial" w:cs="Arial"/>
          <w:noProof/>
          <w:szCs w:val="24"/>
        </w:rPr>
      </w:pPr>
      <w:hyperlink w:anchor="_Toc210664720" w:history="1">
        <w:r w:rsidRPr="0074648E">
          <w:rPr>
            <w:rStyle w:val="Hyperlink"/>
            <w:rFonts w:ascii="Arial" w:hAnsi="Arial" w:cs="Arial"/>
            <w:noProof/>
            <w:color w:val="auto"/>
          </w:rPr>
          <w:t>Figure 4: Gearing Ratios</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_Toc210664720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8</w:t>
        </w:r>
        <w:r w:rsidRPr="0074648E">
          <w:rPr>
            <w:rFonts w:ascii="Arial" w:hAnsi="Arial" w:cs="Arial"/>
            <w:noProof/>
            <w:webHidden/>
          </w:rPr>
          <w:fldChar w:fldCharType="end"/>
        </w:r>
      </w:hyperlink>
    </w:p>
    <w:p w14:paraId="48A9FE78" w14:textId="2ABB9479" w:rsidR="00A474F9" w:rsidRPr="0074648E" w:rsidRDefault="00A474F9">
      <w:pPr>
        <w:pStyle w:val="TableofFigures"/>
        <w:tabs>
          <w:tab w:val="right" w:leader="dot" w:pos="9350"/>
        </w:tabs>
        <w:rPr>
          <w:rFonts w:ascii="Arial" w:eastAsiaTheme="minorEastAsia" w:hAnsi="Arial" w:cs="Arial"/>
          <w:noProof/>
          <w:szCs w:val="24"/>
        </w:rPr>
      </w:pPr>
      <w:hyperlink w:anchor="_Toc210664721" w:history="1">
        <w:r w:rsidRPr="0074648E">
          <w:rPr>
            <w:rStyle w:val="Hyperlink"/>
            <w:rFonts w:ascii="Arial" w:hAnsi="Arial" w:cs="Arial"/>
            <w:noProof/>
            <w:color w:val="auto"/>
          </w:rPr>
          <w:t>Figure 5: Investment Ratios</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_Toc210664721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9</w:t>
        </w:r>
        <w:r w:rsidRPr="0074648E">
          <w:rPr>
            <w:rFonts w:ascii="Arial" w:hAnsi="Arial" w:cs="Arial"/>
            <w:noProof/>
            <w:webHidden/>
          </w:rPr>
          <w:fldChar w:fldCharType="end"/>
        </w:r>
      </w:hyperlink>
    </w:p>
    <w:p w14:paraId="3C9421BA" w14:textId="7F855CF7" w:rsidR="00A474F9" w:rsidRPr="0074648E" w:rsidRDefault="00A474F9">
      <w:pPr>
        <w:pStyle w:val="TableofFigures"/>
        <w:tabs>
          <w:tab w:val="right" w:leader="dot" w:pos="9350"/>
        </w:tabs>
        <w:rPr>
          <w:rFonts w:ascii="Arial" w:eastAsiaTheme="minorEastAsia" w:hAnsi="Arial" w:cs="Arial"/>
          <w:noProof/>
          <w:szCs w:val="24"/>
        </w:rPr>
      </w:pPr>
      <w:hyperlink w:anchor="_Toc210664722" w:history="1">
        <w:r w:rsidRPr="0074648E">
          <w:rPr>
            <w:rStyle w:val="Hyperlink"/>
            <w:rFonts w:ascii="Arial" w:hAnsi="Arial" w:cs="Arial"/>
            <w:noProof/>
            <w:color w:val="auto"/>
          </w:rPr>
          <w:t>Figure 6: Cash Flow Ratios</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_Toc210664722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10</w:t>
        </w:r>
        <w:r w:rsidRPr="0074648E">
          <w:rPr>
            <w:rFonts w:ascii="Arial" w:hAnsi="Arial" w:cs="Arial"/>
            <w:noProof/>
            <w:webHidden/>
          </w:rPr>
          <w:fldChar w:fldCharType="end"/>
        </w:r>
      </w:hyperlink>
    </w:p>
    <w:p w14:paraId="2B27BD8D" w14:textId="19DEB823" w:rsidR="00A474F9" w:rsidRPr="0074648E" w:rsidRDefault="00A474F9">
      <w:pPr>
        <w:pStyle w:val="TableofFigures"/>
        <w:tabs>
          <w:tab w:val="right" w:leader="dot" w:pos="9350"/>
        </w:tabs>
        <w:rPr>
          <w:rFonts w:ascii="Arial" w:hAnsi="Arial" w:cs="Arial"/>
        </w:rPr>
      </w:pPr>
      <w:r w:rsidRPr="0074648E">
        <w:rPr>
          <w:rFonts w:ascii="Arial" w:hAnsi="Arial" w:cs="Arial"/>
        </w:rPr>
        <w:fldChar w:fldCharType="end"/>
      </w:r>
    </w:p>
    <w:p w14:paraId="3B99E02D" w14:textId="77777777" w:rsidR="00A474F9" w:rsidRPr="0074648E" w:rsidRDefault="00A474F9">
      <w:pPr>
        <w:pStyle w:val="TableofFigures"/>
        <w:tabs>
          <w:tab w:val="right" w:leader="dot" w:pos="9350"/>
        </w:tabs>
        <w:rPr>
          <w:rFonts w:ascii="Arial" w:hAnsi="Arial" w:cs="Arial"/>
        </w:rPr>
      </w:pPr>
    </w:p>
    <w:p w14:paraId="10A78B7B" w14:textId="48DD5FB5" w:rsidR="00A474F9" w:rsidRPr="0074648E" w:rsidRDefault="00D752C4">
      <w:pPr>
        <w:pStyle w:val="TableofFigures"/>
        <w:tabs>
          <w:tab w:val="right" w:leader="dot" w:pos="9350"/>
        </w:tabs>
        <w:rPr>
          <w:rFonts w:ascii="Arial" w:eastAsiaTheme="minorEastAsia" w:hAnsi="Arial" w:cs="Arial"/>
          <w:noProof/>
          <w:szCs w:val="24"/>
        </w:rPr>
      </w:pPr>
      <w:r w:rsidRPr="0074648E">
        <w:rPr>
          <w:rFonts w:ascii="Arial" w:hAnsi="Arial" w:cs="Arial"/>
        </w:rPr>
        <w:fldChar w:fldCharType="begin"/>
      </w:r>
      <w:r w:rsidRPr="0074648E">
        <w:rPr>
          <w:rFonts w:ascii="Arial" w:hAnsi="Arial" w:cs="Arial"/>
        </w:rPr>
        <w:instrText xml:space="preserve"> TOC \h \z \c "Table" </w:instrText>
      </w:r>
      <w:r w:rsidRPr="0074648E">
        <w:rPr>
          <w:rFonts w:ascii="Arial" w:hAnsi="Arial" w:cs="Arial"/>
        </w:rPr>
        <w:fldChar w:fldCharType="separate"/>
      </w:r>
      <w:hyperlink w:anchor="_Toc210664723" w:history="1">
        <w:r w:rsidR="00A474F9" w:rsidRPr="0074648E">
          <w:rPr>
            <w:rStyle w:val="Hyperlink"/>
            <w:rFonts w:ascii="Arial" w:hAnsi="Arial" w:cs="Arial"/>
            <w:noProof/>
            <w:color w:val="auto"/>
          </w:rPr>
          <w:t>Table 1: Profitability Result</w:t>
        </w:r>
        <w:r w:rsidR="00A474F9" w:rsidRPr="0074648E">
          <w:rPr>
            <w:rFonts w:ascii="Arial" w:hAnsi="Arial" w:cs="Arial"/>
            <w:noProof/>
            <w:webHidden/>
          </w:rPr>
          <w:tab/>
        </w:r>
        <w:r w:rsidR="00A474F9" w:rsidRPr="0074648E">
          <w:rPr>
            <w:rFonts w:ascii="Arial" w:hAnsi="Arial" w:cs="Arial"/>
            <w:noProof/>
            <w:webHidden/>
          </w:rPr>
          <w:fldChar w:fldCharType="begin"/>
        </w:r>
        <w:r w:rsidR="00A474F9" w:rsidRPr="0074648E">
          <w:rPr>
            <w:rFonts w:ascii="Arial" w:hAnsi="Arial" w:cs="Arial"/>
            <w:noProof/>
            <w:webHidden/>
          </w:rPr>
          <w:instrText xml:space="preserve"> PAGEREF _Toc210664723 \h </w:instrText>
        </w:r>
        <w:r w:rsidR="00A474F9" w:rsidRPr="0074648E">
          <w:rPr>
            <w:rFonts w:ascii="Arial" w:hAnsi="Arial" w:cs="Arial"/>
            <w:noProof/>
            <w:webHidden/>
          </w:rPr>
        </w:r>
        <w:r w:rsidR="00A474F9" w:rsidRPr="0074648E">
          <w:rPr>
            <w:rFonts w:ascii="Arial" w:hAnsi="Arial" w:cs="Arial"/>
            <w:noProof/>
            <w:webHidden/>
          </w:rPr>
          <w:fldChar w:fldCharType="separate"/>
        </w:r>
        <w:r w:rsidR="00A474F9" w:rsidRPr="0074648E">
          <w:rPr>
            <w:rFonts w:ascii="Arial" w:hAnsi="Arial" w:cs="Arial"/>
            <w:noProof/>
            <w:webHidden/>
          </w:rPr>
          <w:t>5</w:t>
        </w:r>
        <w:r w:rsidR="00A474F9" w:rsidRPr="0074648E">
          <w:rPr>
            <w:rFonts w:ascii="Arial" w:hAnsi="Arial" w:cs="Arial"/>
            <w:noProof/>
            <w:webHidden/>
          </w:rPr>
          <w:fldChar w:fldCharType="end"/>
        </w:r>
      </w:hyperlink>
    </w:p>
    <w:p w14:paraId="069EB1CC" w14:textId="6BEDF7C5" w:rsidR="00A474F9" w:rsidRPr="0074648E" w:rsidRDefault="00A474F9">
      <w:pPr>
        <w:pStyle w:val="TableofFigures"/>
        <w:tabs>
          <w:tab w:val="right" w:leader="dot" w:pos="9350"/>
        </w:tabs>
        <w:rPr>
          <w:rFonts w:ascii="Arial" w:eastAsiaTheme="minorEastAsia" w:hAnsi="Arial" w:cs="Arial"/>
          <w:noProof/>
          <w:szCs w:val="24"/>
        </w:rPr>
      </w:pPr>
      <w:hyperlink w:anchor="_Toc210664724" w:history="1">
        <w:r w:rsidRPr="0074648E">
          <w:rPr>
            <w:rStyle w:val="Hyperlink"/>
            <w:rFonts w:ascii="Arial" w:hAnsi="Arial" w:cs="Arial"/>
            <w:noProof/>
            <w:color w:val="auto"/>
          </w:rPr>
          <w:t>Table 2: Liquidity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_Toc210664724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6</w:t>
        </w:r>
        <w:r w:rsidRPr="0074648E">
          <w:rPr>
            <w:rFonts w:ascii="Arial" w:hAnsi="Arial" w:cs="Arial"/>
            <w:noProof/>
            <w:webHidden/>
          </w:rPr>
          <w:fldChar w:fldCharType="end"/>
        </w:r>
      </w:hyperlink>
    </w:p>
    <w:p w14:paraId="111796DC" w14:textId="7DA9AD09" w:rsidR="00A474F9" w:rsidRPr="0074648E" w:rsidRDefault="00A474F9">
      <w:pPr>
        <w:pStyle w:val="TableofFigures"/>
        <w:tabs>
          <w:tab w:val="right" w:leader="dot" w:pos="9350"/>
        </w:tabs>
        <w:rPr>
          <w:rFonts w:ascii="Arial" w:eastAsiaTheme="minorEastAsia" w:hAnsi="Arial" w:cs="Arial"/>
          <w:noProof/>
          <w:szCs w:val="24"/>
        </w:rPr>
      </w:pPr>
      <w:hyperlink w:anchor="_Toc210664725" w:history="1">
        <w:r w:rsidRPr="0074648E">
          <w:rPr>
            <w:rStyle w:val="Hyperlink"/>
            <w:rFonts w:ascii="Arial" w:hAnsi="Arial" w:cs="Arial"/>
            <w:noProof/>
            <w:color w:val="auto"/>
          </w:rPr>
          <w:t>Table 3: Efficiency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_Toc210664725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7</w:t>
        </w:r>
        <w:r w:rsidRPr="0074648E">
          <w:rPr>
            <w:rFonts w:ascii="Arial" w:hAnsi="Arial" w:cs="Arial"/>
            <w:noProof/>
            <w:webHidden/>
          </w:rPr>
          <w:fldChar w:fldCharType="end"/>
        </w:r>
      </w:hyperlink>
    </w:p>
    <w:p w14:paraId="51032ECB" w14:textId="13BC2F6D" w:rsidR="00A474F9" w:rsidRPr="0074648E" w:rsidRDefault="00A474F9">
      <w:pPr>
        <w:pStyle w:val="TableofFigures"/>
        <w:tabs>
          <w:tab w:val="right" w:leader="dot" w:pos="9350"/>
        </w:tabs>
        <w:rPr>
          <w:rFonts w:ascii="Arial" w:eastAsiaTheme="minorEastAsia" w:hAnsi="Arial" w:cs="Arial"/>
          <w:noProof/>
          <w:szCs w:val="24"/>
        </w:rPr>
      </w:pPr>
      <w:hyperlink w:anchor="_Toc210664726" w:history="1">
        <w:r w:rsidRPr="0074648E">
          <w:rPr>
            <w:rStyle w:val="Hyperlink"/>
            <w:rFonts w:ascii="Arial" w:hAnsi="Arial" w:cs="Arial"/>
            <w:noProof/>
            <w:color w:val="auto"/>
          </w:rPr>
          <w:t>Table 4: Gearing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_Toc210664726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8</w:t>
        </w:r>
        <w:r w:rsidRPr="0074648E">
          <w:rPr>
            <w:rFonts w:ascii="Arial" w:hAnsi="Arial" w:cs="Arial"/>
            <w:noProof/>
            <w:webHidden/>
          </w:rPr>
          <w:fldChar w:fldCharType="end"/>
        </w:r>
      </w:hyperlink>
    </w:p>
    <w:p w14:paraId="0226F66B" w14:textId="44DE3A1F" w:rsidR="00A474F9" w:rsidRPr="0074648E" w:rsidRDefault="00A474F9">
      <w:pPr>
        <w:pStyle w:val="TableofFigures"/>
        <w:tabs>
          <w:tab w:val="right" w:leader="dot" w:pos="9350"/>
        </w:tabs>
        <w:rPr>
          <w:rFonts w:ascii="Arial" w:eastAsiaTheme="minorEastAsia" w:hAnsi="Arial" w:cs="Arial"/>
          <w:noProof/>
          <w:szCs w:val="24"/>
        </w:rPr>
      </w:pPr>
      <w:hyperlink w:anchor="_Toc210664727" w:history="1">
        <w:r w:rsidRPr="0074648E">
          <w:rPr>
            <w:rStyle w:val="Hyperlink"/>
            <w:rFonts w:ascii="Arial" w:hAnsi="Arial" w:cs="Arial"/>
            <w:noProof/>
            <w:color w:val="auto"/>
          </w:rPr>
          <w:t>Table 5: Investment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_Toc210664727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9</w:t>
        </w:r>
        <w:r w:rsidRPr="0074648E">
          <w:rPr>
            <w:rFonts w:ascii="Arial" w:hAnsi="Arial" w:cs="Arial"/>
            <w:noProof/>
            <w:webHidden/>
          </w:rPr>
          <w:fldChar w:fldCharType="end"/>
        </w:r>
      </w:hyperlink>
    </w:p>
    <w:p w14:paraId="2BC82417" w14:textId="749E8C94" w:rsidR="00A474F9" w:rsidRPr="0074648E" w:rsidRDefault="00A474F9">
      <w:pPr>
        <w:pStyle w:val="TableofFigures"/>
        <w:tabs>
          <w:tab w:val="right" w:leader="dot" w:pos="9350"/>
        </w:tabs>
        <w:rPr>
          <w:rFonts w:ascii="Arial" w:eastAsiaTheme="minorEastAsia" w:hAnsi="Arial" w:cs="Arial"/>
          <w:noProof/>
          <w:szCs w:val="24"/>
        </w:rPr>
      </w:pPr>
      <w:hyperlink w:anchor="_Toc210664728" w:history="1">
        <w:r w:rsidRPr="0074648E">
          <w:rPr>
            <w:rStyle w:val="Hyperlink"/>
            <w:rFonts w:ascii="Arial" w:hAnsi="Arial" w:cs="Arial"/>
            <w:noProof/>
            <w:color w:val="auto"/>
          </w:rPr>
          <w:t>Table 6: Cash Flow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_Toc210664728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10</w:t>
        </w:r>
        <w:r w:rsidRPr="0074648E">
          <w:rPr>
            <w:rFonts w:ascii="Arial" w:hAnsi="Arial" w:cs="Arial"/>
            <w:noProof/>
            <w:webHidden/>
          </w:rPr>
          <w:fldChar w:fldCharType="end"/>
        </w:r>
      </w:hyperlink>
    </w:p>
    <w:p w14:paraId="381D4932" w14:textId="3E436616" w:rsidR="00A474F9" w:rsidRPr="0074648E" w:rsidRDefault="00A474F9">
      <w:pPr>
        <w:pStyle w:val="TableofFigures"/>
        <w:tabs>
          <w:tab w:val="right" w:leader="dot" w:pos="9350"/>
        </w:tabs>
        <w:rPr>
          <w:rFonts w:ascii="Arial" w:eastAsiaTheme="minorEastAsia" w:hAnsi="Arial" w:cs="Arial"/>
          <w:noProof/>
          <w:szCs w:val="24"/>
        </w:rPr>
      </w:pPr>
      <w:hyperlink w:anchor="_Toc210664729" w:history="1">
        <w:r w:rsidRPr="0074648E">
          <w:rPr>
            <w:rStyle w:val="Hyperlink"/>
            <w:rFonts w:ascii="Arial" w:hAnsi="Arial" w:cs="Arial"/>
            <w:noProof/>
            <w:color w:val="auto"/>
          </w:rPr>
          <w:t>Table 7: Trend Summary</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_Toc210664729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11</w:t>
        </w:r>
        <w:r w:rsidRPr="0074648E">
          <w:rPr>
            <w:rFonts w:ascii="Arial" w:hAnsi="Arial" w:cs="Arial"/>
            <w:noProof/>
            <w:webHidden/>
          </w:rPr>
          <w:fldChar w:fldCharType="end"/>
        </w:r>
      </w:hyperlink>
    </w:p>
    <w:p w14:paraId="568DCE8A" w14:textId="155F6868" w:rsidR="00A474F9" w:rsidRPr="0074648E" w:rsidRDefault="00A474F9">
      <w:pPr>
        <w:pStyle w:val="TableofFigures"/>
        <w:tabs>
          <w:tab w:val="right" w:leader="dot" w:pos="9350"/>
        </w:tabs>
        <w:rPr>
          <w:rFonts w:ascii="Arial" w:eastAsiaTheme="minorEastAsia" w:hAnsi="Arial" w:cs="Arial"/>
          <w:noProof/>
          <w:szCs w:val="24"/>
        </w:rPr>
      </w:pPr>
      <w:hyperlink w:anchor="_Toc210664730" w:history="1">
        <w:r w:rsidRPr="0074648E">
          <w:rPr>
            <w:rStyle w:val="Hyperlink"/>
            <w:rFonts w:ascii="Arial" w:hAnsi="Arial" w:cs="Arial"/>
            <w:noProof/>
            <w:color w:val="auto"/>
          </w:rPr>
          <w:t>Table 8: Altman Z Score</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_Toc210664730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12</w:t>
        </w:r>
        <w:r w:rsidRPr="0074648E">
          <w:rPr>
            <w:rFonts w:ascii="Arial" w:hAnsi="Arial" w:cs="Arial"/>
            <w:noProof/>
            <w:webHidden/>
          </w:rPr>
          <w:fldChar w:fldCharType="end"/>
        </w:r>
      </w:hyperlink>
    </w:p>
    <w:p w14:paraId="193979FF" w14:textId="76262B2E" w:rsidR="00A474F9" w:rsidRPr="0074648E" w:rsidRDefault="00A474F9">
      <w:pPr>
        <w:pStyle w:val="TableofFigures"/>
        <w:tabs>
          <w:tab w:val="right" w:leader="dot" w:pos="9350"/>
        </w:tabs>
        <w:rPr>
          <w:rFonts w:ascii="Arial" w:eastAsiaTheme="minorEastAsia" w:hAnsi="Arial" w:cs="Arial"/>
          <w:noProof/>
          <w:szCs w:val="24"/>
        </w:rPr>
      </w:pPr>
      <w:hyperlink w:anchor="_Toc210664731" w:history="1">
        <w:r w:rsidRPr="0074648E">
          <w:rPr>
            <w:rStyle w:val="Hyperlink"/>
            <w:rFonts w:ascii="Arial" w:hAnsi="Arial" w:cs="Arial"/>
            <w:noProof/>
            <w:color w:val="auto"/>
          </w:rPr>
          <w:t>Table 9: PBP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_Toc210664731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18</w:t>
        </w:r>
        <w:r w:rsidRPr="0074648E">
          <w:rPr>
            <w:rFonts w:ascii="Arial" w:hAnsi="Arial" w:cs="Arial"/>
            <w:noProof/>
            <w:webHidden/>
          </w:rPr>
          <w:fldChar w:fldCharType="end"/>
        </w:r>
      </w:hyperlink>
    </w:p>
    <w:p w14:paraId="4D09FAC3" w14:textId="6C6B7494" w:rsidR="00A474F9" w:rsidRPr="0074648E" w:rsidRDefault="00A474F9">
      <w:pPr>
        <w:pStyle w:val="TableofFigures"/>
        <w:tabs>
          <w:tab w:val="right" w:leader="dot" w:pos="9350"/>
        </w:tabs>
        <w:rPr>
          <w:rFonts w:ascii="Arial" w:eastAsiaTheme="minorEastAsia" w:hAnsi="Arial" w:cs="Arial"/>
          <w:noProof/>
          <w:szCs w:val="24"/>
        </w:rPr>
      </w:pPr>
      <w:hyperlink w:anchor="_Toc210664732" w:history="1">
        <w:r w:rsidRPr="0074648E">
          <w:rPr>
            <w:rStyle w:val="Hyperlink"/>
            <w:rFonts w:ascii="Arial" w:hAnsi="Arial" w:cs="Arial"/>
            <w:noProof/>
            <w:color w:val="auto"/>
          </w:rPr>
          <w:t>Table 10: ARR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_Toc210664732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18</w:t>
        </w:r>
        <w:r w:rsidRPr="0074648E">
          <w:rPr>
            <w:rFonts w:ascii="Arial" w:hAnsi="Arial" w:cs="Arial"/>
            <w:noProof/>
            <w:webHidden/>
          </w:rPr>
          <w:fldChar w:fldCharType="end"/>
        </w:r>
      </w:hyperlink>
    </w:p>
    <w:p w14:paraId="12E5DD7D" w14:textId="2FEE9153" w:rsidR="00A474F9" w:rsidRPr="0074648E" w:rsidRDefault="00A474F9">
      <w:pPr>
        <w:pStyle w:val="TableofFigures"/>
        <w:tabs>
          <w:tab w:val="right" w:leader="dot" w:pos="9350"/>
        </w:tabs>
        <w:rPr>
          <w:rFonts w:ascii="Arial" w:eastAsiaTheme="minorEastAsia" w:hAnsi="Arial" w:cs="Arial"/>
          <w:noProof/>
          <w:szCs w:val="24"/>
        </w:rPr>
      </w:pPr>
      <w:hyperlink w:anchor="_Toc210664733" w:history="1">
        <w:r w:rsidRPr="0074648E">
          <w:rPr>
            <w:rStyle w:val="Hyperlink"/>
            <w:rFonts w:ascii="Arial" w:hAnsi="Arial" w:cs="Arial"/>
            <w:noProof/>
            <w:color w:val="auto"/>
          </w:rPr>
          <w:t>Table 11: NPV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_Toc210664733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19</w:t>
        </w:r>
        <w:r w:rsidRPr="0074648E">
          <w:rPr>
            <w:rFonts w:ascii="Arial" w:hAnsi="Arial" w:cs="Arial"/>
            <w:noProof/>
            <w:webHidden/>
          </w:rPr>
          <w:fldChar w:fldCharType="end"/>
        </w:r>
      </w:hyperlink>
    </w:p>
    <w:p w14:paraId="176EC54D" w14:textId="22C3EBEB" w:rsidR="00A474F9" w:rsidRPr="0074648E" w:rsidRDefault="00A474F9">
      <w:pPr>
        <w:pStyle w:val="TableofFigures"/>
        <w:tabs>
          <w:tab w:val="right" w:leader="dot" w:pos="9350"/>
        </w:tabs>
        <w:rPr>
          <w:rFonts w:ascii="Arial" w:eastAsiaTheme="minorEastAsia" w:hAnsi="Arial" w:cs="Arial"/>
          <w:noProof/>
          <w:szCs w:val="24"/>
        </w:rPr>
      </w:pPr>
      <w:hyperlink w:anchor="_Toc210664734" w:history="1">
        <w:r w:rsidRPr="0074648E">
          <w:rPr>
            <w:rStyle w:val="Hyperlink"/>
            <w:rFonts w:ascii="Arial" w:hAnsi="Arial" w:cs="Arial"/>
            <w:noProof/>
            <w:color w:val="auto"/>
          </w:rPr>
          <w:t>Table 12: PI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_Toc210664734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19</w:t>
        </w:r>
        <w:r w:rsidRPr="0074648E">
          <w:rPr>
            <w:rFonts w:ascii="Arial" w:hAnsi="Arial" w:cs="Arial"/>
            <w:noProof/>
            <w:webHidden/>
          </w:rPr>
          <w:fldChar w:fldCharType="end"/>
        </w:r>
      </w:hyperlink>
    </w:p>
    <w:p w14:paraId="0F93D9FE" w14:textId="609AB95C" w:rsidR="00A474F9" w:rsidRPr="0074648E" w:rsidRDefault="00A474F9">
      <w:pPr>
        <w:pStyle w:val="TableofFigures"/>
        <w:tabs>
          <w:tab w:val="right" w:leader="dot" w:pos="9350"/>
        </w:tabs>
        <w:rPr>
          <w:rFonts w:ascii="Arial" w:eastAsiaTheme="minorEastAsia" w:hAnsi="Arial" w:cs="Arial"/>
          <w:noProof/>
          <w:szCs w:val="24"/>
        </w:rPr>
      </w:pPr>
      <w:hyperlink w:anchor="_Toc210664735" w:history="1">
        <w:r w:rsidRPr="0074648E">
          <w:rPr>
            <w:rStyle w:val="Hyperlink"/>
            <w:rFonts w:ascii="Arial" w:hAnsi="Arial" w:cs="Arial"/>
            <w:noProof/>
            <w:color w:val="auto"/>
          </w:rPr>
          <w:t>Table 13: IRR Result</w:t>
        </w:r>
        <w:r w:rsidRPr="0074648E">
          <w:rPr>
            <w:rFonts w:ascii="Arial" w:hAnsi="Arial" w:cs="Arial"/>
            <w:noProof/>
            <w:webHidden/>
          </w:rPr>
          <w:tab/>
        </w:r>
        <w:r w:rsidRPr="0074648E">
          <w:rPr>
            <w:rFonts w:ascii="Arial" w:hAnsi="Arial" w:cs="Arial"/>
            <w:noProof/>
            <w:webHidden/>
          </w:rPr>
          <w:fldChar w:fldCharType="begin"/>
        </w:r>
        <w:r w:rsidRPr="0074648E">
          <w:rPr>
            <w:rFonts w:ascii="Arial" w:hAnsi="Arial" w:cs="Arial"/>
            <w:noProof/>
            <w:webHidden/>
          </w:rPr>
          <w:instrText xml:space="preserve"> PAGEREF _Toc210664735 \h </w:instrText>
        </w:r>
        <w:r w:rsidRPr="0074648E">
          <w:rPr>
            <w:rFonts w:ascii="Arial" w:hAnsi="Arial" w:cs="Arial"/>
            <w:noProof/>
            <w:webHidden/>
          </w:rPr>
        </w:r>
        <w:r w:rsidRPr="0074648E">
          <w:rPr>
            <w:rFonts w:ascii="Arial" w:hAnsi="Arial" w:cs="Arial"/>
            <w:noProof/>
            <w:webHidden/>
          </w:rPr>
          <w:fldChar w:fldCharType="separate"/>
        </w:r>
        <w:r w:rsidRPr="0074648E">
          <w:rPr>
            <w:rFonts w:ascii="Arial" w:hAnsi="Arial" w:cs="Arial"/>
            <w:noProof/>
            <w:webHidden/>
          </w:rPr>
          <w:t>19</w:t>
        </w:r>
        <w:r w:rsidRPr="0074648E">
          <w:rPr>
            <w:rFonts w:ascii="Arial" w:hAnsi="Arial" w:cs="Arial"/>
            <w:noProof/>
            <w:webHidden/>
          </w:rPr>
          <w:fldChar w:fldCharType="end"/>
        </w:r>
      </w:hyperlink>
    </w:p>
    <w:p w14:paraId="3E20AAFD" w14:textId="361E8F89" w:rsidR="00637F01" w:rsidRPr="0074648E" w:rsidRDefault="00D752C4" w:rsidP="00A474F9">
      <w:pPr>
        <w:jc w:val="left"/>
        <w:rPr>
          <w:rFonts w:ascii="Arial" w:hAnsi="Arial" w:cs="Arial"/>
        </w:rPr>
      </w:pPr>
      <w:r w:rsidRPr="0074648E">
        <w:rPr>
          <w:rFonts w:ascii="Arial" w:hAnsi="Arial" w:cs="Arial"/>
        </w:rPr>
        <w:fldChar w:fldCharType="end"/>
      </w:r>
    </w:p>
    <w:p w14:paraId="0E4FFC76" w14:textId="77777777" w:rsidR="00A474F9" w:rsidRPr="0074648E" w:rsidRDefault="00A474F9">
      <w:pPr>
        <w:spacing w:line="259" w:lineRule="auto"/>
        <w:jc w:val="left"/>
        <w:rPr>
          <w:rFonts w:ascii="Arial" w:eastAsiaTheme="majorEastAsia" w:hAnsi="Arial" w:cs="Arial"/>
          <w:b/>
          <w:sz w:val="28"/>
          <w:szCs w:val="32"/>
        </w:rPr>
      </w:pPr>
      <w:r w:rsidRPr="0074648E">
        <w:rPr>
          <w:rFonts w:ascii="Arial" w:hAnsi="Arial" w:cs="Arial"/>
        </w:rPr>
        <w:br w:type="page"/>
      </w:r>
    </w:p>
    <w:p w14:paraId="6B93FB48" w14:textId="4A468458" w:rsidR="00637F01" w:rsidRPr="0074648E" w:rsidRDefault="00637F01" w:rsidP="00934DB9">
      <w:pPr>
        <w:pStyle w:val="Heading1"/>
        <w:rPr>
          <w:rFonts w:ascii="Arial" w:hAnsi="Arial" w:cs="Arial"/>
          <w:color w:val="auto"/>
        </w:rPr>
      </w:pPr>
      <w:bookmarkStart w:id="1" w:name="_Toc210855224"/>
      <w:r w:rsidRPr="0074648E">
        <w:rPr>
          <w:rFonts w:ascii="Arial" w:hAnsi="Arial" w:cs="Arial"/>
          <w:color w:val="auto"/>
        </w:rPr>
        <w:lastRenderedPageBreak/>
        <w:t>Introduction</w:t>
      </w:r>
      <w:bookmarkEnd w:id="1"/>
    </w:p>
    <w:p w14:paraId="4EC6D9A9" w14:textId="513E9716" w:rsidR="0016220F" w:rsidRPr="0074648E" w:rsidRDefault="00775000" w:rsidP="00934DB9">
      <w:pPr>
        <w:rPr>
          <w:rFonts w:ascii="Arial" w:hAnsi="Arial" w:cs="Arial"/>
        </w:rPr>
      </w:pPr>
      <w:r w:rsidRPr="0074648E">
        <w:rPr>
          <w:rFonts w:ascii="Arial" w:hAnsi="Arial" w:cs="Arial"/>
        </w:rPr>
        <w:t>General Electronics is in critical infle</w:t>
      </w:r>
      <w:r w:rsidR="00623FD9" w:rsidRPr="0074648E">
        <w:rPr>
          <w:rFonts w:ascii="Arial" w:hAnsi="Arial" w:cs="Arial"/>
        </w:rPr>
        <w:t>x</w:t>
      </w:r>
      <w:r w:rsidRPr="0074648E">
        <w:rPr>
          <w:rFonts w:ascii="Arial" w:hAnsi="Arial" w:cs="Arial"/>
        </w:rPr>
        <w:t>ion following five years of declining performance. Revenues shrank, operating losses arose, leverage rose, and now the Altman Z-Score moved out of the safe category into the grey category. Ratio analysis reveals falling ROA and ROE, weak liquidity, decreasing receivable and inventory turnover, negative interest coverage, and inadequate operating cash flow coverage of short-term liabilities</w:t>
      </w:r>
      <w:r w:rsidR="002411D1" w:rsidRPr="0074648E">
        <w:rPr>
          <w:rFonts w:ascii="Arial" w:hAnsi="Arial" w:cs="Arial"/>
        </w:rPr>
        <w:t xml:space="preserve"> </w:t>
      </w:r>
      <w:r w:rsidR="002411D1" w:rsidRPr="0074648E">
        <w:rPr>
          <w:rFonts w:ascii="Arial" w:hAnsi="Arial" w:cs="Arial"/>
          <w:shd w:val="clear" w:color="auto" w:fill="FFFFFF"/>
        </w:rPr>
        <w:t>(Olayinka, 2022)</w:t>
      </w:r>
      <w:r w:rsidRPr="0074648E">
        <w:rPr>
          <w:rFonts w:ascii="Arial" w:hAnsi="Arial" w:cs="Arial"/>
        </w:rPr>
        <w:t>. The report identifies inefficiencies in working-capital release and suggests cash-conversion reforms to free liquidity and a strategic financial restructuring plan</w:t>
      </w:r>
      <w:r w:rsidR="00623FD9" w:rsidRPr="0074648E">
        <w:rPr>
          <w:rFonts w:ascii="Arial" w:hAnsi="Arial" w:cs="Arial"/>
        </w:rPr>
        <w:t xml:space="preserve"> </w:t>
      </w:r>
      <w:r w:rsidRPr="0074648E">
        <w:rPr>
          <w:rFonts w:ascii="Arial" w:hAnsi="Arial" w:cs="Arial"/>
        </w:rPr>
        <w:t xml:space="preserve">focused on targeted divestitures, liability management and disciplined equity options- within an international tax, currency, inflation and CSR context. Investment appraisal to a limit of £60m suggests </w:t>
      </w:r>
      <w:r w:rsidR="00623FD9" w:rsidRPr="0074648E">
        <w:rPr>
          <w:rFonts w:ascii="Arial" w:hAnsi="Arial" w:cs="Arial"/>
        </w:rPr>
        <w:t>approving</w:t>
      </w:r>
      <w:r w:rsidRPr="0074648E">
        <w:rPr>
          <w:rFonts w:ascii="Arial" w:hAnsi="Arial" w:cs="Arial"/>
        </w:rPr>
        <w:t xml:space="preserve"> Project C (maximum NPV, PI, IRR), </w:t>
      </w:r>
      <w:r w:rsidR="00623FD9" w:rsidRPr="0074648E">
        <w:rPr>
          <w:rFonts w:ascii="Arial" w:hAnsi="Arial" w:cs="Arial"/>
        </w:rPr>
        <w:t>declining</w:t>
      </w:r>
      <w:r w:rsidRPr="0074648E">
        <w:rPr>
          <w:rFonts w:ascii="Arial" w:hAnsi="Arial" w:cs="Arial"/>
        </w:rPr>
        <w:t xml:space="preserve"> Project B, and </w:t>
      </w:r>
      <w:r w:rsidR="00623FD9" w:rsidRPr="0074648E">
        <w:rPr>
          <w:rFonts w:ascii="Arial" w:hAnsi="Arial" w:cs="Arial"/>
        </w:rPr>
        <w:t>postponing</w:t>
      </w:r>
      <w:r w:rsidRPr="0074648E">
        <w:rPr>
          <w:rFonts w:ascii="Arial" w:hAnsi="Arial" w:cs="Arial"/>
        </w:rPr>
        <w:t xml:space="preserve"> Project A, with stage-gated controls in order to reduce the risk of execution. The goal is to rebuild solvency, profitability and investor confidence by taking ethically sound, scalable measures.</w:t>
      </w:r>
      <w:r w:rsidR="0016220F" w:rsidRPr="0074648E">
        <w:rPr>
          <w:rFonts w:ascii="Arial" w:hAnsi="Arial" w:cs="Arial"/>
        </w:rPr>
        <w:br w:type="page"/>
      </w:r>
    </w:p>
    <w:p w14:paraId="65C9FE94" w14:textId="33E5F917" w:rsidR="00D56374" w:rsidRPr="0074648E" w:rsidRDefault="00D56374" w:rsidP="00D56374">
      <w:pPr>
        <w:pStyle w:val="Heading1"/>
        <w:rPr>
          <w:rFonts w:ascii="Arial" w:hAnsi="Arial" w:cs="Arial"/>
          <w:color w:val="auto"/>
        </w:rPr>
      </w:pPr>
      <w:bookmarkStart w:id="2" w:name="_Toc210855225"/>
      <w:r w:rsidRPr="0074648E">
        <w:rPr>
          <w:rFonts w:ascii="Arial" w:hAnsi="Arial" w:cs="Arial"/>
          <w:color w:val="auto"/>
        </w:rPr>
        <w:lastRenderedPageBreak/>
        <w:t>Main Body</w:t>
      </w:r>
      <w:bookmarkEnd w:id="2"/>
    </w:p>
    <w:p w14:paraId="18828C5D" w14:textId="5C23D5B2" w:rsidR="0016220F" w:rsidRPr="0074648E" w:rsidRDefault="0016220F" w:rsidP="00D56374">
      <w:pPr>
        <w:pStyle w:val="Heading1"/>
        <w:rPr>
          <w:rFonts w:ascii="Arial" w:hAnsi="Arial" w:cs="Arial"/>
          <w:color w:val="auto"/>
        </w:rPr>
      </w:pPr>
      <w:bookmarkStart w:id="3" w:name="_Toc210855226"/>
      <w:r w:rsidRPr="0074648E">
        <w:rPr>
          <w:rFonts w:ascii="Arial" w:hAnsi="Arial" w:cs="Arial"/>
          <w:color w:val="auto"/>
        </w:rPr>
        <w:t>Financial Health Check: General Electronics (2020–2024)</w:t>
      </w:r>
      <w:bookmarkEnd w:id="3"/>
    </w:p>
    <w:p w14:paraId="109C0B9B" w14:textId="0F6AC08F" w:rsidR="0016220F" w:rsidRPr="0074648E" w:rsidRDefault="0016220F" w:rsidP="00934DB9">
      <w:pPr>
        <w:pStyle w:val="Heading2"/>
        <w:rPr>
          <w:rFonts w:ascii="Arial" w:hAnsi="Arial" w:cs="Arial"/>
          <w:color w:val="auto"/>
        </w:rPr>
      </w:pPr>
      <w:bookmarkStart w:id="4" w:name="_Toc210855227"/>
      <w:r w:rsidRPr="0074648E">
        <w:rPr>
          <w:rFonts w:ascii="Arial" w:hAnsi="Arial" w:cs="Arial"/>
          <w:color w:val="auto"/>
        </w:rPr>
        <w:t>Financial Ratio Analysis</w:t>
      </w:r>
      <w:bookmarkEnd w:id="4"/>
    </w:p>
    <w:p w14:paraId="4711D076" w14:textId="77777777" w:rsidR="00775000" w:rsidRPr="0074648E" w:rsidRDefault="00775000" w:rsidP="00934DB9">
      <w:pPr>
        <w:rPr>
          <w:rFonts w:ascii="Arial" w:hAnsi="Arial" w:cs="Arial"/>
        </w:rPr>
      </w:pPr>
      <w:r w:rsidRPr="0074648E">
        <w:rPr>
          <w:rFonts w:ascii="Arial" w:hAnsi="Arial" w:cs="Arial"/>
        </w:rPr>
        <w:t>Having recently joined General Electronics as the Chief Financial Officer (CFO), the fundamental objective is to evaluate the faltering financial status of the company and create a turnaround strategy that will reestablish profitability, liquidity and investor trust.</w:t>
      </w:r>
    </w:p>
    <w:p w14:paraId="11772419" w14:textId="77777777" w:rsidR="00775000" w:rsidRPr="0074648E" w:rsidRDefault="00775000" w:rsidP="00934DB9">
      <w:pPr>
        <w:rPr>
          <w:rFonts w:ascii="Arial" w:hAnsi="Arial" w:cs="Arial"/>
        </w:rPr>
      </w:pPr>
      <w:r w:rsidRPr="0074648E">
        <w:rPr>
          <w:rFonts w:ascii="Arial" w:hAnsi="Arial" w:cs="Arial"/>
        </w:rPr>
        <w:t>In this report, the five-year financial health analysis (202024) is presented through the ratio analysis, trend evaluation, and corporate failure prediction. It considers six key areas of measurement: profitability, liquidity, efficiency, gearing, investment, and cash flow, which come up with an Altman Z-Score to identify the risk of default.</w:t>
      </w:r>
    </w:p>
    <w:p w14:paraId="22B095C5" w14:textId="77777777" w:rsidR="00775000" w:rsidRDefault="00775000" w:rsidP="00CE7E6C">
      <w:pPr>
        <w:pStyle w:val="Heading3"/>
        <w:rPr>
          <w:rFonts w:ascii="Arial" w:hAnsi="Arial" w:cs="Arial"/>
        </w:rPr>
      </w:pPr>
      <w:bookmarkStart w:id="5" w:name="_Toc210855228"/>
      <w:r w:rsidRPr="0074648E">
        <w:rPr>
          <w:rFonts w:ascii="Arial" w:hAnsi="Arial" w:cs="Arial"/>
        </w:rPr>
        <w:t>Profitability</w:t>
      </w:r>
      <w:bookmarkEnd w:id="5"/>
    </w:p>
    <w:tbl>
      <w:tblPr>
        <w:tblW w:w="5000" w:type="pct"/>
        <w:tblLook w:val="04A0" w:firstRow="1" w:lastRow="0" w:firstColumn="1" w:lastColumn="0" w:noHBand="0" w:noVBand="1"/>
      </w:tblPr>
      <w:tblGrid>
        <w:gridCol w:w="1936"/>
        <w:gridCol w:w="1292"/>
        <w:gridCol w:w="1137"/>
        <w:gridCol w:w="1137"/>
        <w:gridCol w:w="1137"/>
        <w:gridCol w:w="1137"/>
        <w:gridCol w:w="1137"/>
        <w:gridCol w:w="221"/>
        <w:gridCol w:w="221"/>
      </w:tblGrid>
      <w:tr w:rsidR="00396157" w:rsidRPr="0074648E" w14:paraId="10FC0094"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568FDB5A"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Gross Profit Margin</w:t>
            </w:r>
          </w:p>
        </w:tc>
        <w:tc>
          <w:tcPr>
            <w:tcW w:w="118" w:type="pct"/>
            <w:tcBorders>
              <w:top w:val="nil"/>
              <w:left w:val="nil"/>
              <w:bottom w:val="nil"/>
              <w:right w:val="nil"/>
            </w:tcBorders>
            <w:noWrap/>
            <w:vAlign w:val="bottom"/>
            <w:hideMark/>
          </w:tcPr>
          <w:p w14:paraId="67DEDD37"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6BD978C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35A5D8D"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2EAEF8EC"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691" w:type="pct"/>
            <w:tcBorders>
              <w:top w:val="nil"/>
              <w:left w:val="nil"/>
              <w:bottom w:val="single" w:sz="4" w:space="0" w:color="auto"/>
              <w:right w:val="single" w:sz="4" w:space="0" w:color="auto"/>
            </w:tcBorders>
            <w:noWrap/>
            <w:vAlign w:val="bottom"/>
            <w:hideMark/>
          </w:tcPr>
          <w:p w14:paraId="09903055"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608" w:type="pct"/>
            <w:tcBorders>
              <w:top w:val="nil"/>
              <w:left w:val="nil"/>
              <w:bottom w:val="single" w:sz="4" w:space="0" w:color="auto"/>
              <w:right w:val="single" w:sz="4" w:space="0" w:color="auto"/>
            </w:tcBorders>
            <w:noWrap/>
            <w:vAlign w:val="bottom"/>
            <w:hideMark/>
          </w:tcPr>
          <w:p w14:paraId="7B9AE200"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608" w:type="pct"/>
            <w:tcBorders>
              <w:top w:val="nil"/>
              <w:left w:val="nil"/>
              <w:bottom w:val="single" w:sz="4" w:space="0" w:color="auto"/>
              <w:right w:val="single" w:sz="4" w:space="0" w:color="auto"/>
            </w:tcBorders>
            <w:noWrap/>
            <w:vAlign w:val="bottom"/>
            <w:hideMark/>
          </w:tcPr>
          <w:p w14:paraId="7FDD11E2"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608" w:type="pct"/>
            <w:tcBorders>
              <w:top w:val="nil"/>
              <w:left w:val="nil"/>
              <w:bottom w:val="single" w:sz="4" w:space="0" w:color="auto"/>
              <w:right w:val="single" w:sz="4" w:space="0" w:color="auto"/>
            </w:tcBorders>
            <w:noWrap/>
            <w:vAlign w:val="bottom"/>
            <w:hideMark/>
          </w:tcPr>
          <w:p w14:paraId="5F03FCE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608" w:type="pct"/>
            <w:tcBorders>
              <w:top w:val="nil"/>
              <w:left w:val="nil"/>
              <w:bottom w:val="single" w:sz="4" w:space="0" w:color="auto"/>
              <w:right w:val="single" w:sz="4" w:space="0" w:color="auto"/>
            </w:tcBorders>
            <w:noWrap/>
            <w:vAlign w:val="bottom"/>
            <w:hideMark/>
          </w:tcPr>
          <w:p w14:paraId="370A99EA"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608" w:type="pct"/>
            <w:tcBorders>
              <w:top w:val="nil"/>
              <w:left w:val="nil"/>
              <w:bottom w:val="single" w:sz="4" w:space="0" w:color="auto"/>
              <w:right w:val="single" w:sz="4" w:space="0" w:color="auto"/>
            </w:tcBorders>
            <w:noWrap/>
            <w:vAlign w:val="bottom"/>
            <w:hideMark/>
          </w:tcPr>
          <w:p w14:paraId="2CBF77F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486AA715"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3E98B4B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1C781452"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3CC3A81D"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Gross Profit</w:t>
            </w:r>
          </w:p>
        </w:tc>
        <w:tc>
          <w:tcPr>
            <w:tcW w:w="691" w:type="pct"/>
            <w:vMerge w:val="restart"/>
            <w:tcBorders>
              <w:top w:val="nil"/>
              <w:left w:val="single" w:sz="4" w:space="0" w:color="auto"/>
              <w:bottom w:val="single" w:sz="4" w:space="0" w:color="auto"/>
              <w:right w:val="single" w:sz="4" w:space="0" w:color="auto"/>
            </w:tcBorders>
            <w:vAlign w:val="center"/>
            <w:hideMark/>
          </w:tcPr>
          <w:p w14:paraId="39153BB9"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Gross Profit/ Revenue</w:t>
            </w:r>
          </w:p>
        </w:tc>
        <w:tc>
          <w:tcPr>
            <w:tcW w:w="608" w:type="pct"/>
            <w:tcBorders>
              <w:top w:val="nil"/>
              <w:left w:val="nil"/>
              <w:bottom w:val="single" w:sz="4" w:space="0" w:color="auto"/>
              <w:right w:val="single" w:sz="4" w:space="0" w:color="auto"/>
            </w:tcBorders>
            <w:noWrap/>
            <w:vAlign w:val="bottom"/>
            <w:hideMark/>
          </w:tcPr>
          <w:p w14:paraId="7EA1043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113,994</w:t>
            </w:r>
          </w:p>
        </w:tc>
        <w:tc>
          <w:tcPr>
            <w:tcW w:w="608" w:type="pct"/>
            <w:tcBorders>
              <w:top w:val="nil"/>
              <w:left w:val="nil"/>
              <w:bottom w:val="single" w:sz="4" w:space="0" w:color="auto"/>
              <w:right w:val="single" w:sz="4" w:space="0" w:color="auto"/>
            </w:tcBorders>
            <w:noWrap/>
            <w:vAlign w:val="bottom"/>
            <w:hideMark/>
          </w:tcPr>
          <w:p w14:paraId="022BB44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97,560</w:t>
            </w:r>
          </w:p>
        </w:tc>
        <w:tc>
          <w:tcPr>
            <w:tcW w:w="608" w:type="pct"/>
            <w:tcBorders>
              <w:top w:val="nil"/>
              <w:left w:val="nil"/>
              <w:bottom w:val="single" w:sz="4" w:space="0" w:color="auto"/>
              <w:right w:val="single" w:sz="4" w:space="0" w:color="auto"/>
            </w:tcBorders>
            <w:noWrap/>
            <w:vAlign w:val="bottom"/>
            <w:hideMark/>
          </w:tcPr>
          <w:p w14:paraId="61B0033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152,292</w:t>
            </w:r>
          </w:p>
        </w:tc>
        <w:tc>
          <w:tcPr>
            <w:tcW w:w="608" w:type="pct"/>
            <w:tcBorders>
              <w:top w:val="nil"/>
              <w:left w:val="nil"/>
              <w:bottom w:val="single" w:sz="4" w:space="0" w:color="auto"/>
              <w:right w:val="single" w:sz="4" w:space="0" w:color="auto"/>
            </w:tcBorders>
            <w:noWrap/>
            <w:vAlign w:val="bottom"/>
            <w:hideMark/>
          </w:tcPr>
          <w:p w14:paraId="38779B9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173,016</w:t>
            </w:r>
          </w:p>
        </w:tc>
        <w:tc>
          <w:tcPr>
            <w:tcW w:w="608" w:type="pct"/>
            <w:tcBorders>
              <w:top w:val="nil"/>
              <w:left w:val="nil"/>
              <w:bottom w:val="single" w:sz="4" w:space="0" w:color="auto"/>
              <w:right w:val="single" w:sz="4" w:space="0" w:color="auto"/>
            </w:tcBorders>
            <w:noWrap/>
            <w:vAlign w:val="bottom"/>
            <w:hideMark/>
          </w:tcPr>
          <w:p w14:paraId="5F98B51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176,256</w:t>
            </w:r>
          </w:p>
        </w:tc>
        <w:tc>
          <w:tcPr>
            <w:tcW w:w="118" w:type="pct"/>
            <w:tcBorders>
              <w:top w:val="nil"/>
              <w:left w:val="nil"/>
              <w:bottom w:val="nil"/>
              <w:right w:val="nil"/>
            </w:tcBorders>
            <w:noWrap/>
            <w:vAlign w:val="bottom"/>
            <w:hideMark/>
          </w:tcPr>
          <w:p w14:paraId="006806E8"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31DD93B3"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42F564D"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45B04AEE"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Revenue</w:t>
            </w:r>
          </w:p>
        </w:tc>
        <w:tc>
          <w:tcPr>
            <w:tcW w:w="691" w:type="pct"/>
            <w:vMerge/>
            <w:tcBorders>
              <w:top w:val="nil"/>
              <w:left w:val="single" w:sz="4" w:space="0" w:color="auto"/>
              <w:bottom w:val="single" w:sz="4" w:space="0" w:color="auto"/>
              <w:right w:val="single" w:sz="4" w:space="0" w:color="auto"/>
            </w:tcBorders>
            <w:vAlign w:val="center"/>
            <w:hideMark/>
          </w:tcPr>
          <w:p w14:paraId="17376EB2"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8" w:type="pct"/>
            <w:tcBorders>
              <w:top w:val="nil"/>
              <w:left w:val="nil"/>
              <w:bottom w:val="single" w:sz="4" w:space="0" w:color="auto"/>
              <w:right w:val="single" w:sz="4" w:space="0" w:color="auto"/>
            </w:tcBorders>
            <w:noWrap/>
            <w:vAlign w:val="bottom"/>
            <w:hideMark/>
          </w:tcPr>
          <w:p w14:paraId="449E5B2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394,879</w:t>
            </w:r>
          </w:p>
        </w:tc>
        <w:tc>
          <w:tcPr>
            <w:tcW w:w="608" w:type="pct"/>
            <w:tcBorders>
              <w:top w:val="nil"/>
              <w:left w:val="nil"/>
              <w:bottom w:val="single" w:sz="4" w:space="0" w:color="auto"/>
              <w:right w:val="single" w:sz="4" w:space="0" w:color="auto"/>
            </w:tcBorders>
            <w:noWrap/>
            <w:vAlign w:val="bottom"/>
            <w:hideMark/>
          </w:tcPr>
          <w:p w14:paraId="0A1C0C1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420,457</w:t>
            </w:r>
          </w:p>
        </w:tc>
        <w:tc>
          <w:tcPr>
            <w:tcW w:w="608" w:type="pct"/>
            <w:tcBorders>
              <w:top w:val="nil"/>
              <w:left w:val="nil"/>
              <w:bottom w:val="single" w:sz="4" w:space="0" w:color="auto"/>
              <w:right w:val="single" w:sz="4" w:space="0" w:color="auto"/>
            </w:tcBorders>
            <w:noWrap/>
            <w:vAlign w:val="bottom"/>
            <w:hideMark/>
          </w:tcPr>
          <w:p w14:paraId="710879D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542,751</w:t>
            </w:r>
          </w:p>
        </w:tc>
        <w:tc>
          <w:tcPr>
            <w:tcW w:w="608" w:type="pct"/>
            <w:tcBorders>
              <w:top w:val="nil"/>
              <w:left w:val="nil"/>
              <w:bottom w:val="single" w:sz="4" w:space="0" w:color="auto"/>
              <w:right w:val="single" w:sz="4" w:space="0" w:color="auto"/>
            </w:tcBorders>
            <w:noWrap/>
            <w:vAlign w:val="bottom"/>
            <w:hideMark/>
          </w:tcPr>
          <w:p w14:paraId="6D3607E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601,602</w:t>
            </w:r>
          </w:p>
        </w:tc>
        <w:tc>
          <w:tcPr>
            <w:tcW w:w="608" w:type="pct"/>
            <w:tcBorders>
              <w:top w:val="nil"/>
              <w:left w:val="nil"/>
              <w:bottom w:val="single" w:sz="4" w:space="0" w:color="auto"/>
              <w:right w:val="single" w:sz="4" w:space="0" w:color="auto"/>
            </w:tcBorders>
            <w:noWrap/>
            <w:vAlign w:val="bottom"/>
            <w:hideMark/>
          </w:tcPr>
          <w:p w14:paraId="4CD97BE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614,680</w:t>
            </w:r>
          </w:p>
        </w:tc>
        <w:tc>
          <w:tcPr>
            <w:tcW w:w="118" w:type="pct"/>
            <w:tcBorders>
              <w:top w:val="nil"/>
              <w:left w:val="nil"/>
              <w:bottom w:val="nil"/>
              <w:right w:val="nil"/>
            </w:tcBorders>
            <w:noWrap/>
            <w:vAlign w:val="bottom"/>
            <w:hideMark/>
          </w:tcPr>
          <w:p w14:paraId="4E728702"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1AB245E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59BC5911"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670E9D17"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Gross Profit Margin</w:t>
            </w:r>
          </w:p>
        </w:tc>
        <w:tc>
          <w:tcPr>
            <w:tcW w:w="691" w:type="pct"/>
            <w:vMerge/>
            <w:tcBorders>
              <w:top w:val="nil"/>
              <w:left w:val="single" w:sz="4" w:space="0" w:color="auto"/>
              <w:bottom w:val="single" w:sz="4" w:space="0" w:color="auto"/>
              <w:right w:val="single" w:sz="4" w:space="0" w:color="auto"/>
            </w:tcBorders>
            <w:vAlign w:val="center"/>
            <w:hideMark/>
          </w:tcPr>
          <w:p w14:paraId="36AD6262"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8" w:type="pct"/>
            <w:tcBorders>
              <w:top w:val="nil"/>
              <w:left w:val="nil"/>
              <w:bottom w:val="single" w:sz="4" w:space="0" w:color="auto"/>
              <w:right w:val="single" w:sz="4" w:space="0" w:color="auto"/>
            </w:tcBorders>
            <w:noWrap/>
            <w:vAlign w:val="bottom"/>
            <w:hideMark/>
          </w:tcPr>
          <w:p w14:paraId="34A41A1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28.87%</w:t>
            </w:r>
          </w:p>
        </w:tc>
        <w:tc>
          <w:tcPr>
            <w:tcW w:w="608" w:type="pct"/>
            <w:tcBorders>
              <w:top w:val="nil"/>
              <w:left w:val="nil"/>
              <w:bottom w:val="single" w:sz="4" w:space="0" w:color="auto"/>
              <w:right w:val="single" w:sz="4" w:space="0" w:color="auto"/>
            </w:tcBorders>
            <w:noWrap/>
            <w:vAlign w:val="bottom"/>
            <w:hideMark/>
          </w:tcPr>
          <w:p w14:paraId="168927E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23.20%</w:t>
            </w:r>
          </w:p>
        </w:tc>
        <w:tc>
          <w:tcPr>
            <w:tcW w:w="608" w:type="pct"/>
            <w:tcBorders>
              <w:top w:val="nil"/>
              <w:left w:val="nil"/>
              <w:bottom w:val="single" w:sz="4" w:space="0" w:color="auto"/>
              <w:right w:val="single" w:sz="4" w:space="0" w:color="auto"/>
            </w:tcBorders>
            <w:noWrap/>
            <w:vAlign w:val="bottom"/>
            <w:hideMark/>
          </w:tcPr>
          <w:p w14:paraId="26CC194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28.06%</w:t>
            </w:r>
          </w:p>
        </w:tc>
        <w:tc>
          <w:tcPr>
            <w:tcW w:w="608" w:type="pct"/>
            <w:tcBorders>
              <w:top w:val="nil"/>
              <w:left w:val="nil"/>
              <w:bottom w:val="single" w:sz="4" w:space="0" w:color="auto"/>
              <w:right w:val="single" w:sz="4" w:space="0" w:color="auto"/>
            </w:tcBorders>
            <w:noWrap/>
            <w:vAlign w:val="bottom"/>
            <w:hideMark/>
          </w:tcPr>
          <w:p w14:paraId="7EF20B7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28.76%</w:t>
            </w:r>
          </w:p>
        </w:tc>
        <w:tc>
          <w:tcPr>
            <w:tcW w:w="608" w:type="pct"/>
            <w:tcBorders>
              <w:top w:val="nil"/>
              <w:left w:val="nil"/>
              <w:bottom w:val="single" w:sz="4" w:space="0" w:color="auto"/>
              <w:right w:val="single" w:sz="4" w:space="0" w:color="auto"/>
            </w:tcBorders>
            <w:noWrap/>
            <w:vAlign w:val="bottom"/>
            <w:hideMark/>
          </w:tcPr>
          <w:p w14:paraId="26AE8BD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28.67%</w:t>
            </w:r>
          </w:p>
        </w:tc>
        <w:tc>
          <w:tcPr>
            <w:tcW w:w="118" w:type="pct"/>
            <w:tcBorders>
              <w:top w:val="nil"/>
              <w:left w:val="nil"/>
              <w:bottom w:val="nil"/>
              <w:right w:val="nil"/>
            </w:tcBorders>
            <w:noWrap/>
            <w:vAlign w:val="bottom"/>
            <w:hideMark/>
          </w:tcPr>
          <w:p w14:paraId="11371577"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093F3AB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1B2BB36" w14:textId="77777777" w:rsidTr="00396157">
        <w:trPr>
          <w:trHeight w:val="310"/>
        </w:trPr>
        <w:tc>
          <w:tcPr>
            <w:tcW w:w="1035" w:type="pct"/>
            <w:tcBorders>
              <w:top w:val="nil"/>
              <w:left w:val="nil"/>
              <w:bottom w:val="nil"/>
              <w:right w:val="nil"/>
            </w:tcBorders>
            <w:noWrap/>
            <w:vAlign w:val="bottom"/>
            <w:hideMark/>
          </w:tcPr>
          <w:p w14:paraId="29B1D22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91" w:type="pct"/>
            <w:tcBorders>
              <w:top w:val="nil"/>
              <w:left w:val="nil"/>
              <w:bottom w:val="nil"/>
              <w:right w:val="nil"/>
            </w:tcBorders>
            <w:noWrap/>
            <w:vAlign w:val="bottom"/>
            <w:hideMark/>
          </w:tcPr>
          <w:p w14:paraId="25D8922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8" w:type="pct"/>
            <w:tcBorders>
              <w:top w:val="nil"/>
              <w:left w:val="nil"/>
              <w:bottom w:val="nil"/>
              <w:right w:val="nil"/>
            </w:tcBorders>
            <w:noWrap/>
            <w:vAlign w:val="bottom"/>
            <w:hideMark/>
          </w:tcPr>
          <w:p w14:paraId="006C273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8" w:type="pct"/>
            <w:tcBorders>
              <w:top w:val="nil"/>
              <w:left w:val="nil"/>
              <w:bottom w:val="nil"/>
              <w:right w:val="nil"/>
            </w:tcBorders>
            <w:noWrap/>
            <w:vAlign w:val="bottom"/>
            <w:hideMark/>
          </w:tcPr>
          <w:p w14:paraId="5029D155"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8" w:type="pct"/>
            <w:tcBorders>
              <w:top w:val="nil"/>
              <w:left w:val="nil"/>
              <w:bottom w:val="nil"/>
              <w:right w:val="nil"/>
            </w:tcBorders>
            <w:noWrap/>
            <w:vAlign w:val="bottom"/>
            <w:hideMark/>
          </w:tcPr>
          <w:p w14:paraId="6F508DF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8" w:type="pct"/>
            <w:tcBorders>
              <w:top w:val="nil"/>
              <w:left w:val="nil"/>
              <w:bottom w:val="nil"/>
              <w:right w:val="nil"/>
            </w:tcBorders>
            <w:noWrap/>
            <w:vAlign w:val="bottom"/>
            <w:hideMark/>
          </w:tcPr>
          <w:p w14:paraId="0063D54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8" w:type="pct"/>
            <w:tcBorders>
              <w:top w:val="nil"/>
              <w:left w:val="nil"/>
              <w:bottom w:val="nil"/>
              <w:right w:val="nil"/>
            </w:tcBorders>
            <w:noWrap/>
            <w:vAlign w:val="bottom"/>
            <w:hideMark/>
          </w:tcPr>
          <w:p w14:paraId="10F9479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463BC33F"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7DBE1ED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4B1455F"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40C4BFA3"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Return On Asset</w:t>
            </w:r>
          </w:p>
        </w:tc>
        <w:tc>
          <w:tcPr>
            <w:tcW w:w="118" w:type="pct"/>
            <w:tcBorders>
              <w:top w:val="nil"/>
              <w:left w:val="nil"/>
              <w:bottom w:val="nil"/>
              <w:right w:val="nil"/>
            </w:tcBorders>
            <w:noWrap/>
            <w:vAlign w:val="bottom"/>
            <w:hideMark/>
          </w:tcPr>
          <w:p w14:paraId="56F8B2D2"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1DF114A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3A3A45DE"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5FBF2207"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691" w:type="pct"/>
            <w:tcBorders>
              <w:top w:val="nil"/>
              <w:left w:val="nil"/>
              <w:bottom w:val="single" w:sz="4" w:space="0" w:color="auto"/>
              <w:right w:val="single" w:sz="4" w:space="0" w:color="auto"/>
            </w:tcBorders>
            <w:noWrap/>
            <w:vAlign w:val="bottom"/>
            <w:hideMark/>
          </w:tcPr>
          <w:p w14:paraId="4289628D"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608" w:type="pct"/>
            <w:tcBorders>
              <w:top w:val="nil"/>
              <w:left w:val="nil"/>
              <w:bottom w:val="single" w:sz="4" w:space="0" w:color="auto"/>
              <w:right w:val="single" w:sz="4" w:space="0" w:color="auto"/>
            </w:tcBorders>
            <w:noWrap/>
            <w:vAlign w:val="bottom"/>
            <w:hideMark/>
          </w:tcPr>
          <w:p w14:paraId="2B96864D"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608" w:type="pct"/>
            <w:tcBorders>
              <w:top w:val="nil"/>
              <w:left w:val="nil"/>
              <w:bottom w:val="single" w:sz="4" w:space="0" w:color="auto"/>
              <w:right w:val="single" w:sz="4" w:space="0" w:color="auto"/>
            </w:tcBorders>
            <w:noWrap/>
            <w:vAlign w:val="bottom"/>
            <w:hideMark/>
          </w:tcPr>
          <w:p w14:paraId="48AB11F6"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608" w:type="pct"/>
            <w:tcBorders>
              <w:top w:val="nil"/>
              <w:left w:val="nil"/>
              <w:bottom w:val="single" w:sz="4" w:space="0" w:color="auto"/>
              <w:right w:val="single" w:sz="4" w:space="0" w:color="auto"/>
            </w:tcBorders>
            <w:noWrap/>
            <w:vAlign w:val="bottom"/>
            <w:hideMark/>
          </w:tcPr>
          <w:p w14:paraId="65DCE9F9"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608" w:type="pct"/>
            <w:tcBorders>
              <w:top w:val="nil"/>
              <w:left w:val="nil"/>
              <w:bottom w:val="single" w:sz="4" w:space="0" w:color="auto"/>
              <w:right w:val="single" w:sz="4" w:space="0" w:color="auto"/>
            </w:tcBorders>
            <w:noWrap/>
            <w:vAlign w:val="bottom"/>
            <w:hideMark/>
          </w:tcPr>
          <w:p w14:paraId="6708ECF7"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608" w:type="pct"/>
            <w:tcBorders>
              <w:top w:val="nil"/>
              <w:left w:val="nil"/>
              <w:bottom w:val="single" w:sz="4" w:space="0" w:color="auto"/>
              <w:right w:val="single" w:sz="4" w:space="0" w:color="auto"/>
            </w:tcBorders>
            <w:noWrap/>
            <w:vAlign w:val="bottom"/>
            <w:hideMark/>
          </w:tcPr>
          <w:p w14:paraId="5C77B511"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776A383F"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40FCB86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06035FA"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68972D50"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Profit</w:t>
            </w:r>
          </w:p>
        </w:tc>
        <w:tc>
          <w:tcPr>
            <w:tcW w:w="691" w:type="pct"/>
            <w:vMerge w:val="restart"/>
            <w:tcBorders>
              <w:top w:val="nil"/>
              <w:left w:val="single" w:sz="4" w:space="0" w:color="auto"/>
              <w:bottom w:val="single" w:sz="4" w:space="0" w:color="auto"/>
              <w:right w:val="single" w:sz="4" w:space="0" w:color="auto"/>
            </w:tcBorders>
            <w:vAlign w:val="center"/>
            <w:hideMark/>
          </w:tcPr>
          <w:p w14:paraId="0AB243D6"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Profit ÷ Total Assets)*100</w:t>
            </w:r>
          </w:p>
        </w:tc>
        <w:tc>
          <w:tcPr>
            <w:tcW w:w="608" w:type="pct"/>
            <w:tcBorders>
              <w:top w:val="nil"/>
              <w:left w:val="nil"/>
              <w:bottom w:val="single" w:sz="4" w:space="0" w:color="auto"/>
              <w:right w:val="single" w:sz="4" w:space="0" w:color="auto"/>
            </w:tcBorders>
            <w:noWrap/>
            <w:vAlign w:val="center"/>
            <w:hideMark/>
          </w:tcPr>
          <w:p w14:paraId="73E1203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-24,029</w:t>
            </w:r>
          </w:p>
        </w:tc>
        <w:tc>
          <w:tcPr>
            <w:tcW w:w="608" w:type="pct"/>
            <w:tcBorders>
              <w:top w:val="nil"/>
              <w:left w:val="nil"/>
              <w:bottom w:val="single" w:sz="4" w:space="0" w:color="auto"/>
              <w:right w:val="single" w:sz="4" w:space="0" w:color="auto"/>
            </w:tcBorders>
            <w:noWrap/>
            <w:vAlign w:val="center"/>
            <w:hideMark/>
          </w:tcPr>
          <w:p w14:paraId="1E9CBB2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-98,238</w:t>
            </w:r>
          </w:p>
        </w:tc>
        <w:tc>
          <w:tcPr>
            <w:tcW w:w="608" w:type="pct"/>
            <w:tcBorders>
              <w:top w:val="nil"/>
              <w:left w:val="nil"/>
              <w:bottom w:val="single" w:sz="4" w:space="0" w:color="auto"/>
              <w:right w:val="single" w:sz="4" w:space="0" w:color="auto"/>
            </w:tcBorders>
            <w:noWrap/>
            <w:vAlign w:val="center"/>
            <w:hideMark/>
          </w:tcPr>
          <w:p w14:paraId="7DC4F91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407</w:t>
            </w:r>
          </w:p>
        </w:tc>
        <w:tc>
          <w:tcPr>
            <w:tcW w:w="608" w:type="pct"/>
            <w:tcBorders>
              <w:top w:val="nil"/>
              <w:left w:val="nil"/>
              <w:bottom w:val="single" w:sz="4" w:space="0" w:color="auto"/>
              <w:right w:val="single" w:sz="4" w:space="0" w:color="auto"/>
            </w:tcBorders>
            <w:noWrap/>
            <w:vAlign w:val="center"/>
            <w:hideMark/>
          </w:tcPr>
          <w:p w14:paraId="0896035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5,301</w:t>
            </w:r>
          </w:p>
        </w:tc>
        <w:tc>
          <w:tcPr>
            <w:tcW w:w="608" w:type="pct"/>
            <w:tcBorders>
              <w:top w:val="nil"/>
              <w:left w:val="nil"/>
              <w:bottom w:val="single" w:sz="4" w:space="0" w:color="auto"/>
              <w:right w:val="single" w:sz="4" w:space="0" w:color="auto"/>
            </w:tcBorders>
            <w:noWrap/>
            <w:vAlign w:val="center"/>
            <w:hideMark/>
          </w:tcPr>
          <w:p w14:paraId="7E09E10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38,572</w:t>
            </w:r>
          </w:p>
        </w:tc>
        <w:tc>
          <w:tcPr>
            <w:tcW w:w="118" w:type="pct"/>
            <w:tcBorders>
              <w:top w:val="nil"/>
              <w:left w:val="nil"/>
              <w:bottom w:val="nil"/>
              <w:right w:val="nil"/>
            </w:tcBorders>
            <w:noWrap/>
            <w:vAlign w:val="bottom"/>
            <w:hideMark/>
          </w:tcPr>
          <w:p w14:paraId="5C0A1ED5"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0B4DBD3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775E7696"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4603999A"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Total Asset</w:t>
            </w:r>
          </w:p>
        </w:tc>
        <w:tc>
          <w:tcPr>
            <w:tcW w:w="691" w:type="pct"/>
            <w:vMerge/>
            <w:tcBorders>
              <w:top w:val="nil"/>
              <w:left w:val="single" w:sz="4" w:space="0" w:color="auto"/>
              <w:bottom w:val="single" w:sz="4" w:space="0" w:color="auto"/>
              <w:right w:val="single" w:sz="4" w:space="0" w:color="auto"/>
            </w:tcBorders>
            <w:vAlign w:val="center"/>
            <w:hideMark/>
          </w:tcPr>
          <w:p w14:paraId="1328845C"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8" w:type="pct"/>
            <w:tcBorders>
              <w:top w:val="nil"/>
              <w:left w:val="nil"/>
              <w:bottom w:val="single" w:sz="4" w:space="0" w:color="auto"/>
              <w:right w:val="single" w:sz="4" w:space="0" w:color="auto"/>
            </w:tcBorders>
            <w:noWrap/>
            <w:vAlign w:val="center"/>
            <w:hideMark/>
          </w:tcPr>
          <w:p w14:paraId="146A87F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323,354</w:t>
            </w:r>
          </w:p>
        </w:tc>
        <w:tc>
          <w:tcPr>
            <w:tcW w:w="608" w:type="pct"/>
            <w:tcBorders>
              <w:top w:val="nil"/>
              <w:left w:val="nil"/>
              <w:bottom w:val="single" w:sz="4" w:space="0" w:color="auto"/>
              <w:right w:val="single" w:sz="4" w:space="0" w:color="auto"/>
            </w:tcBorders>
            <w:noWrap/>
            <w:vAlign w:val="center"/>
            <w:hideMark/>
          </w:tcPr>
          <w:p w14:paraId="55EF516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355,872</w:t>
            </w:r>
          </w:p>
        </w:tc>
        <w:tc>
          <w:tcPr>
            <w:tcW w:w="608" w:type="pct"/>
            <w:tcBorders>
              <w:top w:val="nil"/>
              <w:left w:val="nil"/>
              <w:bottom w:val="single" w:sz="4" w:space="0" w:color="auto"/>
              <w:right w:val="single" w:sz="4" w:space="0" w:color="auto"/>
            </w:tcBorders>
            <w:noWrap/>
            <w:vAlign w:val="center"/>
            <w:hideMark/>
          </w:tcPr>
          <w:p w14:paraId="591265C8"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504,163</w:t>
            </w:r>
          </w:p>
        </w:tc>
        <w:tc>
          <w:tcPr>
            <w:tcW w:w="608" w:type="pct"/>
            <w:tcBorders>
              <w:top w:val="nil"/>
              <w:left w:val="nil"/>
              <w:bottom w:val="single" w:sz="4" w:space="0" w:color="auto"/>
              <w:right w:val="single" w:sz="4" w:space="0" w:color="auto"/>
            </w:tcBorders>
            <w:noWrap/>
            <w:vAlign w:val="center"/>
            <w:hideMark/>
          </w:tcPr>
          <w:p w14:paraId="31D79E8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510,348</w:t>
            </w:r>
          </w:p>
        </w:tc>
        <w:tc>
          <w:tcPr>
            <w:tcW w:w="608" w:type="pct"/>
            <w:tcBorders>
              <w:top w:val="nil"/>
              <w:left w:val="nil"/>
              <w:bottom w:val="single" w:sz="4" w:space="0" w:color="auto"/>
              <w:right w:val="single" w:sz="4" w:space="0" w:color="auto"/>
            </w:tcBorders>
            <w:noWrap/>
            <w:vAlign w:val="center"/>
            <w:hideMark/>
          </w:tcPr>
          <w:p w14:paraId="37EA221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510,290</w:t>
            </w:r>
          </w:p>
        </w:tc>
        <w:tc>
          <w:tcPr>
            <w:tcW w:w="118" w:type="pct"/>
            <w:tcBorders>
              <w:top w:val="nil"/>
              <w:left w:val="nil"/>
              <w:bottom w:val="nil"/>
              <w:right w:val="nil"/>
            </w:tcBorders>
            <w:noWrap/>
            <w:vAlign w:val="bottom"/>
            <w:hideMark/>
          </w:tcPr>
          <w:p w14:paraId="2C2BE11F"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2A681E4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8E94EEE" w14:textId="77777777" w:rsidTr="00396157">
        <w:trPr>
          <w:trHeight w:val="310"/>
        </w:trPr>
        <w:tc>
          <w:tcPr>
            <w:tcW w:w="1035" w:type="pct"/>
            <w:tcBorders>
              <w:top w:val="nil"/>
              <w:left w:val="single" w:sz="4" w:space="0" w:color="auto"/>
              <w:bottom w:val="single" w:sz="4" w:space="0" w:color="auto"/>
              <w:right w:val="single" w:sz="4" w:space="0" w:color="auto"/>
            </w:tcBorders>
            <w:noWrap/>
            <w:vAlign w:val="bottom"/>
            <w:hideMark/>
          </w:tcPr>
          <w:p w14:paraId="7DF84ECD"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Return On Asset</w:t>
            </w:r>
          </w:p>
        </w:tc>
        <w:tc>
          <w:tcPr>
            <w:tcW w:w="691" w:type="pct"/>
            <w:vMerge/>
            <w:tcBorders>
              <w:top w:val="nil"/>
              <w:left w:val="single" w:sz="4" w:space="0" w:color="auto"/>
              <w:bottom w:val="single" w:sz="4" w:space="0" w:color="auto"/>
              <w:right w:val="single" w:sz="4" w:space="0" w:color="auto"/>
            </w:tcBorders>
            <w:vAlign w:val="center"/>
            <w:hideMark/>
          </w:tcPr>
          <w:p w14:paraId="39F4077C"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8" w:type="pct"/>
            <w:tcBorders>
              <w:top w:val="nil"/>
              <w:left w:val="nil"/>
              <w:bottom w:val="single" w:sz="4" w:space="0" w:color="auto"/>
              <w:right w:val="single" w:sz="4" w:space="0" w:color="auto"/>
            </w:tcBorders>
            <w:noWrap/>
            <w:vAlign w:val="bottom"/>
            <w:hideMark/>
          </w:tcPr>
          <w:p w14:paraId="61CFE10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-7.43%</w:t>
            </w:r>
          </w:p>
        </w:tc>
        <w:tc>
          <w:tcPr>
            <w:tcW w:w="608" w:type="pct"/>
            <w:tcBorders>
              <w:top w:val="nil"/>
              <w:left w:val="nil"/>
              <w:bottom w:val="single" w:sz="4" w:space="0" w:color="auto"/>
              <w:right w:val="single" w:sz="4" w:space="0" w:color="auto"/>
            </w:tcBorders>
            <w:noWrap/>
            <w:vAlign w:val="bottom"/>
            <w:hideMark/>
          </w:tcPr>
          <w:p w14:paraId="7EF7F61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-27.60%</w:t>
            </w:r>
          </w:p>
        </w:tc>
        <w:tc>
          <w:tcPr>
            <w:tcW w:w="608" w:type="pct"/>
            <w:tcBorders>
              <w:top w:val="nil"/>
              <w:left w:val="nil"/>
              <w:bottom w:val="single" w:sz="4" w:space="0" w:color="auto"/>
              <w:right w:val="single" w:sz="4" w:space="0" w:color="auto"/>
            </w:tcBorders>
            <w:noWrap/>
            <w:vAlign w:val="bottom"/>
            <w:hideMark/>
          </w:tcPr>
          <w:p w14:paraId="09A80368"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0.08%</w:t>
            </w:r>
          </w:p>
        </w:tc>
        <w:tc>
          <w:tcPr>
            <w:tcW w:w="608" w:type="pct"/>
            <w:tcBorders>
              <w:top w:val="nil"/>
              <w:left w:val="nil"/>
              <w:bottom w:val="single" w:sz="4" w:space="0" w:color="auto"/>
              <w:right w:val="single" w:sz="4" w:space="0" w:color="auto"/>
            </w:tcBorders>
            <w:noWrap/>
            <w:vAlign w:val="bottom"/>
            <w:hideMark/>
          </w:tcPr>
          <w:p w14:paraId="0D9771C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1.04%</w:t>
            </w:r>
          </w:p>
        </w:tc>
        <w:tc>
          <w:tcPr>
            <w:tcW w:w="608" w:type="pct"/>
            <w:tcBorders>
              <w:top w:val="nil"/>
              <w:left w:val="nil"/>
              <w:bottom w:val="single" w:sz="4" w:space="0" w:color="auto"/>
              <w:right w:val="single" w:sz="4" w:space="0" w:color="auto"/>
            </w:tcBorders>
            <w:noWrap/>
            <w:vAlign w:val="bottom"/>
            <w:hideMark/>
          </w:tcPr>
          <w:p w14:paraId="05F5376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7.56%</w:t>
            </w:r>
          </w:p>
        </w:tc>
        <w:tc>
          <w:tcPr>
            <w:tcW w:w="118" w:type="pct"/>
            <w:tcBorders>
              <w:top w:val="nil"/>
              <w:left w:val="nil"/>
              <w:bottom w:val="nil"/>
              <w:right w:val="nil"/>
            </w:tcBorders>
            <w:noWrap/>
            <w:vAlign w:val="bottom"/>
            <w:hideMark/>
          </w:tcPr>
          <w:p w14:paraId="2B5AA51C"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4F7CFC56"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bl>
    <w:p w14:paraId="69732192" w14:textId="77777777" w:rsidR="00396157" w:rsidRPr="0074648E" w:rsidRDefault="00396157" w:rsidP="00396157">
      <w:pPr>
        <w:pStyle w:val="Caption"/>
        <w:jc w:val="center"/>
        <w:rPr>
          <w:rFonts w:ascii="Arial" w:hAnsi="Arial" w:cs="Arial"/>
          <w:color w:val="auto"/>
        </w:rPr>
      </w:pPr>
      <w:bookmarkStart w:id="6" w:name="_Toc210664723"/>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1</w:t>
      </w:r>
      <w:r w:rsidRPr="0074648E">
        <w:rPr>
          <w:rFonts w:ascii="Arial" w:hAnsi="Arial" w:cs="Arial"/>
          <w:color w:val="auto"/>
        </w:rPr>
        <w:fldChar w:fldCharType="end"/>
      </w:r>
      <w:r w:rsidRPr="0074648E">
        <w:rPr>
          <w:rFonts w:ascii="Arial" w:hAnsi="Arial" w:cs="Arial"/>
          <w:color w:val="auto"/>
        </w:rPr>
        <w:t>: Profitability Result</w:t>
      </w:r>
      <w:bookmarkEnd w:id="6"/>
    </w:p>
    <w:p w14:paraId="137DA782" w14:textId="77777777" w:rsidR="00396157" w:rsidRPr="00396157" w:rsidRDefault="00396157" w:rsidP="00396157"/>
    <w:p w14:paraId="2C4F63D6" w14:textId="77777777" w:rsidR="00572DDE" w:rsidRPr="0074648E" w:rsidRDefault="007A199B" w:rsidP="00572DDE">
      <w:pPr>
        <w:keepNext/>
        <w:jc w:val="center"/>
        <w:rPr>
          <w:rFonts w:ascii="Arial" w:hAnsi="Arial" w:cs="Arial"/>
        </w:rPr>
      </w:pPr>
      <w:r w:rsidRPr="0074648E">
        <w:rPr>
          <w:rFonts w:ascii="Arial" w:hAnsi="Arial" w:cs="Arial"/>
          <w:noProof/>
        </w:rPr>
        <w:lastRenderedPageBreak/>
        <w:drawing>
          <wp:inline distT="0" distB="0" distL="0" distR="0" wp14:anchorId="16FA4AE6" wp14:editId="4D7E9ECB">
            <wp:extent cx="3378200" cy="1746250"/>
            <wp:effectExtent l="0" t="0" r="12700" b="6350"/>
            <wp:docPr id="920985330" name="Chart 1">
              <a:extLst xmlns:a="http://schemas.openxmlformats.org/drawingml/2006/main">
                <a:ext uri="{FF2B5EF4-FFF2-40B4-BE49-F238E27FC236}">
                  <a16:creationId xmlns:a16="http://schemas.microsoft.com/office/drawing/2014/main" id="{1F2C535F-2F13-55FF-CACC-7A57AED92B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80706E2" w14:textId="68E0E27F" w:rsidR="00572DDE" w:rsidRPr="0074648E" w:rsidRDefault="00572DDE" w:rsidP="00572DDE">
      <w:pPr>
        <w:pStyle w:val="Caption"/>
        <w:jc w:val="center"/>
        <w:rPr>
          <w:rFonts w:ascii="Arial" w:hAnsi="Arial" w:cs="Arial"/>
          <w:color w:val="auto"/>
        </w:rPr>
      </w:pPr>
      <w:bookmarkStart w:id="7" w:name="_Toc210664661"/>
      <w:bookmarkStart w:id="8" w:name="_Toc210664717"/>
      <w:r w:rsidRPr="0074648E">
        <w:rPr>
          <w:rFonts w:ascii="Arial" w:hAnsi="Arial" w:cs="Arial"/>
          <w:color w:val="auto"/>
        </w:rPr>
        <w:t xml:space="preserve">Figure </w:t>
      </w:r>
      <w:r w:rsidRPr="0074648E">
        <w:rPr>
          <w:rFonts w:ascii="Arial" w:hAnsi="Arial" w:cs="Arial"/>
          <w:color w:val="auto"/>
        </w:rPr>
        <w:fldChar w:fldCharType="begin"/>
      </w:r>
      <w:r w:rsidRPr="0074648E">
        <w:rPr>
          <w:rFonts w:ascii="Arial" w:hAnsi="Arial" w:cs="Arial"/>
          <w:color w:val="auto"/>
        </w:rPr>
        <w:instrText xml:space="preserve"> SEQ Figure \* ARABIC </w:instrText>
      </w:r>
      <w:r w:rsidRPr="0074648E">
        <w:rPr>
          <w:rFonts w:ascii="Arial" w:hAnsi="Arial" w:cs="Arial"/>
          <w:color w:val="auto"/>
        </w:rPr>
        <w:fldChar w:fldCharType="separate"/>
      </w:r>
      <w:r w:rsidRPr="0074648E">
        <w:rPr>
          <w:rFonts w:ascii="Arial" w:hAnsi="Arial" w:cs="Arial"/>
          <w:noProof/>
          <w:color w:val="auto"/>
        </w:rPr>
        <w:t>1</w:t>
      </w:r>
      <w:r w:rsidRPr="0074648E">
        <w:rPr>
          <w:rFonts w:ascii="Arial" w:hAnsi="Arial" w:cs="Arial"/>
          <w:color w:val="auto"/>
        </w:rPr>
        <w:fldChar w:fldCharType="end"/>
      </w:r>
      <w:r w:rsidRPr="0074648E">
        <w:rPr>
          <w:rFonts w:ascii="Arial" w:hAnsi="Arial" w:cs="Arial"/>
          <w:color w:val="auto"/>
        </w:rPr>
        <w:t>: Profitability Ratios</w:t>
      </w:r>
      <w:bookmarkEnd w:id="7"/>
      <w:bookmarkEnd w:id="8"/>
    </w:p>
    <w:p w14:paraId="6B6E735E" w14:textId="21FA87E9" w:rsidR="00775000" w:rsidRPr="0074648E" w:rsidRDefault="00775000" w:rsidP="00934DB9">
      <w:pPr>
        <w:rPr>
          <w:rFonts w:ascii="Arial" w:hAnsi="Arial" w:cs="Arial"/>
        </w:rPr>
      </w:pPr>
      <w:r w:rsidRPr="0074648E">
        <w:rPr>
          <w:rFonts w:ascii="Arial" w:hAnsi="Arial" w:cs="Arial"/>
        </w:rPr>
        <w:t>Gross Profit Margin (GPM) indicates how the company manages the production costs in relation to sales</w:t>
      </w:r>
      <w:r w:rsidR="002411D1" w:rsidRPr="0074648E">
        <w:rPr>
          <w:rFonts w:ascii="Arial" w:hAnsi="Arial" w:cs="Arial"/>
        </w:rPr>
        <w:t xml:space="preserve"> </w:t>
      </w:r>
      <w:r w:rsidR="002411D1" w:rsidRPr="0074648E">
        <w:rPr>
          <w:rFonts w:ascii="Arial" w:hAnsi="Arial" w:cs="Arial"/>
          <w:shd w:val="clear" w:color="auto" w:fill="FFFFFF"/>
        </w:rPr>
        <w:t>(Olayinka, 2022)</w:t>
      </w:r>
      <w:r w:rsidRPr="0074648E">
        <w:rPr>
          <w:rFonts w:ascii="Arial" w:hAnsi="Arial" w:cs="Arial"/>
        </w:rPr>
        <w:t xml:space="preserve">. Over the period of 2020 to 2022, General Electronics enjoyed a high margin estimated at 28, indicating good pricing and cost management in its operations. Nonetheless, this margin dropped to 23.2 in 2023, suggesting that the cost of sales increased significantly, perhaps due to inflation, ineffective supply chain practices, or aggressive discounting to sustain market share. </w:t>
      </w:r>
    </w:p>
    <w:p w14:paraId="70727534" w14:textId="4053FF0C" w:rsidR="00155D8F" w:rsidRPr="0074648E" w:rsidRDefault="00775000" w:rsidP="00934DB9">
      <w:pPr>
        <w:rPr>
          <w:rFonts w:ascii="Arial" w:hAnsi="Arial" w:cs="Arial"/>
        </w:rPr>
      </w:pPr>
      <w:r w:rsidRPr="0074648E">
        <w:rPr>
          <w:rFonts w:ascii="Arial" w:hAnsi="Arial" w:cs="Arial"/>
        </w:rPr>
        <w:t xml:space="preserve">The Return on Assets (ROA) portrays a more disconcerting image of profitability. It fell to 7.6% in 2020 and began its decline to as low as 1% in 2021, indicating lower asset returns. It dropped to nearly zero in 2022 and became significantly negative in 2023 (–27.6%) and 2024 (–7.4%). These figures show that the assets are not producing income and that there </w:t>
      </w:r>
      <w:r w:rsidR="00623FD9" w:rsidRPr="0074648E">
        <w:rPr>
          <w:rFonts w:ascii="Arial" w:hAnsi="Arial" w:cs="Arial"/>
        </w:rPr>
        <w:t>are</w:t>
      </w:r>
      <w:r w:rsidRPr="0074648E">
        <w:rPr>
          <w:rFonts w:ascii="Arial" w:hAnsi="Arial" w:cs="Arial"/>
        </w:rPr>
        <w:t xml:space="preserve"> a lot of resources being allocated to areas that perform poorly. </w:t>
      </w:r>
    </w:p>
    <w:p w14:paraId="28D7AF91" w14:textId="792A8D0F" w:rsidR="00054052" w:rsidRDefault="00054052" w:rsidP="00CE7E6C">
      <w:pPr>
        <w:pStyle w:val="Heading3"/>
        <w:rPr>
          <w:rFonts w:ascii="Arial" w:hAnsi="Arial" w:cs="Arial"/>
        </w:rPr>
      </w:pPr>
      <w:bookmarkStart w:id="9" w:name="_Toc210855229"/>
      <w:r w:rsidRPr="0074648E">
        <w:rPr>
          <w:rFonts w:ascii="Arial" w:hAnsi="Arial" w:cs="Arial"/>
        </w:rPr>
        <w:t>Liquidity</w:t>
      </w:r>
      <w:bookmarkEnd w:id="9"/>
    </w:p>
    <w:tbl>
      <w:tblPr>
        <w:tblW w:w="5000" w:type="pct"/>
        <w:tblLook w:val="04A0" w:firstRow="1" w:lastRow="0" w:firstColumn="1" w:lastColumn="0" w:noHBand="0" w:noVBand="1"/>
      </w:tblPr>
      <w:tblGrid>
        <w:gridCol w:w="1731"/>
        <w:gridCol w:w="1076"/>
        <w:gridCol w:w="1222"/>
        <w:gridCol w:w="1221"/>
        <w:gridCol w:w="1221"/>
        <w:gridCol w:w="1221"/>
        <w:gridCol w:w="1221"/>
        <w:gridCol w:w="221"/>
        <w:gridCol w:w="221"/>
      </w:tblGrid>
      <w:tr w:rsidR="00396157" w:rsidRPr="0074648E" w14:paraId="2DFC68C9"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30701286"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Current ratio</w:t>
            </w:r>
          </w:p>
        </w:tc>
        <w:tc>
          <w:tcPr>
            <w:tcW w:w="118" w:type="pct"/>
            <w:tcBorders>
              <w:top w:val="nil"/>
              <w:left w:val="nil"/>
              <w:bottom w:val="nil"/>
              <w:right w:val="nil"/>
            </w:tcBorders>
            <w:noWrap/>
            <w:vAlign w:val="bottom"/>
            <w:hideMark/>
          </w:tcPr>
          <w:p w14:paraId="56837572"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0C3D7D4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E779507"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474CA5E2"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575" w:type="pct"/>
            <w:tcBorders>
              <w:top w:val="nil"/>
              <w:left w:val="nil"/>
              <w:bottom w:val="single" w:sz="4" w:space="0" w:color="auto"/>
              <w:right w:val="single" w:sz="4" w:space="0" w:color="auto"/>
            </w:tcBorders>
            <w:noWrap/>
            <w:vAlign w:val="bottom"/>
            <w:hideMark/>
          </w:tcPr>
          <w:p w14:paraId="6284B826"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653" w:type="pct"/>
            <w:tcBorders>
              <w:top w:val="nil"/>
              <w:left w:val="nil"/>
              <w:bottom w:val="single" w:sz="4" w:space="0" w:color="auto"/>
              <w:right w:val="single" w:sz="4" w:space="0" w:color="auto"/>
            </w:tcBorders>
            <w:noWrap/>
            <w:vAlign w:val="bottom"/>
            <w:hideMark/>
          </w:tcPr>
          <w:p w14:paraId="18997CF9"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653" w:type="pct"/>
            <w:tcBorders>
              <w:top w:val="nil"/>
              <w:left w:val="nil"/>
              <w:bottom w:val="single" w:sz="4" w:space="0" w:color="auto"/>
              <w:right w:val="single" w:sz="4" w:space="0" w:color="auto"/>
            </w:tcBorders>
            <w:noWrap/>
            <w:vAlign w:val="bottom"/>
            <w:hideMark/>
          </w:tcPr>
          <w:p w14:paraId="535C16E6"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653" w:type="pct"/>
            <w:tcBorders>
              <w:top w:val="nil"/>
              <w:left w:val="nil"/>
              <w:bottom w:val="single" w:sz="4" w:space="0" w:color="auto"/>
              <w:right w:val="single" w:sz="4" w:space="0" w:color="auto"/>
            </w:tcBorders>
            <w:noWrap/>
            <w:vAlign w:val="bottom"/>
            <w:hideMark/>
          </w:tcPr>
          <w:p w14:paraId="0EE76979"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653" w:type="pct"/>
            <w:tcBorders>
              <w:top w:val="nil"/>
              <w:left w:val="nil"/>
              <w:bottom w:val="single" w:sz="4" w:space="0" w:color="auto"/>
              <w:right w:val="single" w:sz="4" w:space="0" w:color="auto"/>
            </w:tcBorders>
            <w:noWrap/>
            <w:vAlign w:val="bottom"/>
            <w:hideMark/>
          </w:tcPr>
          <w:p w14:paraId="5EC5FA5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653" w:type="pct"/>
            <w:tcBorders>
              <w:top w:val="nil"/>
              <w:left w:val="nil"/>
              <w:bottom w:val="single" w:sz="4" w:space="0" w:color="auto"/>
              <w:right w:val="single" w:sz="4" w:space="0" w:color="auto"/>
            </w:tcBorders>
            <w:noWrap/>
            <w:vAlign w:val="bottom"/>
            <w:hideMark/>
          </w:tcPr>
          <w:p w14:paraId="6C22661F"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7EB4B722"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75E2879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4DDC400"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1C9CEECF"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Current Assets </w:t>
            </w:r>
          </w:p>
        </w:tc>
        <w:tc>
          <w:tcPr>
            <w:tcW w:w="575" w:type="pct"/>
            <w:vMerge w:val="restart"/>
            <w:tcBorders>
              <w:top w:val="nil"/>
              <w:left w:val="single" w:sz="4" w:space="0" w:color="auto"/>
              <w:bottom w:val="single" w:sz="4" w:space="0" w:color="auto"/>
              <w:right w:val="single" w:sz="4" w:space="0" w:color="auto"/>
            </w:tcBorders>
            <w:vAlign w:val="center"/>
            <w:hideMark/>
          </w:tcPr>
          <w:p w14:paraId="4B8236B1"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Current Assets/ Current Liability </w:t>
            </w:r>
          </w:p>
        </w:tc>
        <w:tc>
          <w:tcPr>
            <w:tcW w:w="653" w:type="pct"/>
            <w:tcBorders>
              <w:top w:val="nil"/>
              <w:left w:val="nil"/>
              <w:bottom w:val="single" w:sz="4" w:space="0" w:color="auto"/>
              <w:right w:val="single" w:sz="4" w:space="0" w:color="auto"/>
            </w:tcBorders>
            <w:noWrap/>
            <w:vAlign w:val="center"/>
            <w:hideMark/>
          </w:tcPr>
          <w:p w14:paraId="5D7906A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242,494</w:t>
            </w:r>
          </w:p>
        </w:tc>
        <w:tc>
          <w:tcPr>
            <w:tcW w:w="653" w:type="pct"/>
            <w:tcBorders>
              <w:top w:val="nil"/>
              <w:left w:val="nil"/>
              <w:bottom w:val="single" w:sz="4" w:space="0" w:color="auto"/>
              <w:right w:val="single" w:sz="4" w:space="0" w:color="auto"/>
            </w:tcBorders>
            <w:noWrap/>
            <w:vAlign w:val="center"/>
            <w:hideMark/>
          </w:tcPr>
          <w:p w14:paraId="07022E0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258,851</w:t>
            </w:r>
          </w:p>
        </w:tc>
        <w:tc>
          <w:tcPr>
            <w:tcW w:w="653" w:type="pct"/>
            <w:tcBorders>
              <w:top w:val="nil"/>
              <w:left w:val="nil"/>
              <w:bottom w:val="single" w:sz="4" w:space="0" w:color="auto"/>
              <w:right w:val="single" w:sz="4" w:space="0" w:color="auto"/>
            </w:tcBorders>
            <w:noWrap/>
            <w:vAlign w:val="center"/>
            <w:hideMark/>
          </w:tcPr>
          <w:p w14:paraId="79ABD2A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338,040</w:t>
            </w:r>
          </w:p>
        </w:tc>
        <w:tc>
          <w:tcPr>
            <w:tcW w:w="653" w:type="pct"/>
            <w:tcBorders>
              <w:top w:val="nil"/>
              <w:left w:val="nil"/>
              <w:bottom w:val="single" w:sz="4" w:space="0" w:color="auto"/>
              <w:right w:val="single" w:sz="4" w:space="0" w:color="auto"/>
            </w:tcBorders>
            <w:noWrap/>
            <w:vAlign w:val="center"/>
            <w:hideMark/>
          </w:tcPr>
          <w:p w14:paraId="4FBE096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337,146</w:t>
            </w:r>
          </w:p>
        </w:tc>
        <w:tc>
          <w:tcPr>
            <w:tcW w:w="653" w:type="pct"/>
            <w:tcBorders>
              <w:top w:val="nil"/>
              <w:left w:val="nil"/>
              <w:bottom w:val="single" w:sz="4" w:space="0" w:color="auto"/>
              <w:right w:val="single" w:sz="4" w:space="0" w:color="auto"/>
            </w:tcBorders>
            <w:noWrap/>
            <w:vAlign w:val="center"/>
            <w:hideMark/>
          </w:tcPr>
          <w:p w14:paraId="487C2E4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326,843</w:t>
            </w:r>
          </w:p>
        </w:tc>
        <w:tc>
          <w:tcPr>
            <w:tcW w:w="118" w:type="pct"/>
            <w:tcBorders>
              <w:top w:val="nil"/>
              <w:left w:val="nil"/>
              <w:bottom w:val="nil"/>
              <w:right w:val="nil"/>
            </w:tcBorders>
            <w:noWrap/>
            <w:vAlign w:val="bottom"/>
            <w:hideMark/>
          </w:tcPr>
          <w:p w14:paraId="5F093768"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7F9F7F26"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381142BE"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6AB4FCC1"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Current Liability </w:t>
            </w:r>
          </w:p>
        </w:tc>
        <w:tc>
          <w:tcPr>
            <w:tcW w:w="575" w:type="pct"/>
            <w:vMerge/>
            <w:tcBorders>
              <w:top w:val="nil"/>
              <w:left w:val="single" w:sz="4" w:space="0" w:color="auto"/>
              <w:bottom w:val="single" w:sz="4" w:space="0" w:color="auto"/>
              <w:right w:val="single" w:sz="4" w:space="0" w:color="auto"/>
            </w:tcBorders>
            <w:vAlign w:val="center"/>
            <w:hideMark/>
          </w:tcPr>
          <w:p w14:paraId="3C516044"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53" w:type="pct"/>
            <w:tcBorders>
              <w:top w:val="nil"/>
              <w:left w:val="nil"/>
              <w:bottom w:val="single" w:sz="4" w:space="0" w:color="auto"/>
              <w:right w:val="single" w:sz="4" w:space="0" w:color="auto"/>
            </w:tcBorders>
            <w:noWrap/>
            <w:vAlign w:val="center"/>
            <w:hideMark/>
          </w:tcPr>
          <w:p w14:paraId="18E6D69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158,291</w:t>
            </w:r>
          </w:p>
        </w:tc>
        <w:tc>
          <w:tcPr>
            <w:tcW w:w="653" w:type="pct"/>
            <w:tcBorders>
              <w:top w:val="nil"/>
              <w:left w:val="nil"/>
              <w:bottom w:val="single" w:sz="4" w:space="0" w:color="auto"/>
              <w:right w:val="single" w:sz="4" w:space="0" w:color="auto"/>
            </w:tcBorders>
            <w:noWrap/>
            <w:vAlign w:val="center"/>
            <w:hideMark/>
          </w:tcPr>
          <w:p w14:paraId="6AC40A9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161,148</w:t>
            </w:r>
          </w:p>
        </w:tc>
        <w:tc>
          <w:tcPr>
            <w:tcW w:w="653" w:type="pct"/>
            <w:tcBorders>
              <w:top w:val="nil"/>
              <w:left w:val="nil"/>
              <w:bottom w:val="single" w:sz="4" w:space="0" w:color="auto"/>
              <w:right w:val="single" w:sz="4" w:space="0" w:color="auto"/>
            </w:tcBorders>
            <w:noWrap/>
            <w:vAlign w:val="center"/>
            <w:hideMark/>
          </w:tcPr>
          <w:p w14:paraId="7DD64C1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216,473</w:t>
            </w:r>
          </w:p>
        </w:tc>
        <w:tc>
          <w:tcPr>
            <w:tcW w:w="653" w:type="pct"/>
            <w:tcBorders>
              <w:top w:val="nil"/>
              <w:left w:val="nil"/>
              <w:bottom w:val="single" w:sz="4" w:space="0" w:color="auto"/>
              <w:right w:val="single" w:sz="4" w:space="0" w:color="auto"/>
            </w:tcBorders>
            <w:noWrap/>
            <w:vAlign w:val="center"/>
            <w:hideMark/>
          </w:tcPr>
          <w:p w14:paraId="2132126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216,787</w:t>
            </w:r>
          </w:p>
        </w:tc>
        <w:tc>
          <w:tcPr>
            <w:tcW w:w="653" w:type="pct"/>
            <w:tcBorders>
              <w:top w:val="nil"/>
              <w:left w:val="nil"/>
              <w:bottom w:val="single" w:sz="4" w:space="0" w:color="auto"/>
              <w:right w:val="single" w:sz="4" w:space="0" w:color="auto"/>
            </w:tcBorders>
            <w:noWrap/>
            <w:vAlign w:val="center"/>
            <w:hideMark/>
          </w:tcPr>
          <w:p w14:paraId="18F7EF2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179,510</w:t>
            </w:r>
          </w:p>
        </w:tc>
        <w:tc>
          <w:tcPr>
            <w:tcW w:w="118" w:type="pct"/>
            <w:tcBorders>
              <w:top w:val="nil"/>
              <w:left w:val="nil"/>
              <w:bottom w:val="nil"/>
              <w:right w:val="nil"/>
            </w:tcBorders>
            <w:noWrap/>
            <w:vAlign w:val="bottom"/>
            <w:hideMark/>
          </w:tcPr>
          <w:p w14:paraId="7A9F6650"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50250A8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5457BFCB"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093A563B"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Current Ratio</w:t>
            </w:r>
          </w:p>
        </w:tc>
        <w:tc>
          <w:tcPr>
            <w:tcW w:w="575" w:type="pct"/>
            <w:vMerge/>
            <w:tcBorders>
              <w:top w:val="nil"/>
              <w:left w:val="single" w:sz="4" w:space="0" w:color="auto"/>
              <w:bottom w:val="single" w:sz="4" w:space="0" w:color="auto"/>
              <w:right w:val="single" w:sz="4" w:space="0" w:color="auto"/>
            </w:tcBorders>
            <w:vAlign w:val="center"/>
            <w:hideMark/>
          </w:tcPr>
          <w:p w14:paraId="1E0ADBCB"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53" w:type="pct"/>
            <w:tcBorders>
              <w:top w:val="nil"/>
              <w:left w:val="nil"/>
              <w:bottom w:val="single" w:sz="4" w:space="0" w:color="auto"/>
              <w:right w:val="single" w:sz="4" w:space="0" w:color="auto"/>
            </w:tcBorders>
            <w:noWrap/>
            <w:vAlign w:val="bottom"/>
            <w:hideMark/>
          </w:tcPr>
          <w:p w14:paraId="219EC3B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1.53</w:t>
            </w:r>
          </w:p>
        </w:tc>
        <w:tc>
          <w:tcPr>
            <w:tcW w:w="653" w:type="pct"/>
            <w:tcBorders>
              <w:top w:val="nil"/>
              <w:left w:val="nil"/>
              <w:bottom w:val="single" w:sz="4" w:space="0" w:color="auto"/>
              <w:right w:val="single" w:sz="4" w:space="0" w:color="auto"/>
            </w:tcBorders>
            <w:noWrap/>
            <w:vAlign w:val="bottom"/>
            <w:hideMark/>
          </w:tcPr>
          <w:p w14:paraId="62C78D4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1.61</w:t>
            </w:r>
          </w:p>
        </w:tc>
        <w:tc>
          <w:tcPr>
            <w:tcW w:w="653" w:type="pct"/>
            <w:tcBorders>
              <w:top w:val="nil"/>
              <w:left w:val="nil"/>
              <w:bottom w:val="single" w:sz="4" w:space="0" w:color="auto"/>
              <w:right w:val="single" w:sz="4" w:space="0" w:color="auto"/>
            </w:tcBorders>
            <w:noWrap/>
            <w:vAlign w:val="bottom"/>
            <w:hideMark/>
          </w:tcPr>
          <w:p w14:paraId="1C83234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1.56</w:t>
            </w:r>
          </w:p>
        </w:tc>
        <w:tc>
          <w:tcPr>
            <w:tcW w:w="653" w:type="pct"/>
            <w:tcBorders>
              <w:top w:val="nil"/>
              <w:left w:val="nil"/>
              <w:bottom w:val="single" w:sz="4" w:space="0" w:color="auto"/>
              <w:right w:val="single" w:sz="4" w:space="0" w:color="auto"/>
            </w:tcBorders>
            <w:noWrap/>
            <w:vAlign w:val="bottom"/>
            <w:hideMark/>
          </w:tcPr>
          <w:p w14:paraId="6DEC14E8"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1.56</w:t>
            </w:r>
          </w:p>
        </w:tc>
        <w:tc>
          <w:tcPr>
            <w:tcW w:w="653" w:type="pct"/>
            <w:tcBorders>
              <w:top w:val="nil"/>
              <w:left w:val="nil"/>
              <w:bottom w:val="single" w:sz="4" w:space="0" w:color="auto"/>
              <w:right w:val="single" w:sz="4" w:space="0" w:color="auto"/>
            </w:tcBorders>
            <w:noWrap/>
            <w:vAlign w:val="bottom"/>
            <w:hideMark/>
          </w:tcPr>
          <w:p w14:paraId="14EAED2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1.82</w:t>
            </w:r>
          </w:p>
        </w:tc>
        <w:tc>
          <w:tcPr>
            <w:tcW w:w="118" w:type="pct"/>
            <w:tcBorders>
              <w:top w:val="nil"/>
              <w:left w:val="nil"/>
              <w:bottom w:val="nil"/>
              <w:right w:val="nil"/>
            </w:tcBorders>
            <w:noWrap/>
            <w:vAlign w:val="bottom"/>
            <w:hideMark/>
          </w:tcPr>
          <w:p w14:paraId="13981E13"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4DC687E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2BEAB69" w14:textId="77777777" w:rsidTr="00396157">
        <w:trPr>
          <w:trHeight w:val="310"/>
        </w:trPr>
        <w:tc>
          <w:tcPr>
            <w:tcW w:w="925" w:type="pct"/>
            <w:tcBorders>
              <w:top w:val="nil"/>
              <w:left w:val="nil"/>
              <w:bottom w:val="nil"/>
              <w:right w:val="nil"/>
            </w:tcBorders>
            <w:noWrap/>
            <w:vAlign w:val="bottom"/>
            <w:hideMark/>
          </w:tcPr>
          <w:p w14:paraId="4565AEA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75" w:type="pct"/>
            <w:tcBorders>
              <w:top w:val="nil"/>
              <w:left w:val="nil"/>
              <w:bottom w:val="nil"/>
              <w:right w:val="nil"/>
            </w:tcBorders>
            <w:noWrap/>
            <w:vAlign w:val="bottom"/>
            <w:hideMark/>
          </w:tcPr>
          <w:p w14:paraId="68EA29B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53" w:type="pct"/>
            <w:tcBorders>
              <w:top w:val="nil"/>
              <w:left w:val="nil"/>
              <w:bottom w:val="nil"/>
              <w:right w:val="nil"/>
            </w:tcBorders>
            <w:noWrap/>
            <w:vAlign w:val="bottom"/>
            <w:hideMark/>
          </w:tcPr>
          <w:p w14:paraId="7A4E29C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53" w:type="pct"/>
            <w:tcBorders>
              <w:top w:val="nil"/>
              <w:left w:val="nil"/>
              <w:bottom w:val="nil"/>
              <w:right w:val="nil"/>
            </w:tcBorders>
            <w:noWrap/>
            <w:vAlign w:val="bottom"/>
            <w:hideMark/>
          </w:tcPr>
          <w:p w14:paraId="23A616F5"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53" w:type="pct"/>
            <w:tcBorders>
              <w:top w:val="nil"/>
              <w:left w:val="nil"/>
              <w:bottom w:val="nil"/>
              <w:right w:val="nil"/>
            </w:tcBorders>
            <w:noWrap/>
            <w:vAlign w:val="bottom"/>
            <w:hideMark/>
          </w:tcPr>
          <w:p w14:paraId="35CB702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53" w:type="pct"/>
            <w:tcBorders>
              <w:top w:val="nil"/>
              <w:left w:val="nil"/>
              <w:bottom w:val="nil"/>
              <w:right w:val="nil"/>
            </w:tcBorders>
            <w:noWrap/>
            <w:vAlign w:val="bottom"/>
            <w:hideMark/>
          </w:tcPr>
          <w:p w14:paraId="58993B2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53" w:type="pct"/>
            <w:tcBorders>
              <w:top w:val="nil"/>
              <w:left w:val="nil"/>
              <w:bottom w:val="nil"/>
              <w:right w:val="nil"/>
            </w:tcBorders>
            <w:noWrap/>
            <w:vAlign w:val="bottom"/>
            <w:hideMark/>
          </w:tcPr>
          <w:p w14:paraId="097F954D"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7E8F52AE"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5B63E7C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536B098"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07C29BE3"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Quick ratio</w:t>
            </w:r>
          </w:p>
        </w:tc>
        <w:tc>
          <w:tcPr>
            <w:tcW w:w="118" w:type="pct"/>
            <w:tcBorders>
              <w:top w:val="nil"/>
              <w:left w:val="nil"/>
              <w:bottom w:val="nil"/>
              <w:right w:val="nil"/>
            </w:tcBorders>
            <w:noWrap/>
            <w:vAlign w:val="bottom"/>
            <w:hideMark/>
          </w:tcPr>
          <w:p w14:paraId="4FE3048B"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5332215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8AC6AA9"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5E219FD1"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575" w:type="pct"/>
            <w:tcBorders>
              <w:top w:val="nil"/>
              <w:left w:val="nil"/>
              <w:bottom w:val="single" w:sz="4" w:space="0" w:color="auto"/>
              <w:right w:val="single" w:sz="4" w:space="0" w:color="auto"/>
            </w:tcBorders>
            <w:noWrap/>
            <w:vAlign w:val="bottom"/>
            <w:hideMark/>
          </w:tcPr>
          <w:p w14:paraId="4AFD04A5"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653" w:type="pct"/>
            <w:tcBorders>
              <w:top w:val="nil"/>
              <w:left w:val="nil"/>
              <w:bottom w:val="single" w:sz="4" w:space="0" w:color="auto"/>
              <w:right w:val="single" w:sz="4" w:space="0" w:color="auto"/>
            </w:tcBorders>
            <w:noWrap/>
            <w:vAlign w:val="bottom"/>
            <w:hideMark/>
          </w:tcPr>
          <w:p w14:paraId="67A8011C"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653" w:type="pct"/>
            <w:tcBorders>
              <w:top w:val="nil"/>
              <w:left w:val="nil"/>
              <w:bottom w:val="single" w:sz="4" w:space="0" w:color="auto"/>
              <w:right w:val="single" w:sz="4" w:space="0" w:color="auto"/>
            </w:tcBorders>
            <w:noWrap/>
            <w:vAlign w:val="bottom"/>
            <w:hideMark/>
          </w:tcPr>
          <w:p w14:paraId="333F80D7"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653" w:type="pct"/>
            <w:tcBorders>
              <w:top w:val="nil"/>
              <w:left w:val="nil"/>
              <w:bottom w:val="single" w:sz="4" w:space="0" w:color="auto"/>
              <w:right w:val="single" w:sz="4" w:space="0" w:color="auto"/>
            </w:tcBorders>
            <w:noWrap/>
            <w:vAlign w:val="bottom"/>
            <w:hideMark/>
          </w:tcPr>
          <w:p w14:paraId="263E80A3"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653" w:type="pct"/>
            <w:tcBorders>
              <w:top w:val="nil"/>
              <w:left w:val="nil"/>
              <w:bottom w:val="single" w:sz="4" w:space="0" w:color="auto"/>
              <w:right w:val="single" w:sz="4" w:space="0" w:color="auto"/>
            </w:tcBorders>
            <w:noWrap/>
            <w:vAlign w:val="bottom"/>
            <w:hideMark/>
          </w:tcPr>
          <w:p w14:paraId="46D9C076"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653" w:type="pct"/>
            <w:tcBorders>
              <w:top w:val="nil"/>
              <w:left w:val="nil"/>
              <w:bottom w:val="single" w:sz="4" w:space="0" w:color="auto"/>
              <w:right w:val="single" w:sz="4" w:space="0" w:color="auto"/>
            </w:tcBorders>
            <w:noWrap/>
            <w:vAlign w:val="bottom"/>
            <w:hideMark/>
          </w:tcPr>
          <w:p w14:paraId="2AB94124"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2004C67D"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723F7D07"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BB83ABF"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59848546"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Quick Assets </w:t>
            </w:r>
          </w:p>
        </w:tc>
        <w:tc>
          <w:tcPr>
            <w:tcW w:w="575" w:type="pct"/>
            <w:vMerge w:val="restart"/>
            <w:tcBorders>
              <w:top w:val="nil"/>
              <w:left w:val="single" w:sz="4" w:space="0" w:color="auto"/>
              <w:bottom w:val="single" w:sz="4" w:space="0" w:color="auto"/>
              <w:right w:val="single" w:sz="4" w:space="0" w:color="auto"/>
            </w:tcBorders>
            <w:vAlign w:val="center"/>
            <w:hideMark/>
          </w:tcPr>
          <w:p w14:paraId="4BF9AAE4"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Quick  Assets/ Current Liability </w:t>
            </w:r>
          </w:p>
        </w:tc>
        <w:tc>
          <w:tcPr>
            <w:tcW w:w="653" w:type="pct"/>
            <w:tcBorders>
              <w:top w:val="nil"/>
              <w:left w:val="nil"/>
              <w:bottom w:val="single" w:sz="4" w:space="0" w:color="auto"/>
              <w:right w:val="single" w:sz="4" w:space="0" w:color="auto"/>
            </w:tcBorders>
            <w:noWrap/>
            <w:vAlign w:val="bottom"/>
            <w:hideMark/>
          </w:tcPr>
          <w:p w14:paraId="441DCC3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163,139</w:t>
            </w:r>
          </w:p>
        </w:tc>
        <w:tc>
          <w:tcPr>
            <w:tcW w:w="653" w:type="pct"/>
            <w:tcBorders>
              <w:top w:val="nil"/>
              <w:left w:val="nil"/>
              <w:bottom w:val="single" w:sz="4" w:space="0" w:color="auto"/>
              <w:right w:val="single" w:sz="4" w:space="0" w:color="auto"/>
            </w:tcBorders>
            <w:noWrap/>
            <w:vAlign w:val="bottom"/>
            <w:hideMark/>
          </w:tcPr>
          <w:p w14:paraId="4630163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170,578</w:t>
            </w:r>
          </w:p>
        </w:tc>
        <w:tc>
          <w:tcPr>
            <w:tcW w:w="653" w:type="pct"/>
            <w:tcBorders>
              <w:top w:val="nil"/>
              <w:left w:val="nil"/>
              <w:bottom w:val="single" w:sz="4" w:space="0" w:color="auto"/>
              <w:right w:val="single" w:sz="4" w:space="0" w:color="auto"/>
            </w:tcBorders>
            <w:noWrap/>
            <w:vAlign w:val="bottom"/>
            <w:hideMark/>
          </w:tcPr>
          <w:p w14:paraId="3DD1640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197,859</w:t>
            </w:r>
          </w:p>
        </w:tc>
        <w:tc>
          <w:tcPr>
            <w:tcW w:w="653" w:type="pct"/>
            <w:tcBorders>
              <w:top w:val="nil"/>
              <w:left w:val="nil"/>
              <w:bottom w:val="single" w:sz="4" w:space="0" w:color="auto"/>
              <w:right w:val="single" w:sz="4" w:space="0" w:color="auto"/>
            </w:tcBorders>
            <w:noWrap/>
            <w:vAlign w:val="bottom"/>
            <w:hideMark/>
          </w:tcPr>
          <w:p w14:paraId="24F7E3F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202,677</w:t>
            </w:r>
          </w:p>
        </w:tc>
        <w:tc>
          <w:tcPr>
            <w:tcW w:w="653" w:type="pct"/>
            <w:tcBorders>
              <w:top w:val="nil"/>
              <w:left w:val="nil"/>
              <w:bottom w:val="single" w:sz="4" w:space="0" w:color="auto"/>
              <w:right w:val="nil"/>
            </w:tcBorders>
            <w:noWrap/>
            <w:vAlign w:val="bottom"/>
            <w:hideMark/>
          </w:tcPr>
          <w:p w14:paraId="54F08E9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206,413</w:t>
            </w:r>
          </w:p>
        </w:tc>
        <w:tc>
          <w:tcPr>
            <w:tcW w:w="118" w:type="pct"/>
            <w:tcBorders>
              <w:top w:val="nil"/>
              <w:left w:val="nil"/>
              <w:bottom w:val="nil"/>
              <w:right w:val="nil"/>
            </w:tcBorders>
            <w:noWrap/>
            <w:vAlign w:val="center"/>
            <w:hideMark/>
          </w:tcPr>
          <w:p w14:paraId="2B9BCC64"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center"/>
            <w:hideMark/>
          </w:tcPr>
          <w:p w14:paraId="12FCEA61" w14:textId="77777777" w:rsidR="00396157" w:rsidRPr="0074648E" w:rsidRDefault="00396157" w:rsidP="00E23776">
            <w:pPr>
              <w:spacing w:after="0" w:line="240" w:lineRule="auto"/>
              <w:jc w:val="right"/>
              <w:rPr>
                <w:rFonts w:ascii="Arial" w:eastAsia="Times New Roman" w:hAnsi="Arial" w:cs="Arial"/>
                <w:kern w:val="0"/>
                <w:sz w:val="20"/>
                <w:szCs w:val="20"/>
                <w14:ligatures w14:val="none"/>
              </w:rPr>
            </w:pPr>
          </w:p>
        </w:tc>
      </w:tr>
      <w:tr w:rsidR="00396157" w:rsidRPr="0074648E" w14:paraId="6D09B575"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35B26B02"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lastRenderedPageBreak/>
              <w:t xml:space="preserve">Current Liability </w:t>
            </w:r>
          </w:p>
        </w:tc>
        <w:tc>
          <w:tcPr>
            <w:tcW w:w="575" w:type="pct"/>
            <w:vMerge/>
            <w:tcBorders>
              <w:top w:val="nil"/>
              <w:left w:val="single" w:sz="4" w:space="0" w:color="auto"/>
              <w:bottom w:val="single" w:sz="4" w:space="0" w:color="auto"/>
              <w:right w:val="single" w:sz="4" w:space="0" w:color="auto"/>
            </w:tcBorders>
            <w:vAlign w:val="center"/>
            <w:hideMark/>
          </w:tcPr>
          <w:p w14:paraId="18BFF95B"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53" w:type="pct"/>
            <w:tcBorders>
              <w:top w:val="nil"/>
              <w:left w:val="nil"/>
              <w:bottom w:val="single" w:sz="4" w:space="0" w:color="auto"/>
              <w:right w:val="single" w:sz="4" w:space="0" w:color="auto"/>
            </w:tcBorders>
            <w:noWrap/>
            <w:vAlign w:val="center"/>
            <w:hideMark/>
          </w:tcPr>
          <w:p w14:paraId="17CDD26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158,291</w:t>
            </w:r>
          </w:p>
        </w:tc>
        <w:tc>
          <w:tcPr>
            <w:tcW w:w="653" w:type="pct"/>
            <w:tcBorders>
              <w:top w:val="nil"/>
              <w:left w:val="nil"/>
              <w:bottom w:val="single" w:sz="4" w:space="0" w:color="auto"/>
              <w:right w:val="single" w:sz="4" w:space="0" w:color="auto"/>
            </w:tcBorders>
            <w:noWrap/>
            <w:vAlign w:val="center"/>
            <w:hideMark/>
          </w:tcPr>
          <w:p w14:paraId="4E0E8C8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161,148</w:t>
            </w:r>
          </w:p>
        </w:tc>
        <w:tc>
          <w:tcPr>
            <w:tcW w:w="653" w:type="pct"/>
            <w:tcBorders>
              <w:top w:val="nil"/>
              <w:left w:val="nil"/>
              <w:bottom w:val="single" w:sz="4" w:space="0" w:color="auto"/>
              <w:right w:val="single" w:sz="4" w:space="0" w:color="auto"/>
            </w:tcBorders>
            <w:noWrap/>
            <w:vAlign w:val="center"/>
            <w:hideMark/>
          </w:tcPr>
          <w:p w14:paraId="1F328E6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216,473</w:t>
            </w:r>
          </w:p>
        </w:tc>
        <w:tc>
          <w:tcPr>
            <w:tcW w:w="653" w:type="pct"/>
            <w:tcBorders>
              <w:top w:val="nil"/>
              <w:left w:val="nil"/>
              <w:bottom w:val="single" w:sz="4" w:space="0" w:color="auto"/>
              <w:right w:val="single" w:sz="4" w:space="0" w:color="auto"/>
            </w:tcBorders>
            <w:noWrap/>
            <w:vAlign w:val="center"/>
            <w:hideMark/>
          </w:tcPr>
          <w:p w14:paraId="718D0FE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216,787</w:t>
            </w:r>
          </w:p>
        </w:tc>
        <w:tc>
          <w:tcPr>
            <w:tcW w:w="653" w:type="pct"/>
            <w:tcBorders>
              <w:top w:val="nil"/>
              <w:left w:val="nil"/>
              <w:bottom w:val="single" w:sz="4" w:space="0" w:color="auto"/>
              <w:right w:val="single" w:sz="4" w:space="0" w:color="auto"/>
            </w:tcBorders>
            <w:noWrap/>
            <w:vAlign w:val="center"/>
            <w:hideMark/>
          </w:tcPr>
          <w:p w14:paraId="4BA8FE7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179,510</w:t>
            </w:r>
          </w:p>
        </w:tc>
        <w:tc>
          <w:tcPr>
            <w:tcW w:w="118" w:type="pct"/>
            <w:tcBorders>
              <w:top w:val="nil"/>
              <w:left w:val="nil"/>
              <w:bottom w:val="nil"/>
              <w:right w:val="nil"/>
            </w:tcBorders>
            <w:noWrap/>
            <w:vAlign w:val="bottom"/>
            <w:hideMark/>
          </w:tcPr>
          <w:p w14:paraId="2D380A4E"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59F026B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79D42C90" w14:textId="77777777" w:rsidTr="00396157">
        <w:trPr>
          <w:trHeight w:val="310"/>
        </w:trPr>
        <w:tc>
          <w:tcPr>
            <w:tcW w:w="925" w:type="pct"/>
            <w:tcBorders>
              <w:top w:val="nil"/>
              <w:left w:val="single" w:sz="4" w:space="0" w:color="auto"/>
              <w:bottom w:val="single" w:sz="4" w:space="0" w:color="auto"/>
              <w:right w:val="single" w:sz="4" w:space="0" w:color="auto"/>
            </w:tcBorders>
            <w:noWrap/>
            <w:vAlign w:val="bottom"/>
            <w:hideMark/>
          </w:tcPr>
          <w:p w14:paraId="28834330"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Quick Ratio</w:t>
            </w:r>
          </w:p>
        </w:tc>
        <w:tc>
          <w:tcPr>
            <w:tcW w:w="575" w:type="pct"/>
            <w:vMerge/>
            <w:tcBorders>
              <w:top w:val="nil"/>
              <w:left w:val="single" w:sz="4" w:space="0" w:color="auto"/>
              <w:bottom w:val="single" w:sz="4" w:space="0" w:color="auto"/>
              <w:right w:val="single" w:sz="4" w:space="0" w:color="auto"/>
            </w:tcBorders>
            <w:vAlign w:val="center"/>
            <w:hideMark/>
          </w:tcPr>
          <w:p w14:paraId="4EB561AD"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53" w:type="pct"/>
            <w:tcBorders>
              <w:top w:val="nil"/>
              <w:left w:val="nil"/>
              <w:bottom w:val="single" w:sz="4" w:space="0" w:color="auto"/>
              <w:right w:val="single" w:sz="4" w:space="0" w:color="auto"/>
            </w:tcBorders>
            <w:noWrap/>
            <w:vAlign w:val="bottom"/>
            <w:hideMark/>
          </w:tcPr>
          <w:p w14:paraId="1F71108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1.03</w:t>
            </w:r>
          </w:p>
        </w:tc>
        <w:tc>
          <w:tcPr>
            <w:tcW w:w="653" w:type="pct"/>
            <w:tcBorders>
              <w:top w:val="nil"/>
              <w:left w:val="nil"/>
              <w:bottom w:val="single" w:sz="4" w:space="0" w:color="auto"/>
              <w:right w:val="single" w:sz="4" w:space="0" w:color="auto"/>
            </w:tcBorders>
            <w:noWrap/>
            <w:vAlign w:val="bottom"/>
            <w:hideMark/>
          </w:tcPr>
          <w:p w14:paraId="4F92D27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1.06</w:t>
            </w:r>
          </w:p>
        </w:tc>
        <w:tc>
          <w:tcPr>
            <w:tcW w:w="653" w:type="pct"/>
            <w:tcBorders>
              <w:top w:val="nil"/>
              <w:left w:val="nil"/>
              <w:bottom w:val="single" w:sz="4" w:space="0" w:color="auto"/>
              <w:right w:val="single" w:sz="4" w:space="0" w:color="auto"/>
            </w:tcBorders>
            <w:noWrap/>
            <w:vAlign w:val="bottom"/>
            <w:hideMark/>
          </w:tcPr>
          <w:p w14:paraId="4EA21D5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0.91</w:t>
            </w:r>
          </w:p>
        </w:tc>
        <w:tc>
          <w:tcPr>
            <w:tcW w:w="653" w:type="pct"/>
            <w:tcBorders>
              <w:top w:val="nil"/>
              <w:left w:val="nil"/>
              <w:bottom w:val="single" w:sz="4" w:space="0" w:color="auto"/>
              <w:right w:val="single" w:sz="4" w:space="0" w:color="auto"/>
            </w:tcBorders>
            <w:noWrap/>
            <w:vAlign w:val="bottom"/>
            <w:hideMark/>
          </w:tcPr>
          <w:p w14:paraId="3C4D60B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0.93</w:t>
            </w:r>
          </w:p>
        </w:tc>
        <w:tc>
          <w:tcPr>
            <w:tcW w:w="653" w:type="pct"/>
            <w:tcBorders>
              <w:top w:val="nil"/>
              <w:left w:val="nil"/>
              <w:bottom w:val="single" w:sz="4" w:space="0" w:color="auto"/>
              <w:right w:val="single" w:sz="4" w:space="0" w:color="auto"/>
            </w:tcBorders>
            <w:noWrap/>
            <w:vAlign w:val="bottom"/>
            <w:hideMark/>
          </w:tcPr>
          <w:p w14:paraId="7F83FD7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1.15</w:t>
            </w:r>
          </w:p>
        </w:tc>
        <w:tc>
          <w:tcPr>
            <w:tcW w:w="118" w:type="pct"/>
            <w:tcBorders>
              <w:top w:val="nil"/>
              <w:left w:val="nil"/>
              <w:bottom w:val="nil"/>
              <w:right w:val="nil"/>
            </w:tcBorders>
            <w:noWrap/>
            <w:vAlign w:val="bottom"/>
            <w:hideMark/>
          </w:tcPr>
          <w:p w14:paraId="05A04FF3"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7227BEE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bl>
    <w:p w14:paraId="05D751F7" w14:textId="1C05D2ED" w:rsidR="00396157" w:rsidRPr="00396157" w:rsidRDefault="00396157" w:rsidP="00396157">
      <w:pPr>
        <w:pStyle w:val="Caption"/>
        <w:jc w:val="center"/>
        <w:rPr>
          <w:rFonts w:ascii="Arial" w:hAnsi="Arial" w:cs="Arial"/>
          <w:color w:val="auto"/>
        </w:rPr>
      </w:pPr>
      <w:bookmarkStart w:id="10" w:name="_Toc210664724"/>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2</w:t>
      </w:r>
      <w:r w:rsidRPr="0074648E">
        <w:rPr>
          <w:rFonts w:ascii="Arial" w:hAnsi="Arial" w:cs="Arial"/>
          <w:color w:val="auto"/>
        </w:rPr>
        <w:fldChar w:fldCharType="end"/>
      </w:r>
      <w:r w:rsidRPr="0074648E">
        <w:rPr>
          <w:rFonts w:ascii="Arial" w:hAnsi="Arial" w:cs="Arial"/>
          <w:color w:val="auto"/>
        </w:rPr>
        <w:t>: Liquidity Result</w:t>
      </w:r>
      <w:bookmarkEnd w:id="10"/>
    </w:p>
    <w:p w14:paraId="3A6A4936" w14:textId="77777777" w:rsidR="00572DDE" w:rsidRPr="0074648E" w:rsidRDefault="007A199B" w:rsidP="00572DDE">
      <w:pPr>
        <w:keepNext/>
        <w:jc w:val="center"/>
        <w:rPr>
          <w:rFonts w:ascii="Arial" w:hAnsi="Arial" w:cs="Arial"/>
        </w:rPr>
      </w:pPr>
      <w:r w:rsidRPr="0074648E">
        <w:rPr>
          <w:rFonts w:ascii="Arial" w:hAnsi="Arial" w:cs="Arial"/>
          <w:noProof/>
        </w:rPr>
        <w:drawing>
          <wp:inline distT="0" distB="0" distL="0" distR="0" wp14:anchorId="722CC31C" wp14:editId="196C72F4">
            <wp:extent cx="3143250" cy="1835150"/>
            <wp:effectExtent l="0" t="0" r="0" b="12700"/>
            <wp:docPr id="1996356746" name="Chart 1">
              <a:extLst xmlns:a="http://schemas.openxmlformats.org/drawingml/2006/main">
                <a:ext uri="{FF2B5EF4-FFF2-40B4-BE49-F238E27FC236}">
                  <a16:creationId xmlns:a16="http://schemas.microsoft.com/office/drawing/2014/main" id="{D798B1B1-151D-D586-182E-A85326D9A6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A9421A" w14:textId="75EECBD5" w:rsidR="007A199B" w:rsidRPr="0074648E" w:rsidRDefault="00572DDE" w:rsidP="00572DDE">
      <w:pPr>
        <w:pStyle w:val="Caption"/>
        <w:jc w:val="center"/>
        <w:rPr>
          <w:rFonts w:ascii="Arial" w:hAnsi="Arial" w:cs="Arial"/>
          <w:color w:val="auto"/>
        </w:rPr>
      </w:pPr>
      <w:bookmarkStart w:id="11" w:name="_Toc210664662"/>
      <w:bookmarkStart w:id="12" w:name="_Toc210664718"/>
      <w:r w:rsidRPr="0074648E">
        <w:rPr>
          <w:rFonts w:ascii="Arial" w:hAnsi="Arial" w:cs="Arial"/>
          <w:color w:val="auto"/>
        </w:rPr>
        <w:t xml:space="preserve">Figure </w:t>
      </w:r>
      <w:r w:rsidRPr="0074648E">
        <w:rPr>
          <w:rFonts w:ascii="Arial" w:hAnsi="Arial" w:cs="Arial"/>
          <w:color w:val="auto"/>
        </w:rPr>
        <w:fldChar w:fldCharType="begin"/>
      </w:r>
      <w:r w:rsidRPr="0074648E">
        <w:rPr>
          <w:rFonts w:ascii="Arial" w:hAnsi="Arial" w:cs="Arial"/>
          <w:color w:val="auto"/>
        </w:rPr>
        <w:instrText xml:space="preserve"> SEQ Figure \* ARABIC </w:instrText>
      </w:r>
      <w:r w:rsidRPr="0074648E">
        <w:rPr>
          <w:rFonts w:ascii="Arial" w:hAnsi="Arial" w:cs="Arial"/>
          <w:color w:val="auto"/>
        </w:rPr>
        <w:fldChar w:fldCharType="separate"/>
      </w:r>
      <w:r w:rsidRPr="0074648E">
        <w:rPr>
          <w:rFonts w:ascii="Arial" w:hAnsi="Arial" w:cs="Arial"/>
          <w:noProof/>
          <w:color w:val="auto"/>
        </w:rPr>
        <w:t>2</w:t>
      </w:r>
      <w:r w:rsidRPr="0074648E">
        <w:rPr>
          <w:rFonts w:ascii="Arial" w:hAnsi="Arial" w:cs="Arial"/>
          <w:color w:val="auto"/>
        </w:rPr>
        <w:fldChar w:fldCharType="end"/>
      </w:r>
      <w:r w:rsidRPr="0074648E">
        <w:rPr>
          <w:rFonts w:ascii="Arial" w:hAnsi="Arial" w:cs="Arial"/>
          <w:color w:val="auto"/>
        </w:rPr>
        <w:t>: Liquidity Ratios</w:t>
      </w:r>
      <w:bookmarkEnd w:id="11"/>
      <w:bookmarkEnd w:id="12"/>
    </w:p>
    <w:p w14:paraId="2C69EC25" w14:textId="779B3813" w:rsidR="00775000" w:rsidRPr="0074648E" w:rsidRDefault="00775000" w:rsidP="00934DB9">
      <w:pPr>
        <w:rPr>
          <w:rFonts w:ascii="Arial" w:hAnsi="Arial" w:cs="Arial"/>
        </w:rPr>
      </w:pPr>
      <w:r w:rsidRPr="0074648E">
        <w:rPr>
          <w:rFonts w:ascii="Arial" w:hAnsi="Arial" w:cs="Arial"/>
        </w:rPr>
        <w:t>The Current Ratio of the firm is used to measure the company</w:t>
      </w:r>
      <w:r w:rsidR="00623FD9" w:rsidRPr="0074648E">
        <w:rPr>
          <w:rFonts w:ascii="Arial" w:hAnsi="Arial" w:cs="Arial"/>
        </w:rPr>
        <w:t>'s</w:t>
      </w:r>
      <w:r w:rsidRPr="0074648E">
        <w:rPr>
          <w:rFonts w:ascii="Arial" w:hAnsi="Arial" w:cs="Arial"/>
        </w:rPr>
        <w:t xml:space="preserve"> capacity to meet its short-term obligations</w:t>
      </w:r>
      <w:r w:rsidR="00623FD9" w:rsidRPr="0074648E">
        <w:rPr>
          <w:rFonts w:ascii="Arial" w:hAnsi="Arial" w:cs="Arial"/>
        </w:rPr>
        <w:t>,</w:t>
      </w:r>
      <w:r w:rsidRPr="0074648E">
        <w:rPr>
          <w:rFonts w:ascii="Arial" w:hAnsi="Arial" w:cs="Arial"/>
        </w:rPr>
        <w:t xml:space="preserve"> and it was found to be above 1.5 in all five years</w:t>
      </w:r>
      <w:r w:rsidR="00623FD9" w:rsidRPr="0074648E">
        <w:rPr>
          <w:rFonts w:ascii="Arial" w:hAnsi="Arial" w:cs="Arial"/>
        </w:rPr>
        <w:t>,</w:t>
      </w:r>
      <w:r w:rsidRPr="0074648E">
        <w:rPr>
          <w:rFonts w:ascii="Arial" w:hAnsi="Arial" w:cs="Arial"/>
        </w:rPr>
        <w:t xml:space="preserve"> suggesting that the company has sufficient current assets to offset its current liabilities. Nonetheless, the ratio fell in 2024 to 1.53, indicating tightening liquidity, compared to 1.82 in 2020. This implies that although General Electronics is not falling immediately </w:t>
      </w:r>
      <w:r w:rsidR="00623FD9" w:rsidRPr="0074648E">
        <w:rPr>
          <w:rFonts w:ascii="Arial" w:hAnsi="Arial" w:cs="Arial"/>
        </w:rPr>
        <w:t xml:space="preserve">into </w:t>
      </w:r>
      <w:r w:rsidRPr="0074648E">
        <w:rPr>
          <w:rFonts w:ascii="Arial" w:hAnsi="Arial" w:cs="Arial"/>
        </w:rPr>
        <w:t>insolven</w:t>
      </w:r>
      <w:r w:rsidR="00623FD9" w:rsidRPr="0074648E">
        <w:rPr>
          <w:rFonts w:ascii="Arial" w:hAnsi="Arial" w:cs="Arial"/>
        </w:rPr>
        <w:t>cy</w:t>
      </w:r>
      <w:r w:rsidRPr="0074648E">
        <w:rPr>
          <w:rFonts w:ascii="Arial" w:hAnsi="Arial" w:cs="Arial"/>
        </w:rPr>
        <w:t>, its liquidity buffer is dwindling</w:t>
      </w:r>
      <w:r w:rsidR="002411D1" w:rsidRPr="0074648E">
        <w:rPr>
          <w:rFonts w:ascii="Arial" w:hAnsi="Arial" w:cs="Arial"/>
        </w:rPr>
        <w:t xml:space="preserve"> </w:t>
      </w:r>
      <w:r w:rsidR="002411D1" w:rsidRPr="0074648E">
        <w:rPr>
          <w:rFonts w:ascii="Arial" w:hAnsi="Arial" w:cs="Arial"/>
          <w:shd w:val="clear" w:color="auto" w:fill="FFFFFF"/>
        </w:rPr>
        <w:t>(Olayinka, 2022)</w:t>
      </w:r>
      <w:r w:rsidRPr="0074648E">
        <w:rPr>
          <w:rFonts w:ascii="Arial" w:hAnsi="Arial" w:cs="Arial"/>
        </w:rPr>
        <w:t xml:space="preserve">. Declining operational cash reserves are demonstrated by the consistent loss of current assets, with the cash decreasing as it fell to 26.8 billion in 2024, down from 66.7 billion in 2022. </w:t>
      </w:r>
    </w:p>
    <w:p w14:paraId="43774544" w14:textId="2176E0F2" w:rsidR="00054052" w:rsidRPr="0074648E" w:rsidRDefault="00775000" w:rsidP="00934DB9">
      <w:pPr>
        <w:rPr>
          <w:rFonts w:ascii="Arial" w:hAnsi="Arial" w:cs="Arial"/>
        </w:rPr>
      </w:pPr>
      <w:r w:rsidRPr="0074648E">
        <w:rPr>
          <w:rFonts w:ascii="Arial" w:hAnsi="Arial" w:cs="Arial"/>
        </w:rPr>
        <w:t xml:space="preserve">The Quick Ratio provides </w:t>
      </w:r>
      <w:r w:rsidR="00623FD9" w:rsidRPr="0074648E">
        <w:rPr>
          <w:rFonts w:ascii="Arial" w:hAnsi="Arial" w:cs="Arial"/>
        </w:rPr>
        <w:t xml:space="preserve">a </w:t>
      </w:r>
      <w:r w:rsidRPr="0074648E">
        <w:rPr>
          <w:rFonts w:ascii="Arial" w:hAnsi="Arial" w:cs="Arial"/>
        </w:rPr>
        <w:t xml:space="preserve">more rigorous liquidity test by omitting inventory. It moved between 0.9 and 1.1 through the period and </w:t>
      </w:r>
      <w:r w:rsidR="00623FD9" w:rsidRPr="0074648E">
        <w:rPr>
          <w:rFonts w:ascii="Arial" w:hAnsi="Arial" w:cs="Arial"/>
        </w:rPr>
        <w:t>was usually</w:t>
      </w:r>
      <w:r w:rsidRPr="0074648E">
        <w:rPr>
          <w:rFonts w:ascii="Arial" w:hAnsi="Arial" w:cs="Arial"/>
        </w:rPr>
        <w:t xml:space="preserve"> only slightly below or at the desired level of 1.0. It shows that the company </w:t>
      </w:r>
      <w:r w:rsidR="00623FD9" w:rsidRPr="0074648E">
        <w:rPr>
          <w:rFonts w:ascii="Arial" w:hAnsi="Arial" w:cs="Arial"/>
        </w:rPr>
        <w:t>can</w:t>
      </w:r>
      <w:r w:rsidRPr="0074648E">
        <w:rPr>
          <w:rFonts w:ascii="Arial" w:hAnsi="Arial" w:cs="Arial"/>
        </w:rPr>
        <w:t xml:space="preserve"> cover their short-term liabilities by utilising its liquid assets, excluding the use of inventory liquidation. </w:t>
      </w:r>
    </w:p>
    <w:p w14:paraId="4D08E8DE" w14:textId="4C2FE55A" w:rsidR="00054052" w:rsidRDefault="00054052" w:rsidP="00CE7E6C">
      <w:pPr>
        <w:pStyle w:val="Heading3"/>
        <w:rPr>
          <w:rFonts w:ascii="Arial" w:hAnsi="Arial" w:cs="Arial"/>
        </w:rPr>
      </w:pPr>
      <w:bookmarkStart w:id="13" w:name="_Toc210855230"/>
      <w:r w:rsidRPr="0074648E">
        <w:rPr>
          <w:rFonts w:ascii="Arial" w:hAnsi="Arial" w:cs="Arial"/>
        </w:rPr>
        <w:t>Efficiency</w:t>
      </w:r>
      <w:bookmarkEnd w:id="13"/>
    </w:p>
    <w:tbl>
      <w:tblPr>
        <w:tblW w:w="5000" w:type="pct"/>
        <w:tblLook w:val="04A0" w:firstRow="1" w:lastRow="0" w:firstColumn="1" w:lastColumn="0" w:noHBand="0" w:noVBand="1"/>
      </w:tblPr>
      <w:tblGrid>
        <w:gridCol w:w="2545"/>
        <w:gridCol w:w="1264"/>
        <w:gridCol w:w="1022"/>
        <w:gridCol w:w="1021"/>
        <w:gridCol w:w="1021"/>
        <w:gridCol w:w="1021"/>
        <w:gridCol w:w="1021"/>
        <w:gridCol w:w="220"/>
        <w:gridCol w:w="220"/>
      </w:tblGrid>
      <w:tr w:rsidR="00396157" w:rsidRPr="0074648E" w14:paraId="25443230" w14:textId="77777777" w:rsidTr="00396157">
        <w:trPr>
          <w:trHeight w:val="310"/>
        </w:trPr>
        <w:tc>
          <w:tcPr>
            <w:tcW w:w="4765" w:type="pct"/>
            <w:gridSpan w:val="7"/>
            <w:tcBorders>
              <w:top w:val="single" w:sz="4" w:space="0" w:color="auto"/>
              <w:left w:val="single" w:sz="4" w:space="0" w:color="auto"/>
              <w:bottom w:val="single" w:sz="4" w:space="0" w:color="auto"/>
              <w:right w:val="single" w:sz="4" w:space="0" w:color="auto"/>
            </w:tcBorders>
            <w:vAlign w:val="bottom"/>
            <w:hideMark/>
          </w:tcPr>
          <w:p w14:paraId="19DA7A4E"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Inventory turnover</w:t>
            </w:r>
          </w:p>
        </w:tc>
        <w:tc>
          <w:tcPr>
            <w:tcW w:w="118" w:type="pct"/>
            <w:tcBorders>
              <w:top w:val="nil"/>
              <w:left w:val="nil"/>
              <w:bottom w:val="nil"/>
              <w:right w:val="nil"/>
            </w:tcBorders>
            <w:noWrap/>
            <w:vAlign w:val="bottom"/>
            <w:hideMark/>
          </w:tcPr>
          <w:p w14:paraId="6D92BC07"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3144538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537C3A9"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4446295D"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676" w:type="pct"/>
            <w:tcBorders>
              <w:top w:val="nil"/>
              <w:left w:val="nil"/>
              <w:bottom w:val="single" w:sz="4" w:space="0" w:color="auto"/>
              <w:right w:val="single" w:sz="4" w:space="0" w:color="auto"/>
            </w:tcBorders>
            <w:noWrap/>
            <w:vAlign w:val="bottom"/>
            <w:hideMark/>
          </w:tcPr>
          <w:p w14:paraId="52ADAB07"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546" w:type="pct"/>
            <w:tcBorders>
              <w:top w:val="nil"/>
              <w:left w:val="nil"/>
              <w:bottom w:val="single" w:sz="4" w:space="0" w:color="auto"/>
              <w:right w:val="single" w:sz="4" w:space="0" w:color="auto"/>
            </w:tcBorders>
            <w:noWrap/>
            <w:vAlign w:val="bottom"/>
            <w:hideMark/>
          </w:tcPr>
          <w:p w14:paraId="6B870801"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546" w:type="pct"/>
            <w:tcBorders>
              <w:top w:val="nil"/>
              <w:left w:val="nil"/>
              <w:bottom w:val="single" w:sz="4" w:space="0" w:color="auto"/>
              <w:right w:val="single" w:sz="4" w:space="0" w:color="auto"/>
            </w:tcBorders>
            <w:noWrap/>
            <w:vAlign w:val="bottom"/>
            <w:hideMark/>
          </w:tcPr>
          <w:p w14:paraId="364AEDBF"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546" w:type="pct"/>
            <w:tcBorders>
              <w:top w:val="nil"/>
              <w:left w:val="nil"/>
              <w:bottom w:val="single" w:sz="4" w:space="0" w:color="auto"/>
              <w:right w:val="single" w:sz="4" w:space="0" w:color="auto"/>
            </w:tcBorders>
            <w:noWrap/>
            <w:vAlign w:val="bottom"/>
            <w:hideMark/>
          </w:tcPr>
          <w:p w14:paraId="738F9B11"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546" w:type="pct"/>
            <w:tcBorders>
              <w:top w:val="nil"/>
              <w:left w:val="nil"/>
              <w:bottom w:val="single" w:sz="4" w:space="0" w:color="auto"/>
              <w:right w:val="single" w:sz="4" w:space="0" w:color="auto"/>
            </w:tcBorders>
            <w:noWrap/>
            <w:vAlign w:val="bottom"/>
            <w:hideMark/>
          </w:tcPr>
          <w:p w14:paraId="673CBD7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546" w:type="pct"/>
            <w:tcBorders>
              <w:top w:val="nil"/>
              <w:left w:val="nil"/>
              <w:bottom w:val="single" w:sz="4" w:space="0" w:color="auto"/>
              <w:right w:val="single" w:sz="4" w:space="0" w:color="auto"/>
            </w:tcBorders>
            <w:noWrap/>
            <w:vAlign w:val="bottom"/>
            <w:hideMark/>
          </w:tcPr>
          <w:p w14:paraId="203DFD83"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05335EAA"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1EC34B9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7166128D"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075A0224"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Cost of Goods Sold </w:t>
            </w:r>
          </w:p>
        </w:tc>
        <w:tc>
          <w:tcPr>
            <w:tcW w:w="676" w:type="pct"/>
            <w:vMerge w:val="restart"/>
            <w:tcBorders>
              <w:top w:val="nil"/>
              <w:left w:val="single" w:sz="4" w:space="0" w:color="auto"/>
              <w:bottom w:val="single" w:sz="4" w:space="0" w:color="auto"/>
              <w:right w:val="single" w:sz="4" w:space="0" w:color="auto"/>
            </w:tcBorders>
            <w:vAlign w:val="center"/>
            <w:hideMark/>
          </w:tcPr>
          <w:p w14:paraId="2310C718"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Cost of Goods Sold/Aver</w:t>
            </w:r>
            <w:r w:rsidRPr="0074648E">
              <w:rPr>
                <w:rFonts w:ascii="Arial" w:eastAsia="Times New Roman" w:hAnsi="Arial" w:cs="Arial"/>
                <w:kern w:val="0"/>
                <w:szCs w:val="24"/>
                <w14:ligatures w14:val="none"/>
              </w:rPr>
              <w:lastRenderedPageBreak/>
              <w:t xml:space="preserve">age Inventory </w:t>
            </w:r>
          </w:p>
        </w:tc>
        <w:tc>
          <w:tcPr>
            <w:tcW w:w="546" w:type="pct"/>
            <w:tcBorders>
              <w:top w:val="nil"/>
              <w:left w:val="nil"/>
              <w:bottom w:val="single" w:sz="4" w:space="0" w:color="auto"/>
              <w:right w:val="single" w:sz="4" w:space="0" w:color="auto"/>
            </w:tcBorders>
            <w:noWrap/>
            <w:vAlign w:val="bottom"/>
            <w:hideMark/>
          </w:tcPr>
          <w:p w14:paraId="55B2970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lastRenderedPageBreak/>
              <w:t>280,885</w:t>
            </w:r>
          </w:p>
        </w:tc>
        <w:tc>
          <w:tcPr>
            <w:tcW w:w="546" w:type="pct"/>
            <w:tcBorders>
              <w:top w:val="nil"/>
              <w:left w:val="nil"/>
              <w:bottom w:val="single" w:sz="4" w:space="0" w:color="auto"/>
              <w:right w:val="single" w:sz="4" w:space="0" w:color="auto"/>
            </w:tcBorders>
            <w:noWrap/>
            <w:vAlign w:val="bottom"/>
            <w:hideMark/>
          </w:tcPr>
          <w:p w14:paraId="3F596B18"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322,897</w:t>
            </w:r>
          </w:p>
        </w:tc>
        <w:tc>
          <w:tcPr>
            <w:tcW w:w="546" w:type="pct"/>
            <w:tcBorders>
              <w:top w:val="nil"/>
              <w:left w:val="nil"/>
              <w:bottom w:val="single" w:sz="4" w:space="0" w:color="auto"/>
              <w:right w:val="single" w:sz="4" w:space="0" w:color="auto"/>
            </w:tcBorders>
            <w:noWrap/>
            <w:vAlign w:val="bottom"/>
            <w:hideMark/>
          </w:tcPr>
          <w:p w14:paraId="646E595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390,459</w:t>
            </w:r>
          </w:p>
        </w:tc>
        <w:tc>
          <w:tcPr>
            <w:tcW w:w="546" w:type="pct"/>
            <w:tcBorders>
              <w:top w:val="nil"/>
              <w:left w:val="nil"/>
              <w:bottom w:val="single" w:sz="4" w:space="0" w:color="auto"/>
              <w:right w:val="single" w:sz="4" w:space="0" w:color="auto"/>
            </w:tcBorders>
            <w:noWrap/>
            <w:vAlign w:val="bottom"/>
            <w:hideMark/>
          </w:tcPr>
          <w:p w14:paraId="78669F2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428,586</w:t>
            </w:r>
          </w:p>
        </w:tc>
        <w:tc>
          <w:tcPr>
            <w:tcW w:w="546" w:type="pct"/>
            <w:tcBorders>
              <w:top w:val="nil"/>
              <w:left w:val="nil"/>
              <w:bottom w:val="single" w:sz="4" w:space="0" w:color="auto"/>
              <w:right w:val="single" w:sz="4" w:space="0" w:color="auto"/>
            </w:tcBorders>
            <w:noWrap/>
            <w:vAlign w:val="bottom"/>
            <w:hideMark/>
          </w:tcPr>
          <w:p w14:paraId="13F52DC8"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438,424</w:t>
            </w:r>
          </w:p>
        </w:tc>
        <w:tc>
          <w:tcPr>
            <w:tcW w:w="118" w:type="pct"/>
            <w:tcBorders>
              <w:top w:val="nil"/>
              <w:left w:val="nil"/>
              <w:bottom w:val="nil"/>
              <w:right w:val="nil"/>
            </w:tcBorders>
            <w:noWrap/>
            <w:vAlign w:val="bottom"/>
            <w:hideMark/>
          </w:tcPr>
          <w:p w14:paraId="3FEA208E"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13EFCBB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A8C4C17"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73E28F79"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Average Inventory </w:t>
            </w:r>
          </w:p>
        </w:tc>
        <w:tc>
          <w:tcPr>
            <w:tcW w:w="676" w:type="pct"/>
            <w:vMerge/>
            <w:tcBorders>
              <w:top w:val="nil"/>
              <w:left w:val="single" w:sz="4" w:space="0" w:color="auto"/>
              <w:bottom w:val="single" w:sz="4" w:space="0" w:color="auto"/>
              <w:right w:val="single" w:sz="4" w:space="0" w:color="auto"/>
            </w:tcBorders>
            <w:vAlign w:val="center"/>
            <w:hideMark/>
          </w:tcPr>
          <w:p w14:paraId="55A716A8"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46" w:type="pct"/>
            <w:tcBorders>
              <w:top w:val="nil"/>
              <w:left w:val="nil"/>
              <w:bottom w:val="single" w:sz="4" w:space="0" w:color="auto"/>
              <w:right w:val="single" w:sz="4" w:space="0" w:color="auto"/>
            </w:tcBorders>
            <w:noWrap/>
            <w:vAlign w:val="bottom"/>
            <w:hideMark/>
          </w:tcPr>
          <w:p w14:paraId="061D150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83814</w:t>
            </w:r>
          </w:p>
        </w:tc>
        <w:tc>
          <w:tcPr>
            <w:tcW w:w="546" w:type="pct"/>
            <w:tcBorders>
              <w:top w:val="nil"/>
              <w:left w:val="nil"/>
              <w:bottom w:val="single" w:sz="4" w:space="0" w:color="auto"/>
              <w:right w:val="single" w:sz="4" w:space="0" w:color="auto"/>
            </w:tcBorders>
            <w:noWrap/>
            <w:vAlign w:val="bottom"/>
            <w:hideMark/>
          </w:tcPr>
          <w:p w14:paraId="24BD94C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114227</w:t>
            </w:r>
          </w:p>
        </w:tc>
        <w:tc>
          <w:tcPr>
            <w:tcW w:w="546" w:type="pct"/>
            <w:tcBorders>
              <w:top w:val="nil"/>
              <w:left w:val="nil"/>
              <w:bottom w:val="single" w:sz="4" w:space="0" w:color="auto"/>
              <w:right w:val="single" w:sz="4" w:space="0" w:color="auto"/>
            </w:tcBorders>
            <w:noWrap/>
            <w:vAlign w:val="bottom"/>
            <w:hideMark/>
          </w:tcPr>
          <w:p w14:paraId="18005B5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137325</w:t>
            </w:r>
          </w:p>
        </w:tc>
        <w:tc>
          <w:tcPr>
            <w:tcW w:w="546" w:type="pct"/>
            <w:tcBorders>
              <w:top w:val="nil"/>
              <w:left w:val="nil"/>
              <w:bottom w:val="single" w:sz="4" w:space="0" w:color="auto"/>
              <w:right w:val="single" w:sz="4" w:space="0" w:color="auto"/>
            </w:tcBorders>
            <w:noWrap/>
            <w:vAlign w:val="bottom"/>
            <w:hideMark/>
          </w:tcPr>
          <w:p w14:paraId="60BD37C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127449.5</w:t>
            </w:r>
          </w:p>
        </w:tc>
        <w:tc>
          <w:tcPr>
            <w:tcW w:w="546" w:type="pct"/>
            <w:tcBorders>
              <w:top w:val="nil"/>
              <w:left w:val="nil"/>
              <w:bottom w:val="single" w:sz="4" w:space="0" w:color="auto"/>
              <w:right w:val="single" w:sz="4" w:space="0" w:color="auto"/>
            </w:tcBorders>
            <w:noWrap/>
            <w:vAlign w:val="bottom"/>
            <w:hideMark/>
          </w:tcPr>
          <w:p w14:paraId="5610B97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120,430</w:t>
            </w:r>
          </w:p>
        </w:tc>
        <w:tc>
          <w:tcPr>
            <w:tcW w:w="118" w:type="pct"/>
            <w:tcBorders>
              <w:top w:val="nil"/>
              <w:left w:val="nil"/>
              <w:bottom w:val="nil"/>
              <w:right w:val="nil"/>
            </w:tcBorders>
            <w:noWrap/>
            <w:vAlign w:val="bottom"/>
            <w:hideMark/>
          </w:tcPr>
          <w:p w14:paraId="5AA7AF3E"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6DFAD36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71C26DF"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034FE101"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lastRenderedPageBreak/>
              <w:t>Inventory turnover</w:t>
            </w:r>
          </w:p>
        </w:tc>
        <w:tc>
          <w:tcPr>
            <w:tcW w:w="676" w:type="pct"/>
            <w:vMerge/>
            <w:tcBorders>
              <w:top w:val="nil"/>
              <w:left w:val="single" w:sz="4" w:space="0" w:color="auto"/>
              <w:bottom w:val="single" w:sz="4" w:space="0" w:color="auto"/>
              <w:right w:val="single" w:sz="4" w:space="0" w:color="auto"/>
            </w:tcBorders>
            <w:vAlign w:val="center"/>
            <w:hideMark/>
          </w:tcPr>
          <w:p w14:paraId="2A77A441"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46" w:type="pct"/>
            <w:tcBorders>
              <w:top w:val="nil"/>
              <w:left w:val="nil"/>
              <w:bottom w:val="single" w:sz="4" w:space="0" w:color="auto"/>
              <w:right w:val="single" w:sz="4" w:space="0" w:color="auto"/>
            </w:tcBorders>
            <w:noWrap/>
            <w:vAlign w:val="bottom"/>
            <w:hideMark/>
          </w:tcPr>
          <w:p w14:paraId="4AE510A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3.35</w:t>
            </w:r>
          </w:p>
        </w:tc>
        <w:tc>
          <w:tcPr>
            <w:tcW w:w="546" w:type="pct"/>
            <w:tcBorders>
              <w:top w:val="nil"/>
              <w:left w:val="nil"/>
              <w:bottom w:val="single" w:sz="4" w:space="0" w:color="auto"/>
              <w:right w:val="single" w:sz="4" w:space="0" w:color="auto"/>
            </w:tcBorders>
            <w:noWrap/>
            <w:vAlign w:val="bottom"/>
            <w:hideMark/>
          </w:tcPr>
          <w:p w14:paraId="50BBD81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2.83</w:t>
            </w:r>
          </w:p>
        </w:tc>
        <w:tc>
          <w:tcPr>
            <w:tcW w:w="546" w:type="pct"/>
            <w:tcBorders>
              <w:top w:val="nil"/>
              <w:left w:val="nil"/>
              <w:bottom w:val="single" w:sz="4" w:space="0" w:color="auto"/>
              <w:right w:val="single" w:sz="4" w:space="0" w:color="auto"/>
            </w:tcBorders>
            <w:noWrap/>
            <w:vAlign w:val="bottom"/>
            <w:hideMark/>
          </w:tcPr>
          <w:p w14:paraId="515EB26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2.84</w:t>
            </w:r>
          </w:p>
        </w:tc>
        <w:tc>
          <w:tcPr>
            <w:tcW w:w="546" w:type="pct"/>
            <w:tcBorders>
              <w:top w:val="nil"/>
              <w:left w:val="nil"/>
              <w:bottom w:val="single" w:sz="4" w:space="0" w:color="auto"/>
              <w:right w:val="single" w:sz="4" w:space="0" w:color="auto"/>
            </w:tcBorders>
            <w:noWrap/>
            <w:vAlign w:val="bottom"/>
            <w:hideMark/>
          </w:tcPr>
          <w:p w14:paraId="38EE88B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3.36</w:t>
            </w:r>
          </w:p>
        </w:tc>
        <w:tc>
          <w:tcPr>
            <w:tcW w:w="546" w:type="pct"/>
            <w:tcBorders>
              <w:top w:val="nil"/>
              <w:left w:val="nil"/>
              <w:bottom w:val="single" w:sz="4" w:space="0" w:color="auto"/>
              <w:right w:val="single" w:sz="4" w:space="0" w:color="auto"/>
            </w:tcBorders>
            <w:noWrap/>
            <w:vAlign w:val="bottom"/>
            <w:hideMark/>
          </w:tcPr>
          <w:p w14:paraId="31FF748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3.64</w:t>
            </w:r>
          </w:p>
        </w:tc>
        <w:tc>
          <w:tcPr>
            <w:tcW w:w="118" w:type="pct"/>
            <w:tcBorders>
              <w:top w:val="nil"/>
              <w:left w:val="nil"/>
              <w:bottom w:val="nil"/>
              <w:right w:val="nil"/>
            </w:tcBorders>
            <w:noWrap/>
            <w:vAlign w:val="bottom"/>
            <w:hideMark/>
          </w:tcPr>
          <w:p w14:paraId="3027152C"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66640B8E"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3BFBA1FF" w14:textId="77777777" w:rsidTr="00396157">
        <w:trPr>
          <w:trHeight w:val="310"/>
        </w:trPr>
        <w:tc>
          <w:tcPr>
            <w:tcW w:w="1360" w:type="pct"/>
            <w:tcBorders>
              <w:top w:val="nil"/>
              <w:left w:val="single" w:sz="4" w:space="0" w:color="auto"/>
              <w:bottom w:val="nil"/>
              <w:right w:val="single" w:sz="4" w:space="0" w:color="auto"/>
            </w:tcBorders>
            <w:noWrap/>
            <w:vAlign w:val="bottom"/>
            <w:hideMark/>
          </w:tcPr>
          <w:p w14:paraId="7E0BFC25"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676" w:type="pct"/>
            <w:tcBorders>
              <w:top w:val="nil"/>
              <w:left w:val="nil"/>
              <w:bottom w:val="nil"/>
              <w:right w:val="single" w:sz="4" w:space="0" w:color="auto"/>
            </w:tcBorders>
            <w:vAlign w:val="center"/>
            <w:hideMark/>
          </w:tcPr>
          <w:p w14:paraId="2CD50E0E"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46" w:type="pct"/>
            <w:tcBorders>
              <w:top w:val="nil"/>
              <w:left w:val="nil"/>
              <w:bottom w:val="nil"/>
              <w:right w:val="single" w:sz="4" w:space="0" w:color="auto"/>
            </w:tcBorders>
            <w:noWrap/>
            <w:vAlign w:val="bottom"/>
            <w:hideMark/>
          </w:tcPr>
          <w:p w14:paraId="0488F73F"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46" w:type="pct"/>
            <w:tcBorders>
              <w:top w:val="nil"/>
              <w:left w:val="nil"/>
              <w:bottom w:val="nil"/>
              <w:right w:val="single" w:sz="4" w:space="0" w:color="auto"/>
            </w:tcBorders>
            <w:noWrap/>
            <w:vAlign w:val="bottom"/>
            <w:hideMark/>
          </w:tcPr>
          <w:p w14:paraId="1581DC4B"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46" w:type="pct"/>
            <w:tcBorders>
              <w:top w:val="nil"/>
              <w:left w:val="nil"/>
              <w:bottom w:val="nil"/>
              <w:right w:val="nil"/>
            </w:tcBorders>
            <w:noWrap/>
            <w:vAlign w:val="bottom"/>
            <w:hideMark/>
          </w:tcPr>
          <w:p w14:paraId="31ECE9C3"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46" w:type="pct"/>
            <w:tcBorders>
              <w:top w:val="nil"/>
              <w:left w:val="nil"/>
              <w:bottom w:val="nil"/>
              <w:right w:val="nil"/>
            </w:tcBorders>
            <w:noWrap/>
            <w:vAlign w:val="bottom"/>
            <w:hideMark/>
          </w:tcPr>
          <w:p w14:paraId="68D0A06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46" w:type="pct"/>
            <w:tcBorders>
              <w:top w:val="nil"/>
              <w:left w:val="nil"/>
              <w:bottom w:val="nil"/>
              <w:right w:val="nil"/>
            </w:tcBorders>
            <w:noWrap/>
            <w:vAlign w:val="bottom"/>
            <w:hideMark/>
          </w:tcPr>
          <w:p w14:paraId="26A5681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3297967F"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7C7552EF"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8EBEDBB" w14:textId="77777777" w:rsidTr="00396157">
        <w:trPr>
          <w:trHeight w:val="310"/>
        </w:trPr>
        <w:tc>
          <w:tcPr>
            <w:tcW w:w="4765" w:type="pct"/>
            <w:gridSpan w:val="7"/>
            <w:tcBorders>
              <w:top w:val="single" w:sz="4" w:space="0" w:color="auto"/>
              <w:left w:val="single" w:sz="4" w:space="0" w:color="auto"/>
              <w:bottom w:val="single" w:sz="4" w:space="0" w:color="auto"/>
              <w:right w:val="single" w:sz="4" w:space="0" w:color="auto"/>
            </w:tcBorders>
            <w:vAlign w:val="bottom"/>
            <w:hideMark/>
          </w:tcPr>
          <w:p w14:paraId="3F828130"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Receivable turnover</w:t>
            </w:r>
          </w:p>
        </w:tc>
        <w:tc>
          <w:tcPr>
            <w:tcW w:w="118" w:type="pct"/>
            <w:tcBorders>
              <w:top w:val="nil"/>
              <w:left w:val="nil"/>
              <w:bottom w:val="nil"/>
              <w:right w:val="nil"/>
            </w:tcBorders>
            <w:noWrap/>
            <w:vAlign w:val="bottom"/>
            <w:hideMark/>
          </w:tcPr>
          <w:p w14:paraId="0CA2E834"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60B2DD9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674E914A"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1E0BECC9"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676" w:type="pct"/>
            <w:tcBorders>
              <w:top w:val="nil"/>
              <w:left w:val="nil"/>
              <w:bottom w:val="single" w:sz="4" w:space="0" w:color="auto"/>
              <w:right w:val="single" w:sz="4" w:space="0" w:color="auto"/>
            </w:tcBorders>
            <w:noWrap/>
            <w:vAlign w:val="bottom"/>
            <w:hideMark/>
          </w:tcPr>
          <w:p w14:paraId="4A87AA4B"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546" w:type="pct"/>
            <w:tcBorders>
              <w:top w:val="nil"/>
              <w:left w:val="nil"/>
              <w:bottom w:val="single" w:sz="4" w:space="0" w:color="auto"/>
              <w:right w:val="single" w:sz="4" w:space="0" w:color="auto"/>
            </w:tcBorders>
            <w:noWrap/>
            <w:vAlign w:val="bottom"/>
            <w:hideMark/>
          </w:tcPr>
          <w:p w14:paraId="519CDFD4"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546" w:type="pct"/>
            <w:tcBorders>
              <w:top w:val="nil"/>
              <w:left w:val="nil"/>
              <w:bottom w:val="single" w:sz="4" w:space="0" w:color="auto"/>
              <w:right w:val="single" w:sz="4" w:space="0" w:color="auto"/>
            </w:tcBorders>
            <w:noWrap/>
            <w:vAlign w:val="bottom"/>
            <w:hideMark/>
          </w:tcPr>
          <w:p w14:paraId="0A43A707"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546" w:type="pct"/>
            <w:tcBorders>
              <w:top w:val="nil"/>
              <w:left w:val="nil"/>
              <w:bottom w:val="single" w:sz="4" w:space="0" w:color="auto"/>
              <w:right w:val="single" w:sz="4" w:space="0" w:color="auto"/>
            </w:tcBorders>
            <w:noWrap/>
            <w:vAlign w:val="bottom"/>
            <w:hideMark/>
          </w:tcPr>
          <w:p w14:paraId="606B774E"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546" w:type="pct"/>
            <w:tcBorders>
              <w:top w:val="nil"/>
              <w:left w:val="nil"/>
              <w:bottom w:val="single" w:sz="4" w:space="0" w:color="auto"/>
              <w:right w:val="single" w:sz="4" w:space="0" w:color="auto"/>
            </w:tcBorders>
            <w:noWrap/>
            <w:vAlign w:val="bottom"/>
            <w:hideMark/>
          </w:tcPr>
          <w:p w14:paraId="15CCDB48"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546" w:type="pct"/>
            <w:tcBorders>
              <w:top w:val="nil"/>
              <w:left w:val="nil"/>
              <w:bottom w:val="single" w:sz="4" w:space="0" w:color="auto"/>
              <w:right w:val="single" w:sz="4" w:space="0" w:color="auto"/>
            </w:tcBorders>
            <w:noWrap/>
            <w:vAlign w:val="bottom"/>
            <w:hideMark/>
          </w:tcPr>
          <w:p w14:paraId="6F051ADE"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31E49BF4"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2A3FA94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7F114DF7"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4C28A510"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Sales</w:t>
            </w:r>
          </w:p>
        </w:tc>
        <w:tc>
          <w:tcPr>
            <w:tcW w:w="676" w:type="pct"/>
            <w:vMerge w:val="restart"/>
            <w:tcBorders>
              <w:top w:val="nil"/>
              <w:left w:val="single" w:sz="4" w:space="0" w:color="auto"/>
              <w:bottom w:val="single" w:sz="4" w:space="0" w:color="auto"/>
              <w:right w:val="single" w:sz="4" w:space="0" w:color="auto"/>
            </w:tcBorders>
            <w:vAlign w:val="center"/>
            <w:hideMark/>
          </w:tcPr>
          <w:p w14:paraId="4E514734"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Sales/ Average Accounts Receivable</w:t>
            </w:r>
          </w:p>
        </w:tc>
        <w:tc>
          <w:tcPr>
            <w:tcW w:w="546" w:type="pct"/>
            <w:tcBorders>
              <w:top w:val="nil"/>
              <w:left w:val="nil"/>
              <w:bottom w:val="single" w:sz="4" w:space="0" w:color="auto"/>
              <w:right w:val="single" w:sz="4" w:space="0" w:color="auto"/>
            </w:tcBorders>
            <w:noWrap/>
            <w:vAlign w:val="center"/>
            <w:hideMark/>
          </w:tcPr>
          <w:p w14:paraId="1F25816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394,879</w:t>
            </w:r>
          </w:p>
        </w:tc>
        <w:tc>
          <w:tcPr>
            <w:tcW w:w="546" w:type="pct"/>
            <w:tcBorders>
              <w:top w:val="nil"/>
              <w:left w:val="nil"/>
              <w:bottom w:val="single" w:sz="4" w:space="0" w:color="auto"/>
              <w:right w:val="single" w:sz="4" w:space="0" w:color="auto"/>
            </w:tcBorders>
            <w:noWrap/>
            <w:vAlign w:val="center"/>
            <w:hideMark/>
          </w:tcPr>
          <w:p w14:paraId="7CE28C1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420,457</w:t>
            </w:r>
          </w:p>
        </w:tc>
        <w:tc>
          <w:tcPr>
            <w:tcW w:w="546" w:type="pct"/>
            <w:tcBorders>
              <w:top w:val="nil"/>
              <w:left w:val="nil"/>
              <w:bottom w:val="single" w:sz="4" w:space="0" w:color="auto"/>
              <w:right w:val="single" w:sz="4" w:space="0" w:color="auto"/>
            </w:tcBorders>
            <w:noWrap/>
            <w:vAlign w:val="center"/>
            <w:hideMark/>
          </w:tcPr>
          <w:p w14:paraId="1A24F3E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542,751</w:t>
            </w:r>
          </w:p>
        </w:tc>
        <w:tc>
          <w:tcPr>
            <w:tcW w:w="546" w:type="pct"/>
            <w:tcBorders>
              <w:top w:val="nil"/>
              <w:left w:val="nil"/>
              <w:bottom w:val="single" w:sz="4" w:space="0" w:color="auto"/>
              <w:right w:val="single" w:sz="4" w:space="0" w:color="auto"/>
            </w:tcBorders>
            <w:noWrap/>
            <w:vAlign w:val="center"/>
            <w:hideMark/>
          </w:tcPr>
          <w:p w14:paraId="16AD722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601,602</w:t>
            </w:r>
          </w:p>
        </w:tc>
        <w:tc>
          <w:tcPr>
            <w:tcW w:w="546" w:type="pct"/>
            <w:tcBorders>
              <w:top w:val="nil"/>
              <w:left w:val="nil"/>
              <w:bottom w:val="single" w:sz="4" w:space="0" w:color="auto"/>
              <w:right w:val="single" w:sz="4" w:space="0" w:color="auto"/>
            </w:tcBorders>
            <w:noWrap/>
            <w:vAlign w:val="center"/>
            <w:hideMark/>
          </w:tcPr>
          <w:p w14:paraId="17022E5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614,680</w:t>
            </w:r>
          </w:p>
        </w:tc>
        <w:tc>
          <w:tcPr>
            <w:tcW w:w="118" w:type="pct"/>
            <w:tcBorders>
              <w:top w:val="nil"/>
              <w:left w:val="nil"/>
              <w:bottom w:val="nil"/>
              <w:right w:val="nil"/>
            </w:tcBorders>
            <w:noWrap/>
            <w:vAlign w:val="bottom"/>
            <w:hideMark/>
          </w:tcPr>
          <w:p w14:paraId="49B7D0F0"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2BD7562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31DB65E"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55E8EC39"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Average Accounts Receivable</w:t>
            </w:r>
          </w:p>
        </w:tc>
        <w:tc>
          <w:tcPr>
            <w:tcW w:w="676" w:type="pct"/>
            <w:vMerge/>
            <w:tcBorders>
              <w:top w:val="nil"/>
              <w:left w:val="single" w:sz="4" w:space="0" w:color="auto"/>
              <w:bottom w:val="single" w:sz="4" w:space="0" w:color="auto"/>
              <w:right w:val="single" w:sz="4" w:space="0" w:color="auto"/>
            </w:tcBorders>
            <w:vAlign w:val="center"/>
            <w:hideMark/>
          </w:tcPr>
          <w:p w14:paraId="63BB2B55"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46" w:type="pct"/>
            <w:tcBorders>
              <w:top w:val="nil"/>
              <w:left w:val="nil"/>
              <w:bottom w:val="single" w:sz="4" w:space="0" w:color="auto"/>
              <w:right w:val="single" w:sz="4" w:space="0" w:color="auto"/>
            </w:tcBorders>
            <w:noWrap/>
            <w:vAlign w:val="bottom"/>
            <w:hideMark/>
          </w:tcPr>
          <w:p w14:paraId="1E7A59E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113389</w:t>
            </w:r>
          </w:p>
        </w:tc>
        <w:tc>
          <w:tcPr>
            <w:tcW w:w="546" w:type="pct"/>
            <w:tcBorders>
              <w:top w:val="nil"/>
              <w:left w:val="nil"/>
              <w:bottom w:val="single" w:sz="4" w:space="0" w:color="auto"/>
              <w:right w:val="single" w:sz="4" w:space="0" w:color="auto"/>
            </w:tcBorders>
            <w:noWrap/>
            <w:vAlign w:val="bottom"/>
            <w:hideMark/>
          </w:tcPr>
          <w:p w14:paraId="56D8070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112471</w:t>
            </w:r>
          </w:p>
        </w:tc>
        <w:tc>
          <w:tcPr>
            <w:tcW w:w="546" w:type="pct"/>
            <w:tcBorders>
              <w:top w:val="nil"/>
              <w:left w:val="nil"/>
              <w:bottom w:val="single" w:sz="4" w:space="0" w:color="auto"/>
              <w:right w:val="single" w:sz="4" w:space="0" w:color="auto"/>
            </w:tcBorders>
            <w:noWrap/>
            <w:vAlign w:val="bottom"/>
            <w:hideMark/>
          </w:tcPr>
          <w:p w14:paraId="38935B8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120780.5</w:t>
            </w:r>
          </w:p>
        </w:tc>
        <w:tc>
          <w:tcPr>
            <w:tcW w:w="546" w:type="pct"/>
            <w:tcBorders>
              <w:top w:val="nil"/>
              <w:left w:val="nil"/>
              <w:bottom w:val="single" w:sz="4" w:space="0" w:color="auto"/>
              <w:right w:val="single" w:sz="4" w:space="0" w:color="auto"/>
            </w:tcBorders>
            <w:noWrap/>
            <w:vAlign w:val="bottom"/>
            <w:hideMark/>
          </w:tcPr>
          <w:p w14:paraId="082B5A2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129324</w:t>
            </w:r>
          </w:p>
        </w:tc>
        <w:tc>
          <w:tcPr>
            <w:tcW w:w="546" w:type="pct"/>
            <w:tcBorders>
              <w:top w:val="nil"/>
              <w:left w:val="nil"/>
              <w:bottom w:val="single" w:sz="4" w:space="0" w:color="auto"/>
              <w:right w:val="single" w:sz="4" w:space="0" w:color="auto"/>
            </w:tcBorders>
            <w:noWrap/>
            <w:vAlign w:val="bottom"/>
            <w:hideMark/>
          </w:tcPr>
          <w:p w14:paraId="022D892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129,433</w:t>
            </w:r>
          </w:p>
        </w:tc>
        <w:tc>
          <w:tcPr>
            <w:tcW w:w="118" w:type="pct"/>
            <w:tcBorders>
              <w:top w:val="nil"/>
              <w:left w:val="nil"/>
              <w:bottom w:val="nil"/>
              <w:right w:val="nil"/>
            </w:tcBorders>
            <w:noWrap/>
            <w:vAlign w:val="bottom"/>
            <w:hideMark/>
          </w:tcPr>
          <w:p w14:paraId="27F30C29"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322651D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68BC87D3" w14:textId="77777777" w:rsidTr="00396157">
        <w:trPr>
          <w:trHeight w:val="310"/>
        </w:trPr>
        <w:tc>
          <w:tcPr>
            <w:tcW w:w="1360" w:type="pct"/>
            <w:tcBorders>
              <w:top w:val="nil"/>
              <w:left w:val="single" w:sz="4" w:space="0" w:color="auto"/>
              <w:bottom w:val="single" w:sz="4" w:space="0" w:color="auto"/>
              <w:right w:val="single" w:sz="4" w:space="0" w:color="auto"/>
            </w:tcBorders>
            <w:noWrap/>
            <w:vAlign w:val="bottom"/>
            <w:hideMark/>
          </w:tcPr>
          <w:p w14:paraId="25E9D5CB"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Receivable turnover</w:t>
            </w:r>
          </w:p>
        </w:tc>
        <w:tc>
          <w:tcPr>
            <w:tcW w:w="676" w:type="pct"/>
            <w:vMerge/>
            <w:tcBorders>
              <w:top w:val="nil"/>
              <w:left w:val="single" w:sz="4" w:space="0" w:color="auto"/>
              <w:bottom w:val="single" w:sz="4" w:space="0" w:color="auto"/>
              <w:right w:val="single" w:sz="4" w:space="0" w:color="auto"/>
            </w:tcBorders>
            <w:vAlign w:val="center"/>
            <w:hideMark/>
          </w:tcPr>
          <w:p w14:paraId="16BB9595"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46" w:type="pct"/>
            <w:tcBorders>
              <w:top w:val="nil"/>
              <w:left w:val="nil"/>
              <w:bottom w:val="single" w:sz="4" w:space="0" w:color="auto"/>
              <w:right w:val="single" w:sz="4" w:space="0" w:color="auto"/>
            </w:tcBorders>
            <w:noWrap/>
            <w:vAlign w:val="bottom"/>
            <w:hideMark/>
          </w:tcPr>
          <w:p w14:paraId="35662E8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3.48</w:t>
            </w:r>
          </w:p>
        </w:tc>
        <w:tc>
          <w:tcPr>
            <w:tcW w:w="546" w:type="pct"/>
            <w:tcBorders>
              <w:top w:val="nil"/>
              <w:left w:val="nil"/>
              <w:bottom w:val="single" w:sz="4" w:space="0" w:color="auto"/>
              <w:right w:val="single" w:sz="4" w:space="0" w:color="auto"/>
            </w:tcBorders>
            <w:noWrap/>
            <w:vAlign w:val="bottom"/>
            <w:hideMark/>
          </w:tcPr>
          <w:p w14:paraId="2C13A9C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3.74</w:t>
            </w:r>
          </w:p>
        </w:tc>
        <w:tc>
          <w:tcPr>
            <w:tcW w:w="546" w:type="pct"/>
            <w:tcBorders>
              <w:top w:val="nil"/>
              <w:left w:val="nil"/>
              <w:bottom w:val="single" w:sz="4" w:space="0" w:color="auto"/>
              <w:right w:val="single" w:sz="4" w:space="0" w:color="auto"/>
            </w:tcBorders>
            <w:noWrap/>
            <w:vAlign w:val="bottom"/>
            <w:hideMark/>
          </w:tcPr>
          <w:p w14:paraId="09648AF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4.49</w:t>
            </w:r>
          </w:p>
        </w:tc>
        <w:tc>
          <w:tcPr>
            <w:tcW w:w="546" w:type="pct"/>
            <w:tcBorders>
              <w:top w:val="nil"/>
              <w:left w:val="nil"/>
              <w:bottom w:val="single" w:sz="4" w:space="0" w:color="auto"/>
              <w:right w:val="single" w:sz="4" w:space="0" w:color="auto"/>
            </w:tcBorders>
            <w:noWrap/>
            <w:vAlign w:val="bottom"/>
            <w:hideMark/>
          </w:tcPr>
          <w:p w14:paraId="7132DEA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4.65</w:t>
            </w:r>
          </w:p>
        </w:tc>
        <w:tc>
          <w:tcPr>
            <w:tcW w:w="546" w:type="pct"/>
            <w:tcBorders>
              <w:top w:val="nil"/>
              <w:left w:val="nil"/>
              <w:bottom w:val="single" w:sz="4" w:space="0" w:color="auto"/>
              <w:right w:val="single" w:sz="4" w:space="0" w:color="auto"/>
            </w:tcBorders>
            <w:noWrap/>
            <w:vAlign w:val="bottom"/>
            <w:hideMark/>
          </w:tcPr>
          <w:p w14:paraId="4794486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4.75</w:t>
            </w:r>
          </w:p>
        </w:tc>
        <w:tc>
          <w:tcPr>
            <w:tcW w:w="118" w:type="pct"/>
            <w:tcBorders>
              <w:top w:val="nil"/>
              <w:left w:val="nil"/>
              <w:bottom w:val="nil"/>
              <w:right w:val="nil"/>
            </w:tcBorders>
            <w:noWrap/>
            <w:vAlign w:val="bottom"/>
            <w:hideMark/>
          </w:tcPr>
          <w:p w14:paraId="1EAA0643"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7BBEFB53"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bl>
    <w:p w14:paraId="077B222B" w14:textId="334283E3" w:rsidR="00396157" w:rsidRPr="00396157" w:rsidRDefault="00396157" w:rsidP="00396157">
      <w:pPr>
        <w:pStyle w:val="Caption"/>
        <w:jc w:val="center"/>
        <w:rPr>
          <w:rFonts w:ascii="Arial" w:hAnsi="Arial" w:cs="Arial"/>
          <w:color w:val="auto"/>
        </w:rPr>
      </w:pPr>
      <w:bookmarkStart w:id="14" w:name="_Toc210664725"/>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3</w:t>
      </w:r>
      <w:r w:rsidRPr="0074648E">
        <w:rPr>
          <w:rFonts w:ascii="Arial" w:hAnsi="Arial" w:cs="Arial"/>
          <w:color w:val="auto"/>
        </w:rPr>
        <w:fldChar w:fldCharType="end"/>
      </w:r>
      <w:r w:rsidRPr="0074648E">
        <w:rPr>
          <w:rFonts w:ascii="Arial" w:hAnsi="Arial" w:cs="Arial"/>
          <w:color w:val="auto"/>
        </w:rPr>
        <w:t>: Efficiency Result</w:t>
      </w:r>
      <w:bookmarkEnd w:id="14"/>
    </w:p>
    <w:p w14:paraId="2CE06F0A" w14:textId="77777777" w:rsidR="00572DDE" w:rsidRPr="0074648E" w:rsidRDefault="007A199B" w:rsidP="00572DDE">
      <w:pPr>
        <w:keepNext/>
        <w:jc w:val="center"/>
        <w:rPr>
          <w:rFonts w:ascii="Arial" w:hAnsi="Arial" w:cs="Arial"/>
        </w:rPr>
      </w:pPr>
      <w:r w:rsidRPr="0074648E">
        <w:rPr>
          <w:rFonts w:ascii="Arial" w:hAnsi="Arial" w:cs="Arial"/>
          <w:noProof/>
        </w:rPr>
        <w:drawing>
          <wp:inline distT="0" distB="0" distL="0" distR="0" wp14:anchorId="1383641A" wp14:editId="62A112F0">
            <wp:extent cx="3689350" cy="2203450"/>
            <wp:effectExtent l="0" t="0" r="6350" b="6350"/>
            <wp:docPr id="2074123230" name="Chart 1">
              <a:extLst xmlns:a="http://schemas.openxmlformats.org/drawingml/2006/main">
                <a:ext uri="{FF2B5EF4-FFF2-40B4-BE49-F238E27FC236}">
                  <a16:creationId xmlns:a16="http://schemas.microsoft.com/office/drawing/2014/main" id="{859A8D4B-428F-DC4D-3B9E-A624353178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E8D4E1" w14:textId="1F2768F8" w:rsidR="007A199B" w:rsidRPr="0074648E" w:rsidRDefault="00572DDE" w:rsidP="00572DDE">
      <w:pPr>
        <w:pStyle w:val="Caption"/>
        <w:jc w:val="center"/>
        <w:rPr>
          <w:rFonts w:ascii="Arial" w:hAnsi="Arial" w:cs="Arial"/>
          <w:color w:val="auto"/>
        </w:rPr>
      </w:pPr>
      <w:bookmarkStart w:id="15" w:name="_Toc210664663"/>
      <w:bookmarkStart w:id="16" w:name="_Toc210664719"/>
      <w:r w:rsidRPr="0074648E">
        <w:rPr>
          <w:rFonts w:ascii="Arial" w:hAnsi="Arial" w:cs="Arial"/>
          <w:color w:val="auto"/>
        </w:rPr>
        <w:t xml:space="preserve">Figure </w:t>
      </w:r>
      <w:r w:rsidRPr="0074648E">
        <w:rPr>
          <w:rFonts w:ascii="Arial" w:hAnsi="Arial" w:cs="Arial"/>
          <w:color w:val="auto"/>
        </w:rPr>
        <w:fldChar w:fldCharType="begin"/>
      </w:r>
      <w:r w:rsidRPr="0074648E">
        <w:rPr>
          <w:rFonts w:ascii="Arial" w:hAnsi="Arial" w:cs="Arial"/>
          <w:color w:val="auto"/>
        </w:rPr>
        <w:instrText xml:space="preserve"> SEQ Figure \* ARABIC </w:instrText>
      </w:r>
      <w:r w:rsidRPr="0074648E">
        <w:rPr>
          <w:rFonts w:ascii="Arial" w:hAnsi="Arial" w:cs="Arial"/>
          <w:color w:val="auto"/>
        </w:rPr>
        <w:fldChar w:fldCharType="separate"/>
      </w:r>
      <w:r w:rsidRPr="0074648E">
        <w:rPr>
          <w:rFonts w:ascii="Arial" w:hAnsi="Arial" w:cs="Arial"/>
          <w:noProof/>
          <w:color w:val="auto"/>
        </w:rPr>
        <w:t>3</w:t>
      </w:r>
      <w:r w:rsidRPr="0074648E">
        <w:rPr>
          <w:rFonts w:ascii="Arial" w:hAnsi="Arial" w:cs="Arial"/>
          <w:color w:val="auto"/>
        </w:rPr>
        <w:fldChar w:fldCharType="end"/>
      </w:r>
      <w:r w:rsidRPr="0074648E">
        <w:rPr>
          <w:rFonts w:ascii="Arial" w:hAnsi="Arial" w:cs="Arial"/>
          <w:color w:val="auto"/>
        </w:rPr>
        <w:t>: Efficiency Ratios</w:t>
      </w:r>
      <w:bookmarkEnd w:id="15"/>
      <w:bookmarkEnd w:id="16"/>
    </w:p>
    <w:p w14:paraId="5692E571" w14:textId="25370DF3" w:rsidR="00775000" w:rsidRPr="0074648E" w:rsidRDefault="00623FD9" w:rsidP="00934DB9">
      <w:pPr>
        <w:rPr>
          <w:rFonts w:ascii="Arial" w:hAnsi="Arial" w:cs="Arial"/>
        </w:rPr>
      </w:pPr>
      <w:r w:rsidRPr="0074648E">
        <w:rPr>
          <w:rFonts w:ascii="Arial" w:hAnsi="Arial" w:cs="Arial"/>
        </w:rPr>
        <w:t xml:space="preserve">The </w:t>
      </w:r>
      <w:r w:rsidR="00775000" w:rsidRPr="0074648E">
        <w:rPr>
          <w:rFonts w:ascii="Arial" w:hAnsi="Arial" w:cs="Arial"/>
        </w:rPr>
        <w:t>Inventory Turnover Ratio shows how well the company has been using the stock in comparison to sales. The turnover stayed decreasing in the period between 2020 and 2022, 3.6 times shr</w:t>
      </w:r>
      <w:r w:rsidRPr="0074648E">
        <w:rPr>
          <w:rFonts w:ascii="Arial" w:hAnsi="Arial" w:cs="Arial"/>
        </w:rPr>
        <w:t>ank</w:t>
      </w:r>
      <w:r w:rsidR="00775000" w:rsidRPr="0074648E">
        <w:rPr>
          <w:rFonts w:ascii="Arial" w:hAnsi="Arial" w:cs="Arial"/>
        </w:rPr>
        <w:t xml:space="preserve"> to 2.8 times, which means slower inventory turnover and potential overstocking. This lack of efficiency causes a cash lock</w:t>
      </w:r>
      <w:r w:rsidRPr="0074648E">
        <w:rPr>
          <w:rFonts w:ascii="Arial" w:hAnsi="Arial" w:cs="Arial"/>
        </w:rPr>
        <w:t>-</w:t>
      </w:r>
      <w:r w:rsidR="00775000" w:rsidRPr="0074648E">
        <w:rPr>
          <w:rFonts w:ascii="Arial" w:hAnsi="Arial" w:cs="Arial"/>
        </w:rPr>
        <w:t>up in unsold goods and increases stor</w:t>
      </w:r>
      <w:r w:rsidRPr="0074648E">
        <w:rPr>
          <w:rFonts w:ascii="Arial" w:hAnsi="Arial" w:cs="Arial"/>
        </w:rPr>
        <w:t>age</w:t>
      </w:r>
      <w:r w:rsidR="00775000" w:rsidRPr="0074648E">
        <w:rPr>
          <w:rFonts w:ascii="Arial" w:hAnsi="Arial" w:cs="Arial"/>
        </w:rPr>
        <w:t xml:space="preserve"> and obsolescence expenses</w:t>
      </w:r>
      <w:r w:rsidR="002411D1" w:rsidRPr="0074648E">
        <w:rPr>
          <w:rFonts w:ascii="Arial" w:hAnsi="Arial" w:cs="Arial"/>
        </w:rPr>
        <w:t xml:space="preserve"> </w:t>
      </w:r>
      <w:r w:rsidR="002411D1" w:rsidRPr="0074648E">
        <w:rPr>
          <w:rFonts w:ascii="Arial" w:hAnsi="Arial" w:cs="Arial"/>
          <w:shd w:val="clear" w:color="auto" w:fill="FFFFFF"/>
        </w:rPr>
        <w:t>(Husain et al., 2021)</w:t>
      </w:r>
      <w:r w:rsidR="00775000" w:rsidRPr="0074648E">
        <w:rPr>
          <w:rFonts w:ascii="Arial" w:hAnsi="Arial" w:cs="Arial"/>
        </w:rPr>
        <w:t>. The marginally recovered 3.35 in 2024 indicates the beginning of better times, possibly because of inventory optimi</w:t>
      </w:r>
      <w:r w:rsidRPr="0074648E">
        <w:rPr>
          <w:rFonts w:ascii="Arial" w:hAnsi="Arial" w:cs="Arial"/>
        </w:rPr>
        <w:t>s</w:t>
      </w:r>
      <w:r w:rsidR="00775000" w:rsidRPr="0074648E">
        <w:rPr>
          <w:rFonts w:ascii="Arial" w:hAnsi="Arial" w:cs="Arial"/>
        </w:rPr>
        <w:t xml:space="preserve">ation or improved demand prediction. </w:t>
      </w:r>
    </w:p>
    <w:p w14:paraId="07669640" w14:textId="0F486B82" w:rsidR="00155D8F" w:rsidRPr="0074648E" w:rsidRDefault="00775000" w:rsidP="00934DB9">
      <w:pPr>
        <w:rPr>
          <w:rFonts w:ascii="Arial" w:hAnsi="Arial" w:cs="Arial"/>
        </w:rPr>
      </w:pPr>
      <w:r w:rsidRPr="0074648E">
        <w:rPr>
          <w:rFonts w:ascii="Arial" w:hAnsi="Arial" w:cs="Arial"/>
        </w:rPr>
        <w:t>The Receivables Turnover Ratio showed a decreasing trend over the five years, with 4.75 in 2020 and 3.48 in 2024. This pattern reflects a slower customer collection, probably because of longer credit terms or less aggressive collection during a falling sales cycle. A decrease in the receivables turnover may put pressure on cash flows</w:t>
      </w:r>
      <w:r w:rsidR="00623FD9" w:rsidRPr="0074648E">
        <w:rPr>
          <w:rFonts w:ascii="Arial" w:hAnsi="Arial" w:cs="Arial"/>
        </w:rPr>
        <w:t>,</w:t>
      </w:r>
      <w:r w:rsidRPr="0074648E">
        <w:rPr>
          <w:rFonts w:ascii="Arial" w:hAnsi="Arial" w:cs="Arial"/>
        </w:rPr>
        <w:t xml:space="preserve"> and bad debts </w:t>
      </w:r>
      <w:r w:rsidRPr="0074648E">
        <w:rPr>
          <w:rFonts w:ascii="Arial" w:hAnsi="Arial" w:cs="Arial"/>
        </w:rPr>
        <w:lastRenderedPageBreak/>
        <w:t xml:space="preserve">are more likely to occur, particularly in competitive markets where companies issue more credit to retain clients. </w:t>
      </w:r>
    </w:p>
    <w:p w14:paraId="13C52A1F" w14:textId="77777777" w:rsidR="00775000" w:rsidRDefault="00775000" w:rsidP="00CE7E6C">
      <w:pPr>
        <w:pStyle w:val="Heading3"/>
        <w:rPr>
          <w:rFonts w:ascii="Arial" w:hAnsi="Arial" w:cs="Arial"/>
        </w:rPr>
      </w:pPr>
      <w:bookmarkStart w:id="17" w:name="_Toc210855231"/>
      <w:r w:rsidRPr="0074648E">
        <w:rPr>
          <w:rFonts w:ascii="Arial" w:hAnsi="Arial" w:cs="Arial"/>
        </w:rPr>
        <w:t>Gearing</w:t>
      </w:r>
      <w:bookmarkEnd w:id="17"/>
    </w:p>
    <w:tbl>
      <w:tblPr>
        <w:tblW w:w="5000" w:type="pct"/>
        <w:tblLook w:val="04A0" w:firstRow="1" w:lastRow="0" w:firstColumn="1" w:lastColumn="0" w:noHBand="0" w:noVBand="1"/>
      </w:tblPr>
      <w:tblGrid>
        <w:gridCol w:w="2295"/>
        <w:gridCol w:w="993"/>
        <w:gridCol w:w="1125"/>
        <w:gridCol w:w="1125"/>
        <w:gridCol w:w="1125"/>
        <w:gridCol w:w="1125"/>
        <w:gridCol w:w="1125"/>
        <w:gridCol w:w="221"/>
        <w:gridCol w:w="221"/>
      </w:tblGrid>
      <w:tr w:rsidR="00396157" w:rsidRPr="0074648E" w14:paraId="56760F7B"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6022CB4B"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Debt-Equity Ratio</w:t>
            </w:r>
          </w:p>
        </w:tc>
        <w:tc>
          <w:tcPr>
            <w:tcW w:w="118" w:type="pct"/>
            <w:tcBorders>
              <w:top w:val="nil"/>
              <w:left w:val="nil"/>
              <w:bottom w:val="nil"/>
              <w:right w:val="nil"/>
            </w:tcBorders>
            <w:noWrap/>
            <w:vAlign w:val="bottom"/>
            <w:hideMark/>
          </w:tcPr>
          <w:p w14:paraId="31DDE43F"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288A2339"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7DC0715"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0A3CD05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531" w:type="pct"/>
            <w:tcBorders>
              <w:top w:val="nil"/>
              <w:left w:val="nil"/>
              <w:bottom w:val="single" w:sz="4" w:space="0" w:color="auto"/>
              <w:right w:val="single" w:sz="4" w:space="0" w:color="auto"/>
            </w:tcBorders>
            <w:noWrap/>
            <w:vAlign w:val="bottom"/>
            <w:hideMark/>
          </w:tcPr>
          <w:p w14:paraId="5A11F166"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601" w:type="pct"/>
            <w:tcBorders>
              <w:top w:val="nil"/>
              <w:left w:val="nil"/>
              <w:bottom w:val="single" w:sz="4" w:space="0" w:color="auto"/>
              <w:right w:val="single" w:sz="4" w:space="0" w:color="auto"/>
            </w:tcBorders>
            <w:noWrap/>
            <w:vAlign w:val="bottom"/>
            <w:hideMark/>
          </w:tcPr>
          <w:p w14:paraId="7D66B4B0"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601" w:type="pct"/>
            <w:tcBorders>
              <w:top w:val="nil"/>
              <w:left w:val="nil"/>
              <w:bottom w:val="single" w:sz="4" w:space="0" w:color="auto"/>
              <w:right w:val="single" w:sz="4" w:space="0" w:color="auto"/>
            </w:tcBorders>
            <w:noWrap/>
            <w:vAlign w:val="bottom"/>
            <w:hideMark/>
          </w:tcPr>
          <w:p w14:paraId="682EAD96"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601" w:type="pct"/>
            <w:tcBorders>
              <w:top w:val="nil"/>
              <w:left w:val="nil"/>
              <w:bottom w:val="single" w:sz="4" w:space="0" w:color="auto"/>
              <w:right w:val="single" w:sz="4" w:space="0" w:color="auto"/>
            </w:tcBorders>
            <w:noWrap/>
            <w:vAlign w:val="bottom"/>
            <w:hideMark/>
          </w:tcPr>
          <w:p w14:paraId="61C631D3"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601" w:type="pct"/>
            <w:tcBorders>
              <w:top w:val="nil"/>
              <w:left w:val="nil"/>
              <w:bottom w:val="single" w:sz="4" w:space="0" w:color="auto"/>
              <w:right w:val="single" w:sz="4" w:space="0" w:color="auto"/>
            </w:tcBorders>
            <w:noWrap/>
            <w:vAlign w:val="bottom"/>
            <w:hideMark/>
          </w:tcPr>
          <w:p w14:paraId="0B725FC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601" w:type="pct"/>
            <w:tcBorders>
              <w:top w:val="nil"/>
              <w:left w:val="nil"/>
              <w:bottom w:val="single" w:sz="4" w:space="0" w:color="auto"/>
              <w:right w:val="single" w:sz="4" w:space="0" w:color="auto"/>
            </w:tcBorders>
            <w:noWrap/>
            <w:vAlign w:val="bottom"/>
            <w:hideMark/>
          </w:tcPr>
          <w:p w14:paraId="3DD1B70D"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3168526D"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0A2EFE3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C7584D8"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5F088ED0"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Total Debt</w:t>
            </w:r>
          </w:p>
        </w:tc>
        <w:tc>
          <w:tcPr>
            <w:tcW w:w="531" w:type="pct"/>
            <w:vMerge w:val="restart"/>
            <w:tcBorders>
              <w:top w:val="nil"/>
              <w:left w:val="single" w:sz="4" w:space="0" w:color="auto"/>
              <w:bottom w:val="single" w:sz="4" w:space="0" w:color="auto"/>
              <w:right w:val="single" w:sz="4" w:space="0" w:color="auto"/>
            </w:tcBorders>
            <w:vAlign w:val="center"/>
            <w:hideMark/>
          </w:tcPr>
          <w:p w14:paraId="665BA7C3"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Total Debt/ Total Equity</w:t>
            </w:r>
          </w:p>
        </w:tc>
        <w:tc>
          <w:tcPr>
            <w:tcW w:w="601" w:type="pct"/>
            <w:tcBorders>
              <w:top w:val="nil"/>
              <w:left w:val="nil"/>
              <w:bottom w:val="single" w:sz="4" w:space="0" w:color="auto"/>
              <w:right w:val="single" w:sz="4" w:space="0" w:color="auto"/>
            </w:tcBorders>
            <w:noWrap/>
            <w:vAlign w:val="center"/>
            <w:hideMark/>
          </w:tcPr>
          <w:p w14:paraId="653FDAC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170,249</w:t>
            </w:r>
          </w:p>
        </w:tc>
        <w:tc>
          <w:tcPr>
            <w:tcW w:w="601" w:type="pct"/>
            <w:tcBorders>
              <w:top w:val="nil"/>
              <w:left w:val="nil"/>
              <w:bottom w:val="single" w:sz="4" w:space="0" w:color="auto"/>
              <w:right w:val="single" w:sz="4" w:space="0" w:color="auto"/>
            </w:tcBorders>
            <w:noWrap/>
            <w:vAlign w:val="center"/>
            <w:hideMark/>
          </w:tcPr>
          <w:p w14:paraId="5DB7DBB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176,952</w:t>
            </w:r>
          </w:p>
        </w:tc>
        <w:tc>
          <w:tcPr>
            <w:tcW w:w="601" w:type="pct"/>
            <w:tcBorders>
              <w:top w:val="nil"/>
              <w:left w:val="nil"/>
              <w:bottom w:val="single" w:sz="4" w:space="0" w:color="auto"/>
              <w:right w:val="single" w:sz="4" w:space="0" w:color="auto"/>
            </w:tcBorders>
            <w:noWrap/>
            <w:vAlign w:val="center"/>
            <w:hideMark/>
          </w:tcPr>
          <w:p w14:paraId="71746E1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235,757</w:t>
            </w:r>
          </w:p>
        </w:tc>
        <w:tc>
          <w:tcPr>
            <w:tcW w:w="601" w:type="pct"/>
            <w:tcBorders>
              <w:top w:val="nil"/>
              <w:left w:val="nil"/>
              <w:bottom w:val="single" w:sz="4" w:space="0" w:color="auto"/>
              <w:right w:val="single" w:sz="4" w:space="0" w:color="auto"/>
            </w:tcBorders>
            <w:noWrap/>
            <w:vAlign w:val="center"/>
            <w:hideMark/>
          </w:tcPr>
          <w:p w14:paraId="1AAF6EA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234,399</w:t>
            </w:r>
          </w:p>
        </w:tc>
        <w:tc>
          <w:tcPr>
            <w:tcW w:w="601" w:type="pct"/>
            <w:tcBorders>
              <w:top w:val="nil"/>
              <w:left w:val="nil"/>
              <w:bottom w:val="single" w:sz="4" w:space="0" w:color="auto"/>
              <w:right w:val="single" w:sz="4" w:space="0" w:color="auto"/>
            </w:tcBorders>
            <w:noWrap/>
            <w:vAlign w:val="center"/>
            <w:hideMark/>
          </w:tcPr>
          <w:p w14:paraId="573596E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196,989</w:t>
            </w:r>
          </w:p>
        </w:tc>
        <w:tc>
          <w:tcPr>
            <w:tcW w:w="118" w:type="pct"/>
            <w:tcBorders>
              <w:top w:val="nil"/>
              <w:left w:val="nil"/>
              <w:bottom w:val="nil"/>
              <w:right w:val="nil"/>
            </w:tcBorders>
            <w:noWrap/>
            <w:vAlign w:val="bottom"/>
            <w:hideMark/>
          </w:tcPr>
          <w:p w14:paraId="3DEBBECA"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18032A2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53516B0"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53762869"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Total Equity</w:t>
            </w:r>
          </w:p>
        </w:tc>
        <w:tc>
          <w:tcPr>
            <w:tcW w:w="531" w:type="pct"/>
            <w:vMerge/>
            <w:tcBorders>
              <w:top w:val="nil"/>
              <w:left w:val="single" w:sz="4" w:space="0" w:color="auto"/>
              <w:bottom w:val="single" w:sz="4" w:space="0" w:color="auto"/>
              <w:right w:val="single" w:sz="4" w:space="0" w:color="auto"/>
            </w:tcBorders>
            <w:vAlign w:val="center"/>
            <w:hideMark/>
          </w:tcPr>
          <w:p w14:paraId="76F92B18"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1" w:type="pct"/>
            <w:tcBorders>
              <w:top w:val="nil"/>
              <w:left w:val="nil"/>
              <w:bottom w:val="single" w:sz="4" w:space="0" w:color="auto"/>
              <w:right w:val="single" w:sz="4" w:space="0" w:color="auto"/>
            </w:tcBorders>
            <w:noWrap/>
            <w:vAlign w:val="center"/>
            <w:hideMark/>
          </w:tcPr>
          <w:p w14:paraId="4FF7279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153,105</w:t>
            </w:r>
          </w:p>
        </w:tc>
        <w:tc>
          <w:tcPr>
            <w:tcW w:w="601" w:type="pct"/>
            <w:tcBorders>
              <w:top w:val="nil"/>
              <w:left w:val="nil"/>
              <w:bottom w:val="single" w:sz="4" w:space="0" w:color="auto"/>
              <w:right w:val="single" w:sz="4" w:space="0" w:color="auto"/>
            </w:tcBorders>
            <w:noWrap/>
            <w:vAlign w:val="center"/>
            <w:hideMark/>
          </w:tcPr>
          <w:p w14:paraId="57B686A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178,920</w:t>
            </w:r>
          </w:p>
        </w:tc>
        <w:tc>
          <w:tcPr>
            <w:tcW w:w="601" w:type="pct"/>
            <w:tcBorders>
              <w:top w:val="nil"/>
              <w:left w:val="nil"/>
              <w:bottom w:val="single" w:sz="4" w:space="0" w:color="auto"/>
              <w:right w:val="single" w:sz="4" w:space="0" w:color="auto"/>
            </w:tcBorders>
            <w:noWrap/>
            <w:vAlign w:val="center"/>
            <w:hideMark/>
          </w:tcPr>
          <w:p w14:paraId="105964E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268,406</w:t>
            </w:r>
          </w:p>
        </w:tc>
        <w:tc>
          <w:tcPr>
            <w:tcW w:w="601" w:type="pct"/>
            <w:tcBorders>
              <w:top w:val="nil"/>
              <w:left w:val="nil"/>
              <w:bottom w:val="single" w:sz="4" w:space="0" w:color="auto"/>
              <w:right w:val="single" w:sz="4" w:space="0" w:color="auto"/>
            </w:tcBorders>
            <w:noWrap/>
            <w:vAlign w:val="center"/>
            <w:hideMark/>
          </w:tcPr>
          <w:p w14:paraId="507FD0E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275,949</w:t>
            </w:r>
          </w:p>
        </w:tc>
        <w:tc>
          <w:tcPr>
            <w:tcW w:w="601" w:type="pct"/>
            <w:tcBorders>
              <w:top w:val="nil"/>
              <w:left w:val="nil"/>
              <w:bottom w:val="single" w:sz="4" w:space="0" w:color="auto"/>
              <w:right w:val="single" w:sz="4" w:space="0" w:color="auto"/>
            </w:tcBorders>
            <w:noWrap/>
            <w:vAlign w:val="center"/>
            <w:hideMark/>
          </w:tcPr>
          <w:p w14:paraId="527DD42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313,301</w:t>
            </w:r>
          </w:p>
        </w:tc>
        <w:tc>
          <w:tcPr>
            <w:tcW w:w="118" w:type="pct"/>
            <w:tcBorders>
              <w:top w:val="nil"/>
              <w:left w:val="nil"/>
              <w:bottom w:val="nil"/>
              <w:right w:val="nil"/>
            </w:tcBorders>
            <w:noWrap/>
            <w:vAlign w:val="bottom"/>
            <w:hideMark/>
          </w:tcPr>
          <w:p w14:paraId="403FE841"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6EBDDF86"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1C07B357"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60B40CEA"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Debt-Equity Ratio</w:t>
            </w:r>
          </w:p>
        </w:tc>
        <w:tc>
          <w:tcPr>
            <w:tcW w:w="531" w:type="pct"/>
            <w:vMerge/>
            <w:tcBorders>
              <w:top w:val="nil"/>
              <w:left w:val="single" w:sz="4" w:space="0" w:color="auto"/>
              <w:bottom w:val="single" w:sz="4" w:space="0" w:color="auto"/>
              <w:right w:val="single" w:sz="4" w:space="0" w:color="auto"/>
            </w:tcBorders>
            <w:vAlign w:val="center"/>
            <w:hideMark/>
          </w:tcPr>
          <w:p w14:paraId="766068F0"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1" w:type="pct"/>
            <w:tcBorders>
              <w:top w:val="nil"/>
              <w:left w:val="nil"/>
              <w:bottom w:val="single" w:sz="4" w:space="0" w:color="auto"/>
              <w:right w:val="single" w:sz="4" w:space="0" w:color="auto"/>
            </w:tcBorders>
            <w:noWrap/>
            <w:vAlign w:val="bottom"/>
            <w:hideMark/>
          </w:tcPr>
          <w:p w14:paraId="6BA6A9A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1.11</w:t>
            </w:r>
          </w:p>
        </w:tc>
        <w:tc>
          <w:tcPr>
            <w:tcW w:w="601" w:type="pct"/>
            <w:tcBorders>
              <w:top w:val="nil"/>
              <w:left w:val="nil"/>
              <w:bottom w:val="single" w:sz="4" w:space="0" w:color="auto"/>
              <w:right w:val="single" w:sz="4" w:space="0" w:color="auto"/>
            </w:tcBorders>
            <w:noWrap/>
            <w:vAlign w:val="bottom"/>
            <w:hideMark/>
          </w:tcPr>
          <w:p w14:paraId="73C7969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0.99</w:t>
            </w:r>
          </w:p>
        </w:tc>
        <w:tc>
          <w:tcPr>
            <w:tcW w:w="601" w:type="pct"/>
            <w:tcBorders>
              <w:top w:val="nil"/>
              <w:left w:val="nil"/>
              <w:bottom w:val="single" w:sz="4" w:space="0" w:color="auto"/>
              <w:right w:val="single" w:sz="4" w:space="0" w:color="auto"/>
            </w:tcBorders>
            <w:noWrap/>
            <w:vAlign w:val="bottom"/>
            <w:hideMark/>
          </w:tcPr>
          <w:p w14:paraId="4AE8920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0.88</w:t>
            </w:r>
          </w:p>
        </w:tc>
        <w:tc>
          <w:tcPr>
            <w:tcW w:w="601" w:type="pct"/>
            <w:tcBorders>
              <w:top w:val="nil"/>
              <w:left w:val="nil"/>
              <w:bottom w:val="single" w:sz="4" w:space="0" w:color="auto"/>
              <w:right w:val="single" w:sz="4" w:space="0" w:color="auto"/>
            </w:tcBorders>
            <w:noWrap/>
            <w:vAlign w:val="bottom"/>
            <w:hideMark/>
          </w:tcPr>
          <w:p w14:paraId="5737879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0.85</w:t>
            </w:r>
          </w:p>
        </w:tc>
        <w:tc>
          <w:tcPr>
            <w:tcW w:w="601" w:type="pct"/>
            <w:tcBorders>
              <w:top w:val="nil"/>
              <w:left w:val="nil"/>
              <w:bottom w:val="single" w:sz="4" w:space="0" w:color="auto"/>
              <w:right w:val="single" w:sz="4" w:space="0" w:color="auto"/>
            </w:tcBorders>
            <w:noWrap/>
            <w:vAlign w:val="bottom"/>
            <w:hideMark/>
          </w:tcPr>
          <w:p w14:paraId="08596C4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0.63</w:t>
            </w:r>
          </w:p>
        </w:tc>
        <w:tc>
          <w:tcPr>
            <w:tcW w:w="118" w:type="pct"/>
            <w:tcBorders>
              <w:top w:val="nil"/>
              <w:left w:val="nil"/>
              <w:bottom w:val="nil"/>
              <w:right w:val="nil"/>
            </w:tcBorders>
            <w:noWrap/>
            <w:vAlign w:val="bottom"/>
            <w:hideMark/>
          </w:tcPr>
          <w:p w14:paraId="699C5B2D"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2E62B6B3"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1D4AC681" w14:textId="77777777" w:rsidTr="00396157">
        <w:trPr>
          <w:trHeight w:val="310"/>
        </w:trPr>
        <w:tc>
          <w:tcPr>
            <w:tcW w:w="1227" w:type="pct"/>
            <w:tcBorders>
              <w:top w:val="nil"/>
              <w:left w:val="nil"/>
              <w:bottom w:val="nil"/>
              <w:right w:val="nil"/>
            </w:tcBorders>
            <w:noWrap/>
            <w:vAlign w:val="bottom"/>
            <w:hideMark/>
          </w:tcPr>
          <w:p w14:paraId="6E77E0ED"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31" w:type="pct"/>
            <w:tcBorders>
              <w:top w:val="nil"/>
              <w:left w:val="nil"/>
              <w:bottom w:val="nil"/>
              <w:right w:val="nil"/>
            </w:tcBorders>
            <w:noWrap/>
            <w:vAlign w:val="bottom"/>
            <w:hideMark/>
          </w:tcPr>
          <w:p w14:paraId="07FCD98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0A314259"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1ECAF5F3"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6B4A25C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1698D7A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00951123"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71BF106D"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49E625F3"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1DB46BCD"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58ADF391"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Interest Coverage Ratio</w:t>
            </w:r>
          </w:p>
        </w:tc>
        <w:tc>
          <w:tcPr>
            <w:tcW w:w="118" w:type="pct"/>
            <w:tcBorders>
              <w:top w:val="nil"/>
              <w:left w:val="nil"/>
              <w:bottom w:val="nil"/>
              <w:right w:val="nil"/>
            </w:tcBorders>
            <w:noWrap/>
            <w:vAlign w:val="bottom"/>
            <w:hideMark/>
          </w:tcPr>
          <w:p w14:paraId="2465DE10"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7304E43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568FCF0"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2D984C26"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531" w:type="pct"/>
            <w:tcBorders>
              <w:top w:val="nil"/>
              <w:left w:val="nil"/>
              <w:bottom w:val="single" w:sz="4" w:space="0" w:color="auto"/>
              <w:right w:val="single" w:sz="4" w:space="0" w:color="auto"/>
            </w:tcBorders>
            <w:noWrap/>
            <w:vAlign w:val="bottom"/>
            <w:hideMark/>
          </w:tcPr>
          <w:p w14:paraId="46AE1BE1"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601" w:type="pct"/>
            <w:tcBorders>
              <w:top w:val="nil"/>
              <w:left w:val="nil"/>
              <w:bottom w:val="single" w:sz="4" w:space="0" w:color="auto"/>
              <w:right w:val="single" w:sz="4" w:space="0" w:color="auto"/>
            </w:tcBorders>
            <w:noWrap/>
            <w:vAlign w:val="bottom"/>
            <w:hideMark/>
          </w:tcPr>
          <w:p w14:paraId="20706AE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601" w:type="pct"/>
            <w:tcBorders>
              <w:top w:val="nil"/>
              <w:left w:val="nil"/>
              <w:bottom w:val="single" w:sz="4" w:space="0" w:color="auto"/>
              <w:right w:val="single" w:sz="4" w:space="0" w:color="auto"/>
            </w:tcBorders>
            <w:noWrap/>
            <w:vAlign w:val="bottom"/>
            <w:hideMark/>
          </w:tcPr>
          <w:p w14:paraId="13C28D98"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601" w:type="pct"/>
            <w:tcBorders>
              <w:top w:val="nil"/>
              <w:left w:val="nil"/>
              <w:bottom w:val="single" w:sz="4" w:space="0" w:color="auto"/>
              <w:right w:val="single" w:sz="4" w:space="0" w:color="auto"/>
            </w:tcBorders>
            <w:noWrap/>
            <w:vAlign w:val="bottom"/>
            <w:hideMark/>
          </w:tcPr>
          <w:p w14:paraId="29BEB9FD"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601" w:type="pct"/>
            <w:tcBorders>
              <w:top w:val="nil"/>
              <w:left w:val="nil"/>
              <w:bottom w:val="single" w:sz="4" w:space="0" w:color="auto"/>
              <w:right w:val="single" w:sz="4" w:space="0" w:color="auto"/>
            </w:tcBorders>
            <w:noWrap/>
            <w:vAlign w:val="bottom"/>
            <w:hideMark/>
          </w:tcPr>
          <w:p w14:paraId="14F1FA7A"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601" w:type="pct"/>
            <w:tcBorders>
              <w:top w:val="nil"/>
              <w:left w:val="nil"/>
              <w:bottom w:val="single" w:sz="4" w:space="0" w:color="auto"/>
              <w:right w:val="single" w:sz="4" w:space="0" w:color="auto"/>
            </w:tcBorders>
            <w:noWrap/>
            <w:vAlign w:val="bottom"/>
            <w:hideMark/>
          </w:tcPr>
          <w:p w14:paraId="2222CC73"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2C0A1F1C"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1B584C0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1BA29319"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47BC419A"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EBIT</w:t>
            </w:r>
          </w:p>
        </w:tc>
        <w:tc>
          <w:tcPr>
            <w:tcW w:w="531" w:type="pct"/>
            <w:vMerge w:val="restart"/>
            <w:tcBorders>
              <w:top w:val="nil"/>
              <w:left w:val="single" w:sz="4" w:space="0" w:color="auto"/>
              <w:bottom w:val="single" w:sz="4" w:space="0" w:color="auto"/>
              <w:right w:val="single" w:sz="4" w:space="0" w:color="auto"/>
            </w:tcBorders>
            <w:vAlign w:val="center"/>
            <w:hideMark/>
          </w:tcPr>
          <w:p w14:paraId="1C2D968D"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EBIT/ Interest Expense</w:t>
            </w:r>
          </w:p>
        </w:tc>
        <w:tc>
          <w:tcPr>
            <w:tcW w:w="601" w:type="pct"/>
            <w:tcBorders>
              <w:top w:val="nil"/>
              <w:left w:val="nil"/>
              <w:bottom w:val="single" w:sz="4" w:space="0" w:color="auto"/>
              <w:right w:val="single" w:sz="4" w:space="0" w:color="auto"/>
            </w:tcBorders>
            <w:noWrap/>
            <w:vAlign w:val="bottom"/>
            <w:hideMark/>
          </w:tcPr>
          <w:p w14:paraId="1BF55E6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-15,297</w:t>
            </w:r>
          </w:p>
        </w:tc>
        <w:tc>
          <w:tcPr>
            <w:tcW w:w="601" w:type="pct"/>
            <w:tcBorders>
              <w:top w:val="nil"/>
              <w:left w:val="nil"/>
              <w:bottom w:val="single" w:sz="4" w:space="0" w:color="auto"/>
              <w:right w:val="single" w:sz="4" w:space="0" w:color="auto"/>
            </w:tcBorders>
            <w:noWrap/>
            <w:vAlign w:val="bottom"/>
            <w:hideMark/>
          </w:tcPr>
          <w:p w14:paraId="2F32DA8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-85,301</w:t>
            </w:r>
          </w:p>
        </w:tc>
        <w:tc>
          <w:tcPr>
            <w:tcW w:w="601" w:type="pct"/>
            <w:tcBorders>
              <w:top w:val="nil"/>
              <w:left w:val="nil"/>
              <w:bottom w:val="single" w:sz="4" w:space="0" w:color="auto"/>
              <w:right w:val="single" w:sz="4" w:space="0" w:color="auto"/>
            </w:tcBorders>
            <w:noWrap/>
            <w:vAlign w:val="center"/>
            <w:hideMark/>
          </w:tcPr>
          <w:p w14:paraId="4CF6295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14,548</w:t>
            </w:r>
          </w:p>
        </w:tc>
        <w:tc>
          <w:tcPr>
            <w:tcW w:w="601" w:type="pct"/>
            <w:tcBorders>
              <w:top w:val="nil"/>
              <w:left w:val="nil"/>
              <w:bottom w:val="single" w:sz="4" w:space="0" w:color="auto"/>
              <w:right w:val="single" w:sz="4" w:space="0" w:color="auto"/>
            </w:tcBorders>
            <w:noWrap/>
            <w:vAlign w:val="center"/>
            <w:hideMark/>
          </w:tcPr>
          <w:p w14:paraId="1A9D90B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23,253</w:t>
            </w:r>
          </w:p>
        </w:tc>
        <w:tc>
          <w:tcPr>
            <w:tcW w:w="601" w:type="pct"/>
            <w:tcBorders>
              <w:top w:val="nil"/>
              <w:left w:val="nil"/>
              <w:bottom w:val="single" w:sz="4" w:space="0" w:color="auto"/>
              <w:right w:val="single" w:sz="4" w:space="0" w:color="auto"/>
            </w:tcBorders>
            <w:noWrap/>
            <w:vAlign w:val="center"/>
            <w:hideMark/>
          </w:tcPr>
          <w:p w14:paraId="29C6156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37,267</w:t>
            </w:r>
          </w:p>
        </w:tc>
        <w:tc>
          <w:tcPr>
            <w:tcW w:w="118" w:type="pct"/>
            <w:tcBorders>
              <w:top w:val="nil"/>
              <w:left w:val="nil"/>
              <w:bottom w:val="nil"/>
              <w:right w:val="nil"/>
            </w:tcBorders>
            <w:noWrap/>
            <w:vAlign w:val="bottom"/>
            <w:hideMark/>
          </w:tcPr>
          <w:p w14:paraId="2F2FBE20"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559DA3D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192E16A0"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46F1D776"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Interest Expense</w:t>
            </w:r>
          </w:p>
        </w:tc>
        <w:tc>
          <w:tcPr>
            <w:tcW w:w="531" w:type="pct"/>
            <w:vMerge/>
            <w:tcBorders>
              <w:top w:val="nil"/>
              <w:left w:val="single" w:sz="4" w:space="0" w:color="auto"/>
              <w:bottom w:val="single" w:sz="4" w:space="0" w:color="auto"/>
              <w:right w:val="single" w:sz="4" w:space="0" w:color="auto"/>
            </w:tcBorders>
            <w:vAlign w:val="center"/>
            <w:hideMark/>
          </w:tcPr>
          <w:p w14:paraId="46E3983E"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1" w:type="pct"/>
            <w:tcBorders>
              <w:top w:val="nil"/>
              <w:left w:val="nil"/>
              <w:bottom w:val="single" w:sz="4" w:space="0" w:color="auto"/>
              <w:right w:val="single" w:sz="4" w:space="0" w:color="auto"/>
            </w:tcBorders>
            <w:noWrap/>
            <w:vAlign w:val="bottom"/>
            <w:hideMark/>
          </w:tcPr>
          <w:p w14:paraId="24545C3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3,361</w:t>
            </w:r>
          </w:p>
        </w:tc>
        <w:tc>
          <w:tcPr>
            <w:tcW w:w="601" w:type="pct"/>
            <w:tcBorders>
              <w:top w:val="nil"/>
              <w:left w:val="nil"/>
              <w:bottom w:val="single" w:sz="4" w:space="0" w:color="auto"/>
              <w:right w:val="single" w:sz="4" w:space="0" w:color="auto"/>
            </w:tcBorders>
            <w:noWrap/>
            <w:vAlign w:val="bottom"/>
            <w:hideMark/>
          </w:tcPr>
          <w:p w14:paraId="53626DB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4,332</w:t>
            </w:r>
          </w:p>
        </w:tc>
        <w:tc>
          <w:tcPr>
            <w:tcW w:w="601" w:type="pct"/>
            <w:tcBorders>
              <w:top w:val="nil"/>
              <w:left w:val="nil"/>
              <w:bottom w:val="single" w:sz="4" w:space="0" w:color="auto"/>
              <w:right w:val="single" w:sz="4" w:space="0" w:color="auto"/>
            </w:tcBorders>
            <w:noWrap/>
            <w:vAlign w:val="bottom"/>
            <w:hideMark/>
          </w:tcPr>
          <w:p w14:paraId="0217E71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2,200</w:t>
            </w:r>
          </w:p>
        </w:tc>
        <w:tc>
          <w:tcPr>
            <w:tcW w:w="601" w:type="pct"/>
            <w:tcBorders>
              <w:top w:val="nil"/>
              <w:left w:val="nil"/>
              <w:bottom w:val="single" w:sz="4" w:space="0" w:color="auto"/>
              <w:right w:val="single" w:sz="4" w:space="0" w:color="auto"/>
            </w:tcBorders>
            <w:noWrap/>
            <w:vAlign w:val="bottom"/>
            <w:hideMark/>
          </w:tcPr>
          <w:p w14:paraId="6A0A110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566</w:t>
            </w:r>
          </w:p>
        </w:tc>
        <w:tc>
          <w:tcPr>
            <w:tcW w:w="601" w:type="pct"/>
            <w:tcBorders>
              <w:top w:val="nil"/>
              <w:left w:val="nil"/>
              <w:bottom w:val="single" w:sz="4" w:space="0" w:color="auto"/>
              <w:right w:val="single" w:sz="4" w:space="0" w:color="auto"/>
            </w:tcBorders>
            <w:noWrap/>
            <w:vAlign w:val="bottom"/>
            <w:hideMark/>
          </w:tcPr>
          <w:p w14:paraId="1F3B72E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1,422</w:t>
            </w:r>
          </w:p>
        </w:tc>
        <w:tc>
          <w:tcPr>
            <w:tcW w:w="118" w:type="pct"/>
            <w:tcBorders>
              <w:top w:val="nil"/>
              <w:left w:val="nil"/>
              <w:bottom w:val="nil"/>
              <w:right w:val="nil"/>
            </w:tcBorders>
            <w:noWrap/>
            <w:vAlign w:val="bottom"/>
            <w:hideMark/>
          </w:tcPr>
          <w:p w14:paraId="46B3544B"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68B5955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9BF9DE2" w14:textId="77777777" w:rsidTr="00396157">
        <w:trPr>
          <w:trHeight w:val="310"/>
        </w:trPr>
        <w:tc>
          <w:tcPr>
            <w:tcW w:w="1227" w:type="pct"/>
            <w:tcBorders>
              <w:top w:val="nil"/>
              <w:left w:val="single" w:sz="4" w:space="0" w:color="auto"/>
              <w:bottom w:val="single" w:sz="4" w:space="0" w:color="auto"/>
              <w:right w:val="single" w:sz="4" w:space="0" w:color="auto"/>
            </w:tcBorders>
            <w:noWrap/>
            <w:vAlign w:val="bottom"/>
            <w:hideMark/>
          </w:tcPr>
          <w:p w14:paraId="1826B592"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Interest Coverage Ratio</w:t>
            </w:r>
          </w:p>
        </w:tc>
        <w:tc>
          <w:tcPr>
            <w:tcW w:w="531" w:type="pct"/>
            <w:vMerge/>
            <w:tcBorders>
              <w:top w:val="nil"/>
              <w:left w:val="single" w:sz="4" w:space="0" w:color="auto"/>
              <w:bottom w:val="single" w:sz="4" w:space="0" w:color="auto"/>
              <w:right w:val="single" w:sz="4" w:space="0" w:color="auto"/>
            </w:tcBorders>
            <w:vAlign w:val="center"/>
            <w:hideMark/>
          </w:tcPr>
          <w:p w14:paraId="2010536B"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601" w:type="pct"/>
            <w:tcBorders>
              <w:top w:val="nil"/>
              <w:left w:val="nil"/>
              <w:bottom w:val="single" w:sz="4" w:space="0" w:color="auto"/>
              <w:right w:val="single" w:sz="4" w:space="0" w:color="auto"/>
            </w:tcBorders>
            <w:noWrap/>
            <w:vAlign w:val="bottom"/>
            <w:hideMark/>
          </w:tcPr>
          <w:p w14:paraId="2D5CFE3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-4.55</w:t>
            </w:r>
          </w:p>
        </w:tc>
        <w:tc>
          <w:tcPr>
            <w:tcW w:w="601" w:type="pct"/>
            <w:tcBorders>
              <w:top w:val="nil"/>
              <w:left w:val="nil"/>
              <w:bottom w:val="single" w:sz="4" w:space="0" w:color="auto"/>
              <w:right w:val="single" w:sz="4" w:space="0" w:color="auto"/>
            </w:tcBorders>
            <w:noWrap/>
            <w:vAlign w:val="bottom"/>
            <w:hideMark/>
          </w:tcPr>
          <w:p w14:paraId="6392909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-19.69</w:t>
            </w:r>
          </w:p>
        </w:tc>
        <w:tc>
          <w:tcPr>
            <w:tcW w:w="601" w:type="pct"/>
            <w:tcBorders>
              <w:top w:val="nil"/>
              <w:left w:val="nil"/>
              <w:bottom w:val="single" w:sz="4" w:space="0" w:color="auto"/>
              <w:right w:val="single" w:sz="4" w:space="0" w:color="auto"/>
            </w:tcBorders>
            <w:noWrap/>
            <w:vAlign w:val="bottom"/>
            <w:hideMark/>
          </w:tcPr>
          <w:p w14:paraId="08C1418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6.61</w:t>
            </w:r>
          </w:p>
        </w:tc>
        <w:tc>
          <w:tcPr>
            <w:tcW w:w="601" w:type="pct"/>
            <w:tcBorders>
              <w:top w:val="nil"/>
              <w:left w:val="nil"/>
              <w:bottom w:val="single" w:sz="4" w:space="0" w:color="auto"/>
              <w:right w:val="single" w:sz="4" w:space="0" w:color="auto"/>
            </w:tcBorders>
            <w:noWrap/>
            <w:vAlign w:val="bottom"/>
            <w:hideMark/>
          </w:tcPr>
          <w:p w14:paraId="78FAAD2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41.08</w:t>
            </w:r>
          </w:p>
        </w:tc>
        <w:tc>
          <w:tcPr>
            <w:tcW w:w="601" w:type="pct"/>
            <w:tcBorders>
              <w:top w:val="nil"/>
              <w:left w:val="nil"/>
              <w:bottom w:val="single" w:sz="4" w:space="0" w:color="auto"/>
              <w:right w:val="single" w:sz="4" w:space="0" w:color="auto"/>
            </w:tcBorders>
            <w:noWrap/>
            <w:vAlign w:val="bottom"/>
            <w:hideMark/>
          </w:tcPr>
          <w:p w14:paraId="43D0BED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26.21</w:t>
            </w:r>
          </w:p>
        </w:tc>
        <w:tc>
          <w:tcPr>
            <w:tcW w:w="118" w:type="pct"/>
            <w:tcBorders>
              <w:top w:val="nil"/>
              <w:left w:val="nil"/>
              <w:bottom w:val="nil"/>
              <w:right w:val="nil"/>
            </w:tcBorders>
            <w:noWrap/>
            <w:vAlign w:val="bottom"/>
            <w:hideMark/>
          </w:tcPr>
          <w:p w14:paraId="3A359DF6"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35F9C32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26F5D63" w14:textId="77777777" w:rsidTr="00396157">
        <w:trPr>
          <w:trHeight w:val="310"/>
        </w:trPr>
        <w:tc>
          <w:tcPr>
            <w:tcW w:w="1227" w:type="pct"/>
            <w:tcBorders>
              <w:top w:val="nil"/>
              <w:left w:val="nil"/>
              <w:bottom w:val="nil"/>
              <w:right w:val="nil"/>
            </w:tcBorders>
            <w:noWrap/>
            <w:vAlign w:val="bottom"/>
            <w:hideMark/>
          </w:tcPr>
          <w:p w14:paraId="5718B939"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31" w:type="pct"/>
            <w:tcBorders>
              <w:top w:val="nil"/>
              <w:left w:val="nil"/>
              <w:bottom w:val="nil"/>
              <w:right w:val="nil"/>
            </w:tcBorders>
            <w:noWrap/>
            <w:vAlign w:val="bottom"/>
            <w:hideMark/>
          </w:tcPr>
          <w:p w14:paraId="6A869C8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49305C5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5F54036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3514237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60A0A4C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601" w:type="pct"/>
            <w:tcBorders>
              <w:top w:val="nil"/>
              <w:left w:val="nil"/>
              <w:bottom w:val="nil"/>
              <w:right w:val="nil"/>
            </w:tcBorders>
            <w:noWrap/>
            <w:vAlign w:val="bottom"/>
            <w:hideMark/>
          </w:tcPr>
          <w:p w14:paraId="0DDD5FE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00B3CD1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0CCFFED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bl>
    <w:p w14:paraId="5137AE33" w14:textId="310646C8" w:rsidR="00396157" w:rsidRPr="00396157" w:rsidRDefault="00396157" w:rsidP="00396157">
      <w:pPr>
        <w:pStyle w:val="Caption"/>
        <w:jc w:val="center"/>
        <w:rPr>
          <w:rFonts w:ascii="Arial" w:hAnsi="Arial" w:cs="Arial"/>
          <w:color w:val="auto"/>
        </w:rPr>
      </w:pPr>
      <w:bookmarkStart w:id="18" w:name="_Toc210664726"/>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4</w:t>
      </w:r>
      <w:r w:rsidRPr="0074648E">
        <w:rPr>
          <w:rFonts w:ascii="Arial" w:hAnsi="Arial" w:cs="Arial"/>
          <w:color w:val="auto"/>
        </w:rPr>
        <w:fldChar w:fldCharType="end"/>
      </w:r>
      <w:r w:rsidRPr="0074648E">
        <w:rPr>
          <w:rFonts w:ascii="Arial" w:hAnsi="Arial" w:cs="Arial"/>
          <w:color w:val="auto"/>
        </w:rPr>
        <w:t>: Gearing Result</w:t>
      </w:r>
      <w:bookmarkEnd w:id="18"/>
    </w:p>
    <w:p w14:paraId="7F595731" w14:textId="77777777" w:rsidR="00572DDE" w:rsidRPr="0074648E" w:rsidRDefault="007A199B" w:rsidP="00572DDE">
      <w:pPr>
        <w:keepNext/>
        <w:jc w:val="center"/>
        <w:rPr>
          <w:rFonts w:ascii="Arial" w:hAnsi="Arial" w:cs="Arial"/>
        </w:rPr>
      </w:pPr>
      <w:r w:rsidRPr="0074648E">
        <w:rPr>
          <w:rFonts w:ascii="Arial" w:hAnsi="Arial" w:cs="Arial"/>
          <w:noProof/>
        </w:rPr>
        <w:drawing>
          <wp:inline distT="0" distB="0" distL="0" distR="0" wp14:anchorId="777C5E86" wp14:editId="663CC56C">
            <wp:extent cx="3352800" cy="2165350"/>
            <wp:effectExtent l="0" t="0" r="0" b="6350"/>
            <wp:docPr id="1448892911" name="Chart 1">
              <a:extLst xmlns:a="http://schemas.openxmlformats.org/drawingml/2006/main">
                <a:ext uri="{FF2B5EF4-FFF2-40B4-BE49-F238E27FC236}">
                  <a16:creationId xmlns:a16="http://schemas.microsoft.com/office/drawing/2014/main" id="{9D79BF4A-F9FE-F43E-92E9-AAF7CAD90A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91C36F" w14:textId="153ABF5D" w:rsidR="007A199B" w:rsidRPr="0074648E" w:rsidRDefault="00572DDE" w:rsidP="00572DDE">
      <w:pPr>
        <w:pStyle w:val="Caption"/>
        <w:jc w:val="center"/>
        <w:rPr>
          <w:rFonts w:ascii="Arial" w:hAnsi="Arial" w:cs="Arial"/>
          <w:color w:val="auto"/>
        </w:rPr>
      </w:pPr>
      <w:bookmarkStart w:id="19" w:name="_Toc210664664"/>
      <w:bookmarkStart w:id="20" w:name="_Toc210664720"/>
      <w:r w:rsidRPr="0074648E">
        <w:rPr>
          <w:rFonts w:ascii="Arial" w:hAnsi="Arial" w:cs="Arial"/>
          <w:color w:val="auto"/>
        </w:rPr>
        <w:t xml:space="preserve">Figure </w:t>
      </w:r>
      <w:r w:rsidRPr="0074648E">
        <w:rPr>
          <w:rFonts w:ascii="Arial" w:hAnsi="Arial" w:cs="Arial"/>
          <w:color w:val="auto"/>
        </w:rPr>
        <w:fldChar w:fldCharType="begin"/>
      </w:r>
      <w:r w:rsidRPr="0074648E">
        <w:rPr>
          <w:rFonts w:ascii="Arial" w:hAnsi="Arial" w:cs="Arial"/>
          <w:color w:val="auto"/>
        </w:rPr>
        <w:instrText xml:space="preserve"> SEQ Figure \* ARABIC </w:instrText>
      </w:r>
      <w:r w:rsidRPr="0074648E">
        <w:rPr>
          <w:rFonts w:ascii="Arial" w:hAnsi="Arial" w:cs="Arial"/>
          <w:color w:val="auto"/>
        </w:rPr>
        <w:fldChar w:fldCharType="separate"/>
      </w:r>
      <w:r w:rsidRPr="0074648E">
        <w:rPr>
          <w:rFonts w:ascii="Arial" w:hAnsi="Arial" w:cs="Arial"/>
          <w:noProof/>
          <w:color w:val="auto"/>
        </w:rPr>
        <w:t>4</w:t>
      </w:r>
      <w:r w:rsidRPr="0074648E">
        <w:rPr>
          <w:rFonts w:ascii="Arial" w:hAnsi="Arial" w:cs="Arial"/>
          <w:color w:val="auto"/>
        </w:rPr>
        <w:fldChar w:fldCharType="end"/>
      </w:r>
      <w:r w:rsidRPr="0074648E">
        <w:rPr>
          <w:rFonts w:ascii="Arial" w:hAnsi="Arial" w:cs="Arial"/>
          <w:color w:val="auto"/>
        </w:rPr>
        <w:t>: Gearing Ratios</w:t>
      </w:r>
      <w:bookmarkEnd w:id="19"/>
      <w:bookmarkEnd w:id="20"/>
    </w:p>
    <w:p w14:paraId="0DED90DA" w14:textId="2EE62735" w:rsidR="00775000" w:rsidRPr="0074648E" w:rsidRDefault="00775000" w:rsidP="00934DB9">
      <w:pPr>
        <w:rPr>
          <w:rFonts w:ascii="Arial" w:hAnsi="Arial" w:cs="Arial"/>
        </w:rPr>
      </w:pPr>
      <w:r w:rsidRPr="0074648E">
        <w:rPr>
          <w:rFonts w:ascii="Arial" w:hAnsi="Arial" w:cs="Arial"/>
        </w:rPr>
        <w:t xml:space="preserve">The Debt-to-Equity Ratio has risen significantly </w:t>
      </w:r>
      <w:r w:rsidR="00623FD9" w:rsidRPr="0074648E">
        <w:rPr>
          <w:rFonts w:ascii="Arial" w:hAnsi="Arial" w:cs="Arial"/>
        </w:rPr>
        <w:t>from</w:t>
      </w:r>
      <w:r w:rsidRPr="0074648E">
        <w:rPr>
          <w:rFonts w:ascii="Arial" w:hAnsi="Arial" w:cs="Arial"/>
        </w:rPr>
        <w:t xml:space="preserve"> 2020 (0.63) and 2024 (1.11). The capital structure was characteri</w:t>
      </w:r>
      <w:r w:rsidR="00623FD9" w:rsidRPr="0074648E">
        <w:rPr>
          <w:rFonts w:ascii="Arial" w:hAnsi="Arial" w:cs="Arial"/>
        </w:rPr>
        <w:t>s</w:t>
      </w:r>
      <w:r w:rsidRPr="0074648E">
        <w:rPr>
          <w:rFonts w:ascii="Arial" w:hAnsi="Arial" w:cs="Arial"/>
        </w:rPr>
        <w:t>ed as high risk since liabilities surpassed the equity of the shareholders by 2024</w:t>
      </w:r>
      <w:r w:rsidR="002411D1" w:rsidRPr="0074648E">
        <w:rPr>
          <w:rFonts w:ascii="Arial" w:hAnsi="Arial" w:cs="Arial"/>
        </w:rPr>
        <w:t xml:space="preserve"> </w:t>
      </w:r>
      <w:r w:rsidR="002411D1" w:rsidRPr="0074648E">
        <w:rPr>
          <w:rFonts w:ascii="Arial" w:hAnsi="Arial" w:cs="Arial"/>
          <w:shd w:val="clear" w:color="auto" w:fill="FFFFFF"/>
        </w:rPr>
        <w:t>(Husain et al., 2021)</w:t>
      </w:r>
      <w:r w:rsidRPr="0074648E">
        <w:rPr>
          <w:rFonts w:ascii="Arial" w:hAnsi="Arial" w:cs="Arial"/>
        </w:rPr>
        <w:t xml:space="preserve">. The fact that the leverage is constantly increasing means that the company has been funding its losses with further borrowing, making it more financially vulnerable. </w:t>
      </w:r>
    </w:p>
    <w:p w14:paraId="7854FAB3" w14:textId="18C4D81B" w:rsidR="00775000" w:rsidRPr="0074648E" w:rsidRDefault="00623FD9" w:rsidP="00934DB9">
      <w:pPr>
        <w:rPr>
          <w:rFonts w:ascii="Arial" w:hAnsi="Arial" w:cs="Arial"/>
        </w:rPr>
      </w:pPr>
      <w:r w:rsidRPr="0074648E">
        <w:rPr>
          <w:rFonts w:ascii="Arial" w:hAnsi="Arial" w:cs="Arial"/>
        </w:rPr>
        <w:lastRenderedPageBreak/>
        <w:t xml:space="preserve">The </w:t>
      </w:r>
      <w:r w:rsidR="00775000" w:rsidRPr="0074648E">
        <w:rPr>
          <w:rFonts w:ascii="Arial" w:hAnsi="Arial" w:cs="Arial"/>
        </w:rPr>
        <w:t xml:space="preserve">Interest Coverage Ratio indicates how the company can pay interest on earnings before interest and tax (EBIT). The ratio decreased to a far worse 2023 (–19.7) and 2024 (–4.5) compared to a comfortable 26 times in 2020. Negative coverage implies that the company no longer makes enough profits to pay interest on </w:t>
      </w:r>
      <w:r w:rsidRPr="0074648E">
        <w:rPr>
          <w:rFonts w:ascii="Arial" w:hAnsi="Arial" w:cs="Arial"/>
        </w:rPr>
        <w:t>its</w:t>
      </w:r>
      <w:r w:rsidR="00775000" w:rsidRPr="0074648E">
        <w:rPr>
          <w:rFonts w:ascii="Arial" w:hAnsi="Arial" w:cs="Arial"/>
        </w:rPr>
        <w:t xml:space="preserve"> operations</w:t>
      </w:r>
      <w:r w:rsidRPr="0074648E">
        <w:rPr>
          <w:rFonts w:ascii="Arial" w:hAnsi="Arial" w:cs="Arial"/>
        </w:rPr>
        <w:t>,</w:t>
      </w:r>
      <w:r w:rsidR="00775000" w:rsidRPr="0074648E">
        <w:rPr>
          <w:rFonts w:ascii="Arial" w:hAnsi="Arial" w:cs="Arial"/>
        </w:rPr>
        <w:t xml:space="preserve"> and it has to depend on external resources or reserves. Such drastic deterioration is an indicator of financial distress and indicates that the debt-servicing ability of the company has all but fallen. </w:t>
      </w:r>
    </w:p>
    <w:p w14:paraId="6F228E99" w14:textId="77777777" w:rsidR="00775000" w:rsidRDefault="00775000" w:rsidP="00CE7E6C">
      <w:pPr>
        <w:pStyle w:val="Heading3"/>
        <w:rPr>
          <w:rFonts w:ascii="Arial" w:hAnsi="Arial" w:cs="Arial"/>
        </w:rPr>
      </w:pPr>
      <w:bookmarkStart w:id="21" w:name="_Toc210855232"/>
      <w:r w:rsidRPr="0074648E">
        <w:rPr>
          <w:rFonts w:ascii="Arial" w:hAnsi="Arial" w:cs="Arial"/>
        </w:rPr>
        <w:t>Investment</w:t>
      </w:r>
      <w:bookmarkEnd w:id="21"/>
    </w:p>
    <w:tbl>
      <w:tblPr>
        <w:tblW w:w="5000" w:type="pct"/>
        <w:tblLook w:val="04A0" w:firstRow="1" w:lastRow="0" w:firstColumn="1" w:lastColumn="0" w:noHBand="0" w:noVBand="1"/>
      </w:tblPr>
      <w:tblGrid>
        <w:gridCol w:w="1990"/>
        <w:gridCol w:w="1403"/>
        <w:gridCol w:w="1104"/>
        <w:gridCol w:w="1104"/>
        <w:gridCol w:w="1104"/>
        <w:gridCol w:w="1104"/>
        <w:gridCol w:w="1104"/>
        <w:gridCol w:w="221"/>
        <w:gridCol w:w="221"/>
      </w:tblGrid>
      <w:tr w:rsidR="00396157" w:rsidRPr="0074648E" w14:paraId="54CE2D37"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5DDCFF09"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Earnings Per Share</w:t>
            </w:r>
          </w:p>
        </w:tc>
        <w:tc>
          <w:tcPr>
            <w:tcW w:w="118" w:type="pct"/>
            <w:tcBorders>
              <w:top w:val="nil"/>
              <w:left w:val="nil"/>
              <w:bottom w:val="nil"/>
              <w:right w:val="nil"/>
            </w:tcBorders>
            <w:noWrap/>
            <w:vAlign w:val="bottom"/>
            <w:hideMark/>
          </w:tcPr>
          <w:p w14:paraId="0230EE8A"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2A3BD7AF"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38A85852"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04A98341"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750" w:type="pct"/>
            <w:tcBorders>
              <w:top w:val="nil"/>
              <w:left w:val="nil"/>
              <w:bottom w:val="single" w:sz="4" w:space="0" w:color="auto"/>
              <w:right w:val="single" w:sz="4" w:space="0" w:color="auto"/>
            </w:tcBorders>
            <w:noWrap/>
            <w:vAlign w:val="bottom"/>
            <w:hideMark/>
          </w:tcPr>
          <w:p w14:paraId="761D1A25"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590" w:type="pct"/>
            <w:tcBorders>
              <w:top w:val="nil"/>
              <w:left w:val="nil"/>
              <w:bottom w:val="single" w:sz="4" w:space="0" w:color="auto"/>
              <w:right w:val="single" w:sz="4" w:space="0" w:color="auto"/>
            </w:tcBorders>
            <w:noWrap/>
            <w:vAlign w:val="bottom"/>
            <w:hideMark/>
          </w:tcPr>
          <w:p w14:paraId="5580ECDC"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590" w:type="pct"/>
            <w:tcBorders>
              <w:top w:val="nil"/>
              <w:left w:val="nil"/>
              <w:bottom w:val="single" w:sz="4" w:space="0" w:color="auto"/>
              <w:right w:val="single" w:sz="4" w:space="0" w:color="auto"/>
            </w:tcBorders>
            <w:noWrap/>
            <w:vAlign w:val="bottom"/>
            <w:hideMark/>
          </w:tcPr>
          <w:p w14:paraId="4E0B91A8"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590" w:type="pct"/>
            <w:tcBorders>
              <w:top w:val="nil"/>
              <w:left w:val="nil"/>
              <w:bottom w:val="single" w:sz="4" w:space="0" w:color="auto"/>
              <w:right w:val="single" w:sz="4" w:space="0" w:color="auto"/>
            </w:tcBorders>
            <w:noWrap/>
            <w:vAlign w:val="bottom"/>
            <w:hideMark/>
          </w:tcPr>
          <w:p w14:paraId="2CDFBCCA"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590" w:type="pct"/>
            <w:tcBorders>
              <w:top w:val="nil"/>
              <w:left w:val="nil"/>
              <w:bottom w:val="single" w:sz="4" w:space="0" w:color="auto"/>
              <w:right w:val="single" w:sz="4" w:space="0" w:color="auto"/>
            </w:tcBorders>
            <w:noWrap/>
            <w:vAlign w:val="bottom"/>
            <w:hideMark/>
          </w:tcPr>
          <w:p w14:paraId="1E5A544C"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590" w:type="pct"/>
            <w:tcBorders>
              <w:top w:val="nil"/>
              <w:left w:val="nil"/>
              <w:bottom w:val="single" w:sz="4" w:space="0" w:color="auto"/>
              <w:right w:val="single" w:sz="4" w:space="0" w:color="auto"/>
            </w:tcBorders>
            <w:noWrap/>
            <w:vAlign w:val="bottom"/>
            <w:hideMark/>
          </w:tcPr>
          <w:p w14:paraId="0A60A2F5"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38583F16"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2C78FDA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D3804DD"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2D511B68"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Profit</w:t>
            </w:r>
          </w:p>
        </w:tc>
        <w:tc>
          <w:tcPr>
            <w:tcW w:w="750" w:type="pct"/>
            <w:vMerge w:val="restart"/>
            <w:tcBorders>
              <w:top w:val="nil"/>
              <w:left w:val="single" w:sz="4" w:space="0" w:color="auto"/>
              <w:bottom w:val="single" w:sz="4" w:space="0" w:color="auto"/>
              <w:right w:val="single" w:sz="4" w:space="0" w:color="auto"/>
            </w:tcBorders>
            <w:vAlign w:val="center"/>
            <w:hideMark/>
          </w:tcPr>
          <w:p w14:paraId="1B95218D"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Profit/ Num of Shares</w:t>
            </w:r>
          </w:p>
        </w:tc>
        <w:tc>
          <w:tcPr>
            <w:tcW w:w="590" w:type="pct"/>
            <w:tcBorders>
              <w:top w:val="nil"/>
              <w:left w:val="nil"/>
              <w:bottom w:val="single" w:sz="4" w:space="0" w:color="auto"/>
              <w:right w:val="single" w:sz="4" w:space="0" w:color="auto"/>
            </w:tcBorders>
            <w:noWrap/>
            <w:vAlign w:val="center"/>
            <w:hideMark/>
          </w:tcPr>
          <w:p w14:paraId="4334DD9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-24,029</w:t>
            </w:r>
          </w:p>
        </w:tc>
        <w:tc>
          <w:tcPr>
            <w:tcW w:w="590" w:type="pct"/>
            <w:tcBorders>
              <w:top w:val="nil"/>
              <w:left w:val="nil"/>
              <w:bottom w:val="single" w:sz="4" w:space="0" w:color="auto"/>
              <w:right w:val="single" w:sz="4" w:space="0" w:color="auto"/>
            </w:tcBorders>
            <w:noWrap/>
            <w:vAlign w:val="center"/>
            <w:hideMark/>
          </w:tcPr>
          <w:p w14:paraId="5E269D2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-98,238</w:t>
            </w:r>
          </w:p>
        </w:tc>
        <w:tc>
          <w:tcPr>
            <w:tcW w:w="590" w:type="pct"/>
            <w:tcBorders>
              <w:top w:val="nil"/>
              <w:left w:val="nil"/>
              <w:bottom w:val="single" w:sz="4" w:space="0" w:color="auto"/>
              <w:right w:val="single" w:sz="4" w:space="0" w:color="auto"/>
            </w:tcBorders>
            <w:noWrap/>
            <w:vAlign w:val="center"/>
            <w:hideMark/>
          </w:tcPr>
          <w:p w14:paraId="0A671E0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407</w:t>
            </w:r>
          </w:p>
        </w:tc>
        <w:tc>
          <w:tcPr>
            <w:tcW w:w="590" w:type="pct"/>
            <w:tcBorders>
              <w:top w:val="nil"/>
              <w:left w:val="nil"/>
              <w:bottom w:val="single" w:sz="4" w:space="0" w:color="auto"/>
              <w:right w:val="single" w:sz="4" w:space="0" w:color="auto"/>
            </w:tcBorders>
            <w:noWrap/>
            <w:vAlign w:val="center"/>
            <w:hideMark/>
          </w:tcPr>
          <w:p w14:paraId="30F7FC5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5,301</w:t>
            </w:r>
          </w:p>
        </w:tc>
        <w:tc>
          <w:tcPr>
            <w:tcW w:w="590" w:type="pct"/>
            <w:tcBorders>
              <w:top w:val="nil"/>
              <w:left w:val="nil"/>
              <w:bottom w:val="single" w:sz="4" w:space="0" w:color="auto"/>
              <w:right w:val="single" w:sz="4" w:space="0" w:color="auto"/>
            </w:tcBorders>
            <w:noWrap/>
            <w:vAlign w:val="center"/>
            <w:hideMark/>
          </w:tcPr>
          <w:p w14:paraId="34984A8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38,572</w:t>
            </w:r>
          </w:p>
        </w:tc>
        <w:tc>
          <w:tcPr>
            <w:tcW w:w="118" w:type="pct"/>
            <w:tcBorders>
              <w:top w:val="nil"/>
              <w:left w:val="nil"/>
              <w:bottom w:val="nil"/>
              <w:right w:val="nil"/>
            </w:tcBorders>
            <w:noWrap/>
            <w:vAlign w:val="bottom"/>
            <w:hideMark/>
          </w:tcPr>
          <w:p w14:paraId="516F19D8"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2E3F4B49"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7284621"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791F67DA"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Num of Shares</w:t>
            </w:r>
          </w:p>
        </w:tc>
        <w:tc>
          <w:tcPr>
            <w:tcW w:w="750" w:type="pct"/>
            <w:vMerge/>
            <w:tcBorders>
              <w:top w:val="nil"/>
              <w:left w:val="single" w:sz="4" w:space="0" w:color="auto"/>
              <w:bottom w:val="single" w:sz="4" w:space="0" w:color="auto"/>
              <w:right w:val="single" w:sz="4" w:space="0" w:color="auto"/>
            </w:tcBorders>
            <w:vAlign w:val="center"/>
            <w:hideMark/>
          </w:tcPr>
          <w:p w14:paraId="44E000AB"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90" w:type="pct"/>
            <w:tcBorders>
              <w:top w:val="nil"/>
              <w:left w:val="nil"/>
              <w:bottom w:val="single" w:sz="4" w:space="0" w:color="auto"/>
              <w:right w:val="single" w:sz="4" w:space="0" w:color="auto"/>
            </w:tcBorders>
            <w:noWrap/>
            <w:vAlign w:val="bottom"/>
            <w:hideMark/>
          </w:tcPr>
          <w:p w14:paraId="60867E4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12,959</w:t>
            </w:r>
          </w:p>
        </w:tc>
        <w:tc>
          <w:tcPr>
            <w:tcW w:w="590" w:type="pct"/>
            <w:tcBorders>
              <w:top w:val="nil"/>
              <w:left w:val="nil"/>
              <w:bottom w:val="single" w:sz="4" w:space="0" w:color="auto"/>
              <w:right w:val="single" w:sz="4" w:space="0" w:color="auto"/>
            </w:tcBorders>
            <w:noWrap/>
            <w:vAlign w:val="bottom"/>
            <w:hideMark/>
          </w:tcPr>
          <w:p w14:paraId="22A85C8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12,855</w:t>
            </w:r>
          </w:p>
        </w:tc>
        <w:tc>
          <w:tcPr>
            <w:tcW w:w="590" w:type="pct"/>
            <w:tcBorders>
              <w:top w:val="nil"/>
              <w:left w:val="nil"/>
              <w:bottom w:val="single" w:sz="4" w:space="0" w:color="auto"/>
              <w:right w:val="single" w:sz="4" w:space="0" w:color="auto"/>
            </w:tcBorders>
            <w:noWrap/>
            <w:vAlign w:val="bottom"/>
            <w:hideMark/>
          </w:tcPr>
          <w:p w14:paraId="2FF2EAA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12,703</w:t>
            </w:r>
          </w:p>
        </w:tc>
        <w:tc>
          <w:tcPr>
            <w:tcW w:w="590" w:type="pct"/>
            <w:tcBorders>
              <w:top w:val="nil"/>
              <w:left w:val="nil"/>
              <w:bottom w:val="single" w:sz="4" w:space="0" w:color="auto"/>
              <w:right w:val="single" w:sz="4" w:space="0" w:color="auto"/>
            </w:tcBorders>
            <w:noWrap/>
            <w:vAlign w:val="bottom"/>
            <w:hideMark/>
          </w:tcPr>
          <w:p w14:paraId="1521F92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13,465</w:t>
            </w:r>
          </w:p>
        </w:tc>
        <w:tc>
          <w:tcPr>
            <w:tcW w:w="590" w:type="pct"/>
            <w:tcBorders>
              <w:top w:val="nil"/>
              <w:left w:val="nil"/>
              <w:bottom w:val="single" w:sz="4" w:space="0" w:color="auto"/>
              <w:right w:val="single" w:sz="4" w:space="0" w:color="auto"/>
            </w:tcBorders>
            <w:noWrap/>
            <w:vAlign w:val="bottom"/>
            <w:hideMark/>
          </w:tcPr>
          <w:p w14:paraId="5360A5E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13,893</w:t>
            </w:r>
          </w:p>
        </w:tc>
        <w:tc>
          <w:tcPr>
            <w:tcW w:w="118" w:type="pct"/>
            <w:tcBorders>
              <w:top w:val="nil"/>
              <w:left w:val="nil"/>
              <w:bottom w:val="nil"/>
              <w:right w:val="nil"/>
            </w:tcBorders>
            <w:noWrap/>
            <w:vAlign w:val="bottom"/>
            <w:hideMark/>
          </w:tcPr>
          <w:p w14:paraId="3DCAAE52"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238E5A3B"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6B6A3197"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4F171869"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Earnings Per Share</w:t>
            </w:r>
          </w:p>
        </w:tc>
        <w:tc>
          <w:tcPr>
            <w:tcW w:w="750" w:type="pct"/>
            <w:vMerge/>
            <w:tcBorders>
              <w:top w:val="nil"/>
              <w:left w:val="single" w:sz="4" w:space="0" w:color="auto"/>
              <w:bottom w:val="single" w:sz="4" w:space="0" w:color="auto"/>
              <w:right w:val="single" w:sz="4" w:space="0" w:color="auto"/>
            </w:tcBorders>
            <w:vAlign w:val="center"/>
            <w:hideMark/>
          </w:tcPr>
          <w:p w14:paraId="4410455E"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90" w:type="pct"/>
            <w:tcBorders>
              <w:top w:val="nil"/>
              <w:left w:val="nil"/>
              <w:bottom w:val="single" w:sz="4" w:space="0" w:color="auto"/>
              <w:right w:val="single" w:sz="4" w:space="0" w:color="auto"/>
            </w:tcBorders>
            <w:noWrap/>
            <w:vAlign w:val="bottom"/>
            <w:hideMark/>
          </w:tcPr>
          <w:p w14:paraId="3F41FD1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-1.85</w:t>
            </w:r>
          </w:p>
        </w:tc>
        <w:tc>
          <w:tcPr>
            <w:tcW w:w="590" w:type="pct"/>
            <w:tcBorders>
              <w:top w:val="nil"/>
              <w:left w:val="nil"/>
              <w:bottom w:val="single" w:sz="4" w:space="0" w:color="auto"/>
              <w:right w:val="single" w:sz="4" w:space="0" w:color="auto"/>
            </w:tcBorders>
            <w:noWrap/>
            <w:vAlign w:val="bottom"/>
            <w:hideMark/>
          </w:tcPr>
          <w:p w14:paraId="6197424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-7.64</w:t>
            </w:r>
          </w:p>
        </w:tc>
        <w:tc>
          <w:tcPr>
            <w:tcW w:w="590" w:type="pct"/>
            <w:tcBorders>
              <w:top w:val="nil"/>
              <w:left w:val="nil"/>
              <w:bottom w:val="single" w:sz="4" w:space="0" w:color="auto"/>
              <w:right w:val="single" w:sz="4" w:space="0" w:color="auto"/>
            </w:tcBorders>
            <w:noWrap/>
            <w:vAlign w:val="bottom"/>
            <w:hideMark/>
          </w:tcPr>
          <w:p w14:paraId="02D79A3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0.03</w:t>
            </w:r>
          </w:p>
        </w:tc>
        <w:tc>
          <w:tcPr>
            <w:tcW w:w="590" w:type="pct"/>
            <w:tcBorders>
              <w:top w:val="nil"/>
              <w:left w:val="nil"/>
              <w:bottom w:val="single" w:sz="4" w:space="0" w:color="auto"/>
              <w:right w:val="single" w:sz="4" w:space="0" w:color="auto"/>
            </w:tcBorders>
            <w:noWrap/>
            <w:vAlign w:val="bottom"/>
            <w:hideMark/>
          </w:tcPr>
          <w:p w14:paraId="24439E0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0.39</w:t>
            </w:r>
          </w:p>
        </w:tc>
        <w:tc>
          <w:tcPr>
            <w:tcW w:w="590" w:type="pct"/>
            <w:tcBorders>
              <w:top w:val="nil"/>
              <w:left w:val="nil"/>
              <w:bottom w:val="single" w:sz="4" w:space="0" w:color="auto"/>
              <w:right w:val="single" w:sz="4" w:space="0" w:color="auto"/>
            </w:tcBorders>
            <w:noWrap/>
            <w:vAlign w:val="bottom"/>
            <w:hideMark/>
          </w:tcPr>
          <w:p w14:paraId="5111291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2.78</w:t>
            </w:r>
          </w:p>
        </w:tc>
        <w:tc>
          <w:tcPr>
            <w:tcW w:w="118" w:type="pct"/>
            <w:tcBorders>
              <w:top w:val="nil"/>
              <w:left w:val="nil"/>
              <w:bottom w:val="nil"/>
              <w:right w:val="nil"/>
            </w:tcBorders>
            <w:noWrap/>
            <w:vAlign w:val="bottom"/>
            <w:hideMark/>
          </w:tcPr>
          <w:p w14:paraId="1A612B19"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1CBF213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DF467F3" w14:textId="77777777" w:rsidTr="00396157">
        <w:trPr>
          <w:trHeight w:val="310"/>
        </w:trPr>
        <w:tc>
          <w:tcPr>
            <w:tcW w:w="1064" w:type="pct"/>
            <w:tcBorders>
              <w:top w:val="nil"/>
              <w:left w:val="nil"/>
              <w:bottom w:val="nil"/>
              <w:right w:val="nil"/>
            </w:tcBorders>
            <w:noWrap/>
            <w:vAlign w:val="bottom"/>
            <w:hideMark/>
          </w:tcPr>
          <w:p w14:paraId="63FD5C4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750" w:type="pct"/>
            <w:tcBorders>
              <w:top w:val="nil"/>
              <w:left w:val="nil"/>
              <w:bottom w:val="nil"/>
              <w:right w:val="nil"/>
            </w:tcBorders>
            <w:noWrap/>
            <w:vAlign w:val="bottom"/>
            <w:hideMark/>
          </w:tcPr>
          <w:p w14:paraId="09CAC5ED"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90" w:type="pct"/>
            <w:tcBorders>
              <w:top w:val="nil"/>
              <w:left w:val="nil"/>
              <w:bottom w:val="nil"/>
              <w:right w:val="nil"/>
            </w:tcBorders>
            <w:noWrap/>
            <w:vAlign w:val="bottom"/>
            <w:hideMark/>
          </w:tcPr>
          <w:p w14:paraId="4317C14E"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90" w:type="pct"/>
            <w:tcBorders>
              <w:top w:val="nil"/>
              <w:left w:val="nil"/>
              <w:bottom w:val="nil"/>
              <w:right w:val="nil"/>
            </w:tcBorders>
            <w:noWrap/>
            <w:vAlign w:val="bottom"/>
            <w:hideMark/>
          </w:tcPr>
          <w:p w14:paraId="015FAD9F"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90" w:type="pct"/>
            <w:tcBorders>
              <w:top w:val="nil"/>
              <w:left w:val="nil"/>
              <w:bottom w:val="nil"/>
              <w:right w:val="nil"/>
            </w:tcBorders>
            <w:noWrap/>
            <w:vAlign w:val="bottom"/>
            <w:hideMark/>
          </w:tcPr>
          <w:p w14:paraId="4E946FE6"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90" w:type="pct"/>
            <w:tcBorders>
              <w:top w:val="nil"/>
              <w:left w:val="nil"/>
              <w:bottom w:val="nil"/>
              <w:right w:val="nil"/>
            </w:tcBorders>
            <w:noWrap/>
            <w:vAlign w:val="bottom"/>
            <w:hideMark/>
          </w:tcPr>
          <w:p w14:paraId="2F959ACE"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90" w:type="pct"/>
            <w:tcBorders>
              <w:top w:val="nil"/>
              <w:left w:val="nil"/>
              <w:bottom w:val="nil"/>
              <w:right w:val="nil"/>
            </w:tcBorders>
            <w:noWrap/>
            <w:vAlign w:val="bottom"/>
            <w:hideMark/>
          </w:tcPr>
          <w:p w14:paraId="1960A46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2B8F0B6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29B488E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DEA92CD"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744495F0"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Return On Equity</w:t>
            </w:r>
          </w:p>
        </w:tc>
        <w:tc>
          <w:tcPr>
            <w:tcW w:w="118" w:type="pct"/>
            <w:tcBorders>
              <w:top w:val="nil"/>
              <w:left w:val="nil"/>
              <w:bottom w:val="nil"/>
              <w:right w:val="nil"/>
            </w:tcBorders>
            <w:noWrap/>
            <w:vAlign w:val="bottom"/>
            <w:hideMark/>
          </w:tcPr>
          <w:p w14:paraId="06390F07"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5602365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50AA5CAC"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1B0E7FFE"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750" w:type="pct"/>
            <w:tcBorders>
              <w:top w:val="nil"/>
              <w:left w:val="nil"/>
              <w:bottom w:val="single" w:sz="4" w:space="0" w:color="auto"/>
              <w:right w:val="single" w:sz="4" w:space="0" w:color="auto"/>
            </w:tcBorders>
            <w:noWrap/>
            <w:vAlign w:val="bottom"/>
            <w:hideMark/>
          </w:tcPr>
          <w:p w14:paraId="1650EB9F"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590" w:type="pct"/>
            <w:tcBorders>
              <w:top w:val="nil"/>
              <w:left w:val="nil"/>
              <w:bottom w:val="single" w:sz="4" w:space="0" w:color="auto"/>
              <w:right w:val="single" w:sz="4" w:space="0" w:color="auto"/>
            </w:tcBorders>
            <w:noWrap/>
            <w:vAlign w:val="bottom"/>
            <w:hideMark/>
          </w:tcPr>
          <w:p w14:paraId="396BFD04"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590" w:type="pct"/>
            <w:tcBorders>
              <w:top w:val="nil"/>
              <w:left w:val="nil"/>
              <w:bottom w:val="single" w:sz="4" w:space="0" w:color="auto"/>
              <w:right w:val="single" w:sz="4" w:space="0" w:color="auto"/>
            </w:tcBorders>
            <w:noWrap/>
            <w:vAlign w:val="bottom"/>
            <w:hideMark/>
          </w:tcPr>
          <w:p w14:paraId="7ED65C83"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590" w:type="pct"/>
            <w:tcBorders>
              <w:top w:val="nil"/>
              <w:left w:val="nil"/>
              <w:bottom w:val="single" w:sz="4" w:space="0" w:color="auto"/>
              <w:right w:val="single" w:sz="4" w:space="0" w:color="auto"/>
            </w:tcBorders>
            <w:noWrap/>
            <w:vAlign w:val="bottom"/>
            <w:hideMark/>
          </w:tcPr>
          <w:p w14:paraId="00A81A89"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590" w:type="pct"/>
            <w:tcBorders>
              <w:top w:val="nil"/>
              <w:left w:val="nil"/>
              <w:bottom w:val="single" w:sz="4" w:space="0" w:color="auto"/>
              <w:right w:val="single" w:sz="4" w:space="0" w:color="auto"/>
            </w:tcBorders>
            <w:noWrap/>
            <w:vAlign w:val="bottom"/>
            <w:hideMark/>
          </w:tcPr>
          <w:p w14:paraId="4C0EA082"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590" w:type="pct"/>
            <w:tcBorders>
              <w:top w:val="nil"/>
              <w:left w:val="nil"/>
              <w:bottom w:val="single" w:sz="4" w:space="0" w:color="auto"/>
              <w:right w:val="single" w:sz="4" w:space="0" w:color="auto"/>
            </w:tcBorders>
            <w:noWrap/>
            <w:vAlign w:val="bottom"/>
            <w:hideMark/>
          </w:tcPr>
          <w:p w14:paraId="6830718B"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2580D064"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59C75F92"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D9C3502"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32B21D42"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Profit</w:t>
            </w:r>
          </w:p>
        </w:tc>
        <w:tc>
          <w:tcPr>
            <w:tcW w:w="750" w:type="pct"/>
            <w:vMerge w:val="restart"/>
            <w:tcBorders>
              <w:top w:val="nil"/>
              <w:left w:val="single" w:sz="4" w:space="0" w:color="auto"/>
              <w:bottom w:val="single" w:sz="4" w:space="0" w:color="auto"/>
              <w:right w:val="single" w:sz="4" w:space="0" w:color="auto"/>
            </w:tcBorders>
            <w:vAlign w:val="center"/>
            <w:hideMark/>
          </w:tcPr>
          <w:p w14:paraId="76194098"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(Net Profit ÷ Shareholders’ Equity)*100</w:t>
            </w:r>
          </w:p>
        </w:tc>
        <w:tc>
          <w:tcPr>
            <w:tcW w:w="590" w:type="pct"/>
            <w:tcBorders>
              <w:top w:val="nil"/>
              <w:left w:val="nil"/>
              <w:bottom w:val="single" w:sz="4" w:space="0" w:color="auto"/>
              <w:right w:val="single" w:sz="4" w:space="0" w:color="auto"/>
            </w:tcBorders>
            <w:noWrap/>
            <w:vAlign w:val="center"/>
            <w:hideMark/>
          </w:tcPr>
          <w:p w14:paraId="41CFFC5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-24,029</w:t>
            </w:r>
          </w:p>
        </w:tc>
        <w:tc>
          <w:tcPr>
            <w:tcW w:w="590" w:type="pct"/>
            <w:tcBorders>
              <w:top w:val="nil"/>
              <w:left w:val="nil"/>
              <w:bottom w:val="single" w:sz="4" w:space="0" w:color="auto"/>
              <w:right w:val="single" w:sz="4" w:space="0" w:color="auto"/>
            </w:tcBorders>
            <w:noWrap/>
            <w:vAlign w:val="center"/>
            <w:hideMark/>
          </w:tcPr>
          <w:p w14:paraId="63101F1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-98,238</w:t>
            </w:r>
          </w:p>
        </w:tc>
        <w:tc>
          <w:tcPr>
            <w:tcW w:w="590" w:type="pct"/>
            <w:tcBorders>
              <w:top w:val="nil"/>
              <w:left w:val="nil"/>
              <w:bottom w:val="single" w:sz="4" w:space="0" w:color="auto"/>
              <w:right w:val="single" w:sz="4" w:space="0" w:color="auto"/>
            </w:tcBorders>
            <w:noWrap/>
            <w:vAlign w:val="center"/>
            <w:hideMark/>
          </w:tcPr>
          <w:p w14:paraId="7C86C4B8"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407</w:t>
            </w:r>
          </w:p>
        </w:tc>
        <w:tc>
          <w:tcPr>
            <w:tcW w:w="590" w:type="pct"/>
            <w:tcBorders>
              <w:top w:val="nil"/>
              <w:left w:val="nil"/>
              <w:bottom w:val="single" w:sz="4" w:space="0" w:color="auto"/>
              <w:right w:val="single" w:sz="4" w:space="0" w:color="auto"/>
            </w:tcBorders>
            <w:noWrap/>
            <w:vAlign w:val="center"/>
            <w:hideMark/>
          </w:tcPr>
          <w:p w14:paraId="5935CC9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5,301</w:t>
            </w:r>
          </w:p>
        </w:tc>
        <w:tc>
          <w:tcPr>
            <w:tcW w:w="590" w:type="pct"/>
            <w:tcBorders>
              <w:top w:val="nil"/>
              <w:left w:val="nil"/>
              <w:bottom w:val="single" w:sz="4" w:space="0" w:color="auto"/>
              <w:right w:val="single" w:sz="4" w:space="0" w:color="auto"/>
            </w:tcBorders>
            <w:noWrap/>
            <w:vAlign w:val="center"/>
            <w:hideMark/>
          </w:tcPr>
          <w:p w14:paraId="7FF69F88"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38,572</w:t>
            </w:r>
          </w:p>
        </w:tc>
        <w:tc>
          <w:tcPr>
            <w:tcW w:w="118" w:type="pct"/>
            <w:tcBorders>
              <w:top w:val="nil"/>
              <w:left w:val="nil"/>
              <w:bottom w:val="nil"/>
              <w:right w:val="nil"/>
            </w:tcBorders>
            <w:noWrap/>
            <w:vAlign w:val="bottom"/>
            <w:hideMark/>
          </w:tcPr>
          <w:p w14:paraId="33532D14"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18F517BC"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629F9293"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3CAA398F"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Shareholders’ Equity</w:t>
            </w:r>
          </w:p>
        </w:tc>
        <w:tc>
          <w:tcPr>
            <w:tcW w:w="750" w:type="pct"/>
            <w:vMerge/>
            <w:tcBorders>
              <w:top w:val="nil"/>
              <w:left w:val="single" w:sz="4" w:space="0" w:color="auto"/>
              <w:bottom w:val="single" w:sz="4" w:space="0" w:color="auto"/>
              <w:right w:val="single" w:sz="4" w:space="0" w:color="auto"/>
            </w:tcBorders>
            <w:vAlign w:val="center"/>
            <w:hideMark/>
          </w:tcPr>
          <w:p w14:paraId="696F06C0"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90" w:type="pct"/>
            <w:tcBorders>
              <w:top w:val="nil"/>
              <w:left w:val="nil"/>
              <w:bottom w:val="single" w:sz="4" w:space="0" w:color="auto"/>
              <w:right w:val="single" w:sz="4" w:space="0" w:color="auto"/>
            </w:tcBorders>
            <w:noWrap/>
            <w:vAlign w:val="center"/>
            <w:hideMark/>
          </w:tcPr>
          <w:p w14:paraId="6362F1D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153,105</w:t>
            </w:r>
          </w:p>
        </w:tc>
        <w:tc>
          <w:tcPr>
            <w:tcW w:w="590" w:type="pct"/>
            <w:tcBorders>
              <w:top w:val="nil"/>
              <w:left w:val="nil"/>
              <w:bottom w:val="single" w:sz="4" w:space="0" w:color="auto"/>
              <w:right w:val="single" w:sz="4" w:space="0" w:color="auto"/>
            </w:tcBorders>
            <w:noWrap/>
            <w:vAlign w:val="center"/>
            <w:hideMark/>
          </w:tcPr>
          <w:p w14:paraId="65E52CE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178,920</w:t>
            </w:r>
          </w:p>
        </w:tc>
        <w:tc>
          <w:tcPr>
            <w:tcW w:w="590" w:type="pct"/>
            <w:tcBorders>
              <w:top w:val="nil"/>
              <w:left w:val="nil"/>
              <w:bottom w:val="single" w:sz="4" w:space="0" w:color="auto"/>
              <w:right w:val="single" w:sz="4" w:space="0" w:color="auto"/>
            </w:tcBorders>
            <w:noWrap/>
            <w:vAlign w:val="center"/>
            <w:hideMark/>
          </w:tcPr>
          <w:p w14:paraId="23F9A68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268,406</w:t>
            </w:r>
          </w:p>
        </w:tc>
        <w:tc>
          <w:tcPr>
            <w:tcW w:w="590" w:type="pct"/>
            <w:tcBorders>
              <w:top w:val="nil"/>
              <w:left w:val="nil"/>
              <w:bottom w:val="single" w:sz="4" w:space="0" w:color="auto"/>
              <w:right w:val="single" w:sz="4" w:space="0" w:color="auto"/>
            </w:tcBorders>
            <w:noWrap/>
            <w:vAlign w:val="center"/>
            <w:hideMark/>
          </w:tcPr>
          <w:p w14:paraId="3B75D9B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275,949</w:t>
            </w:r>
          </w:p>
        </w:tc>
        <w:tc>
          <w:tcPr>
            <w:tcW w:w="590" w:type="pct"/>
            <w:tcBorders>
              <w:top w:val="nil"/>
              <w:left w:val="nil"/>
              <w:bottom w:val="single" w:sz="4" w:space="0" w:color="auto"/>
              <w:right w:val="single" w:sz="4" w:space="0" w:color="auto"/>
            </w:tcBorders>
            <w:noWrap/>
            <w:vAlign w:val="center"/>
            <w:hideMark/>
          </w:tcPr>
          <w:p w14:paraId="332D169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313,301</w:t>
            </w:r>
          </w:p>
        </w:tc>
        <w:tc>
          <w:tcPr>
            <w:tcW w:w="118" w:type="pct"/>
            <w:tcBorders>
              <w:top w:val="nil"/>
              <w:left w:val="nil"/>
              <w:bottom w:val="nil"/>
              <w:right w:val="nil"/>
            </w:tcBorders>
            <w:noWrap/>
            <w:vAlign w:val="bottom"/>
            <w:hideMark/>
          </w:tcPr>
          <w:p w14:paraId="63C7AC83"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7E3216BF"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52DD26DE" w14:textId="77777777" w:rsidTr="00396157">
        <w:trPr>
          <w:trHeight w:val="310"/>
        </w:trPr>
        <w:tc>
          <w:tcPr>
            <w:tcW w:w="1064" w:type="pct"/>
            <w:tcBorders>
              <w:top w:val="nil"/>
              <w:left w:val="single" w:sz="4" w:space="0" w:color="auto"/>
              <w:bottom w:val="single" w:sz="4" w:space="0" w:color="auto"/>
              <w:right w:val="single" w:sz="4" w:space="0" w:color="auto"/>
            </w:tcBorders>
            <w:noWrap/>
            <w:vAlign w:val="bottom"/>
            <w:hideMark/>
          </w:tcPr>
          <w:p w14:paraId="1EC6EE8A"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Return On Equity</w:t>
            </w:r>
          </w:p>
        </w:tc>
        <w:tc>
          <w:tcPr>
            <w:tcW w:w="750" w:type="pct"/>
            <w:vMerge/>
            <w:tcBorders>
              <w:top w:val="nil"/>
              <w:left w:val="single" w:sz="4" w:space="0" w:color="auto"/>
              <w:bottom w:val="single" w:sz="4" w:space="0" w:color="auto"/>
              <w:right w:val="single" w:sz="4" w:space="0" w:color="auto"/>
            </w:tcBorders>
            <w:vAlign w:val="center"/>
            <w:hideMark/>
          </w:tcPr>
          <w:p w14:paraId="50B9F581"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90" w:type="pct"/>
            <w:tcBorders>
              <w:top w:val="nil"/>
              <w:left w:val="nil"/>
              <w:bottom w:val="single" w:sz="4" w:space="0" w:color="auto"/>
              <w:right w:val="single" w:sz="4" w:space="0" w:color="auto"/>
            </w:tcBorders>
            <w:noWrap/>
            <w:vAlign w:val="bottom"/>
            <w:hideMark/>
          </w:tcPr>
          <w:p w14:paraId="090C39BF"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-15.69%</w:t>
            </w:r>
          </w:p>
        </w:tc>
        <w:tc>
          <w:tcPr>
            <w:tcW w:w="590" w:type="pct"/>
            <w:tcBorders>
              <w:top w:val="nil"/>
              <w:left w:val="nil"/>
              <w:bottom w:val="single" w:sz="4" w:space="0" w:color="auto"/>
              <w:right w:val="single" w:sz="4" w:space="0" w:color="auto"/>
            </w:tcBorders>
            <w:noWrap/>
            <w:vAlign w:val="bottom"/>
            <w:hideMark/>
          </w:tcPr>
          <w:p w14:paraId="35100CB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-54.91%</w:t>
            </w:r>
          </w:p>
        </w:tc>
        <w:tc>
          <w:tcPr>
            <w:tcW w:w="590" w:type="pct"/>
            <w:tcBorders>
              <w:top w:val="nil"/>
              <w:left w:val="nil"/>
              <w:bottom w:val="single" w:sz="4" w:space="0" w:color="auto"/>
              <w:right w:val="single" w:sz="4" w:space="0" w:color="auto"/>
            </w:tcBorders>
            <w:noWrap/>
            <w:vAlign w:val="bottom"/>
            <w:hideMark/>
          </w:tcPr>
          <w:p w14:paraId="43C5528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0.15%</w:t>
            </w:r>
          </w:p>
        </w:tc>
        <w:tc>
          <w:tcPr>
            <w:tcW w:w="590" w:type="pct"/>
            <w:tcBorders>
              <w:top w:val="nil"/>
              <w:left w:val="nil"/>
              <w:bottom w:val="single" w:sz="4" w:space="0" w:color="auto"/>
              <w:right w:val="single" w:sz="4" w:space="0" w:color="auto"/>
            </w:tcBorders>
            <w:noWrap/>
            <w:vAlign w:val="bottom"/>
            <w:hideMark/>
          </w:tcPr>
          <w:p w14:paraId="03FCC54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1.92%</w:t>
            </w:r>
          </w:p>
        </w:tc>
        <w:tc>
          <w:tcPr>
            <w:tcW w:w="590" w:type="pct"/>
            <w:tcBorders>
              <w:top w:val="nil"/>
              <w:left w:val="nil"/>
              <w:bottom w:val="single" w:sz="4" w:space="0" w:color="auto"/>
              <w:right w:val="single" w:sz="4" w:space="0" w:color="auto"/>
            </w:tcBorders>
            <w:noWrap/>
            <w:vAlign w:val="bottom"/>
            <w:hideMark/>
          </w:tcPr>
          <w:p w14:paraId="13296819"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12.31%</w:t>
            </w:r>
          </w:p>
        </w:tc>
        <w:tc>
          <w:tcPr>
            <w:tcW w:w="118" w:type="pct"/>
            <w:tcBorders>
              <w:top w:val="nil"/>
              <w:left w:val="nil"/>
              <w:bottom w:val="nil"/>
              <w:right w:val="nil"/>
            </w:tcBorders>
            <w:noWrap/>
            <w:vAlign w:val="bottom"/>
            <w:hideMark/>
          </w:tcPr>
          <w:p w14:paraId="368B541C"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1A268586"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bl>
    <w:p w14:paraId="488628EE" w14:textId="2EB282D9" w:rsidR="00396157" w:rsidRPr="00396157" w:rsidRDefault="00396157" w:rsidP="00396157">
      <w:pPr>
        <w:pStyle w:val="Caption"/>
        <w:jc w:val="center"/>
        <w:rPr>
          <w:rFonts w:ascii="Arial" w:hAnsi="Arial" w:cs="Arial"/>
          <w:color w:val="auto"/>
        </w:rPr>
      </w:pPr>
      <w:bookmarkStart w:id="22" w:name="_Toc210664727"/>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5</w:t>
      </w:r>
      <w:r w:rsidRPr="0074648E">
        <w:rPr>
          <w:rFonts w:ascii="Arial" w:hAnsi="Arial" w:cs="Arial"/>
          <w:color w:val="auto"/>
        </w:rPr>
        <w:fldChar w:fldCharType="end"/>
      </w:r>
      <w:r w:rsidRPr="0074648E">
        <w:rPr>
          <w:rFonts w:ascii="Arial" w:hAnsi="Arial" w:cs="Arial"/>
          <w:color w:val="auto"/>
        </w:rPr>
        <w:t>: Investment Result</w:t>
      </w:r>
      <w:bookmarkEnd w:id="22"/>
    </w:p>
    <w:p w14:paraId="32ABD72A" w14:textId="77777777" w:rsidR="00572DDE" w:rsidRPr="0074648E" w:rsidRDefault="007A199B" w:rsidP="00572DDE">
      <w:pPr>
        <w:keepNext/>
        <w:jc w:val="center"/>
        <w:rPr>
          <w:rFonts w:ascii="Arial" w:hAnsi="Arial" w:cs="Arial"/>
        </w:rPr>
      </w:pPr>
      <w:r w:rsidRPr="0074648E">
        <w:rPr>
          <w:rFonts w:ascii="Arial" w:hAnsi="Arial" w:cs="Arial"/>
          <w:noProof/>
        </w:rPr>
        <w:drawing>
          <wp:inline distT="0" distB="0" distL="0" distR="0" wp14:anchorId="59CDD347" wp14:editId="1848E623">
            <wp:extent cx="3200400" cy="1828800"/>
            <wp:effectExtent l="0" t="0" r="0" b="0"/>
            <wp:docPr id="197425054" name="Chart 1">
              <a:extLst xmlns:a="http://schemas.openxmlformats.org/drawingml/2006/main">
                <a:ext uri="{FF2B5EF4-FFF2-40B4-BE49-F238E27FC236}">
                  <a16:creationId xmlns:a16="http://schemas.microsoft.com/office/drawing/2014/main" id="{3E0DD21B-148A-9F31-3D82-E1A12ED27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A76342" w14:textId="12532863" w:rsidR="007A199B" w:rsidRPr="0074648E" w:rsidRDefault="00572DDE" w:rsidP="00572DDE">
      <w:pPr>
        <w:pStyle w:val="Caption"/>
        <w:jc w:val="center"/>
        <w:rPr>
          <w:rFonts w:ascii="Arial" w:hAnsi="Arial" w:cs="Arial"/>
          <w:color w:val="auto"/>
        </w:rPr>
      </w:pPr>
      <w:bookmarkStart w:id="23" w:name="_Toc210664665"/>
      <w:bookmarkStart w:id="24" w:name="_Toc210664721"/>
      <w:r w:rsidRPr="0074648E">
        <w:rPr>
          <w:rFonts w:ascii="Arial" w:hAnsi="Arial" w:cs="Arial"/>
          <w:color w:val="auto"/>
        </w:rPr>
        <w:t xml:space="preserve">Figure </w:t>
      </w:r>
      <w:r w:rsidRPr="0074648E">
        <w:rPr>
          <w:rFonts w:ascii="Arial" w:hAnsi="Arial" w:cs="Arial"/>
          <w:color w:val="auto"/>
        </w:rPr>
        <w:fldChar w:fldCharType="begin"/>
      </w:r>
      <w:r w:rsidRPr="0074648E">
        <w:rPr>
          <w:rFonts w:ascii="Arial" w:hAnsi="Arial" w:cs="Arial"/>
          <w:color w:val="auto"/>
        </w:rPr>
        <w:instrText xml:space="preserve"> SEQ Figure \* ARABIC </w:instrText>
      </w:r>
      <w:r w:rsidRPr="0074648E">
        <w:rPr>
          <w:rFonts w:ascii="Arial" w:hAnsi="Arial" w:cs="Arial"/>
          <w:color w:val="auto"/>
        </w:rPr>
        <w:fldChar w:fldCharType="separate"/>
      </w:r>
      <w:r w:rsidRPr="0074648E">
        <w:rPr>
          <w:rFonts w:ascii="Arial" w:hAnsi="Arial" w:cs="Arial"/>
          <w:noProof/>
          <w:color w:val="auto"/>
        </w:rPr>
        <w:t>5</w:t>
      </w:r>
      <w:r w:rsidRPr="0074648E">
        <w:rPr>
          <w:rFonts w:ascii="Arial" w:hAnsi="Arial" w:cs="Arial"/>
          <w:color w:val="auto"/>
        </w:rPr>
        <w:fldChar w:fldCharType="end"/>
      </w:r>
      <w:r w:rsidRPr="0074648E">
        <w:rPr>
          <w:rFonts w:ascii="Arial" w:hAnsi="Arial" w:cs="Arial"/>
          <w:color w:val="auto"/>
        </w:rPr>
        <w:t>: Investment Ratios</w:t>
      </w:r>
      <w:bookmarkEnd w:id="23"/>
      <w:bookmarkEnd w:id="24"/>
    </w:p>
    <w:p w14:paraId="1BC5813D" w14:textId="4F3B1E23" w:rsidR="00775000" w:rsidRPr="0074648E" w:rsidRDefault="00775000" w:rsidP="00934DB9">
      <w:pPr>
        <w:rPr>
          <w:rFonts w:ascii="Arial" w:hAnsi="Arial" w:cs="Arial"/>
        </w:rPr>
      </w:pPr>
      <w:r w:rsidRPr="0074648E">
        <w:rPr>
          <w:rFonts w:ascii="Arial" w:hAnsi="Arial" w:cs="Arial"/>
        </w:rPr>
        <w:lastRenderedPageBreak/>
        <w:t xml:space="preserve">The Earnings Per Share (EPS) trend shows </w:t>
      </w:r>
      <w:r w:rsidR="00623FD9" w:rsidRPr="0074648E">
        <w:rPr>
          <w:rFonts w:ascii="Arial" w:hAnsi="Arial" w:cs="Arial"/>
        </w:rPr>
        <w:t xml:space="preserve">an </w:t>
      </w:r>
      <w:r w:rsidRPr="0074648E">
        <w:rPr>
          <w:rFonts w:ascii="Arial" w:hAnsi="Arial" w:cs="Arial"/>
        </w:rPr>
        <w:t>enormous loss of shareholder value. The EPS has steadily declined since 2020 (2.78) to 2022 (0.03), followed by a significant decrease to negative values in 2023 (1.85) and 2024 (7.64). This depreciation reflects the decreasing net income base and declining profitability of the firm</w:t>
      </w:r>
      <w:r w:rsidR="002411D1" w:rsidRPr="0074648E">
        <w:rPr>
          <w:rFonts w:ascii="Arial" w:hAnsi="Arial" w:cs="Arial"/>
        </w:rPr>
        <w:t xml:space="preserve"> </w:t>
      </w:r>
      <w:r w:rsidR="002411D1" w:rsidRPr="0074648E">
        <w:rPr>
          <w:rFonts w:ascii="Arial" w:hAnsi="Arial" w:cs="Arial"/>
          <w:shd w:val="clear" w:color="auto" w:fill="FFFFFF"/>
        </w:rPr>
        <w:t>(Imansyah and Mustafa, 2021)</w:t>
      </w:r>
      <w:r w:rsidRPr="0074648E">
        <w:rPr>
          <w:rFonts w:ascii="Arial" w:hAnsi="Arial" w:cs="Arial"/>
        </w:rPr>
        <w:t>. The negative EPS reflects the huge losses per share, which would probably trigger a drop in market valuation and investor trust.</w:t>
      </w:r>
    </w:p>
    <w:p w14:paraId="02FBCC2B" w14:textId="01F3314B" w:rsidR="00775000" w:rsidRPr="0074648E" w:rsidRDefault="00775000" w:rsidP="00934DB9">
      <w:pPr>
        <w:rPr>
          <w:rFonts w:ascii="Arial" w:hAnsi="Arial" w:cs="Arial"/>
        </w:rPr>
      </w:pPr>
      <w:r w:rsidRPr="0074648E">
        <w:rPr>
          <w:rFonts w:ascii="Arial" w:hAnsi="Arial" w:cs="Arial"/>
        </w:rPr>
        <w:t xml:space="preserve">The Return on Equity (ROE) took the same pessimistic trend, falling to 1.9% in 2021, and subsequently becoming negative in 2023 and 2024. The 2023 ROE of -54.9 is particularly worrisome, as it represents an extreme loss compared to the money invested by shareholders. The accumulated losses have also wiped out retained earnings, leaving total equity of only £153 billion in 2024, as compared to retained earnings of £313 billion in 2020. </w:t>
      </w:r>
    </w:p>
    <w:p w14:paraId="10D43A48" w14:textId="77777777" w:rsidR="00775000" w:rsidRDefault="00775000" w:rsidP="00CE7E6C">
      <w:pPr>
        <w:pStyle w:val="Heading3"/>
        <w:rPr>
          <w:rFonts w:ascii="Arial" w:hAnsi="Arial" w:cs="Arial"/>
        </w:rPr>
      </w:pPr>
      <w:bookmarkStart w:id="25" w:name="_Toc210855233"/>
      <w:r w:rsidRPr="0074648E">
        <w:rPr>
          <w:rFonts w:ascii="Arial" w:hAnsi="Arial" w:cs="Arial"/>
        </w:rPr>
        <w:t>Cash Flow</w:t>
      </w:r>
      <w:bookmarkEnd w:id="25"/>
    </w:p>
    <w:tbl>
      <w:tblPr>
        <w:tblW w:w="5000" w:type="pct"/>
        <w:tblLook w:val="04A0" w:firstRow="1" w:lastRow="0" w:firstColumn="1" w:lastColumn="0" w:noHBand="0" w:noVBand="1"/>
      </w:tblPr>
      <w:tblGrid>
        <w:gridCol w:w="2468"/>
        <w:gridCol w:w="1040"/>
        <w:gridCol w:w="1081"/>
        <w:gridCol w:w="1081"/>
        <w:gridCol w:w="1081"/>
        <w:gridCol w:w="1081"/>
        <w:gridCol w:w="1081"/>
        <w:gridCol w:w="221"/>
        <w:gridCol w:w="221"/>
      </w:tblGrid>
      <w:tr w:rsidR="00396157" w:rsidRPr="0074648E" w14:paraId="1C5EBC98"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536A0B72"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Operating Cash Flow Ratio</w:t>
            </w:r>
          </w:p>
        </w:tc>
        <w:tc>
          <w:tcPr>
            <w:tcW w:w="118" w:type="pct"/>
            <w:tcBorders>
              <w:top w:val="nil"/>
              <w:left w:val="nil"/>
              <w:bottom w:val="nil"/>
              <w:right w:val="nil"/>
            </w:tcBorders>
            <w:noWrap/>
            <w:vAlign w:val="bottom"/>
            <w:hideMark/>
          </w:tcPr>
          <w:p w14:paraId="264601A9"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66BA83C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71780A95"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7975CF62"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556" w:type="pct"/>
            <w:tcBorders>
              <w:top w:val="nil"/>
              <w:left w:val="nil"/>
              <w:bottom w:val="single" w:sz="4" w:space="0" w:color="auto"/>
              <w:right w:val="single" w:sz="4" w:space="0" w:color="auto"/>
            </w:tcBorders>
            <w:noWrap/>
            <w:vAlign w:val="bottom"/>
            <w:hideMark/>
          </w:tcPr>
          <w:p w14:paraId="37A1DD56"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578" w:type="pct"/>
            <w:tcBorders>
              <w:top w:val="nil"/>
              <w:left w:val="nil"/>
              <w:bottom w:val="single" w:sz="4" w:space="0" w:color="auto"/>
              <w:right w:val="single" w:sz="4" w:space="0" w:color="auto"/>
            </w:tcBorders>
            <w:noWrap/>
            <w:vAlign w:val="bottom"/>
            <w:hideMark/>
          </w:tcPr>
          <w:p w14:paraId="57B4F419"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578" w:type="pct"/>
            <w:tcBorders>
              <w:top w:val="nil"/>
              <w:left w:val="nil"/>
              <w:bottom w:val="single" w:sz="4" w:space="0" w:color="auto"/>
              <w:right w:val="single" w:sz="4" w:space="0" w:color="auto"/>
            </w:tcBorders>
            <w:noWrap/>
            <w:vAlign w:val="bottom"/>
            <w:hideMark/>
          </w:tcPr>
          <w:p w14:paraId="54054457"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578" w:type="pct"/>
            <w:tcBorders>
              <w:top w:val="nil"/>
              <w:left w:val="nil"/>
              <w:bottom w:val="single" w:sz="4" w:space="0" w:color="auto"/>
              <w:right w:val="single" w:sz="4" w:space="0" w:color="auto"/>
            </w:tcBorders>
            <w:noWrap/>
            <w:vAlign w:val="bottom"/>
            <w:hideMark/>
          </w:tcPr>
          <w:p w14:paraId="691B8E9A"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578" w:type="pct"/>
            <w:tcBorders>
              <w:top w:val="nil"/>
              <w:left w:val="nil"/>
              <w:bottom w:val="single" w:sz="4" w:space="0" w:color="auto"/>
              <w:right w:val="single" w:sz="4" w:space="0" w:color="auto"/>
            </w:tcBorders>
            <w:noWrap/>
            <w:vAlign w:val="bottom"/>
            <w:hideMark/>
          </w:tcPr>
          <w:p w14:paraId="613A9158"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578" w:type="pct"/>
            <w:tcBorders>
              <w:top w:val="nil"/>
              <w:left w:val="nil"/>
              <w:bottom w:val="single" w:sz="4" w:space="0" w:color="auto"/>
              <w:right w:val="single" w:sz="4" w:space="0" w:color="auto"/>
            </w:tcBorders>
            <w:noWrap/>
            <w:vAlign w:val="bottom"/>
            <w:hideMark/>
          </w:tcPr>
          <w:p w14:paraId="1EE6D049"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17D148E7"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52E68B3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1F57610A"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253AE028"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Operating Cash Flow</w:t>
            </w:r>
          </w:p>
        </w:tc>
        <w:tc>
          <w:tcPr>
            <w:tcW w:w="556" w:type="pct"/>
            <w:vMerge w:val="restart"/>
            <w:tcBorders>
              <w:top w:val="nil"/>
              <w:left w:val="single" w:sz="4" w:space="0" w:color="auto"/>
              <w:bottom w:val="single" w:sz="4" w:space="0" w:color="auto"/>
              <w:right w:val="single" w:sz="4" w:space="0" w:color="auto"/>
            </w:tcBorders>
            <w:vAlign w:val="center"/>
            <w:hideMark/>
          </w:tcPr>
          <w:p w14:paraId="5EB612E8"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Operating Cash Flow ÷ Current Liabilities</w:t>
            </w:r>
          </w:p>
        </w:tc>
        <w:tc>
          <w:tcPr>
            <w:tcW w:w="578" w:type="pct"/>
            <w:tcBorders>
              <w:top w:val="nil"/>
              <w:left w:val="nil"/>
              <w:bottom w:val="single" w:sz="4" w:space="0" w:color="auto"/>
              <w:right w:val="single" w:sz="4" w:space="0" w:color="auto"/>
            </w:tcBorders>
            <w:noWrap/>
            <w:vAlign w:val="center"/>
            <w:hideMark/>
          </w:tcPr>
          <w:p w14:paraId="0A0026D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14,822</w:t>
            </w:r>
          </w:p>
        </w:tc>
        <w:tc>
          <w:tcPr>
            <w:tcW w:w="578" w:type="pct"/>
            <w:tcBorders>
              <w:top w:val="nil"/>
              <w:left w:val="nil"/>
              <w:bottom w:val="single" w:sz="4" w:space="0" w:color="auto"/>
              <w:right w:val="single" w:sz="4" w:space="0" w:color="auto"/>
            </w:tcBorders>
            <w:noWrap/>
            <w:vAlign w:val="center"/>
            <w:hideMark/>
          </w:tcPr>
          <w:p w14:paraId="42DF212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25,190</w:t>
            </w:r>
          </w:p>
        </w:tc>
        <w:tc>
          <w:tcPr>
            <w:tcW w:w="578" w:type="pct"/>
            <w:tcBorders>
              <w:top w:val="nil"/>
              <w:left w:val="nil"/>
              <w:bottom w:val="single" w:sz="4" w:space="0" w:color="auto"/>
              <w:right w:val="single" w:sz="4" w:space="0" w:color="auto"/>
            </w:tcBorders>
            <w:noWrap/>
            <w:vAlign w:val="center"/>
            <w:hideMark/>
          </w:tcPr>
          <w:p w14:paraId="0506E81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10,926</w:t>
            </w:r>
          </w:p>
        </w:tc>
        <w:tc>
          <w:tcPr>
            <w:tcW w:w="578" w:type="pct"/>
            <w:tcBorders>
              <w:top w:val="nil"/>
              <w:left w:val="nil"/>
              <w:bottom w:val="single" w:sz="4" w:space="0" w:color="auto"/>
              <w:right w:val="single" w:sz="4" w:space="0" w:color="auto"/>
            </w:tcBorders>
            <w:noWrap/>
            <w:vAlign w:val="center"/>
            <w:hideMark/>
          </w:tcPr>
          <w:p w14:paraId="7501E8C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40,283</w:t>
            </w:r>
          </w:p>
        </w:tc>
        <w:tc>
          <w:tcPr>
            <w:tcW w:w="578" w:type="pct"/>
            <w:tcBorders>
              <w:top w:val="nil"/>
              <w:left w:val="nil"/>
              <w:bottom w:val="single" w:sz="4" w:space="0" w:color="auto"/>
              <w:right w:val="single" w:sz="4" w:space="0" w:color="auto"/>
            </w:tcBorders>
            <w:noWrap/>
            <w:vAlign w:val="center"/>
            <w:hideMark/>
          </w:tcPr>
          <w:p w14:paraId="654B3BB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73,392</w:t>
            </w:r>
          </w:p>
        </w:tc>
        <w:tc>
          <w:tcPr>
            <w:tcW w:w="118" w:type="pct"/>
            <w:tcBorders>
              <w:top w:val="nil"/>
              <w:left w:val="nil"/>
              <w:bottom w:val="nil"/>
              <w:right w:val="nil"/>
            </w:tcBorders>
            <w:noWrap/>
            <w:vAlign w:val="bottom"/>
            <w:hideMark/>
          </w:tcPr>
          <w:p w14:paraId="123F6C73"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2630206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6560C09"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763285C3"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Current Liabilities</w:t>
            </w:r>
          </w:p>
        </w:tc>
        <w:tc>
          <w:tcPr>
            <w:tcW w:w="556" w:type="pct"/>
            <w:vMerge/>
            <w:tcBorders>
              <w:top w:val="nil"/>
              <w:left w:val="single" w:sz="4" w:space="0" w:color="auto"/>
              <w:bottom w:val="single" w:sz="4" w:space="0" w:color="auto"/>
              <w:right w:val="single" w:sz="4" w:space="0" w:color="auto"/>
            </w:tcBorders>
            <w:vAlign w:val="center"/>
            <w:hideMark/>
          </w:tcPr>
          <w:p w14:paraId="0B426E79"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78" w:type="pct"/>
            <w:tcBorders>
              <w:top w:val="nil"/>
              <w:left w:val="nil"/>
              <w:bottom w:val="single" w:sz="4" w:space="0" w:color="auto"/>
              <w:right w:val="single" w:sz="4" w:space="0" w:color="auto"/>
            </w:tcBorders>
            <w:noWrap/>
            <w:vAlign w:val="center"/>
            <w:hideMark/>
          </w:tcPr>
          <w:p w14:paraId="0E94C95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158,291</w:t>
            </w:r>
          </w:p>
        </w:tc>
        <w:tc>
          <w:tcPr>
            <w:tcW w:w="578" w:type="pct"/>
            <w:tcBorders>
              <w:top w:val="nil"/>
              <w:left w:val="nil"/>
              <w:bottom w:val="single" w:sz="4" w:space="0" w:color="auto"/>
              <w:right w:val="single" w:sz="4" w:space="0" w:color="auto"/>
            </w:tcBorders>
            <w:noWrap/>
            <w:vAlign w:val="center"/>
            <w:hideMark/>
          </w:tcPr>
          <w:p w14:paraId="7CFCB69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161,148</w:t>
            </w:r>
          </w:p>
        </w:tc>
        <w:tc>
          <w:tcPr>
            <w:tcW w:w="578" w:type="pct"/>
            <w:tcBorders>
              <w:top w:val="nil"/>
              <w:left w:val="nil"/>
              <w:bottom w:val="single" w:sz="4" w:space="0" w:color="auto"/>
              <w:right w:val="single" w:sz="4" w:space="0" w:color="auto"/>
            </w:tcBorders>
            <w:noWrap/>
            <w:vAlign w:val="center"/>
            <w:hideMark/>
          </w:tcPr>
          <w:p w14:paraId="05F6A51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216,473</w:t>
            </w:r>
          </w:p>
        </w:tc>
        <w:tc>
          <w:tcPr>
            <w:tcW w:w="578" w:type="pct"/>
            <w:tcBorders>
              <w:top w:val="nil"/>
              <w:left w:val="nil"/>
              <w:bottom w:val="single" w:sz="4" w:space="0" w:color="auto"/>
              <w:right w:val="single" w:sz="4" w:space="0" w:color="auto"/>
            </w:tcBorders>
            <w:noWrap/>
            <w:vAlign w:val="center"/>
            <w:hideMark/>
          </w:tcPr>
          <w:p w14:paraId="6228272A"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216,787</w:t>
            </w:r>
          </w:p>
        </w:tc>
        <w:tc>
          <w:tcPr>
            <w:tcW w:w="578" w:type="pct"/>
            <w:tcBorders>
              <w:top w:val="nil"/>
              <w:left w:val="nil"/>
              <w:bottom w:val="single" w:sz="4" w:space="0" w:color="auto"/>
              <w:right w:val="single" w:sz="4" w:space="0" w:color="auto"/>
            </w:tcBorders>
            <w:noWrap/>
            <w:vAlign w:val="center"/>
            <w:hideMark/>
          </w:tcPr>
          <w:p w14:paraId="39735EDC"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179,510</w:t>
            </w:r>
          </w:p>
        </w:tc>
        <w:tc>
          <w:tcPr>
            <w:tcW w:w="118" w:type="pct"/>
            <w:tcBorders>
              <w:top w:val="nil"/>
              <w:left w:val="nil"/>
              <w:bottom w:val="nil"/>
              <w:right w:val="nil"/>
            </w:tcBorders>
            <w:noWrap/>
            <w:vAlign w:val="bottom"/>
            <w:hideMark/>
          </w:tcPr>
          <w:p w14:paraId="1A0AE748"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2F5761F7"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32A3E35C"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6E187DCC"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Operating Cash Flow Ratio</w:t>
            </w:r>
          </w:p>
        </w:tc>
        <w:tc>
          <w:tcPr>
            <w:tcW w:w="556" w:type="pct"/>
            <w:vMerge/>
            <w:tcBorders>
              <w:top w:val="nil"/>
              <w:left w:val="single" w:sz="4" w:space="0" w:color="auto"/>
              <w:bottom w:val="single" w:sz="4" w:space="0" w:color="auto"/>
              <w:right w:val="single" w:sz="4" w:space="0" w:color="auto"/>
            </w:tcBorders>
            <w:vAlign w:val="center"/>
            <w:hideMark/>
          </w:tcPr>
          <w:p w14:paraId="3C9EF4B8"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78" w:type="pct"/>
            <w:tcBorders>
              <w:top w:val="nil"/>
              <w:left w:val="nil"/>
              <w:bottom w:val="single" w:sz="4" w:space="0" w:color="auto"/>
              <w:right w:val="single" w:sz="4" w:space="0" w:color="auto"/>
            </w:tcBorders>
            <w:noWrap/>
            <w:vAlign w:val="bottom"/>
            <w:hideMark/>
          </w:tcPr>
          <w:p w14:paraId="391F093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0.09</w:t>
            </w:r>
          </w:p>
        </w:tc>
        <w:tc>
          <w:tcPr>
            <w:tcW w:w="578" w:type="pct"/>
            <w:tcBorders>
              <w:top w:val="nil"/>
              <w:left w:val="nil"/>
              <w:bottom w:val="single" w:sz="4" w:space="0" w:color="auto"/>
              <w:right w:val="single" w:sz="4" w:space="0" w:color="auto"/>
            </w:tcBorders>
            <w:noWrap/>
            <w:vAlign w:val="bottom"/>
            <w:hideMark/>
          </w:tcPr>
          <w:p w14:paraId="76B0682D"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0.16</w:t>
            </w:r>
          </w:p>
        </w:tc>
        <w:tc>
          <w:tcPr>
            <w:tcW w:w="578" w:type="pct"/>
            <w:tcBorders>
              <w:top w:val="nil"/>
              <w:left w:val="nil"/>
              <w:bottom w:val="single" w:sz="4" w:space="0" w:color="auto"/>
              <w:right w:val="single" w:sz="4" w:space="0" w:color="auto"/>
            </w:tcBorders>
            <w:noWrap/>
            <w:vAlign w:val="bottom"/>
            <w:hideMark/>
          </w:tcPr>
          <w:p w14:paraId="68997C3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0.05</w:t>
            </w:r>
          </w:p>
        </w:tc>
        <w:tc>
          <w:tcPr>
            <w:tcW w:w="578" w:type="pct"/>
            <w:tcBorders>
              <w:top w:val="nil"/>
              <w:left w:val="nil"/>
              <w:bottom w:val="single" w:sz="4" w:space="0" w:color="auto"/>
              <w:right w:val="single" w:sz="4" w:space="0" w:color="auto"/>
            </w:tcBorders>
            <w:noWrap/>
            <w:vAlign w:val="bottom"/>
            <w:hideMark/>
          </w:tcPr>
          <w:p w14:paraId="633EF2D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0.19</w:t>
            </w:r>
          </w:p>
        </w:tc>
        <w:tc>
          <w:tcPr>
            <w:tcW w:w="578" w:type="pct"/>
            <w:tcBorders>
              <w:top w:val="nil"/>
              <w:left w:val="nil"/>
              <w:bottom w:val="single" w:sz="4" w:space="0" w:color="auto"/>
              <w:right w:val="single" w:sz="4" w:space="0" w:color="auto"/>
            </w:tcBorders>
            <w:noWrap/>
            <w:vAlign w:val="bottom"/>
            <w:hideMark/>
          </w:tcPr>
          <w:p w14:paraId="00F6158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0.41</w:t>
            </w:r>
          </w:p>
        </w:tc>
        <w:tc>
          <w:tcPr>
            <w:tcW w:w="118" w:type="pct"/>
            <w:tcBorders>
              <w:top w:val="nil"/>
              <w:left w:val="nil"/>
              <w:bottom w:val="nil"/>
              <w:right w:val="nil"/>
            </w:tcBorders>
            <w:noWrap/>
            <w:vAlign w:val="bottom"/>
            <w:hideMark/>
          </w:tcPr>
          <w:p w14:paraId="7BA53242"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0B861A19"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2E823664" w14:textId="77777777" w:rsidTr="00396157">
        <w:trPr>
          <w:trHeight w:val="310"/>
        </w:trPr>
        <w:tc>
          <w:tcPr>
            <w:tcW w:w="1319" w:type="pct"/>
            <w:tcBorders>
              <w:top w:val="nil"/>
              <w:left w:val="nil"/>
              <w:bottom w:val="nil"/>
              <w:right w:val="nil"/>
            </w:tcBorders>
            <w:noWrap/>
            <w:vAlign w:val="bottom"/>
            <w:hideMark/>
          </w:tcPr>
          <w:p w14:paraId="545615B0"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56" w:type="pct"/>
            <w:tcBorders>
              <w:top w:val="nil"/>
              <w:left w:val="nil"/>
              <w:bottom w:val="nil"/>
              <w:right w:val="nil"/>
            </w:tcBorders>
            <w:noWrap/>
            <w:vAlign w:val="bottom"/>
            <w:hideMark/>
          </w:tcPr>
          <w:p w14:paraId="058AF5E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78" w:type="pct"/>
            <w:tcBorders>
              <w:top w:val="nil"/>
              <w:left w:val="nil"/>
              <w:bottom w:val="nil"/>
              <w:right w:val="nil"/>
            </w:tcBorders>
            <w:noWrap/>
            <w:vAlign w:val="bottom"/>
            <w:hideMark/>
          </w:tcPr>
          <w:p w14:paraId="3F086726"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78" w:type="pct"/>
            <w:tcBorders>
              <w:top w:val="nil"/>
              <w:left w:val="nil"/>
              <w:bottom w:val="nil"/>
              <w:right w:val="nil"/>
            </w:tcBorders>
            <w:noWrap/>
            <w:vAlign w:val="bottom"/>
            <w:hideMark/>
          </w:tcPr>
          <w:p w14:paraId="4069FA8A"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78" w:type="pct"/>
            <w:tcBorders>
              <w:top w:val="nil"/>
              <w:left w:val="nil"/>
              <w:bottom w:val="nil"/>
              <w:right w:val="nil"/>
            </w:tcBorders>
            <w:noWrap/>
            <w:vAlign w:val="bottom"/>
            <w:hideMark/>
          </w:tcPr>
          <w:p w14:paraId="3CBD62E4"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78" w:type="pct"/>
            <w:tcBorders>
              <w:top w:val="nil"/>
              <w:left w:val="nil"/>
              <w:bottom w:val="nil"/>
              <w:right w:val="nil"/>
            </w:tcBorders>
            <w:noWrap/>
            <w:vAlign w:val="bottom"/>
            <w:hideMark/>
          </w:tcPr>
          <w:p w14:paraId="488787BD"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578" w:type="pct"/>
            <w:tcBorders>
              <w:top w:val="nil"/>
              <w:left w:val="nil"/>
              <w:bottom w:val="nil"/>
              <w:right w:val="nil"/>
            </w:tcBorders>
            <w:noWrap/>
            <w:vAlign w:val="bottom"/>
            <w:hideMark/>
          </w:tcPr>
          <w:p w14:paraId="126F3F5F"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50DECD98"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c>
          <w:tcPr>
            <w:tcW w:w="118" w:type="pct"/>
            <w:tcBorders>
              <w:top w:val="nil"/>
              <w:left w:val="nil"/>
              <w:bottom w:val="nil"/>
              <w:right w:val="nil"/>
            </w:tcBorders>
            <w:noWrap/>
            <w:vAlign w:val="bottom"/>
            <w:hideMark/>
          </w:tcPr>
          <w:p w14:paraId="0E820EE6"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389E27D5" w14:textId="77777777" w:rsidTr="00396157">
        <w:trPr>
          <w:trHeight w:val="310"/>
        </w:trPr>
        <w:tc>
          <w:tcPr>
            <w:tcW w:w="4764" w:type="pct"/>
            <w:gridSpan w:val="7"/>
            <w:tcBorders>
              <w:top w:val="single" w:sz="4" w:space="0" w:color="auto"/>
              <w:left w:val="single" w:sz="4" w:space="0" w:color="auto"/>
              <w:bottom w:val="single" w:sz="4" w:space="0" w:color="auto"/>
              <w:right w:val="single" w:sz="4" w:space="0" w:color="auto"/>
            </w:tcBorders>
            <w:noWrap/>
            <w:vAlign w:val="bottom"/>
            <w:hideMark/>
          </w:tcPr>
          <w:p w14:paraId="546D73F1"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Cash Flow to Debt Ratio</w:t>
            </w:r>
          </w:p>
        </w:tc>
        <w:tc>
          <w:tcPr>
            <w:tcW w:w="118" w:type="pct"/>
            <w:tcBorders>
              <w:top w:val="nil"/>
              <w:left w:val="nil"/>
              <w:bottom w:val="nil"/>
              <w:right w:val="nil"/>
            </w:tcBorders>
            <w:noWrap/>
            <w:vAlign w:val="bottom"/>
            <w:hideMark/>
          </w:tcPr>
          <w:p w14:paraId="0605C7AF"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26CA43F7"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42DD5FC"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266AECB3"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Particulars</w:t>
            </w:r>
          </w:p>
        </w:tc>
        <w:tc>
          <w:tcPr>
            <w:tcW w:w="556" w:type="pct"/>
            <w:tcBorders>
              <w:top w:val="nil"/>
              <w:left w:val="nil"/>
              <w:bottom w:val="single" w:sz="4" w:space="0" w:color="auto"/>
              <w:right w:val="single" w:sz="4" w:space="0" w:color="auto"/>
            </w:tcBorders>
            <w:noWrap/>
            <w:vAlign w:val="bottom"/>
            <w:hideMark/>
          </w:tcPr>
          <w:p w14:paraId="6F074C17" w14:textId="77777777" w:rsidR="00396157" w:rsidRPr="0074648E" w:rsidRDefault="00396157" w:rsidP="00E23776">
            <w:pPr>
              <w:spacing w:after="0" w:line="240" w:lineRule="auto"/>
              <w:jc w:val="center"/>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Formula</w:t>
            </w:r>
          </w:p>
        </w:tc>
        <w:tc>
          <w:tcPr>
            <w:tcW w:w="578" w:type="pct"/>
            <w:tcBorders>
              <w:top w:val="nil"/>
              <w:left w:val="nil"/>
              <w:bottom w:val="single" w:sz="4" w:space="0" w:color="auto"/>
              <w:right w:val="single" w:sz="4" w:space="0" w:color="auto"/>
            </w:tcBorders>
            <w:noWrap/>
            <w:vAlign w:val="bottom"/>
            <w:hideMark/>
          </w:tcPr>
          <w:p w14:paraId="05FF0FFC"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2024 (£m)</w:t>
            </w:r>
          </w:p>
        </w:tc>
        <w:tc>
          <w:tcPr>
            <w:tcW w:w="578" w:type="pct"/>
            <w:tcBorders>
              <w:top w:val="nil"/>
              <w:left w:val="nil"/>
              <w:bottom w:val="single" w:sz="4" w:space="0" w:color="auto"/>
              <w:right w:val="single" w:sz="4" w:space="0" w:color="auto"/>
            </w:tcBorders>
            <w:noWrap/>
            <w:vAlign w:val="bottom"/>
            <w:hideMark/>
          </w:tcPr>
          <w:p w14:paraId="2514F351"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2023 (£m)</w:t>
            </w:r>
          </w:p>
        </w:tc>
        <w:tc>
          <w:tcPr>
            <w:tcW w:w="578" w:type="pct"/>
            <w:tcBorders>
              <w:top w:val="nil"/>
              <w:left w:val="nil"/>
              <w:bottom w:val="single" w:sz="4" w:space="0" w:color="auto"/>
              <w:right w:val="single" w:sz="4" w:space="0" w:color="auto"/>
            </w:tcBorders>
            <w:noWrap/>
            <w:vAlign w:val="bottom"/>
            <w:hideMark/>
          </w:tcPr>
          <w:p w14:paraId="2FC729D1"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2022 (£m)</w:t>
            </w:r>
          </w:p>
        </w:tc>
        <w:tc>
          <w:tcPr>
            <w:tcW w:w="578" w:type="pct"/>
            <w:tcBorders>
              <w:top w:val="nil"/>
              <w:left w:val="nil"/>
              <w:bottom w:val="single" w:sz="4" w:space="0" w:color="auto"/>
              <w:right w:val="single" w:sz="4" w:space="0" w:color="auto"/>
            </w:tcBorders>
            <w:noWrap/>
            <w:vAlign w:val="bottom"/>
            <w:hideMark/>
          </w:tcPr>
          <w:p w14:paraId="069C0408"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2021 (£m)</w:t>
            </w:r>
          </w:p>
        </w:tc>
        <w:tc>
          <w:tcPr>
            <w:tcW w:w="578" w:type="pct"/>
            <w:tcBorders>
              <w:top w:val="nil"/>
              <w:left w:val="nil"/>
              <w:bottom w:val="single" w:sz="4" w:space="0" w:color="auto"/>
              <w:right w:val="single" w:sz="4" w:space="0" w:color="auto"/>
            </w:tcBorders>
            <w:noWrap/>
            <w:vAlign w:val="bottom"/>
            <w:hideMark/>
          </w:tcPr>
          <w:p w14:paraId="2A5356DD"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2020 (£m)</w:t>
            </w:r>
          </w:p>
        </w:tc>
        <w:tc>
          <w:tcPr>
            <w:tcW w:w="118" w:type="pct"/>
            <w:tcBorders>
              <w:top w:val="nil"/>
              <w:left w:val="nil"/>
              <w:bottom w:val="nil"/>
              <w:right w:val="nil"/>
            </w:tcBorders>
            <w:noWrap/>
            <w:vAlign w:val="bottom"/>
            <w:hideMark/>
          </w:tcPr>
          <w:p w14:paraId="5A38195A" w14:textId="77777777" w:rsidR="00396157" w:rsidRPr="0074648E" w:rsidRDefault="00396157" w:rsidP="00E23776">
            <w:pPr>
              <w:spacing w:after="0" w:line="240" w:lineRule="auto"/>
              <w:jc w:val="left"/>
              <w:rPr>
                <w:rFonts w:ascii="Arial" w:eastAsia="Times New Roman" w:hAnsi="Arial" w:cs="Arial"/>
                <w:b/>
                <w:bCs/>
                <w:kern w:val="0"/>
                <w:szCs w:val="24"/>
                <w14:ligatures w14:val="none"/>
              </w:rPr>
            </w:pPr>
          </w:p>
        </w:tc>
        <w:tc>
          <w:tcPr>
            <w:tcW w:w="118" w:type="pct"/>
            <w:tcBorders>
              <w:top w:val="nil"/>
              <w:left w:val="nil"/>
              <w:bottom w:val="nil"/>
              <w:right w:val="nil"/>
            </w:tcBorders>
            <w:noWrap/>
            <w:vAlign w:val="bottom"/>
            <w:hideMark/>
          </w:tcPr>
          <w:p w14:paraId="35316CF5"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4BFC0529"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2D76FC5D"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Operating Cash Flow</w:t>
            </w:r>
          </w:p>
        </w:tc>
        <w:tc>
          <w:tcPr>
            <w:tcW w:w="556" w:type="pct"/>
            <w:vMerge w:val="restart"/>
            <w:tcBorders>
              <w:top w:val="nil"/>
              <w:left w:val="single" w:sz="4" w:space="0" w:color="auto"/>
              <w:bottom w:val="single" w:sz="4" w:space="0" w:color="auto"/>
              <w:right w:val="single" w:sz="4" w:space="0" w:color="auto"/>
            </w:tcBorders>
            <w:vAlign w:val="center"/>
            <w:hideMark/>
          </w:tcPr>
          <w:p w14:paraId="48BC5121" w14:textId="77777777" w:rsidR="00396157" w:rsidRPr="0074648E" w:rsidRDefault="00396157" w:rsidP="00E23776">
            <w:pPr>
              <w:spacing w:after="0" w:line="240" w:lineRule="auto"/>
              <w:jc w:val="center"/>
              <w:rPr>
                <w:rFonts w:ascii="Arial" w:eastAsia="Times New Roman" w:hAnsi="Arial" w:cs="Arial"/>
                <w:kern w:val="0"/>
                <w:szCs w:val="24"/>
                <w14:ligatures w14:val="none"/>
              </w:rPr>
            </w:pPr>
            <w:r w:rsidRPr="0074648E">
              <w:rPr>
                <w:rFonts w:ascii="Arial" w:eastAsia="Times New Roman" w:hAnsi="Arial" w:cs="Arial"/>
                <w:kern w:val="0"/>
                <w:szCs w:val="24"/>
                <w14:ligatures w14:val="none"/>
              </w:rPr>
              <w:t>Operating Cash Flow ÷ Total Debt</w:t>
            </w:r>
          </w:p>
        </w:tc>
        <w:tc>
          <w:tcPr>
            <w:tcW w:w="578" w:type="pct"/>
            <w:tcBorders>
              <w:top w:val="nil"/>
              <w:left w:val="nil"/>
              <w:bottom w:val="single" w:sz="4" w:space="0" w:color="auto"/>
              <w:right w:val="single" w:sz="4" w:space="0" w:color="auto"/>
            </w:tcBorders>
            <w:noWrap/>
            <w:vAlign w:val="center"/>
            <w:hideMark/>
          </w:tcPr>
          <w:p w14:paraId="7B81348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14,822</w:t>
            </w:r>
          </w:p>
        </w:tc>
        <w:tc>
          <w:tcPr>
            <w:tcW w:w="578" w:type="pct"/>
            <w:tcBorders>
              <w:top w:val="nil"/>
              <w:left w:val="nil"/>
              <w:bottom w:val="single" w:sz="4" w:space="0" w:color="auto"/>
              <w:right w:val="single" w:sz="4" w:space="0" w:color="auto"/>
            </w:tcBorders>
            <w:noWrap/>
            <w:vAlign w:val="center"/>
            <w:hideMark/>
          </w:tcPr>
          <w:p w14:paraId="26CA161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25,190</w:t>
            </w:r>
          </w:p>
        </w:tc>
        <w:tc>
          <w:tcPr>
            <w:tcW w:w="578" w:type="pct"/>
            <w:tcBorders>
              <w:top w:val="nil"/>
              <w:left w:val="nil"/>
              <w:bottom w:val="single" w:sz="4" w:space="0" w:color="auto"/>
              <w:right w:val="single" w:sz="4" w:space="0" w:color="auto"/>
            </w:tcBorders>
            <w:noWrap/>
            <w:vAlign w:val="center"/>
            <w:hideMark/>
          </w:tcPr>
          <w:p w14:paraId="31BD1BA3"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10,926</w:t>
            </w:r>
          </w:p>
        </w:tc>
        <w:tc>
          <w:tcPr>
            <w:tcW w:w="578" w:type="pct"/>
            <w:tcBorders>
              <w:top w:val="nil"/>
              <w:left w:val="nil"/>
              <w:bottom w:val="single" w:sz="4" w:space="0" w:color="auto"/>
              <w:right w:val="single" w:sz="4" w:space="0" w:color="auto"/>
            </w:tcBorders>
            <w:noWrap/>
            <w:vAlign w:val="center"/>
            <w:hideMark/>
          </w:tcPr>
          <w:p w14:paraId="3ED9FC0E"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40,283</w:t>
            </w:r>
          </w:p>
        </w:tc>
        <w:tc>
          <w:tcPr>
            <w:tcW w:w="578" w:type="pct"/>
            <w:tcBorders>
              <w:top w:val="nil"/>
              <w:left w:val="nil"/>
              <w:bottom w:val="single" w:sz="4" w:space="0" w:color="auto"/>
              <w:right w:val="single" w:sz="4" w:space="0" w:color="auto"/>
            </w:tcBorders>
            <w:noWrap/>
            <w:vAlign w:val="center"/>
            <w:hideMark/>
          </w:tcPr>
          <w:p w14:paraId="4BA775A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73,392</w:t>
            </w:r>
          </w:p>
        </w:tc>
        <w:tc>
          <w:tcPr>
            <w:tcW w:w="118" w:type="pct"/>
            <w:tcBorders>
              <w:top w:val="nil"/>
              <w:left w:val="nil"/>
              <w:bottom w:val="nil"/>
              <w:right w:val="nil"/>
            </w:tcBorders>
            <w:noWrap/>
            <w:vAlign w:val="bottom"/>
            <w:hideMark/>
          </w:tcPr>
          <w:p w14:paraId="7258ABCE"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4EC3E383"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098FEF5D"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1E5ED74E"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Total Debt</w:t>
            </w:r>
          </w:p>
        </w:tc>
        <w:tc>
          <w:tcPr>
            <w:tcW w:w="556" w:type="pct"/>
            <w:vMerge/>
            <w:tcBorders>
              <w:top w:val="nil"/>
              <w:left w:val="single" w:sz="4" w:space="0" w:color="auto"/>
              <w:bottom w:val="single" w:sz="4" w:space="0" w:color="auto"/>
              <w:right w:val="single" w:sz="4" w:space="0" w:color="auto"/>
            </w:tcBorders>
            <w:vAlign w:val="center"/>
            <w:hideMark/>
          </w:tcPr>
          <w:p w14:paraId="377683E8"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78" w:type="pct"/>
            <w:tcBorders>
              <w:top w:val="nil"/>
              <w:left w:val="nil"/>
              <w:bottom w:val="single" w:sz="4" w:space="0" w:color="auto"/>
              <w:right w:val="single" w:sz="4" w:space="0" w:color="auto"/>
            </w:tcBorders>
            <w:noWrap/>
            <w:vAlign w:val="center"/>
            <w:hideMark/>
          </w:tcPr>
          <w:p w14:paraId="58AF3A7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170,249</w:t>
            </w:r>
          </w:p>
        </w:tc>
        <w:tc>
          <w:tcPr>
            <w:tcW w:w="578" w:type="pct"/>
            <w:tcBorders>
              <w:top w:val="nil"/>
              <w:left w:val="nil"/>
              <w:bottom w:val="single" w:sz="4" w:space="0" w:color="auto"/>
              <w:right w:val="single" w:sz="4" w:space="0" w:color="auto"/>
            </w:tcBorders>
            <w:noWrap/>
            <w:vAlign w:val="center"/>
            <w:hideMark/>
          </w:tcPr>
          <w:p w14:paraId="5561CEC0"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176,952</w:t>
            </w:r>
          </w:p>
        </w:tc>
        <w:tc>
          <w:tcPr>
            <w:tcW w:w="578" w:type="pct"/>
            <w:tcBorders>
              <w:top w:val="nil"/>
              <w:left w:val="nil"/>
              <w:bottom w:val="single" w:sz="4" w:space="0" w:color="auto"/>
              <w:right w:val="single" w:sz="4" w:space="0" w:color="auto"/>
            </w:tcBorders>
            <w:noWrap/>
            <w:vAlign w:val="center"/>
            <w:hideMark/>
          </w:tcPr>
          <w:p w14:paraId="2445837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235,757</w:t>
            </w:r>
          </w:p>
        </w:tc>
        <w:tc>
          <w:tcPr>
            <w:tcW w:w="578" w:type="pct"/>
            <w:tcBorders>
              <w:top w:val="nil"/>
              <w:left w:val="nil"/>
              <w:bottom w:val="single" w:sz="4" w:space="0" w:color="auto"/>
              <w:right w:val="single" w:sz="4" w:space="0" w:color="auto"/>
            </w:tcBorders>
            <w:noWrap/>
            <w:vAlign w:val="center"/>
            <w:hideMark/>
          </w:tcPr>
          <w:p w14:paraId="19D0BB9B"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234,399</w:t>
            </w:r>
          </w:p>
        </w:tc>
        <w:tc>
          <w:tcPr>
            <w:tcW w:w="578" w:type="pct"/>
            <w:tcBorders>
              <w:top w:val="nil"/>
              <w:left w:val="nil"/>
              <w:bottom w:val="single" w:sz="4" w:space="0" w:color="auto"/>
              <w:right w:val="single" w:sz="4" w:space="0" w:color="auto"/>
            </w:tcBorders>
            <w:noWrap/>
            <w:vAlign w:val="center"/>
            <w:hideMark/>
          </w:tcPr>
          <w:p w14:paraId="77B9E134"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196,989</w:t>
            </w:r>
          </w:p>
        </w:tc>
        <w:tc>
          <w:tcPr>
            <w:tcW w:w="118" w:type="pct"/>
            <w:tcBorders>
              <w:top w:val="nil"/>
              <w:left w:val="nil"/>
              <w:bottom w:val="nil"/>
              <w:right w:val="nil"/>
            </w:tcBorders>
            <w:noWrap/>
            <w:vAlign w:val="bottom"/>
            <w:hideMark/>
          </w:tcPr>
          <w:p w14:paraId="31017510"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1FF4B351"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r w:rsidR="00396157" w:rsidRPr="0074648E" w14:paraId="795FB003" w14:textId="77777777" w:rsidTr="00396157">
        <w:trPr>
          <w:trHeight w:val="310"/>
        </w:trPr>
        <w:tc>
          <w:tcPr>
            <w:tcW w:w="1319" w:type="pct"/>
            <w:tcBorders>
              <w:top w:val="nil"/>
              <w:left w:val="single" w:sz="4" w:space="0" w:color="auto"/>
              <w:bottom w:val="single" w:sz="4" w:space="0" w:color="auto"/>
              <w:right w:val="single" w:sz="4" w:space="0" w:color="auto"/>
            </w:tcBorders>
            <w:noWrap/>
            <w:vAlign w:val="bottom"/>
            <w:hideMark/>
          </w:tcPr>
          <w:p w14:paraId="71DE7A74" w14:textId="77777777" w:rsidR="00396157" w:rsidRPr="0074648E" w:rsidRDefault="00396157" w:rsidP="00E23776">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Cash Flow to Debt Ratio</w:t>
            </w:r>
          </w:p>
        </w:tc>
        <w:tc>
          <w:tcPr>
            <w:tcW w:w="556" w:type="pct"/>
            <w:vMerge/>
            <w:tcBorders>
              <w:top w:val="nil"/>
              <w:left w:val="single" w:sz="4" w:space="0" w:color="auto"/>
              <w:bottom w:val="single" w:sz="4" w:space="0" w:color="auto"/>
              <w:right w:val="single" w:sz="4" w:space="0" w:color="auto"/>
            </w:tcBorders>
            <w:vAlign w:val="center"/>
            <w:hideMark/>
          </w:tcPr>
          <w:p w14:paraId="7F0CB2C4" w14:textId="77777777" w:rsidR="00396157" w:rsidRPr="0074648E" w:rsidRDefault="00396157" w:rsidP="00E23776">
            <w:pPr>
              <w:spacing w:after="0" w:line="240" w:lineRule="auto"/>
              <w:jc w:val="left"/>
              <w:rPr>
                <w:rFonts w:ascii="Arial" w:eastAsia="Times New Roman" w:hAnsi="Arial" w:cs="Arial"/>
                <w:kern w:val="0"/>
                <w:szCs w:val="24"/>
                <w14:ligatures w14:val="none"/>
              </w:rPr>
            </w:pPr>
          </w:p>
        </w:tc>
        <w:tc>
          <w:tcPr>
            <w:tcW w:w="578" w:type="pct"/>
            <w:tcBorders>
              <w:top w:val="nil"/>
              <w:left w:val="nil"/>
              <w:bottom w:val="single" w:sz="4" w:space="0" w:color="auto"/>
              <w:right w:val="single" w:sz="4" w:space="0" w:color="auto"/>
            </w:tcBorders>
            <w:noWrap/>
            <w:vAlign w:val="bottom"/>
            <w:hideMark/>
          </w:tcPr>
          <w:p w14:paraId="25330882"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0.09</w:t>
            </w:r>
          </w:p>
        </w:tc>
        <w:tc>
          <w:tcPr>
            <w:tcW w:w="578" w:type="pct"/>
            <w:tcBorders>
              <w:top w:val="nil"/>
              <w:left w:val="nil"/>
              <w:bottom w:val="single" w:sz="4" w:space="0" w:color="auto"/>
              <w:right w:val="single" w:sz="4" w:space="0" w:color="auto"/>
            </w:tcBorders>
            <w:noWrap/>
            <w:vAlign w:val="bottom"/>
            <w:hideMark/>
          </w:tcPr>
          <w:p w14:paraId="31DA2E15"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0.14</w:t>
            </w:r>
          </w:p>
        </w:tc>
        <w:tc>
          <w:tcPr>
            <w:tcW w:w="578" w:type="pct"/>
            <w:tcBorders>
              <w:top w:val="nil"/>
              <w:left w:val="nil"/>
              <w:bottom w:val="single" w:sz="4" w:space="0" w:color="auto"/>
              <w:right w:val="single" w:sz="4" w:space="0" w:color="auto"/>
            </w:tcBorders>
            <w:noWrap/>
            <w:vAlign w:val="bottom"/>
            <w:hideMark/>
          </w:tcPr>
          <w:p w14:paraId="1A26A0B7"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0.05</w:t>
            </w:r>
          </w:p>
        </w:tc>
        <w:tc>
          <w:tcPr>
            <w:tcW w:w="578" w:type="pct"/>
            <w:tcBorders>
              <w:top w:val="nil"/>
              <w:left w:val="nil"/>
              <w:bottom w:val="single" w:sz="4" w:space="0" w:color="auto"/>
              <w:right w:val="single" w:sz="4" w:space="0" w:color="auto"/>
            </w:tcBorders>
            <w:noWrap/>
            <w:vAlign w:val="bottom"/>
            <w:hideMark/>
          </w:tcPr>
          <w:p w14:paraId="56F05216"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0.17</w:t>
            </w:r>
          </w:p>
        </w:tc>
        <w:tc>
          <w:tcPr>
            <w:tcW w:w="578" w:type="pct"/>
            <w:tcBorders>
              <w:top w:val="nil"/>
              <w:left w:val="nil"/>
              <w:bottom w:val="single" w:sz="4" w:space="0" w:color="auto"/>
              <w:right w:val="single" w:sz="4" w:space="0" w:color="auto"/>
            </w:tcBorders>
            <w:noWrap/>
            <w:vAlign w:val="bottom"/>
            <w:hideMark/>
          </w:tcPr>
          <w:p w14:paraId="5C8A0C61" w14:textId="77777777" w:rsidR="00396157" w:rsidRPr="0074648E" w:rsidRDefault="00396157" w:rsidP="00E23776">
            <w:pPr>
              <w:spacing w:after="0" w:line="240" w:lineRule="auto"/>
              <w:jc w:val="right"/>
              <w:rPr>
                <w:rFonts w:ascii="Arial" w:eastAsia="Times New Roman" w:hAnsi="Arial" w:cs="Arial"/>
                <w:kern w:val="0"/>
                <w:szCs w:val="24"/>
                <w14:ligatures w14:val="none"/>
              </w:rPr>
            </w:pPr>
            <w:r w:rsidRPr="0074648E">
              <w:rPr>
                <w:rFonts w:ascii="Arial" w:eastAsia="Times New Roman" w:hAnsi="Arial" w:cs="Arial"/>
                <w:kern w:val="0"/>
                <w:szCs w:val="24"/>
                <w14:ligatures w14:val="none"/>
              </w:rPr>
              <w:t>0.37</w:t>
            </w:r>
          </w:p>
        </w:tc>
        <w:tc>
          <w:tcPr>
            <w:tcW w:w="118" w:type="pct"/>
            <w:tcBorders>
              <w:top w:val="nil"/>
              <w:left w:val="nil"/>
              <w:bottom w:val="nil"/>
              <w:right w:val="nil"/>
            </w:tcBorders>
            <w:noWrap/>
            <w:vAlign w:val="bottom"/>
            <w:hideMark/>
          </w:tcPr>
          <w:p w14:paraId="3709BEC7" w14:textId="77777777" w:rsidR="00396157" w:rsidRPr="0074648E" w:rsidRDefault="00396157" w:rsidP="00E23776">
            <w:pPr>
              <w:spacing w:after="0" w:line="240" w:lineRule="auto"/>
              <w:jc w:val="right"/>
              <w:rPr>
                <w:rFonts w:ascii="Arial" w:eastAsia="Times New Roman" w:hAnsi="Arial" w:cs="Arial"/>
                <w:kern w:val="0"/>
                <w:szCs w:val="24"/>
                <w14:ligatures w14:val="none"/>
              </w:rPr>
            </w:pPr>
          </w:p>
        </w:tc>
        <w:tc>
          <w:tcPr>
            <w:tcW w:w="118" w:type="pct"/>
            <w:tcBorders>
              <w:top w:val="nil"/>
              <w:left w:val="nil"/>
              <w:bottom w:val="nil"/>
              <w:right w:val="nil"/>
            </w:tcBorders>
            <w:noWrap/>
            <w:vAlign w:val="bottom"/>
            <w:hideMark/>
          </w:tcPr>
          <w:p w14:paraId="0BE8B475" w14:textId="77777777" w:rsidR="00396157" w:rsidRPr="0074648E" w:rsidRDefault="00396157" w:rsidP="00E23776">
            <w:pPr>
              <w:spacing w:after="0" w:line="240" w:lineRule="auto"/>
              <w:jc w:val="left"/>
              <w:rPr>
                <w:rFonts w:ascii="Arial" w:eastAsia="Times New Roman" w:hAnsi="Arial" w:cs="Arial"/>
                <w:kern w:val="0"/>
                <w:sz w:val="20"/>
                <w:szCs w:val="20"/>
                <w14:ligatures w14:val="none"/>
              </w:rPr>
            </w:pPr>
          </w:p>
        </w:tc>
      </w:tr>
    </w:tbl>
    <w:p w14:paraId="2D26FC8D" w14:textId="77777777" w:rsidR="00396157" w:rsidRPr="0074648E" w:rsidRDefault="00396157" w:rsidP="00396157">
      <w:pPr>
        <w:pStyle w:val="Caption"/>
        <w:jc w:val="center"/>
        <w:rPr>
          <w:rFonts w:ascii="Arial" w:hAnsi="Arial" w:cs="Arial"/>
          <w:color w:val="auto"/>
        </w:rPr>
      </w:pPr>
      <w:bookmarkStart w:id="26" w:name="_Toc210664728"/>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6</w:t>
      </w:r>
      <w:r w:rsidRPr="0074648E">
        <w:rPr>
          <w:rFonts w:ascii="Arial" w:hAnsi="Arial" w:cs="Arial"/>
          <w:color w:val="auto"/>
        </w:rPr>
        <w:fldChar w:fldCharType="end"/>
      </w:r>
      <w:r w:rsidRPr="0074648E">
        <w:rPr>
          <w:rFonts w:ascii="Arial" w:hAnsi="Arial" w:cs="Arial"/>
          <w:color w:val="auto"/>
        </w:rPr>
        <w:t>: Cash Flow Result</w:t>
      </w:r>
      <w:bookmarkEnd w:id="26"/>
    </w:p>
    <w:p w14:paraId="4B889FDF" w14:textId="77777777" w:rsidR="00396157" w:rsidRPr="00396157" w:rsidRDefault="00396157" w:rsidP="00396157"/>
    <w:p w14:paraId="3F34F46D" w14:textId="77777777" w:rsidR="00572DDE" w:rsidRPr="0074648E" w:rsidRDefault="007A199B" w:rsidP="00572DDE">
      <w:pPr>
        <w:keepNext/>
        <w:jc w:val="center"/>
        <w:rPr>
          <w:rFonts w:ascii="Arial" w:hAnsi="Arial" w:cs="Arial"/>
        </w:rPr>
      </w:pPr>
      <w:r w:rsidRPr="0074648E">
        <w:rPr>
          <w:rFonts w:ascii="Arial" w:hAnsi="Arial" w:cs="Arial"/>
          <w:noProof/>
        </w:rPr>
        <w:lastRenderedPageBreak/>
        <w:drawing>
          <wp:inline distT="0" distB="0" distL="0" distR="0" wp14:anchorId="5F916221" wp14:editId="3115532B">
            <wp:extent cx="3613150" cy="1905000"/>
            <wp:effectExtent l="0" t="0" r="6350" b="0"/>
            <wp:docPr id="1687763700" name="Chart 1">
              <a:extLst xmlns:a="http://schemas.openxmlformats.org/drawingml/2006/main">
                <a:ext uri="{FF2B5EF4-FFF2-40B4-BE49-F238E27FC236}">
                  <a16:creationId xmlns:a16="http://schemas.microsoft.com/office/drawing/2014/main" id="{893CDE38-1F50-E0BE-C8C3-46037084E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54BEDFE" w14:textId="64C29AD3" w:rsidR="007A199B" w:rsidRPr="0074648E" w:rsidRDefault="00572DDE" w:rsidP="00572DDE">
      <w:pPr>
        <w:pStyle w:val="Caption"/>
        <w:jc w:val="center"/>
        <w:rPr>
          <w:rFonts w:ascii="Arial" w:hAnsi="Arial" w:cs="Arial"/>
          <w:color w:val="auto"/>
        </w:rPr>
      </w:pPr>
      <w:bookmarkStart w:id="27" w:name="_Toc210664666"/>
      <w:bookmarkStart w:id="28" w:name="_Toc210664722"/>
      <w:r w:rsidRPr="0074648E">
        <w:rPr>
          <w:rFonts w:ascii="Arial" w:hAnsi="Arial" w:cs="Arial"/>
          <w:color w:val="auto"/>
        </w:rPr>
        <w:t xml:space="preserve">Figure </w:t>
      </w:r>
      <w:r w:rsidRPr="0074648E">
        <w:rPr>
          <w:rFonts w:ascii="Arial" w:hAnsi="Arial" w:cs="Arial"/>
          <w:color w:val="auto"/>
        </w:rPr>
        <w:fldChar w:fldCharType="begin"/>
      </w:r>
      <w:r w:rsidRPr="0074648E">
        <w:rPr>
          <w:rFonts w:ascii="Arial" w:hAnsi="Arial" w:cs="Arial"/>
          <w:color w:val="auto"/>
        </w:rPr>
        <w:instrText xml:space="preserve"> SEQ Figure \* ARABIC </w:instrText>
      </w:r>
      <w:r w:rsidRPr="0074648E">
        <w:rPr>
          <w:rFonts w:ascii="Arial" w:hAnsi="Arial" w:cs="Arial"/>
          <w:color w:val="auto"/>
        </w:rPr>
        <w:fldChar w:fldCharType="separate"/>
      </w:r>
      <w:r w:rsidRPr="0074648E">
        <w:rPr>
          <w:rFonts w:ascii="Arial" w:hAnsi="Arial" w:cs="Arial"/>
          <w:noProof/>
          <w:color w:val="auto"/>
        </w:rPr>
        <w:t>6</w:t>
      </w:r>
      <w:r w:rsidRPr="0074648E">
        <w:rPr>
          <w:rFonts w:ascii="Arial" w:hAnsi="Arial" w:cs="Arial"/>
          <w:color w:val="auto"/>
        </w:rPr>
        <w:fldChar w:fldCharType="end"/>
      </w:r>
      <w:r w:rsidRPr="0074648E">
        <w:rPr>
          <w:rFonts w:ascii="Arial" w:hAnsi="Arial" w:cs="Arial"/>
          <w:color w:val="auto"/>
        </w:rPr>
        <w:t>: Cash Flow Ratios</w:t>
      </w:r>
      <w:bookmarkEnd w:id="27"/>
      <w:bookmarkEnd w:id="28"/>
    </w:p>
    <w:p w14:paraId="38CC9987" w14:textId="0624B072" w:rsidR="00775000" w:rsidRPr="0074648E" w:rsidRDefault="00775000" w:rsidP="00934DB9">
      <w:pPr>
        <w:rPr>
          <w:rFonts w:ascii="Arial" w:hAnsi="Arial" w:cs="Arial"/>
        </w:rPr>
      </w:pPr>
      <w:r w:rsidRPr="0074648E">
        <w:rPr>
          <w:rFonts w:ascii="Arial" w:hAnsi="Arial" w:cs="Arial"/>
        </w:rPr>
        <w:t>The Operating Cash Flow Ratio shows the extent to which current liabilities can be paid by operating cash. The ratio has decreased to 0.09 in 2024 compared to 0.41 in 2020, indicating that cash operations are not enough to cover the short-term obligations. This indicates that the firm has been relying more on external funding to remain in business</w:t>
      </w:r>
      <w:r w:rsidR="002411D1" w:rsidRPr="0074648E">
        <w:rPr>
          <w:rFonts w:ascii="Arial" w:hAnsi="Arial" w:cs="Arial"/>
        </w:rPr>
        <w:t xml:space="preserve"> </w:t>
      </w:r>
      <w:r w:rsidR="002411D1" w:rsidRPr="0074648E">
        <w:rPr>
          <w:rFonts w:ascii="Arial" w:hAnsi="Arial" w:cs="Arial"/>
          <w:shd w:val="clear" w:color="auto" w:fill="FFFFFF"/>
        </w:rPr>
        <w:t>(Imansyah and Mustafa, 2021)</w:t>
      </w:r>
      <w:r w:rsidRPr="0074648E">
        <w:rPr>
          <w:rFonts w:ascii="Arial" w:hAnsi="Arial" w:cs="Arial"/>
        </w:rPr>
        <w:t xml:space="preserve">. </w:t>
      </w:r>
    </w:p>
    <w:p w14:paraId="0BB32869" w14:textId="12527F88" w:rsidR="00155D8F" w:rsidRPr="0074648E" w:rsidRDefault="00775000" w:rsidP="00934DB9">
      <w:pPr>
        <w:rPr>
          <w:rFonts w:ascii="Arial" w:hAnsi="Arial" w:cs="Arial"/>
        </w:rPr>
      </w:pPr>
      <w:r w:rsidRPr="0074648E">
        <w:rPr>
          <w:rFonts w:ascii="Arial" w:hAnsi="Arial" w:cs="Arial"/>
        </w:rPr>
        <w:t xml:space="preserve">In the same vein, the Cash Flow to Debt Ratio dropped </w:t>
      </w:r>
      <w:r w:rsidR="00623FD9" w:rsidRPr="0074648E">
        <w:rPr>
          <w:rFonts w:ascii="Arial" w:hAnsi="Arial" w:cs="Arial"/>
        </w:rPr>
        <w:t>from</w:t>
      </w:r>
      <w:r w:rsidRPr="0074648E">
        <w:rPr>
          <w:rFonts w:ascii="Arial" w:hAnsi="Arial" w:cs="Arial"/>
        </w:rPr>
        <w:t xml:space="preserve"> 0.37 in 2020 to 0.09 in 2024, which matches a drastic decrease in the measure of repaying debt through operating cash flows. This pattern suggests that the annual cash generation is less than 10 per</w:t>
      </w:r>
      <w:r w:rsidR="00623FD9" w:rsidRPr="0074648E">
        <w:rPr>
          <w:rFonts w:ascii="Arial" w:hAnsi="Arial" w:cs="Arial"/>
        </w:rPr>
        <w:t xml:space="preserve"> </w:t>
      </w:r>
      <w:r w:rsidRPr="0074648E">
        <w:rPr>
          <w:rFonts w:ascii="Arial" w:hAnsi="Arial" w:cs="Arial"/>
        </w:rPr>
        <w:t>cent of the total debt, which indicates the existence of a serious solvency risk</w:t>
      </w:r>
      <w:r w:rsidR="00C62AA0" w:rsidRPr="0074648E">
        <w:rPr>
          <w:rFonts w:ascii="Arial" w:hAnsi="Arial" w:cs="Arial"/>
        </w:rPr>
        <w:t>.</w:t>
      </w:r>
      <w:r w:rsidRPr="0074648E">
        <w:rPr>
          <w:rFonts w:ascii="Arial" w:hAnsi="Arial" w:cs="Arial"/>
        </w:rPr>
        <w:t xml:space="preserve"> </w:t>
      </w:r>
    </w:p>
    <w:p w14:paraId="3A01349D" w14:textId="664402D9" w:rsidR="00054052" w:rsidRPr="0074648E" w:rsidRDefault="00054052" w:rsidP="00934DB9">
      <w:pPr>
        <w:pStyle w:val="Heading2"/>
        <w:rPr>
          <w:rFonts w:ascii="Arial" w:hAnsi="Arial" w:cs="Arial"/>
          <w:color w:val="auto"/>
        </w:rPr>
      </w:pPr>
      <w:bookmarkStart w:id="29" w:name="_Toc210855234"/>
      <w:r w:rsidRPr="0074648E">
        <w:rPr>
          <w:rFonts w:ascii="Arial" w:hAnsi="Arial" w:cs="Arial"/>
          <w:color w:val="auto"/>
        </w:rPr>
        <w:t>Trend Summary</w:t>
      </w:r>
      <w:r w:rsidR="00CE7E6C" w:rsidRPr="0074648E">
        <w:rPr>
          <w:rFonts w:ascii="Arial" w:hAnsi="Arial" w:cs="Arial"/>
          <w:color w:val="auto"/>
        </w:rPr>
        <w:t>-</w:t>
      </w:r>
      <w:r w:rsidRPr="0074648E">
        <w:rPr>
          <w:rFonts w:ascii="Arial" w:hAnsi="Arial" w:cs="Arial"/>
          <w:color w:val="auto"/>
        </w:rPr>
        <w:t>Strengths and Threats</w:t>
      </w:r>
      <w:bookmarkEnd w:id="29"/>
    </w:p>
    <w:tbl>
      <w:tblPr>
        <w:tblW w:w="4954" w:type="pct"/>
        <w:tblLook w:val="04A0" w:firstRow="1" w:lastRow="0" w:firstColumn="1" w:lastColumn="0" w:noHBand="0" w:noVBand="1"/>
      </w:tblPr>
      <w:tblGrid>
        <w:gridCol w:w="1427"/>
        <w:gridCol w:w="3297"/>
        <w:gridCol w:w="4540"/>
      </w:tblGrid>
      <w:tr w:rsidR="0074648E" w:rsidRPr="0074648E" w14:paraId="680CB28B" w14:textId="77777777" w:rsidTr="00054052">
        <w:trPr>
          <w:trHeight w:val="296"/>
        </w:trPr>
        <w:tc>
          <w:tcPr>
            <w:tcW w:w="767" w:type="pct"/>
            <w:tcBorders>
              <w:top w:val="single" w:sz="4" w:space="0" w:color="auto"/>
              <w:left w:val="single" w:sz="4" w:space="0" w:color="auto"/>
              <w:bottom w:val="single" w:sz="4" w:space="0" w:color="auto"/>
              <w:right w:val="single" w:sz="4" w:space="0" w:color="auto"/>
            </w:tcBorders>
            <w:vAlign w:val="center"/>
            <w:hideMark/>
          </w:tcPr>
          <w:p w14:paraId="0FBB9657" w14:textId="77777777" w:rsidR="00054052" w:rsidRPr="0074648E" w:rsidRDefault="00054052" w:rsidP="00934DB9">
            <w:pPr>
              <w:spacing w:after="0"/>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Category</w:t>
            </w:r>
          </w:p>
        </w:tc>
        <w:tc>
          <w:tcPr>
            <w:tcW w:w="1781" w:type="pct"/>
            <w:tcBorders>
              <w:top w:val="single" w:sz="4" w:space="0" w:color="auto"/>
              <w:left w:val="nil"/>
              <w:bottom w:val="single" w:sz="4" w:space="0" w:color="auto"/>
              <w:right w:val="single" w:sz="4" w:space="0" w:color="auto"/>
            </w:tcBorders>
            <w:vAlign w:val="center"/>
            <w:hideMark/>
          </w:tcPr>
          <w:p w14:paraId="2A8334CA" w14:textId="77777777" w:rsidR="00054052" w:rsidRPr="0074648E" w:rsidRDefault="00054052" w:rsidP="00934DB9">
            <w:pPr>
              <w:spacing w:after="0"/>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Strengths</w:t>
            </w:r>
          </w:p>
        </w:tc>
        <w:tc>
          <w:tcPr>
            <w:tcW w:w="2452" w:type="pct"/>
            <w:tcBorders>
              <w:top w:val="single" w:sz="4" w:space="0" w:color="auto"/>
              <w:left w:val="nil"/>
              <w:bottom w:val="single" w:sz="4" w:space="0" w:color="auto"/>
              <w:right w:val="single" w:sz="4" w:space="0" w:color="auto"/>
            </w:tcBorders>
            <w:vAlign w:val="center"/>
            <w:hideMark/>
          </w:tcPr>
          <w:p w14:paraId="068CF12B" w14:textId="77777777" w:rsidR="00054052" w:rsidRPr="0074648E" w:rsidRDefault="00054052" w:rsidP="00934DB9">
            <w:pPr>
              <w:spacing w:after="0"/>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Threats / Weaknesses</w:t>
            </w:r>
          </w:p>
        </w:tc>
      </w:tr>
      <w:tr w:rsidR="0074648E" w:rsidRPr="0074648E" w14:paraId="7DBED052" w14:textId="77777777" w:rsidTr="00054052">
        <w:trPr>
          <w:trHeight w:val="693"/>
        </w:trPr>
        <w:tc>
          <w:tcPr>
            <w:tcW w:w="767" w:type="pct"/>
            <w:tcBorders>
              <w:top w:val="nil"/>
              <w:left w:val="single" w:sz="4" w:space="0" w:color="auto"/>
              <w:bottom w:val="single" w:sz="4" w:space="0" w:color="auto"/>
              <w:right w:val="single" w:sz="4" w:space="0" w:color="auto"/>
            </w:tcBorders>
            <w:vAlign w:val="center"/>
            <w:hideMark/>
          </w:tcPr>
          <w:p w14:paraId="4A2A79FA" w14:textId="77777777" w:rsidR="00054052" w:rsidRPr="0074648E" w:rsidRDefault="00054052" w:rsidP="00934DB9">
            <w:pPr>
              <w:spacing w:after="0"/>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Profitability</w:t>
            </w:r>
          </w:p>
        </w:tc>
        <w:tc>
          <w:tcPr>
            <w:tcW w:w="1781" w:type="pct"/>
            <w:tcBorders>
              <w:top w:val="nil"/>
              <w:left w:val="nil"/>
              <w:bottom w:val="single" w:sz="4" w:space="0" w:color="auto"/>
              <w:right w:val="single" w:sz="4" w:space="0" w:color="auto"/>
            </w:tcBorders>
            <w:vAlign w:val="center"/>
            <w:hideMark/>
          </w:tcPr>
          <w:p w14:paraId="5A9652D8" w14:textId="77777777"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Temporary GPM recovery in 2024</w:t>
            </w:r>
          </w:p>
        </w:tc>
        <w:tc>
          <w:tcPr>
            <w:tcW w:w="2452" w:type="pct"/>
            <w:tcBorders>
              <w:top w:val="nil"/>
              <w:left w:val="nil"/>
              <w:bottom w:val="single" w:sz="4" w:space="0" w:color="auto"/>
              <w:right w:val="single" w:sz="4" w:space="0" w:color="auto"/>
            </w:tcBorders>
            <w:vAlign w:val="center"/>
            <w:hideMark/>
          </w:tcPr>
          <w:p w14:paraId="53F51F4E" w14:textId="3EA07CF5"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Persistent losses</w:t>
            </w:r>
            <w:r w:rsidR="00623FD9" w:rsidRPr="0074648E">
              <w:rPr>
                <w:rFonts w:ascii="Arial" w:eastAsia="Times New Roman" w:hAnsi="Arial" w:cs="Arial"/>
                <w:kern w:val="0"/>
                <w:sz w:val="22"/>
                <w14:ligatures w14:val="none"/>
              </w:rPr>
              <w:t>,</w:t>
            </w:r>
            <w:r w:rsidRPr="0074648E">
              <w:rPr>
                <w:rFonts w:ascii="Arial" w:eastAsia="Times New Roman" w:hAnsi="Arial" w:cs="Arial"/>
                <w:kern w:val="0"/>
                <w:sz w:val="22"/>
                <w14:ligatures w14:val="none"/>
              </w:rPr>
              <w:t xml:space="preserve"> negative ROA</w:t>
            </w:r>
            <w:r w:rsidR="00623FD9" w:rsidRPr="0074648E">
              <w:rPr>
                <w:rFonts w:ascii="Arial" w:eastAsia="Times New Roman" w:hAnsi="Arial" w:cs="Arial"/>
                <w:kern w:val="0"/>
                <w:sz w:val="22"/>
                <w14:ligatures w14:val="none"/>
              </w:rPr>
              <w:t>,</w:t>
            </w:r>
            <w:r w:rsidRPr="0074648E">
              <w:rPr>
                <w:rFonts w:ascii="Arial" w:eastAsia="Times New Roman" w:hAnsi="Arial" w:cs="Arial"/>
                <w:kern w:val="0"/>
                <w:sz w:val="22"/>
                <w14:ligatures w14:val="none"/>
              </w:rPr>
              <w:t xml:space="preserve"> excessive operating costs</w:t>
            </w:r>
          </w:p>
        </w:tc>
      </w:tr>
      <w:tr w:rsidR="0074648E" w:rsidRPr="0074648E" w14:paraId="182A4116" w14:textId="77777777" w:rsidTr="00054052">
        <w:trPr>
          <w:trHeight w:val="793"/>
        </w:trPr>
        <w:tc>
          <w:tcPr>
            <w:tcW w:w="767" w:type="pct"/>
            <w:tcBorders>
              <w:top w:val="nil"/>
              <w:left w:val="single" w:sz="4" w:space="0" w:color="auto"/>
              <w:bottom w:val="single" w:sz="4" w:space="0" w:color="auto"/>
              <w:right w:val="single" w:sz="4" w:space="0" w:color="auto"/>
            </w:tcBorders>
            <w:vAlign w:val="center"/>
            <w:hideMark/>
          </w:tcPr>
          <w:p w14:paraId="1C4AC397" w14:textId="77777777" w:rsidR="00054052" w:rsidRPr="0074648E" w:rsidRDefault="00054052" w:rsidP="00934DB9">
            <w:pPr>
              <w:spacing w:after="0"/>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Liquidity</w:t>
            </w:r>
          </w:p>
        </w:tc>
        <w:tc>
          <w:tcPr>
            <w:tcW w:w="1781" w:type="pct"/>
            <w:tcBorders>
              <w:top w:val="nil"/>
              <w:left w:val="nil"/>
              <w:bottom w:val="single" w:sz="4" w:space="0" w:color="auto"/>
              <w:right w:val="single" w:sz="4" w:space="0" w:color="auto"/>
            </w:tcBorders>
            <w:vAlign w:val="center"/>
            <w:hideMark/>
          </w:tcPr>
          <w:p w14:paraId="7B3E3D9C" w14:textId="77777777"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Ratios above 1.0</w:t>
            </w:r>
          </w:p>
        </w:tc>
        <w:tc>
          <w:tcPr>
            <w:tcW w:w="2452" w:type="pct"/>
            <w:tcBorders>
              <w:top w:val="nil"/>
              <w:left w:val="nil"/>
              <w:bottom w:val="single" w:sz="4" w:space="0" w:color="auto"/>
              <w:right w:val="single" w:sz="4" w:space="0" w:color="auto"/>
            </w:tcBorders>
            <w:vAlign w:val="center"/>
            <w:hideMark/>
          </w:tcPr>
          <w:p w14:paraId="1DCE8DFF" w14:textId="6452F5AE"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Cash erosion</w:t>
            </w:r>
            <w:r w:rsidR="00623FD9" w:rsidRPr="0074648E">
              <w:rPr>
                <w:rFonts w:ascii="Arial" w:eastAsia="Times New Roman" w:hAnsi="Arial" w:cs="Arial"/>
                <w:kern w:val="0"/>
                <w:sz w:val="22"/>
                <w14:ligatures w14:val="none"/>
              </w:rPr>
              <w:t xml:space="preserve">, </w:t>
            </w:r>
            <w:r w:rsidRPr="0074648E">
              <w:rPr>
                <w:rFonts w:ascii="Arial" w:eastAsia="Times New Roman" w:hAnsi="Arial" w:cs="Arial"/>
                <w:kern w:val="0"/>
                <w:sz w:val="22"/>
                <w14:ligatures w14:val="none"/>
              </w:rPr>
              <w:t>over-stocking</w:t>
            </w:r>
            <w:r w:rsidR="00623FD9" w:rsidRPr="0074648E">
              <w:rPr>
                <w:rFonts w:ascii="Arial" w:eastAsia="Times New Roman" w:hAnsi="Arial" w:cs="Arial"/>
                <w:kern w:val="0"/>
                <w:sz w:val="22"/>
                <w14:ligatures w14:val="none"/>
              </w:rPr>
              <w:t xml:space="preserve">, </w:t>
            </w:r>
            <w:r w:rsidRPr="0074648E">
              <w:rPr>
                <w:rFonts w:ascii="Arial" w:eastAsia="Times New Roman" w:hAnsi="Arial" w:cs="Arial"/>
                <w:kern w:val="0"/>
                <w:sz w:val="22"/>
                <w14:ligatures w14:val="none"/>
              </w:rPr>
              <w:t>weak working-capital control</w:t>
            </w:r>
          </w:p>
        </w:tc>
      </w:tr>
      <w:tr w:rsidR="0074648E" w:rsidRPr="0074648E" w14:paraId="544C27F9" w14:textId="77777777" w:rsidTr="00054052">
        <w:trPr>
          <w:trHeight w:val="693"/>
        </w:trPr>
        <w:tc>
          <w:tcPr>
            <w:tcW w:w="767" w:type="pct"/>
            <w:tcBorders>
              <w:top w:val="nil"/>
              <w:left w:val="single" w:sz="4" w:space="0" w:color="auto"/>
              <w:bottom w:val="single" w:sz="4" w:space="0" w:color="auto"/>
              <w:right w:val="single" w:sz="4" w:space="0" w:color="auto"/>
            </w:tcBorders>
            <w:vAlign w:val="center"/>
            <w:hideMark/>
          </w:tcPr>
          <w:p w14:paraId="280FAD7A" w14:textId="77777777" w:rsidR="00054052" w:rsidRPr="0074648E" w:rsidRDefault="00054052" w:rsidP="00934DB9">
            <w:pPr>
              <w:spacing w:after="0"/>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Efficiency</w:t>
            </w:r>
          </w:p>
        </w:tc>
        <w:tc>
          <w:tcPr>
            <w:tcW w:w="1781" w:type="pct"/>
            <w:tcBorders>
              <w:top w:val="nil"/>
              <w:left w:val="nil"/>
              <w:bottom w:val="single" w:sz="4" w:space="0" w:color="auto"/>
              <w:right w:val="single" w:sz="4" w:space="0" w:color="auto"/>
            </w:tcBorders>
            <w:vAlign w:val="center"/>
            <w:hideMark/>
          </w:tcPr>
          <w:p w14:paraId="7C7EFBE8" w14:textId="77777777"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Slight inventory improvement in 2024</w:t>
            </w:r>
          </w:p>
        </w:tc>
        <w:tc>
          <w:tcPr>
            <w:tcW w:w="2452" w:type="pct"/>
            <w:tcBorders>
              <w:top w:val="nil"/>
              <w:left w:val="nil"/>
              <w:bottom w:val="single" w:sz="4" w:space="0" w:color="auto"/>
              <w:right w:val="single" w:sz="4" w:space="0" w:color="auto"/>
            </w:tcBorders>
            <w:vAlign w:val="center"/>
            <w:hideMark/>
          </w:tcPr>
          <w:p w14:paraId="2E92E446" w14:textId="3B6C81D1"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Declining receivables turnover</w:t>
            </w:r>
            <w:r w:rsidR="00623FD9" w:rsidRPr="0074648E">
              <w:rPr>
                <w:rFonts w:ascii="Arial" w:eastAsia="Times New Roman" w:hAnsi="Arial" w:cs="Arial"/>
                <w:kern w:val="0"/>
                <w:sz w:val="22"/>
                <w14:ligatures w14:val="none"/>
              </w:rPr>
              <w:t>,</w:t>
            </w:r>
            <w:r w:rsidRPr="0074648E">
              <w:rPr>
                <w:rFonts w:ascii="Arial" w:eastAsia="Times New Roman" w:hAnsi="Arial" w:cs="Arial"/>
                <w:kern w:val="0"/>
                <w:sz w:val="22"/>
                <w14:ligatures w14:val="none"/>
              </w:rPr>
              <w:t xml:space="preserve"> poor asset utili</w:t>
            </w:r>
            <w:r w:rsidR="00623FD9" w:rsidRPr="0074648E">
              <w:rPr>
                <w:rFonts w:ascii="Arial" w:eastAsia="Times New Roman" w:hAnsi="Arial" w:cs="Arial"/>
                <w:kern w:val="0"/>
                <w:sz w:val="22"/>
                <w14:ligatures w14:val="none"/>
              </w:rPr>
              <w:t>s</w:t>
            </w:r>
            <w:r w:rsidRPr="0074648E">
              <w:rPr>
                <w:rFonts w:ascii="Arial" w:eastAsia="Times New Roman" w:hAnsi="Arial" w:cs="Arial"/>
                <w:kern w:val="0"/>
                <w:sz w:val="22"/>
                <w14:ligatures w14:val="none"/>
              </w:rPr>
              <w:t>ation</w:t>
            </w:r>
          </w:p>
        </w:tc>
      </w:tr>
      <w:tr w:rsidR="0074648E" w:rsidRPr="0074648E" w14:paraId="776760CA" w14:textId="77777777" w:rsidTr="00054052">
        <w:trPr>
          <w:trHeight w:val="594"/>
        </w:trPr>
        <w:tc>
          <w:tcPr>
            <w:tcW w:w="767" w:type="pct"/>
            <w:tcBorders>
              <w:top w:val="nil"/>
              <w:left w:val="single" w:sz="4" w:space="0" w:color="auto"/>
              <w:bottom w:val="single" w:sz="4" w:space="0" w:color="auto"/>
              <w:right w:val="single" w:sz="4" w:space="0" w:color="auto"/>
            </w:tcBorders>
            <w:vAlign w:val="center"/>
            <w:hideMark/>
          </w:tcPr>
          <w:p w14:paraId="08A64D6F" w14:textId="77777777" w:rsidR="00054052" w:rsidRPr="0074648E" w:rsidRDefault="00054052" w:rsidP="00934DB9">
            <w:pPr>
              <w:spacing w:after="0"/>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Gearing</w:t>
            </w:r>
          </w:p>
        </w:tc>
        <w:tc>
          <w:tcPr>
            <w:tcW w:w="1781" w:type="pct"/>
            <w:tcBorders>
              <w:top w:val="nil"/>
              <w:left w:val="nil"/>
              <w:bottom w:val="single" w:sz="4" w:space="0" w:color="auto"/>
              <w:right w:val="single" w:sz="4" w:space="0" w:color="auto"/>
            </w:tcBorders>
            <w:vAlign w:val="center"/>
            <w:hideMark/>
          </w:tcPr>
          <w:p w14:paraId="6EF543DC" w14:textId="77777777"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Access to credit markets</w:t>
            </w:r>
          </w:p>
        </w:tc>
        <w:tc>
          <w:tcPr>
            <w:tcW w:w="2452" w:type="pct"/>
            <w:tcBorders>
              <w:top w:val="nil"/>
              <w:left w:val="nil"/>
              <w:bottom w:val="single" w:sz="4" w:space="0" w:color="auto"/>
              <w:right w:val="single" w:sz="4" w:space="0" w:color="auto"/>
            </w:tcBorders>
            <w:vAlign w:val="center"/>
            <w:hideMark/>
          </w:tcPr>
          <w:p w14:paraId="52393306" w14:textId="33D3CE88"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Rising leverage &gt;1.0</w:t>
            </w:r>
            <w:r w:rsidR="00623FD9" w:rsidRPr="0074648E">
              <w:rPr>
                <w:rFonts w:ascii="Arial" w:eastAsia="Times New Roman" w:hAnsi="Arial" w:cs="Arial"/>
                <w:kern w:val="0"/>
                <w:sz w:val="22"/>
                <w14:ligatures w14:val="none"/>
              </w:rPr>
              <w:t>,</w:t>
            </w:r>
            <w:r w:rsidRPr="0074648E">
              <w:rPr>
                <w:rFonts w:ascii="Arial" w:eastAsia="Times New Roman" w:hAnsi="Arial" w:cs="Arial"/>
                <w:kern w:val="0"/>
                <w:sz w:val="22"/>
                <w14:ligatures w14:val="none"/>
              </w:rPr>
              <w:t xml:space="preserve"> negative interest coverage</w:t>
            </w:r>
          </w:p>
        </w:tc>
      </w:tr>
      <w:tr w:rsidR="0074648E" w:rsidRPr="0074648E" w14:paraId="4906877F" w14:textId="77777777" w:rsidTr="00054052">
        <w:trPr>
          <w:trHeight w:val="495"/>
        </w:trPr>
        <w:tc>
          <w:tcPr>
            <w:tcW w:w="767" w:type="pct"/>
            <w:tcBorders>
              <w:top w:val="nil"/>
              <w:left w:val="single" w:sz="4" w:space="0" w:color="auto"/>
              <w:bottom w:val="single" w:sz="4" w:space="0" w:color="auto"/>
              <w:right w:val="single" w:sz="4" w:space="0" w:color="auto"/>
            </w:tcBorders>
            <w:vAlign w:val="center"/>
            <w:hideMark/>
          </w:tcPr>
          <w:p w14:paraId="53F93000" w14:textId="77777777" w:rsidR="00054052" w:rsidRPr="0074648E" w:rsidRDefault="00054052" w:rsidP="00934DB9">
            <w:pPr>
              <w:spacing w:after="0"/>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Investment</w:t>
            </w:r>
          </w:p>
        </w:tc>
        <w:tc>
          <w:tcPr>
            <w:tcW w:w="1781" w:type="pct"/>
            <w:tcBorders>
              <w:top w:val="nil"/>
              <w:left w:val="nil"/>
              <w:bottom w:val="single" w:sz="4" w:space="0" w:color="auto"/>
              <w:right w:val="single" w:sz="4" w:space="0" w:color="auto"/>
            </w:tcBorders>
            <w:vAlign w:val="center"/>
            <w:hideMark/>
          </w:tcPr>
          <w:p w14:paraId="19B34B57" w14:textId="4CBD1427"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 xml:space="preserve">Equity base </w:t>
            </w:r>
            <w:r w:rsidR="00623FD9" w:rsidRPr="0074648E">
              <w:rPr>
                <w:rFonts w:ascii="Arial" w:eastAsia="Times New Roman" w:hAnsi="Arial" w:cs="Arial"/>
                <w:kern w:val="0"/>
                <w:sz w:val="22"/>
                <w14:ligatures w14:val="none"/>
              </w:rPr>
              <w:t xml:space="preserve">is </w:t>
            </w:r>
            <w:r w:rsidRPr="0074648E">
              <w:rPr>
                <w:rFonts w:ascii="Arial" w:eastAsia="Times New Roman" w:hAnsi="Arial" w:cs="Arial"/>
                <w:kern w:val="0"/>
                <w:sz w:val="22"/>
                <w14:ligatures w14:val="none"/>
              </w:rPr>
              <w:t>still positive</w:t>
            </w:r>
          </w:p>
        </w:tc>
        <w:tc>
          <w:tcPr>
            <w:tcW w:w="2452" w:type="pct"/>
            <w:tcBorders>
              <w:top w:val="nil"/>
              <w:left w:val="nil"/>
              <w:bottom w:val="single" w:sz="4" w:space="0" w:color="auto"/>
              <w:right w:val="single" w:sz="4" w:space="0" w:color="auto"/>
            </w:tcBorders>
            <w:vAlign w:val="center"/>
            <w:hideMark/>
          </w:tcPr>
          <w:p w14:paraId="0E5E0C32" w14:textId="70BCBC3C"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Negative EPS &amp; ROE</w:t>
            </w:r>
            <w:r w:rsidR="00623FD9" w:rsidRPr="0074648E">
              <w:rPr>
                <w:rFonts w:ascii="Arial" w:eastAsia="Times New Roman" w:hAnsi="Arial" w:cs="Arial"/>
                <w:kern w:val="0"/>
                <w:sz w:val="22"/>
                <w14:ligatures w14:val="none"/>
              </w:rPr>
              <w:t xml:space="preserve">, </w:t>
            </w:r>
            <w:r w:rsidRPr="0074648E">
              <w:rPr>
                <w:rFonts w:ascii="Arial" w:eastAsia="Times New Roman" w:hAnsi="Arial" w:cs="Arial"/>
                <w:kern w:val="0"/>
                <w:sz w:val="22"/>
                <w14:ligatures w14:val="none"/>
              </w:rPr>
              <w:t>equity erosion</w:t>
            </w:r>
          </w:p>
        </w:tc>
      </w:tr>
      <w:tr w:rsidR="0074648E" w:rsidRPr="0074648E" w14:paraId="28A5F155" w14:textId="77777777" w:rsidTr="00054052">
        <w:trPr>
          <w:trHeight w:val="594"/>
        </w:trPr>
        <w:tc>
          <w:tcPr>
            <w:tcW w:w="767" w:type="pct"/>
            <w:tcBorders>
              <w:top w:val="nil"/>
              <w:left w:val="single" w:sz="4" w:space="0" w:color="auto"/>
              <w:bottom w:val="single" w:sz="4" w:space="0" w:color="auto"/>
              <w:right w:val="single" w:sz="4" w:space="0" w:color="auto"/>
            </w:tcBorders>
            <w:vAlign w:val="center"/>
            <w:hideMark/>
          </w:tcPr>
          <w:p w14:paraId="1A88E8DB" w14:textId="77777777" w:rsidR="00054052" w:rsidRPr="0074648E" w:rsidRDefault="00054052" w:rsidP="00934DB9">
            <w:pPr>
              <w:spacing w:after="0"/>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lastRenderedPageBreak/>
              <w:t>Cash Flow</w:t>
            </w:r>
          </w:p>
        </w:tc>
        <w:tc>
          <w:tcPr>
            <w:tcW w:w="1781" w:type="pct"/>
            <w:tcBorders>
              <w:top w:val="nil"/>
              <w:left w:val="nil"/>
              <w:bottom w:val="single" w:sz="4" w:space="0" w:color="auto"/>
              <w:right w:val="single" w:sz="4" w:space="0" w:color="auto"/>
            </w:tcBorders>
            <w:vAlign w:val="center"/>
            <w:hideMark/>
          </w:tcPr>
          <w:p w14:paraId="1159EB9C" w14:textId="77777777" w:rsidR="00054052" w:rsidRPr="0074648E" w:rsidRDefault="00054052" w:rsidP="00934DB9">
            <w:pPr>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Positive OCF maintained</w:t>
            </w:r>
          </w:p>
        </w:tc>
        <w:tc>
          <w:tcPr>
            <w:tcW w:w="2452" w:type="pct"/>
            <w:tcBorders>
              <w:top w:val="nil"/>
              <w:left w:val="nil"/>
              <w:bottom w:val="single" w:sz="4" w:space="0" w:color="auto"/>
              <w:right w:val="single" w:sz="4" w:space="0" w:color="auto"/>
            </w:tcBorders>
            <w:vAlign w:val="center"/>
            <w:hideMark/>
          </w:tcPr>
          <w:p w14:paraId="41B06F2D" w14:textId="52750DDF" w:rsidR="00054052" w:rsidRPr="0074648E" w:rsidRDefault="00054052" w:rsidP="00572DDE">
            <w:pPr>
              <w:keepNext/>
              <w:spacing w:after="0"/>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Inadequate to service debt</w:t>
            </w:r>
            <w:r w:rsidR="00623FD9" w:rsidRPr="0074648E">
              <w:rPr>
                <w:rFonts w:ascii="Arial" w:eastAsia="Times New Roman" w:hAnsi="Arial" w:cs="Arial"/>
                <w:kern w:val="0"/>
                <w:sz w:val="22"/>
                <w14:ligatures w14:val="none"/>
              </w:rPr>
              <w:t>,</w:t>
            </w:r>
            <w:r w:rsidRPr="0074648E">
              <w:rPr>
                <w:rFonts w:ascii="Arial" w:eastAsia="Times New Roman" w:hAnsi="Arial" w:cs="Arial"/>
                <w:kern w:val="0"/>
                <w:sz w:val="22"/>
                <w14:ligatures w14:val="none"/>
              </w:rPr>
              <w:t xml:space="preserve"> liquidity pressure</w:t>
            </w:r>
          </w:p>
        </w:tc>
      </w:tr>
    </w:tbl>
    <w:p w14:paraId="338CE191" w14:textId="78E7DC4E" w:rsidR="00054052" w:rsidRPr="0074648E" w:rsidRDefault="00572DDE" w:rsidP="00572DDE">
      <w:pPr>
        <w:pStyle w:val="Caption"/>
        <w:jc w:val="center"/>
        <w:rPr>
          <w:rFonts w:ascii="Arial" w:hAnsi="Arial" w:cs="Arial"/>
          <w:color w:val="auto"/>
        </w:rPr>
      </w:pPr>
      <w:bookmarkStart w:id="30" w:name="_Toc210664729"/>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7</w:t>
      </w:r>
      <w:r w:rsidRPr="0074648E">
        <w:rPr>
          <w:rFonts w:ascii="Arial" w:hAnsi="Arial" w:cs="Arial"/>
          <w:color w:val="auto"/>
        </w:rPr>
        <w:fldChar w:fldCharType="end"/>
      </w:r>
      <w:r w:rsidRPr="0074648E">
        <w:rPr>
          <w:rFonts w:ascii="Arial" w:hAnsi="Arial" w:cs="Arial"/>
          <w:color w:val="auto"/>
        </w:rPr>
        <w:t>: Trend Summary</w:t>
      </w:r>
      <w:bookmarkEnd w:id="30"/>
    </w:p>
    <w:p w14:paraId="3C47BD7B" w14:textId="2A7DDB78" w:rsidR="003B3EE7" w:rsidRPr="0074648E" w:rsidRDefault="00775000" w:rsidP="00934DB9">
      <w:pPr>
        <w:rPr>
          <w:rFonts w:ascii="Arial" w:hAnsi="Arial" w:cs="Arial"/>
        </w:rPr>
      </w:pPr>
      <w:r w:rsidRPr="0074648E">
        <w:rPr>
          <w:rFonts w:ascii="Arial" w:hAnsi="Arial" w:cs="Arial"/>
        </w:rPr>
        <w:t>General Electronics has significantly declined in terms of its overall financial health over five years</w:t>
      </w:r>
      <w:r w:rsidR="00623FD9" w:rsidRPr="0074648E">
        <w:rPr>
          <w:rFonts w:ascii="Arial" w:hAnsi="Arial" w:cs="Arial"/>
        </w:rPr>
        <w:t>,</w:t>
      </w:r>
      <w:r w:rsidRPr="0074648E">
        <w:rPr>
          <w:rFonts w:ascii="Arial" w:hAnsi="Arial" w:cs="Arial"/>
        </w:rPr>
        <w:t xml:space="preserve"> 2020-2024, but there are also certain positive factors. The most important weakness that the company has encountered has been profitability; its successive losses have diminished equity and investor confidence. Although the gross profit margin shows a temporary improvement in 2024, the return o</w:t>
      </w:r>
      <w:r w:rsidR="00623FD9" w:rsidRPr="0074648E">
        <w:rPr>
          <w:rFonts w:ascii="Arial" w:hAnsi="Arial" w:cs="Arial"/>
        </w:rPr>
        <w:t>n</w:t>
      </w:r>
      <w:r w:rsidRPr="0074648E">
        <w:rPr>
          <w:rFonts w:ascii="Arial" w:hAnsi="Arial" w:cs="Arial"/>
        </w:rPr>
        <w:t xml:space="preserve"> assets and return o</w:t>
      </w:r>
      <w:r w:rsidR="00623FD9" w:rsidRPr="0074648E">
        <w:rPr>
          <w:rFonts w:ascii="Arial" w:hAnsi="Arial" w:cs="Arial"/>
        </w:rPr>
        <w:t>n</w:t>
      </w:r>
      <w:r w:rsidRPr="0074648E">
        <w:rPr>
          <w:rFonts w:ascii="Arial" w:hAnsi="Arial" w:cs="Arial"/>
        </w:rPr>
        <w:t xml:space="preserve"> equity are intensely negative, which indicates failure to use assets efficiently and to provide their shareholders with low returns. Liquidity status has been </w:t>
      </w:r>
      <w:r w:rsidR="00623FD9" w:rsidRPr="0074648E">
        <w:rPr>
          <w:rFonts w:ascii="Arial" w:hAnsi="Arial" w:cs="Arial"/>
        </w:rPr>
        <w:t>relativ</w:t>
      </w:r>
      <w:r w:rsidRPr="0074648E">
        <w:rPr>
          <w:rFonts w:ascii="Arial" w:hAnsi="Arial" w:cs="Arial"/>
        </w:rPr>
        <w:t>ely stable, with current and quick ratios remaining above one, indicating that short-term liabilities are still able to be settled. Nevertheless, dwindling cash reserves and increasing inventory holdings point to increasing pressure on management of working capital. The efficienc</w:t>
      </w:r>
      <w:r w:rsidR="00623FD9" w:rsidRPr="0074648E">
        <w:rPr>
          <w:rFonts w:ascii="Arial" w:hAnsi="Arial" w:cs="Arial"/>
        </w:rPr>
        <w:t>y</w:t>
      </w:r>
      <w:r w:rsidRPr="0074648E">
        <w:rPr>
          <w:rFonts w:ascii="Arial" w:hAnsi="Arial" w:cs="Arial"/>
        </w:rPr>
        <w:t xml:space="preserve"> ratios reflect an inefficiency in running the business</w:t>
      </w:r>
      <w:r w:rsidR="00623FD9" w:rsidRPr="0074648E">
        <w:rPr>
          <w:rFonts w:ascii="Arial" w:hAnsi="Arial" w:cs="Arial"/>
        </w:rPr>
        <w:t>,</w:t>
      </w:r>
      <w:r w:rsidRPr="0074648E">
        <w:rPr>
          <w:rFonts w:ascii="Arial" w:hAnsi="Arial" w:cs="Arial"/>
        </w:rPr>
        <w:t xml:space="preserve"> where its receivables collections and inventory turnover are lower</w:t>
      </w:r>
      <w:r w:rsidR="00623FD9" w:rsidRPr="0074648E">
        <w:rPr>
          <w:rFonts w:ascii="Arial" w:hAnsi="Arial" w:cs="Arial"/>
        </w:rPr>
        <w:t>,</w:t>
      </w:r>
      <w:r w:rsidRPr="0074648E">
        <w:rPr>
          <w:rFonts w:ascii="Arial" w:hAnsi="Arial" w:cs="Arial"/>
        </w:rPr>
        <w:t xml:space="preserve"> and the company has weak demand forecasting and control over the supply chain. </w:t>
      </w:r>
    </w:p>
    <w:p w14:paraId="4BDE4EBF" w14:textId="35690841" w:rsidR="00726017" w:rsidRPr="0074648E" w:rsidRDefault="00176FA3" w:rsidP="00934DB9">
      <w:pPr>
        <w:pStyle w:val="Heading2"/>
        <w:rPr>
          <w:rFonts w:ascii="Arial" w:hAnsi="Arial" w:cs="Arial"/>
          <w:color w:val="auto"/>
        </w:rPr>
      </w:pPr>
      <w:bookmarkStart w:id="31" w:name="_Toc210855235"/>
      <w:r w:rsidRPr="0074648E">
        <w:rPr>
          <w:rFonts w:ascii="Arial" w:hAnsi="Arial" w:cs="Arial"/>
          <w:color w:val="auto"/>
        </w:rPr>
        <w:t>C</w:t>
      </w:r>
      <w:r w:rsidRPr="0074648E">
        <w:rPr>
          <w:rFonts w:ascii="Arial" w:hAnsi="Arial" w:cs="Arial"/>
          <w:color w:val="auto"/>
          <w:szCs w:val="22"/>
        </w:rPr>
        <w:t xml:space="preserve">orporate failure prediction </w:t>
      </w:r>
      <w:r w:rsidRPr="0074648E">
        <w:rPr>
          <w:rFonts w:ascii="Arial" w:hAnsi="Arial" w:cs="Arial"/>
          <w:color w:val="auto"/>
        </w:rPr>
        <w:t xml:space="preserve">using </w:t>
      </w:r>
      <w:r w:rsidR="00623FD9" w:rsidRPr="0074648E">
        <w:rPr>
          <w:rFonts w:ascii="Arial" w:hAnsi="Arial" w:cs="Arial"/>
          <w:color w:val="auto"/>
        </w:rPr>
        <w:t xml:space="preserve">the </w:t>
      </w:r>
      <w:r w:rsidRPr="0074648E">
        <w:rPr>
          <w:rFonts w:ascii="Arial" w:hAnsi="Arial" w:cs="Arial"/>
          <w:color w:val="auto"/>
        </w:rPr>
        <w:t>Altman Z</w:t>
      </w:r>
      <w:r w:rsidR="00623FD9" w:rsidRPr="0074648E">
        <w:rPr>
          <w:rFonts w:ascii="Arial" w:hAnsi="Arial" w:cs="Arial"/>
          <w:color w:val="auto"/>
        </w:rPr>
        <w:t>-</w:t>
      </w:r>
      <w:r w:rsidRPr="0074648E">
        <w:rPr>
          <w:rFonts w:ascii="Arial" w:hAnsi="Arial" w:cs="Arial"/>
          <w:color w:val="auto"/>
        </w:rPr>
        <w:t>score model</w:t>
      </w:r>
      <w:bookmarkEnd w:id="31"/>
    </w:p>
    <w:p w14:paraId="1E642C25" w14:textId="77777777" w:rsidR="009B10D6" w:rsidRPr="0074648E" w:rsidRDefault="009B10D6"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xml:space="preserve">The </w:t>
      </w:r>
      <w:r w:rsidRPr="0074648E">
        <w:rPr>
          <w:rFonts w:ascii="Arial" w:eastAsia="Times New Roman" w:hAnsi="Arial" w:cs="Arial"/>
          <w:b/>
          <w:bCs/>
          <w:kern w:val="0"/>
          <w:szCs w:val="24"/>
          <w14:ligatures w14:val="none"/>
        </w:rPr>
        <w:t>Altman Z-Score model</w:t>
      </w:r>
      <w:r w:rsidRPr="0074648E">
        <w:rPr>
          <w:rFonts w:ascii="Arial" w:eastAsia="Times New Roman" w:hAnsi="Arial" w:cs="Arial"/>
          <w:kern w:val="0"/>
          <w:szCs w:val="24"/>
          <w14:ligatures w14:val="none"/>
        </w:rPr>
        <w:t xml:space="preserve"> predicts bankruptcy risk using key financial ratios.</w:t>
      </w:r>
      <w:r w:rsidRPr="0074648E">
        <w:rPr>
          <w:rFonts w:ascii="Arial" w:eastAsia="Times New Roman" w:hAnsi="Arial" w:cs="Arial"/>
          <w:kern w:val="0"/>
          <w:szCs w:val="24"/>
          <w14:ligatures w14:val="none"/>
        </w:rPr>
        <w:br/>
        <w:t>For a publicly listed manufacturing/industrial firm:</w:t>
      </w:r>
    </w:p>
    <w:p w14:paraId="03FE4796" w14:textId="484922CB" w:rsidR="009B10D6" w:rsidRPr="0074648E" w:rsidRDefault="009B10D6" w:rsidP="00934DB9">
      <w:pPr>
        <w:spacing w:after="0"/>
        <w:jc w:val="left"/>
        <w:rPr>
          <w:rFonts w:ascii="Arial" w:eastAsia="Times New Roman" w:hAnsi="Arial" w:cs="Arial"/>
          <w:kern w:val="0"/>
          <w:szCs w:val="24"/>
          <w14:ligatures w14:val="none"/>
        </w:rPr>
      </w:pPr>
      <w:r w:rsidRPr="0074648E">
        <w:rPr>
          <w:rStyle w:val="mord"/>
          <w:rFonts w:ascii="Arial" w:hAnsi="Arial" w:cs="Arial"/>
        </w:rPr>
        <w:t>Z</w:t>
      </w:r>
      <w:r w:rsidRPr="0074648E">
        <w:rPr>
          <w:rStyle w:val="mrel"/>
          <w:rFonts w:ascii="Arial" w:hAnsi="Arial" w:cs="Arial"/>
        </w:rPr>
        <w:t>=</w:t>
      </w:r>
      <w:r w:rsidRPr="0074648E">
        <w:rPr>
          <w:rStyle w:val="mord"/>
          <w:rFonts w:ascii="Arial" w:hAnsi="Arial" w:cs="Arial"/>
        </w:rPr>
        <w:t>1.2X1</w:t>
      </w:r>
      <w:r w:rsidRPr="0074648E">
        <w:rPr>
          <w:rStyle w:val="vlist-s"/>
          <w:rFonts w:ascii="Arial" w:hAnsi="Arial" w:cs="Arial"/>
        </w:rPr>
        <w:t>​</w:t>
      </w:r>
      <w:r w:rsidRPr="0074648E">
        <w:rPr>
          <w:rStyle w:val="mbin"/>
          <w:rFonts w:ascii="Arial" w:hAnsi="Arial" w:cs="Arial"/>
        </w:rPr>
        <w:t>+</w:t>
      </w:r>
      <w:r w:rsidRPr="0074648E">
        <w:rPr>
          <w:rStyle w:val="mord"/>
          <w:rFonts w:ascii="Arial" w:hAnsi="Arial" w:cs="Arial"/>
        </w:rPr>
        <w:t>1.4X2</w:t>
      </w:r>
      <w:r w:rsidRPr="0074648E">
        <w:rPr>
          <w:rStyle w:val="vlist-s"/>
          <w:rFonts w:ascii="Arial" w:hAnsi="Arial" w:cs="Arial"/>
        </w:rPr>
        <w:t>​</w:t>
      </w:r>
      <w:r w:rsidRPr="0074648E">
        <w:rPr>
          <w:rStyle w:val="mbin"/>
          <w:rFonts w:ascii="Arial" w:hAnsi="Arial" w:cs="Arial"/>
        </w:rPr>
        <w:t>+</w:t>
      </w:r>
      <w:r w:rsidRPr="0074648E">
        <w:rPr>
          <w:rStyle w:val="mord"/>
          <w:rFonts w:ascii="Arial" w:hAnsi="Arial" w:cs="Arial"/>
        </w:rPr>
        <w:t>3.3X3</w:t>
      </w:r>
      <w:r w:rsidRPr="0074648E">
        <w:rPr>
          <w:rStyle w:val="vlist-s"/>
          <w:rFonts w:ascii="Arial" w:hAnsi="Arial" w:cs="Arial"/>
        </w:rPr>
        <w:t>​</w:t>
      </w:r>
      <w:r w:rsidRPr="0074648E">
        <w:rPr>
          <w:rStyle w:val="mbin"/>
          <w:rFonts w:ascii="Arial" w:hAnsi="Arial" w:cs="Arial"/>
        </w:rPr>
        <w:t>+</w:t>
      </w:r>
      <w:r w:rsidRPr="0074648E">
        <w:rPr>
          <w:rStyle w:val="mord"/>
          <w:rFonts w:ascii="Arial" w:hAnsi="Arial" w:cs="Arial"/>
        </w:rPr>
        <w:t>0.6X4</w:t>
      </w:r>
      <w:r w:rsidRPr="0074648E">
        <w:rPr>
          <w:rStyle w:val="vlist-s"/>
          <w:rFonts w:ascii="Arial" w:hAnsi="Arial" w:cs="Arial"/>
        </w:rPr>
        <w:t>​</w:t>
      </w:r>
      <w:r w:rsidRPr="0074648E">
        <w:rPr>
          <w:rStyle w:val="mbin"/>
          <w:rFonts w:ascii="Arial" w:hAnsi="Arial" w:cs="Arial"/>
        </w:rPr>
        <w:t>+</w:t>
      </w:r>
      <w:r w:rsidRPr="0074648E">
        <w:rPr>
          <w:rStyle w:val="mord"/>
          <w:rFonts w:ascii="Arial" w:hAnsi="Arial" w:cs="Arial"/>
        </w:rPr>
        <w:t>1.0X5</w:t>
      </w:r>
      <w:r w:rsidRPr="0074648E">
        <w:rPr>
          <w:rStyle w:val="vlist-s"/>
          <w:rFonts w:ascii="Arial" w:hAnsi="Arial" w:cs="Arial"/>
        </w:rPr>
        <w:t>​</w:t>
      </w:r>
      <w:r w:rsidRPr="0074648E">
        <w:rPr>
          <w:rFonts w:ascii="Arial" w:eastAsia="Times New Roman" w:hAnsi="Arial" w:cs="Arial"/>
          <w:kern w:val="0"/>
          <w:szCs w:val="24"/>
          <w14:ligatures w14:val="none"/>
        </w:rPr>
        <w:t xml:space="preserve"> </w:t>
      </w:r>
    </w:p>
    <w:p w14:paraId="4D0CE530" w14:textId="77777777" w:rsidR="009B10D6" w:rsidRPr="0074648E" w:rsidRDefault="009B10D6"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Where:</w:t>
      </w:r>
    </w:p>
    <w:p w14:paraId="02C135E9" w14:textId="77777777" w:rsidR="009B10D6" w:rsidRPr="0074648E" w:rsidRDefault="009B10D6" w:rsidP="00934DB9">
      <w:pPr>
        <w:numPr>
          <w:ilvl w:val="0"/>
          <w:numId w:val="1"/>
        </w:num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b/>
          <w:bCs/>
          <w:kern w:val="0"/>
          <w:szCs w:val="24"/>
          <w14:ligatures w14:val="none"/>
        </w:rPr>
        <w:t>X</w:t>
      </w:r>
      <w:r w:rsidRPr="0074648E">
        <w:rPr>
          <w:rFonts w:ascii="Cambria Math" w:eastAsia="Times New Roman" w:hAnsi="Cambria Math" w:cs="Cambria Math"/>
          <w:b/>
          <w:bCs/>
          <w:kern w:val="0"/>
          <w:szCs w:val="24"/>
          <w14:ligatures w14:val="none"/>
        </w:rPr>
        <w:t>₁</w:t>
      </w:r>
      <w:r w:rsidRPr="0074648E">
        <w:rPr>
          <w:rFonts w:ascii="Arial" w:eastAsia="Times New Roman" w:hAnsi="Arial" w:cs="Arial"/>
          <w:b/>
          <w:bCs/>
          <w:kern w:val="0"/>
          <w:szCs w:val="24"/>
          <w14:ligatures w14:val="none"/>
        </w:rPr>
        <w:t xml:space="preserve"> = Working Capital / Total Assets</w:t>
      </w:r>
    </w:p>
    <w:p w14:paraId="493DEC75" w14:textId="77777777" w:rsidR="009B10D6" w:rsidRPr="0074648E" w:rsidRDefault="009B10D6" w:rsidP="00934DB9">
      <w:pPr>
        <w:numPr>
          <w:ilvl w:val="0"/>
          <w:numId w:val="1"/>
        </w:num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b/>
          <w:bCs/>
          <w:kern w:val="0"/>
          <w:szCs w:val="24"/>
          <w14:ligatures w14:val="none"/>
        </w:rPr>
        <w:t>X</w:t>
      </w:r>
      <w:r w:rsidRPr="0074648E">
        <w:rPr>
          <w:rFonts w:ascii="Cambria Math" w:eastAsia="Times New Roman" w:hAnsi="Cambria Math" w:cs="Cambria Math"/>
          <w:b/>
          <w:bCs/>
          <w:kern w:val="0"/>
          <w:szCs w:val="24"/>
          <w14:ligatures w14:val="none"/>
        </w:rPr>
        <w:t>₂</w:t>
      </w:r>
      <w:r w:rsidRPr="0074648E">
        <w:rPr>
          <w:rFonts w:ascii="Arial" w:eastAsia="Times New Roman" w:hAnsi="Arial" w:cs="Arial"/>
          <w:b/>
          <w:bCs/>
          <w:kern w:val="0"/>
          <w:szCs w:val="24"/>
          <w14:ligatures w14:val="none"/>
        </w:rPr>
        <w:t xml:space="preserve"> = Retained Earnings / Total Assets</w:t>
      </w:r>
    </w:p>
    <w:p w14:paraId="67A522EA" w14:textId="77777777" w:rsidR="009B10D6" w:rsidRPr="0074648E" w:rsidRDefault="009B10D6" w:rsidP="00934DB9">
      <w:pPr>
        <w:numPr>
          <w:ilvl w:val="0"/>
          <w:numId w:val="1"/>
        </w:num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b/>
          <w:bCs/>
          <w:kern w:val="0"/>
          <w:szCs w:val="24"/>
          <w14:ligatures w14:val="none"/>
        </w:rPr>
        <w:t>X</w:t>
      </w:r>
      <w:r w:rsidRPr="0074648E">
        <w:rPr>
          <w:rFonts w:ascii="Cambria Math" w:eastAsia="Times New Roman" w:hAnsi="Cambria Math" w:cs="Cambria Math"/>
          <w:b/>
          <w:bCs/>
          <w:kern w:val="0"/>
          <w:szCs w:val="24"/>
          <w14:ligatures w14:val="none"/>
        </w:rPr>
        <w:t>₃</w:t>
      </w:r>
      <w:r w:rsidRPr="0074648E">
        <w:rPr>
          <w:rFonts w:ascii="Arial" w:eastAsia="Times New Roman" w:hAnsi="Arial" w:cs="Arial"/>
          <w:b/>
          <w:bCs/>
          <w:kern w:val="0"/>
          <w:szCs w:val="24"/>
          <w14:ligatures w14:val="none"/>
        </w:rPr>
        <w:t xml:space="preserve"> = EBIT / Total Assets</w:t>
      </w:r>
    </w:p>
    <w:p w14:paraId="453956C1" w14:textId="77777777" w:rsidR="009B10D6" w:rsidRPr="0074648E" w:rsidRDefault="009B10D6" w:rsidP="00934DB9">
      <w:pPr>
        <w:numPr>
          <w:ilvl w:val="0"/>
          <w:numId w:val="1"/>
        </w:num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b/>
          <w:bCs/>
          <w:kern w:val="0"/>
          <w:szCs w:val="24"/>
          <w14:ligatures w14:val="none"/>
        </w:rPr>
        <w:t>X</w:t>
      </w:r>
      <w:r w:rsidRPr="0074648E">
        <w:rPr>
          <w:rFonts w:ascii="Cambria Math" w:eastAsia="Times New Roman" w:hAnsi="Cambria Math" w:cs="Cambria Math"/>
          <w:b/>
          <w:bCs/>
          <w:kern w:val="0"/>
          <w:szCs w:val="24"/>
          <w14:ligatures w14:val="none"/>
        </w:rPr>
        <w:t>₄</w:t>
      </w:r>
      <w:r w:rsidRPr="0074648E">
        <w:rPr>
          <w:rFonts w:ascii="Arial" w:eastAsia="Times New Roman" w:hAnsi="Arial" w:cs="Arial"/>
          <w:b/>
          <w:bCs/>
          <w:kern w:val="0"/>
          <w:szCs w:val="24"/>
          <w14:ligatures w14:val="none"/>
        </w:rPr>
        <w:t xml:space="preserve"> = Market Value of Equity / Total Liabilities</w:t>
      </w:r>
      <w:r w:rsidRPr="0074648E">
        <w:rPr>
          <w:rFonts w:ascii="Arial" w:eastAsia="Times New Roman" w:hAnsi="Arial" w:cs="Arial"/>
          <w:kern w:val="0"/>
          <w:szCs w:val="24"/>
          <w14:ligatures w14:val="none"/>
        </w:rPr>
        <w:t xml:space="preserve"> </w:t>
      </w:r>
      <w:r w:rsidRPr="0074648E">
        <w:rPr>
          <w:rFonts w:ascii="Arial" w:eastAsia="Times New Roman" w:hAnsi="Arial" w:cs="Arial"/>
          <w:i/>
          <w:iCs/>
          <w:kern w:val="0"/>
          <w:szCs w:val="24"/>
          <w14:ligatures w14:val="none"/>
        </w:rPr>
        <w:t>(approx. use book equity)</w:t>
      </w:r>
    </w:p>
    <w:p w14:paraId="143F8DB7" w14:textId="1A058E82" w:rsidR="00D51E4C" w:rsidRPr="0074648E" w:rsidRDefault="009B10D6" w:rsidP="00934DB9">
      <w:pPr>
        <w:numPr>
          <w:ilvl w:val="0"/>
          <w:numId w:val="1"/>
        </w:num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b/>
          <w:bCs/>
          <w:kern w:val="0"/>
          <w:szCs w:val="24"/>
          <w14:ligatures w14:val="none"/>
        </w:rPr>
        <w:t>X</w:t>
      </w:r>
      <w:r w:rsidRPr="0074648E">
        <w:rPr>
          <w:rFonts w:ascii="Cambria Math" w:eastAsia="Times New Roman" w:hAnsi="Cambria Math" w:cs="Cambria Math"/>
          <w:b/>
          <w:bCs/>
          <w:kern w:val="0"/>
          <w:szCs w:val="24"/>
          <w14:ligatures w14:val="none"/>
        </w:rPr>
        <w:t>₅</w:t>
      </w:r>
      <w:r w:rsidRPr="0074648E">
        <w:rPr>
          <w:rFonts w:ascii="Arial" w:eastAsia="Times New Roman" w:hAnsi="Arial" w:cs="Arial"/>
          <w:b/>
          <w:bCs/>
          <w:kern w:val="0"/>
          <w:szCs w:val="24"/>
          <w14:ligatures w14:val="none"/>
        </w:rPr>
        <w:t xml:space="preserve"> = Sales / Total Assets</w:t>
      </w:r>
    </w:p>
    <w:tbl>
      <w:tblPr>
        <w:tblStyle w:val="TableGrid"/>
        <w:tblW w:w="5000" w:type="pct"/>
        <w:tblLook w:val="04A0" w:firstRow="1" w:lastRow="0" w:firstColumn="1" w:lastColumn="0" w:noHBand="0" w:noVBand="1"/>
      </w:tblPr>
      <w:tblGrid>
        <w:gridCol w:w="1557"/>
        <w:gridCol w:w="1557"/>
        <w:gridCol w:w="1560"/>
        <w:gridCol w:w="1560"/>
        <w:gridCol w:w="1560"/>
        <w:gridCol w:w="1556"/>
      </w:tblGrid>
      <w:tr w:rsidR="0074648E" w:rsidRPr="0074648E" w14:paraId="64F05EBA" w14:textId="77777777" w:rsidTr="00D51E4C">
        <w:tc>
          <w:tcPr>
            <w:tcW w:w="833" w:type="pct"/>
          </w:tcPr>
          <w:p w14:paraId="4871B043" w14:textId="1975E47A"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lastRenderedPageBreak/>
              <w:t>Altman Z Score</w:t>
            </w:r>
          </w:p>
        </w:tc>
        <w:tc>
          <w:tcPr>
            <w:tcW w:w="833" w:type="pct"/>
          </w:tcPr>
          <w:p w14:paraId="4C83D334" w14:textId="4E77792B"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2024</w:t>
            </w:r>
          </w:p>
        </w:tc>
        <w:tc>
          <w:tcPr>
            <w:tcW w:w="834" w:type="pct"/>
          </w:tcPr>
          <w:p w14:paraId="784A5C10" w14:textId="37D7E292"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2023</w:t>
            </w:r>
          </w:p>
        </w:tc>
        <w:tc>
          <w:tcPr>
            <w:tcW w:w="834" w:type="pct"/>
          </w:tcPr>
          <w:p w14:paraId="57BABA69" w14:textId="28E69ECF"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2022</w:t>
            </w:r>
          </w:p>
        </w:tc>
        <w:tc>
          <w:tcPr>
            <w:tcW w:w="834" w:type="pct"/>
          </w:tcPr>
          <w:p w14:paraId="318E3DDD" w14:textId="0E573835"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2021</w:t>
            </w:r>
          </w:p>
        </w:tc>
        <w:tc>
          <w:tcPr>
            <w:tcW w:w="832" w:type="pct"/>
          </w:tcPr>
          <w:p w14:paraId="38E81A75" w14:textId="2214AF12"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2020</w:t>
            </w:r>
          </w:p>
        </w:tc>
      </w:tr>
      <w:tr w:rsidR="0074648E" w:rsidRPr="0074648E" w14:paraId="0CD575A3" w14:textId="77777777" w:rsidTr="00D51E4C">
        <w:tc>
          <w:tcPr>
            <w:tcW w:w="833" w:type="pct"/>
          </w:tcPr>
          <w:p w14:paraId="746EFF2D" w14:textId="0585103B"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Result</w:t>
            </w:r>
          </w:p>
        </w:tc>
        <w:tc>
          <w:tcPr>
            <w:tcW w:w="833" w:type="pct"/>
          </w:tcPr>
          <w:p w14:paraId="614059FB" w14:textId="2037B784"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2.82</w:t>
            </w:r>
          </w:p>
        </w:tc>
        <w:tc>
          <w:tcPr>
            <w:tcW w:w="834" w:type="pct"/>
          </w:tcPr>
          <w:p w14:paraId="7CC8DD1A" w14:textId="103A2045"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2.24</w:t>
            </w:r>
          </w:p>
        </w:tc>
        <w:tc>
          <w:tcPr>
            <w:tcW w:w="834" w:type="pct"/>
          </w:tcPr>
          <w:p w14:paraId="40D7365E" w14:textId="43FF4983"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3.06</w:t>
            </w:r>
          </w:p>
        </w:tc>
        <w:tc>
          <w:tcPr>
            <w:tcW w:w="834" w:type="pct"/>
          </w:tcPr>
          <w:p w14:paraId="1B4D7ACF" w14:textId="2FAAC06C" w:rsidR="00D51E4C" w:rsidRPr="0074648E" w:rsidRDefault="00D51E4C" w:rsidP="00934DB9">
            <w:pPr>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3.22</w:t>
            </w:r>
          </w:p>
        </w:tc>
        <w:tc>
          <w:tcPr>
            <w:tcW w:w="832" w:type="pct"/>
          </w:tcPr>
          <w:p w14:paraId="066D15B1" w14:textId="1F9AFA7D" w:rsidR="00D51E4C" w:rsidRPr="0074648E" w:rsidRDefault="00D51E4C" w:rsidP="00572DDE">
            <w:pPr>
              <w:keepNext/>
              <w:spacing w:before="100" w:beforeAutospacing="1" w:after="100" w:afterAutospacing="1"/>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3.64</w:t>
            </w:r>
          </w:p>
        </w:tc>
      </w:tr>
    </w:tbl>
    <w:p w14:paraId="2310F872" w14:textId="6C2ED236" w:rsidR="00775000" w:rsidRDefault="00572DDE" w:rsidP="00572DDE">
      <w:pPr>
        <w:pStyle w:val="Caption"/>
        <w:jc w:val="center"/>
        <w:rPr>
          <w:rFonts w:ascii="Arial" w:hAnsi="Arial" w:cs="Arial"/>
          <w:color w:val="auto"/>
        </w:rPr>
      </w:pPr>
      <w:bookmarkStart w:id="32" w:name="_Toc210664730"/>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8</w:t>
      </w:r>
      <w:r w:rsidRPr="0074648E">
        <w:rPr>
          <w:rFonts w:ascii="Arial" w:hAnsi="Arial" w:cs="Arial"/>
          <w:color w:val="auto"/>
        </w:rPr>
        <w:fldChar w:fldCharType="end"/>
      </w:r>
      <w:r w:rsidRPr="0074648E">
        <w:rPr>
          <w:rFonts w:ascii="Arial" w:hAnsi="Arial" w:cs="Arial"/>
          <w:color w:val="auto"/>
        </w:rPr>
        <w:t>: Altman Z Score</w:t>
      </w:r>
      <w:bookmarkEnd w:id="32"/>
    </w:p>
    <w:p w14:paraId="1BF7E14E" w14:textId="7CE2AF5D" w:rsidR="00396157" w:rsidRPr="00396157" w:rsidRDefault="00396157" w:rsidP="00396157">
      <w:pPr>
        <w:jc w:val="center"/>
      </w:pPr>
      <w:r>
        <w:t>Detailed Calculation given in appendix</w:t>
      </w:r>
    </w:p>
    <w:p w14:paraId="035C5C7B" w14:textId="4047495D" w:rsidR="00775000" w:rsidRPr="0074648E" w:rsidRDefault="00775000" w:rsidP="00934DB9">
      <w:pPr>
        <w:rPr>
          <w:rFonts w:ascii="Arial" w:hAnsi="Arial" w:cs="Arial"/>
        </w:rPr>
      </w:pPr>
      <w:r w:rsidRPr="0074648E">
        <w:rPr>
          <w:rFonts w:ascii="Arial" w:hAnsi="Arial" w:cs="Arial"/>
        </w:rPr>
        <w:t>In 2023, General Electronics leaves the Safe area (2020-2022: 3.64</w:t>
      </w:r>
      <w:r w:rsidR="00623FD9" w:rsidRPr="0074648E">
        <w:rPr>
          <w:rFonts w:ascii="Arial" w:hAnsi="Arial" w:cs="Arial"/>
        </w:rPr>
        <w:t>,</w:t>
      </w:r>
      <w:r w:rsidRPr="0074648E">
        <w:rPr>
          <w:rFonts w:ascii="Arial" w:hAnsi="Arial" w:cs="Arial"/>
        </w:rPr>
        <w:t xml:space="preserve"> 3.22</w:t>
      </w:r>
      <w:r w:rsidR="00623FD9" w:rsidRPr="0074648E">
        <w:rPr>
          <w:rFonts w:ascii="Arial" w:hAnsi="Arial" w:cs="Arial"/>
        </w:rPr>
        <w:t>,</w:t>
      </w:r>
      <w:r w:rsidRPr="0074648E">
        <w:rPr>
          <w:rFonts w:ascii="Arial" w:hAnsi="Arial" w:cs="Arial"/>
        </w:rPr>
        <w:t xml:space="preserve"> 3.06) and is in the Grey zone in 2024 (2.24). The early success of the Safe scores was supported by a robust working capital (X1), huge retained earnings (X2) and a good asset turnover (X5). This drastic decline is indicative of the deterioration in EBIT (X3 becomes negative) and an increasing debt load that diluted the equity-to-liabilities cushion (X4).</w:t>
      </w:r>
    </w:p>
    <w:p w14:paraId="09548F36" w14:textId="4E0A0524" w:rsidR="00775000" w:rsidRPr="0074648E" w:rsidRDefault="00775000" w:rsidP="00934DB9">
      <w:pPr>
        <w:rPr>
          <w:rFonts w:ascii="Arial" w:hAnsi="Arial" w:cs="Arial"/>
        </w:rPr>
      </w:pPr>
      <w:r w:rsidRPr="0074648E">
        <w:rPr>
          <w:rFonts w:ascii="Arial" w:hAnsi="Arial" w:cs="Arial"/>
        </w:rPr>
        <w:t>The 2.82 recovery in 2024 indicates that margin activities and inventory normali</w:t>
      </w:r>
      <w:r w:rsidR="00623FD9" w:rsidRPr="0074648E">
        <w:rPr>
          <w:rFonts w:ascii="Arial" w:hAnsi="Arial" w:cs="Arial"/>
        </w:rPr>
        <w:t>s</w:t>
      </w:r>
      <w:r w:rsidRPr="0074648E">
        <w:rPr>
          <w:rFonts w:ascii="Arial" w:hAnsi="Arial" w:cs="Arial"/>
        </w:rPr>
        <w:t>ation worked, yet default risk is real: the business is a single earnings shock shy of the distress zone (under 1.81) when EBIT is below or leverage increases</w:t>
      </w:r>
      <w:r w:rsidR="002411D1" w:rsidRPr="0074648E">
        <w:rPr>
          <w:rFonts w:ascii="Arial" w:hAnsi="Arial" w:cs="Arial"/>
        </w:rPr>
        <w:t xml:space="preserve"> </w:t>
      </w:r>
      <w:r w:rsidR="002411D1" w:rsidRPr="0074648E">
        <w:rPr>
          <w:rFonts w:ascii="Arial" w:hAnsi="Arial" w:cs="Arial"/>
          <w:shd w:val="clear" w:color="auto" w:fill="FFFFFF"/>
        </w:rPr>
        <w:t>(Cındık and Armutlulu, 2021)</w:t>
      </w:r>
      <w:r w:rsidRPr="0074648E">
        <w:rPr>
          <w:rFonts w:ascii="Arial" w:hAnsi="Arial" w:cs="Arial"/>
        </w:rPr>
        <w:t>. Liquidity is sufficient</w:t>
      </w:r>
      <w:r w:rsidR="00623FD9" w:rsidRPr="0074648E">
        <w:rPr>
          <w:rFonts w:ascii="Arial" w:hAnsi="Arial" w:cs="Arial"/>
        </w:rPr>
        <w:t>,</w:t>
      </w:r>
      <w:r w:rsidRPr="0074648E">
        <w:rPr>
          <w:rFonts w:ascii="Arial" w:hAnsi="Arial" w:cs="Arial"/>
        </w:rPr>
        <w:t xml:space="preserve"> but the operating cash flows are only a small percentage of short-term liabilities, which supports refinancing and covenant risk.</w:t>
      </w:r>
    </w:p>
    <w:p w14:paraId="500B01E4" w14:textId="43FA17D1" w:rsidR="00775000" w:rsidRPr="0074648E" w:rsidRDefault="00775000" w:rsidP="00934DB9">
      <w:pPr>
        <w:rPr>
          <w:rFonts w:ascii="Arial" w:hAnsi="Arial" w:cs="Arial"/>
        </w:rPr>
      </w:pPr>
      <w:r w:rsidRPr="0074648E">
        <w:rPr>
          <w:rFonts w:ascii="Arial" w:hAnsi="Arial" w:cs="Arial"/>
        </w:rPr>
        <w:t>Turnaround implication: the priority should be to re-establish sustainably positive EBIT (pricing, mix, opex resets), de-leverage (asset disposals, terminate buybacks, term-out lines), and tighten working capital (DSO down, inventory turns up). A normali</w:t>
      </w:r>
      <w:r w:rsidR="00623FD9" w:rsidRPr="0074648E">
        <w:rPr>
          <w:rFonts w:ascii="Arial" w:hAnsi="Arial" w:cs="Arial"/>
        </w:rPr>
        <w:t>s</w:t>
      </w:r>
      <w:r w:rsidRPr="0074648E">
        <w:rPr>
          <w:rFonts w:ascii="Arial" w:hAnsi="Arial" w:cs="Arial"/>
        </w:rPr>
        <w:t>ation of EBIT and a decrease in net debt will restore the X3 and X4 to raise the Z-Score above &gt;3.0; otherwise</w:t>
      </w:r>
      <w:r w:rsidR="00623FD9" w:rsidRPr="0074648E">
        <w:rPr>
          <w:rFonts w:ascii="Arial" w:hAnsi="Arial" w:cs="Arial"/>
        </w:rPr>
        <w:t>,</w:t>
      </w:r>
      <w:r w:rsidRPr="0074648E">
        <w:rPr>
          <w:rFonts w:ascii="Arial" w:hAnsi="Arial" w:cs="Arial"/>
        </w:rPr>
        <w:t xml:space="preserve"> the company is left in a dangerous Grey area with a high default risk.</w:t>
      </w:r>
    </w:p>
    <w:p w14:paraId="35F069CC" w14:textId="4F3E4604" w:rsidR="00D51E4C" w:rsidRPr="0074648E" w:rsidRDefault="00CA65D3" w:rsidP="00934DB9">
      <w:pPr>
        <w:pStyle w:val="Heading1"/>
        <w:rPr>
          <w:rFonts w:ascii="Arial" w:eastAsia="Times New Roman" w:hAnsi="Arial" w:cs="Arial"/>
          <w:color w:val="auto"/>
          <w:kern w:val="0"/>
          <w:szCs w:val="24"/>
          <w14:ligatures w14:val="none"/>
        </w:rPr>
      </w:pPr>
      <w:bookmarkStart w:id="33" w:name="_Toc210855236"/>
      <w:r w:rsidRPr="0074648E">
        <w:rPr>
          <w:rFonts w:ascii="Arial" w:hAnsi="Arial" w:cs="Arial"/>
          <w:color w:val="auto"/>
        </w:rPr>
        <w:t>Working Capital Management Analysis</w:t>
      </w:r>
      <w:bookmarkEnd w:id="33"/>
    </w:p>
    <w:p w14:paraId="5F91C97A" w14:textId="77777777" w:rsidR="00C33571" w:rsidRPr="0074648E" w:rsidRDefault="00C33571" w:rsidP="002608EC">
      <w:pPr>
        <w:rPr>
          <w:rFonts w:ascii="Arial" w:hAnsi="Arial" w:cs="Arial"/>
          <w:b/>
          <w:bCs/>
        </w:rPr>
      </w:pPr>
      <w:r w:rsidRPr="0074648E">
        <w:rPr>
          <w:rFonts w:ascii="Arial" w:hAnsi="Arial" w:cs="Arial"/>
          <w:b/>
          <w:bCs/>
        </w:rPr>
        <w:t>Cash Operating Cycle (COC): What the numbers say</w:t>
      </w:r>
    </w:p>
    <w:p w14:paraId="3EB3B6C6" w14:textId="7C131908" w:rsidR="005D6511" w:rsidRPr="0074648E" w:rsidRDefault="00775000" w:rsidP="00572DDE">
      <w:pPr>
        <w:rPr>
          <w:rFonts w:ascii="Arial" w:hAnsi="Arial" w:cs="Arial"/>
        </w:rPr>
      </w:pPr>
      <w:r w:rsidRPr="0074648E">
        <w:rPr>
          <w:rFonts w:ascii="Arial" w:hAnsi="Arial" w:cs="Arial"/>
        </w:rPr>
        <w:t>With the aid of the five-year statements, we estimate the cash operating cycle</w:t>
      </w:r>
      <w:r w:rsidR="00623FD9" w:rsidRPr="0074648E">
        <w:rPr>
          <w:rFonts w:ascii="Arial" w:hAnsi="Arial" w:cs="Arial"/>
        </w:rPr>
        <w:t>,</w:t>
      </w:r>
      <w:r w:rsidRPr="0074648E">
        <w:rPr>
          <w:rFonts w:ascii="Arial" w:hAnsi="Arial" w:cs="Arial"/>
        </w:rPr>
        <w:t xml:space="preserve"> CCC = DIO + DSO - DPO</w:t>
      </w:r>
      <w:r w:rsidR="00623FD9" w:rsidRPr="0074648E">
        <w:rPr>
          <w:rFonts w:ascii="Arial" w:hAnsi="Arial" w:cs="Arial"/>
        </w:rPr>
        <w:t>.</w:t>
      </w:r>
      <w:r w:rsidRPr="0074648E">
        <w:rPr>
          <w:rFonts w:ascii="Arial" w:hAnsi="Arial" w:cs="Arial"/>
        </w:rPr>
        <w:t xml:space="preserve"> </w:t>
      </w:r>
    </w:p>
    <w:p w14:paraId="3A75458C" w14:textId="31A75921" w:rsidR="00775000" w:rsidRPr="0074648E" w:rsidRDefault="00775000" w:rsidP="00572DDE">
      <w:pPr>
        <w:rPr>
          <w:rFonts w:ascii="Arial" w:hAnsi="Arial" w:cs="Arial"/>
        </w:rPr>
      </w:pPr>
      <w:r w:rsidRPr="0074648E">
        <w:rPr>
          <w:rFonts w:ascii="Arial" w:hAnsi="Arial" w:cs="Arial"/>
        </w:rPr>
        <w:t>DIO = days in inventory, DSO = days sales outstanding, and DPO = days payables outstanding. With average balances (two-point averages where feasible)</w:t>
      </w:r>
      <w:r w:rsidR="00623FD9" w:rsidRPr="0074648E">
        <w:rPr>
          <w:rFonts w:ascii="Arial" w:hAnsi="Arial" w:cs="Arial"/>
        </w:rPr>
        <w:t>,</w:t>
      </w:r>
      <w:r w:rsidRPr="0074648E">
        <w:rPr>
          <w:rFonts w:ascii="Arial" w:hAnsi="Arial" w:cs="Arial"/>
        </w:rPr>
        <w:t xml:space="preserve"> the trend is grim:</w:t>
      </w:r>
    </w:p>
    <w:p w14:paraId="3B12AA79" w14:textId="05612F99" w:rsidR="00C33571" w:rsidRPr="0074648E" w:rsidRDefault="00C33571" w:rsidP="00572DDE">
      <w:pPr>
        <w:pStyle w:val="NormalWeb"/>
        <w:numPr>
          <w:ilvl w:val="0"/>
          <w:numId w:val="2"/>
        </w:numPr>
        <w:spacing w:line="360" w:lineRule="auto"/>
        <w:jc w:val="both"/>
        <w:rPr>
          <w:rFonts w:ascii="Arial" w:hAnsi="Arial" w:cs="Arial"/>
        </w:rPr>
      </w:pPr>
      <w:r w:rsidRPr="0074648E">
        <w:rPr>
          <w:rStyle w:val="Strong"/>
          <w:rFonts w:ascii="Arial" w:eastAsiaTheme="majorEastAsia" w:hAnsi="Arial" w:cs="Arial"/>
        </w:rPr>
        <w:lastRenderedPageBreak/>
        <w:t>DIO (inventory days):</w:t>
      </w:r>
      <w:r w:rsidRPr="0074648E">
        <w:rPr>
          <w:rFonts w:ascii="Arial" w:hAnsi="Arial" w:cs="Arial"/>
        </w:rPr>
        <w:t xml:space="preserve"> 100 (2020)</w:t>
      </w:r>
      <w:r w:rsidR="00623FD9" w:rsidRPr="0074648E">
        <w:rPr>
          <w:rFonts w:ascii="Arial" w:hAnsi="Arial" w:cs="Arial"/>
        </w:rPr>
        <w:t>,</w:t>
      </w:r>
      <w:r w:rsidRPr="0074648E">
        <w:rPr>
          <w:rFonts w:ascii="Arial" w:hAnsi="Arial" w:cs="Arial"/>
        </w:rPr>
        <w:t xml:space="preserve"> 109 (2021)</w:t>
      </w:r>
      <w:r w:rsidR="00623FD9" w:rsidRPr="0074648E">
        <w:rPr>
          <w:rFonts w:ascii="Arial" w:hAnsi="Arial" w:cs="Arial"/>
        </w:rPr>
        <w:t>,</w:t>
      </w:r>
      <w:r w:rsidRPr="0074648E">
        <w:rPr>
          <w:rFonts w:ascii="Arial" w:hAnsi="Arial" w:cs="Arial"/>
        </w:rPr>
        <w:t xml:space="preserve"> </w:t>
      </w:r>
      <w:r w:rsidRPr="0074648E">
        <w:rPr>
          <w:rStyle w:val="Strong"/>
          <w:rFonts w:ascii="Arial" w:eastAsiaTheme="majorEastAsia" w:hAnsi="Arial" w:cs="Arial"/>
          <w:b w:val="0"/>
          <w:bCs w:val="0"/>
        </w:rPr>
        <w:t>128 (2022)</w:t>
      </w:r>
      <w:r w:rsidR="00623FD9" w:rsidRPr="0074648E">
        <w:rPr>
          <w:rFonts w:ascii="Arial" w:hAnsi="Arial" w:cs="Arial"/>
          <w:b/>
          <w:bCs/>
        </w:rPr>
        <w:t>,</w:t>
      </w:r>
      <w:r w:rsidRPr="0074648E">
        <w:rPr>
          <w:rFonts w:ascii="Arial" w:hAnsi="Arial" w:cs="Arial"/>
          <w:b/>
          <w:bCs/>
        </w:rPr>
        <w:t xml:space="preserve"> </w:t>
      </w:r>
      <w:r w:rsidRPr="0074648E">
        <w:rPr>
          <w:rStyle w:val="Strong"/>
          <w:rFonts w:ascii="Arial" w:eastAsiaTheme="majorEastAsia" w:hAnsi="Arial" w:cs="Arial"/>
          <w:b w:val="0"/>
          <w:bCs w:val="0"/>
        </w:rPr>
        <w:t>129 (2023)</w:t>
      </w:r>
      <w:r w:rsidR="00623FD9" w:rsidRPr="0074648E">
        <w:rPr>
          <w:rFonts w:ascii="Arial" w:hAnsi="Arial" w:cs="Arial"/>
          <w:b/>
          <w:bCs/>
        </w:rPr>
        <w:t>,</w:t>
      </w:r>
      <w:r w:rsidRPr="0074648E">
        <w:rPr>
          <w:rFonts w:ascii="Arial" w:hAnsi="Arial" w:cs="Arial"/>
        </w:rPr>
        <w:t xml:space="preserve"> 109 (2024).</w:t>
      </w:r>
    </w:p>
    <w:p w14:paraId="5622C67D" w14:textId="4C939A62" w:rsidR="00C33571" w:rsidRPr="0074648E" w:rsidRDefault="00C33571" w:rsidP="00572DDE">
      <w:pPr>
        <w:pStyle w:val="NormalWeb"/>
        <w:numPr>
          <w:ilvl w:val="0"/>
          <w:numId w:val="2"/>
        </w:numPr>
        <w:spacing w:line="360" w:lineRule="auto"/>
        <w:jc w:val="both"/>
        <w:rPr>
          <w:rFonts w:ascii="Arial" w:hAnsi="Arial" w:cs="Arial"/>
        </w:rPr>
      </w:pPr>
      <w:r w:rsidRPr="0074648E">
        <w:rPr>
          <w:rStyle w:val="Strong"/>
          <w:rFonts w:ascii="Arial" w:eastAsiaTheme="majorEastAsia" w:hAnsi="Arial" w:cs="Arial"/>
        </w:rPr>
        <w:t>DSO (receivable days):</w:t>
      </w:r>
      <w:r w:rsidRPr="0074648E">
        <w:rPr>
          <w:rFonts w:ascii="Arial" w:hAnsi="Arial" w:cs="Arial"/>
        </w:rPr>
        <w:t xml:space="preserve"> 77 (2020)</w:t>
      </w:r>
      <w:r w:rsidR="00623FD9" w:rsidRPr="0074648E">
        <w:rPr>
          <w:rFonts w:ascii="Arial" w:hAnsi="Arial" w:cs="Arial"/>
        </w:rPr>
        <w:t>,</w:t>
      </w:r>
      <w:r w:rsidRPr="0074648E">
        <w:rPr>
          <w:rFonts w:ascii="Arial" w:hAnsi="Arial" w:cs="Arial"/>
        </w:rPr>
        <w:t xml:space="preserve"> 79 (2021)</w:t>
      </w:r>
      <w:r w:rsidR="00623FD9" w:rsidRPr="0074648E">
        <w:rPr>
          <w:rFonts w:ascii="Arial" w:hAnsi="Arial" w:cs="Arial"/>
        </w:rPr>
        <w:t>,</w:t>
      </w:r>
      <w:r w:rsidRPr="0074648E">
        <w:rPr>
          <w:rFonts w:ascii="Arial" w:hAnsi="Arial" w:cs="Arial"/>
        </w:rPr>
        <w:t xml:space="preserve"> 81 (2022)</w:t>
      </w:r>
      <w:r w:rsidR="00623FD9" w:rsidRPr="0074648E">
        <w:rPr>
          <w:rFonts w:ascii="Arial" w:hAnsi="Arial" w:cs="Arial"/>
        </w:rPr>
        <w:t>,</w:t>
      </w:r>
      <w:r w:rsidRPr="0074648E">
        <w:rPr>
          <w:rFonts w:ascii="Arial" w:hAnsi="Arial" w:cs="Arial"/>
        </w:rPr>
        <w:t xml:space="preserve"> </w:t>
      </w:r>
      <w:r w:rsidRPr="0074648E">
        <w:rPr>
          <w:rStyle w:val="Strong"/>
          <w:rFonts w:ascii="Arial" w:eastAsiaTheme="majorEastAsia" w:hAnsi="Arial" w:cs="Arial"/>
          <w:b w:val="0"/>
          <w:bCs w:val="0"/>
        </w:rPr>
        <w:t>98 (2023)</w:t>
      </w:r>
      <w:r w:rsidR="00623FD9" w:rsidRPr="0074648E">
        <w:rPr>
          <w:rFonts w:ascii="Arial" w:hAnsi="Arial" w:cs="Arial"/>
          <w:b/>
          <w:bCs/>
        </w:rPr>
        <w:t>,</w:t>
      </w:r>
      <w:r w:rsidRPr="0074648E">
        <w:rPr>
          <w:rFonts w:ascii="Arial" w:hAnsi="Arial" w:cs="Arial"/>
          <w:b/>
          <w:bCs/>
        </w:rPr>
        <w:t xml:space="preserve"> </w:t>
      </w:r>
      <w:r w:rsidRPr="0074648E">
        <w:rPr>
          <w:rStyle w:val="Strong"/>
          <w:rFonts w:ascii="Arial" w:eastAsiaTheme="majorEastAsia" w:hAnsi="Arial" w:cs="Arial"/>
          <w:b w:val="0"/>
          <w:bCs w:val="0"/>
        </w:rPr>
        <w:t>105 (2024)</w:t>
      </w:r>
      <w:r w:rsidRPr="0074648E">
        <w:rPr>
          <w:rFonts w:ascii="Arial" w:hAnsi="Arial" w:cs="Arial"/>
          <w:b/>
          <w:bCs/>
        </w:rPr>
        <w:t>.</w:t>
      </w:r>
    </w:p>
    <w:p w14:paraId="0F257DC8" w14:textId="1A578ABF" w:rsidR="00C33571" w:rsidRPr="0074648E" w:rsidRDefault="00C33571" w:rsidP="00572DDE">
      <w:pPr>
        <w:pStyle w:val="NormalWeb"/>
        <w:numPr>
          <w:ilvl w:val="0"/>
          <w:numId w:val="2"/>
        </w:numPr>
        <w:spacing w:line="360" w:lineRule="auto"/>
        <w:jc w:val="both"/>
        <w:rPr>
          <w:rFonts w:ascii="Arial" w:hAnsi="Arial" w:cs="Arial"/>
        </w:rPr>
      </w:pPr>
      <w:r w:rsidRPr="0074648E">
        <w:rPr>
          <w:rStyle w:val="Strong"/>
          <w:rFonts w:ascii="Arial" w:eastAsiaTheme="majorEastAsia" w:hAnsi="Arial" w:cs="Arial"/>
        </w:rPr>
        <w:t>DPO (payable days):</w:t>
      </w:r>
      <w:r w:rsidRPr="0074648E">
        <w:rPr>
          <w:rFonts w:ascii="Arial" w:hAnsi="Arial" w:cs="Arial"/>
        </w:rPr>
        <w:t xml:space="preserve"> 69 (2020)</w:t>
      </w:r>
      <w:r w:rsidR="00623FD9" w:rsidRPr="0074648E">
        <w:rPr>
          <w:rFonts w:ascii="Arial" w:hAnsi="Arial" w:cs="Arial"/>
        </w:rPr>
        <w:t>,</w:t>
      </w:r>
      <w:r w:rsidRPr="0074648E">
        <w:rPr>
          <w:rFonts w:ascii="Arial" w:hAnsi="Arial" w:cs="Arial"/>
        </w:rPr>
        <w:t xml:space="preserve"> 75 (2021)</w:t>
      </w:r>
      <w:r w:rsidR="00623FD9" w:rsidRPr="0074648E">
        <w:rPr>
          <w:rFonts w:ascii="Arial" w:hAnsi="Arial" w:cs="Arial"/>
        </w:rPr>
        <w:t>,</w:t>
      </w:r>
      <w:r w:rsidRPr="0074648E">
        <w:rPr>
          <w:rFonts w:ascii="Arial" w:hAnsi="Arial" w:cs="Arial"/>
        </w:rPr>
        <w:t xml:space="preserve"> 77 (2022)</w:t>
      </w:r>
      <w:r w:rsidR="00623FD9" w:rsidRPr="0074648E">
        <w:rPr>
          <w:rFonts w:ascii="Arial" w:hAnsi="Arial" w:cs="Arial"/>
        </w:rPr>
        <w:t xml:space="preserve">, </w:t>
      </w:r>
      <w:r w:rsidRPr="0074648E">
        <w:rPr>
          <w:rFonts w:ascii="Arial" w:hAnsi="Arial" w:cs="Arial"/>
        </w:rPr>
        <w:t>73 (2023)</w:t>
      </w:r>
      <w:r w:rsidR="00623FD9" w:rsidRPr="0074648E">
        <w:rPr>
          <w:rFonts w:ascii="Arial" w:hAnsi="Arial" w:cs="Arial"/>
        </w:rPr>
        <w:t xml:space="preserve">, </w:t>
      </w:r>
      <w:r w:rsidRPr="0074648E">
        <w:rPr>
          <w:rStyle w:val="Strong"/>
          <w:rFonts w:ascii="Arial" w:eastAsiaTheme="majorEastAsia" w:hAnsi="Arial" w:cs="Arial"/>
          <w:b w:val="0"/>
          <w:bCs w:val="0"/>
        </w:rPr>
        <w:t>84 (2024)</w:t>
      </w:r>
      <w:r w:rsidRPr="0074648E">
        <w:rPr>
          <w:rFonts w:ascii="Arial" w:hAnsi="Arial" w:cs="Arial"/>
          <w:b/>
          <w:bCs/>
        </w:rPr>
        <w:t>.</w:t>
      </w:r>
    </w:p>
    <w:p w14:paraId="2C57295D" w14:textId="2F847BB1" w:rsidR="00C33571" w:rsidRPr="0074648E" w:rsidRDefault="00C33571" w:rsidP="00572DDE">
      <w:pPr>
        <w:pStyle w:val="NormalWeb"/>
        <w:numPr>
          <w:ilvl w:val="0"/>
          <w:numId w:val="2"/>
        </w:numPr>
        <w:spacing w:line="360" w:lineRule="auto"/>
        <w:jc w:val="both"/>
        <w:rPr>
          <w:rFonts w:ascii="Arial" w:hAnsi="Arial" w:cs="Arial"/>
          <w:b/>
          <w:bCs/>
        </w:rPr>
      </w:pPr>
      <w:r w:rsidRPr="0074648E">
        <w:rPr>
          <w:rStyle w:val="Strong"/>
          <w:rFonts w:ascii="Arial" w:eastAsiaTheme="majorEastAsia" w:hAnsi="Arial" w:cs="Arial"/>
        </w:rPr>
        <w:t>CCC:</w:t>
      </w:r>
      <w:r w:rsidRPr="0074648E">
        <w:rPr>
          <w:rFonts w:ascii="Arial" w:hAnsi="Arial" w:cs="Arial"/>
        </w:rPr>
        <w:t xml:space="preserve"> ~108 days (2020)</w:t>
      </w:r>
      <w:r w:rsidR="00623FD9" w:rsidRPr="0074648E">
        <w:rPr>
          <w:rFonts w:ascii="Arial" w:hAnsi="Arial" w:cs="Arial"/>
        </w:rPr>
        <w:t>,</w:t>
      </w:r>
      <w:r w:rsidRPr="0074648E">
        <w:rPr>
          <w:rFonts w:ascii="Arial" w:hAnsi="Arial" w:cs="Arial"/>
        </w:rPr>
        <w:t xml:space="preserve"> 112 (2021)</w:t>
      </w:r>
      <w:r w:rsidR="00623FD9" w:rsidRPr="0074648E">
        <w:rPr>
          <w:rFonts w:ascii="Arial" w:hAnsi="Arial" w:cs="Arial"/>
        </w:rPr>
        <w:t>,</w:t>
      </w:r>
      <w:r w:rsidRPr="0074648E">
        <w:rPr>
          <w:rFonts w:ascii="Arial" w:hAnsi="Arial" w:cs="Arial"/>
        </w:rPr>
        <w:t xml:space="preserve"> </w:t>
      </w:r>
      <w:r w:rsidRPr="0074648E">
        <w:rPr>
          <w:rStyle w:val="Strong"/>
          <w:rFonts w:ascii="Arial" w:eastAsiaTheme="majorEastAsia" w:hAnsi="Arial" w:cs="Arial"/>
          <w:b w:val="0"/>
          <w:bCs w:val="0"/>
        </w:rPr>
        <w:t>133 (2022)</w:t>
      </w:r>
      <w:r w:rsidR="00623FD9" w:rsidRPr="0074648E">
        <w:rPr>
          <w:rFonts w:ascii="Arial" w:hAnsi="Arial" w:cs="Arial"/>
          <w:b/>
          <w:bCs/>
        </w:rPr>
        <w:t>,</w:t>
      </w:r>
      <w:r w:rsidRPr="0074648E">
        <w:rPr>
          <w:rFonts w:ascii="Arial" w:hAnsi="Arial" w:cs="Arial"/>
          <w:b/>
          <w:bCs/>
        </w:rPr>
        <w:t xml:space="preserve"> </w:t>
      </w:r>
      <w:r w:rsidRPr="0074648E">
        <w:rPr>
          <w:rStyle w:val="Strong"/>
          <w:rFonts w:ascii="Arial" w:eastAsiaTheme="majorEastAsia" w:hAnsi="Arial" w:cs="Arial"/>
          <w:b w:val="0"/>
          <w:bCs w:val="0"/>
        </w:rPr>
        <w:t>154 (2023)</w:t>
      </w:r>
      <w:r w:rsidR="00623FD9" w:rsidRPr="0074648E">
        <w:rPr>
          <w:rFonts w:ascii="Arial" w:hAnsi="Arial" w:cs="Arial"/>
          <w:b/>
          <w:bCs/>
        </w:rPr>
        <w:t>,</w:t>
      </w:r>
      <w:r w:rsidRPr="0074648E">
        <w:rPr>
          <w:rFonts w:ascii="Arial" w:hAnsi="Arial" w:cs="Arial"/>
          <w:b/>
          <w:bCs/>
        </w:rPr>
        <w:t xml:space="preserve"> </w:t>
      </w:r>
      <w:r w:rsidRPr="0074648E">
        <w:rPr>
          <w:rStyle w:val="Strong"/>
          <w:rFonts w:ascii="Arial" w:eastAsiaTheme="majorEastAsia" w:hAnsi="Arial" w:cs="Arial"/>
          <w:b w:val="0"/>
          <w:bCs w:val="0"/>
        </w:rPr>
        <w:t>130 (2024)</w:t>
      </w:r>
      <w:r w:rsidRPr="0074648E">
        <w:rPr>
          <w:rFonts w:ascii="Arial" w:hAnsi="Arial" w:cs="Arial"/>
          <w:b/>
          <w:bCs/>
        </w:rPr>
        <w:t>.</w:t>
      </w:r>
    </w:p>
    <w:p w14:paraId="10643996" w14:textId="5EE98C21" w:rsidR="00775000" w:rsidRPr="0074648E" w:rsidRDefault="00CE7E6C" w:rsidP="00572DDE">
      <w:pPr>
        <w:pStyle w:val="NormalWeb"/>
        <w:spacing w:line="360" w:lineRule="auto"/>
        <w:jc w:val="both"/>
        <w:rPr>
          <w:rFonts w:ascii="Arial" w:hAnsi="Arial" w:cs="Arial"/>
        </w:rPr>
      </w:pPr>
      <w:r w:rsidRPr="0074648E">
        <w:rPr>
          <w:rFonts w:ascii="Arial" w:hAnsi="Arial" w:cs="Arial"/>
        </w:rPr>
        <w:t>T</w:t>
      </w:r>
      <w:r w:rsidR="00775000" w:rsidRPr="0074648E">
        <w:rPr>
          <w:rFonts w:ascii="Arial" w:hAnsi="Arial" w:cs="Arial"/>
        </w:rPr>
        <w:t>he cash of the firm is held in place in 45 months before it is converted into cash. Two problems prevail: (1) excessive and delay</w:t>
      </w:r>
      <w:r w:rsidR="00623FD9" w:rsidRPr="0074648E">
        <w:rPr>
          <w:rFonts w:ascii="Arial" w:hAnsi="Arial" w:cs="Arial"/>
        </w:rPr>
        <w:t>ed</w:t>
      </w:r>
      <w:r w:rsidR="00775000" w:rsidRPr="0074648E">
        <w:rPr>
          <w:rFonts w:ascii="Arial" w:hAnsi="Arial" w:cs="Arial"/>
        </w:rPr>
        <w:t xml:space="preserve"> inventory in 20222023 (DIO has risen to approximately 129 days), and (2) low collections / longer credit (DSO deteriorates to about 105 days in 2024). Although 2024 is expected to see an inventory clean-up (DIO down -20 days) and some supplier financing tailwind (DPO up to -84 days), the CCC is expected to be still at a healthy level of consumer-electronics 3 = -130 days. This protracted cycle also coincides with the decline in operating cash flow coverage (OCF/CL only 0.09 in 2024) and a reduction in cash despite positive gross margins</w:t>
      </w:r>
      <w:r w:rsidR="002411D1" w:rsidRPr="0074648E">
        <w:rPr>
          <w:rFonts w:ascii="Arial" w:hAnsi="Arial" w:cs="Arial"/>
        </w:rPr>
        <w:t xml:space="preserve"> </w:t>
      </w:r>
      <w:r w:rsidR="002411D1" w:rsidRPr="0074648E">
        <w:rPr>
          <w:rFonts w:ascii="Arial" w:hAnsi="Arial" w:cs="Arial"/>
          <w:shd w:val="clear" w:color="auto" w:fill="FFFFFF"/>
        </w:rPr>
        <w:t>(Kiymaz et al., 2024)</w:t>
      </w:r>
      <w:r w:rsidR="00775000" w:rsidRPr="0074648E">
        <w:rPr>
          <w:rFonts w:ascii="Arial" w:hAnsi="Arial" w:cs="Arial"/>
        </w:rPr>
        <w:t>.</w:t>
      </w:r>
    </w:p>
    <w:p w14:paraId="4E5326D3" w14:textId="0B8ED9F1" w:rsidR="00775000" w:rsidRPr="0074648E" w:rsidRDefault="00775000" w:rsidP="00572DDE">
      <w:pPr>
        <w:pStyle w:val="NormalWeb"/>
        <w:spacing w:line="360" w:lineRule="auto"/>
        <w:jc w:val="both"/>
        <w:rPr>
          <w:rFonts w:ascii="Arial" w:hAnsi="Arial" w:cs="Arial"/>
        </w:rPr>
      </w:pPr>
      <w:r w:rsidRPr="0074648E">
        <w:rPr>
          <w:rFonts w:ascii="Arial" w:hAnsi="Arial" w:cs="Arial"/>
        </w:rPr>
        <w:t>The drag is measured by a 2024 lens: one day of DSO commits about 365 million pounds</w:t>
      </w:r>
      <w:r w:rsidR="00623FD9" w:rsidRPr="0074648E">
        <w:rPr>
          <w:rFonts w:ascii="Arial" w:hAnsi="Arial" w:cs="Arial"/>
        </w:rPr>
        <w:t>,</w:t>
      </w:r>
      <w:r w:rsidRPr="0074648E">
        <w:rPr>
          <w:rFonts w:ascii="Arial" w:hAnsi="Arial" w:cs="Arial"/>
        </w:rPr>
        <w:t xml:space="preserve"> and one day of DIO commits about 285 million pounds. On the other hand, an increment of one more DPO day affords about 0.77bn trade credit. That scale demonstrates how even small day-cuts can open up billions of dollars in cash.</w:t>
      </w:r>
    </w:p>
    <w:p w14:paraId="3574F2EC" w14:textId="1A41186F" w:rsidR="00775000" w:rsidRPr="0074648E" w:rsidRDefault="00775000" w:rsidP="002608EC">
      <w:pPr>
        <w:rPr>
          <w:rFonts w:ascii="Arial" w:hAnsi="Arial" w:cs="Arial"/>
          <w:b/>
          <w:bCs/>
        </w:rPr>
      </w:pPr>
      <w:r w:rsidRPr="0074648E">
        <w:rPr>
          <w:rFonts w:ascii="Arial" w:hAnsi="Arial" w:cs="Arial"/>
          <w:b/>
          <w:bCs/>
        </w:rPr>
        <w:t>Working Capital Recovery: How to get money fast and on a sustainable basis.</w:t>
      </w:r>
    </w:p>
    <w:p w14:paraId="62981D4D" w14:textId="77777777" w:rsidR="00775000" w:rsidRPr="0074648E" w:rsidRDefault="00775000" w:rsidP="00572DDE">
      <w:pPr>
        <w:pStyle w:val="NormalWeb"/>
        <w:spacing w:line="360" w:lineRule="auto"/>
        <w:jc w:val="both"/>
        <w:rPr>
          <w:rFonts w:ascii="Arial" w:hAnsi="Arial" w:cs="Arial"/>
        </w:rPr>
      </w:pPr>
      <w:r w:rsidRPr="0074648E">
        <w:rPr>
          <w:rFonts w:ascii="Arial" w:hAnsi="Arial" w:cs="Arial"/>
        </w:rPr>
        <w:t>1) Receivables (DSO 1525 days; target 8090 days)</w:t>
      </w:r>
    </w:p>
    <w:p w14:paraId="00A8FD73" w14:textId="0654165C" w:rsidR="00775000" w:rsidRPr="0074648E" w:rsidRDefault="00775000" w:rsidP="00572DDE">
      <w:pPr>
        <w:pStyle w:val="NormalWeb"/>
        <w:spacing w:line="360" w:lineRule="auto"/>
        <w:jc w:val="both"/>
        <w:rPr>
          <w:rFonts w:ascii="Arial" w:hAnsi="Arial" w:cs="Arial"/>
        </w:rPr>
      </w:pPr>
      <w:r w:rsidRPr="0074648E">
        <w:rPr>
          <w:rFonts w:ascii="Arial" w:hAnsi="Arial" w:cs="Arial"/>
        </w:rPr>
        <w:t>• Reset credit policy and segmentation</w:t>
      </w:r>
      <w:r w:rsidR="00CE7E6C" w:rsidRPr="0074648E">
        <w:rPr>
          <w:rFonts w:ascii="Arial" w:hAnsi="Arial" w:cs="Arial"/>
        </w:rPr>
        <w:t>:</w:t>
      </w:r>
      <w:r w:rsidRPr="0074648E">
        <w:rPr>
          <w:rFonts w:ascii="Arial" w:hAnsi="Arial" w:cs="Arial"/>
        </w:rPr>
        <w:t xml:space="preserve"> Stricten terms to lower quality accounts; continue strategic terms to major retailers and operators. Implement risk-based pricing and credit limits imposed by the order-management system</w:t>
      </w:r>
      <w:r w:rsidR="002411D1" w:rsidRPr="0074648E">
        <w:rPr>
          <w:rFonts w:ascii="Arial" w:hAnsi="Arial" w:cs="Arial"/>
        </w:rPr>
        <w:t xml:space="preserve"> </w:t>
      </w:r>
      <w:r w:rsidR="002411D1" w:rsidRPr="0074648E">
        <w:rPr>
          <w:rFonts w:ascii="Arial" w:hAnsi="Arial" w:cs="Arial"/>
          <w:shd w:val="clear" w:color="auto" w:fill="FFFFFF"/>
        </w:rPr>
        <w:t>(Kiymaz et al., 2024)</w:t>
      </w:r>
      <w:r w:rsidRPr="0074648E">
        <w:rPr>
          <w:rFonts w:ascii="Arial" w:hAnsi="Arial" w:cs="Arial"/>
        </w:rPr>
        <w:t>.</w:t>
      </w:r>
    </w:p>
    <w:p w14:paraId="718BDFE9" w14:textId="6029D355" w:rsidR="00775000" w:rsidRPr="0074648E" w:rsidRDefault="00775000" w:rsidP="00572DDE">
      <w:pPr>
        <w:pStyle w:val="NormalWeb"/>
        <w:spacing w:line="360" w:lineRule="auto"/>
        <w:jc w:val="both"/>
        <w:rPr>
          <w:rFonts w:ascii="Arial" w:hAnsi="Arial" w:cs="Arial"/>
        </w:rPr>
      </w:pPr>
      <w:r w:rsidRPr="0074648E">
        <w:rPr>
          <w:rFonts w:ascii="Arial" w:hAnsi="Arial" w:cs="Arial"/>
        </w:rPr>
        <w:t>• Early-pay incentives and dynamic discounting</w:t>
      </w:r>
      <w:r w:rsidR="00CE7E6C" w:rsidRPr="0074648E">
        <w:rPr>
          <w:rFonts w:ascii="Arial" w:hAnsi="Arial" w:cs="Arial"/>
        </w:rPr>
        <w:t>:</w:t>
      </w:r>
      <w:r w:rsidRPr="0074648E">
        <w:rPr>
          <w:rFonts w:ascii="Arial" w:hAnsi="Arial" w:cs="Arial"/>
        </w:rPr>
        <w:t xml:space="preserve"> Provision of 1-2% early-pay discounts on specific channels where gross margin can sustain it; dynamic discounting in response to customer risk and seasonality.</w:t>
      </w:r>
    </w:p>
    <w:p w14:paraId="5A5AF3B8" w14:textId="77777777" w:rsidR="00775000" w:rsidRPr="0074648E" w:rsidRDefault="00775000" w:rsidP="00572DDE">
      <w:pPr>
        <w:pStyle w:val="NormalWeb"/>
        <w:spacing w:line="360" w:lineRule="auto"/>
        <w:jc w:val="both"/>
        <w:rPr>
          <w:rFonts w:ascii="Arial" w:hAnsi="Arial" w:cs="Arial"/>
        </w:rPr>
      </w:pPr>
      <w:r w:rsidRPr="0074648E">
        <w:rPr>
          <w:rFonts w:ascii="Arial" w:hAnsi="Arial" w:cs="Arial"/>
        </w:rPr>
        <w:lastRenderedPageBreak/>
        <w:t>2) Inventory (DIO 20-35 days; target =75-90 days )</w:t>
      </w:r>
    </w:p>
    <w:p w14:paraId="6E44C42A" w14:textId="7C41F61A" w:rsidR="00775000" w:rsidRPr="0074648E" w:rsidRDefault="00775000" w:rsidP="00572DDE">
      <w:pPr>
        <w:pStyle w:val="NormalWeb"/>
        <w:spacing w:line="360" w:lineRule="auto"/>
        <w:jc w:val="both"/>
        <w:rPr>
          <w:rFonts w:ascii="Arial" w:hAnsi="Arial" w:cs="Arial"/>
        </w:rPr>
      </w:pPr>
      <w:r w:rsidRPr="0074648E">
        <w:rPr>
          <w:rFonts w:ascii="Arial" w:hAnsi="Arial" w:cs="Arial"/>
        </w:rPr>
        <w:t>• S/OP rigo</w:t>
      </w:r>
      <w:r w:rsidR="00623FD9" w:rsidRPr="0074648E">
        <w:rPr>
          <w:rFonts w:ascii="Arial" w:hAnsi="Arial" w:cs="Arial"/>
        </w:rPr>
        <w:t>u</w:t>
      </w:r>
      <w:r w:rsidRPr="0074648E">
        <w:rPr>
          <w:rFonts w:ascii="Arial" w:hAnsi="Arial" w:cs="Arial"/>
        </w:rPr>
        <w:t>r and demand</w:t>
      </w:r>
      <w:r w:rsidR="00623FD9" w:rsidRPr="0074648E">
        <w:rPr>
          <w:rFonts w:ascii="Arial" w:hAnsi="Arial" w:cs="Arial"/>
        </w:rPr>
        <w:t>-</w:t>
      </w:r>
      <w:r w:rsidRPr="0074648E">
        <w:rPr>
          <w:rFonts w:ascii="Arial" w:hAnsi="Arial" w:cs="Arial"/>
        </w:rPr>
        <w:t xml:space="preserve">based planning. Revise to weekly S&amp;OE execution (implementation) on </w:t>
      </w:r>
      <w:r w:rsidR="00623FD9" w:rsidRPr="0074648E">
        <w:rPr>
          <w:rFonts w:ascii="Arial" w:hAnsi="Arial" w:cs="Arial"/>
        </w:rPr>
        <w:t xml:space="preserve">the </w:t>
      </w:r>
      <w:r w:rsidRPr="0074648E">
        <w:rPr>
          <w:rFonts w:ascii="Arial" w:hAnsi="Arial" w:cs="Arial"/>
        </w:rPr>
        <w:t>monthly S&amp;OP. Trim the safety stock using short-horizon demand sensing and match builds with the actual sell-out.</w:t>
      </w:r>
    </w:p>
    <w:p w14:paraId="5F2675CB" w14:textId="3B232AFE" w:rsidR="00775000" w:rsidRPr="0074648E" w:rsidRDefault="00775000" w:rsidP="00572DDE">
      <w:pPr>
        <w:pStyle w:val="NormalWeb"/>
        <w:spacing w:line="360" w:lineRule="auto"/>
        <w:jc w:val="both"/>
        <w:rPr>
          <w:rFonts w:ascii="Arial" w:hAnsi="Arial" w:cs="Arial"/>
        </w:rPr>
      </w:pPr>
      <w:r w:rsidRPr="0074648E">
        <w:rPr>
          <w:rFonts w:ascii="Arial" w:hAnsi="Arial" w:cs="Arial"/>
        </w:rPr>
        <w:t>• SKU rationali</w:t>
      </w:r>
      <w:r w:rsidR="00623FD9" w:rsidRPr="0074648E">
        <w:rPr>
          <w:rFonts w:ascii="Arial" w:hAnsi="Arial" w:cs="Arial"/>
        </w:rPr>
        <w:t>s</w:t>
      </w:r>
      <w:r w:rsidRPr="0074648E">
        <w:rPr>
          <w:rFonts w:ascii="Arial" w:hAnsi="Arial" w:cs="Arial"/>
        </w:rPr>
        <w:t>ation and lifecycle management. Retail long-tail SKUs, impose stage-gate leave of old models and liquidate the old stock by markdown optimi</w:t>
      </w:r>
      <w:r w:rsidR="00623FD9" w:rsidRPr="0074648E">
        <w:rPr>
          <w:rFonts w:ascii="Arial" w:hAnsi="Arial" w:cs="Arial"/>
        </w:rPr>
        <w:t>s</w:t>
      </w:r>
      <w:r w:rsidRPr="0074648E">
        <w:rPr>
          <w:rFonts w:ascii="Arial" w:hAnsi="Arial" w:cs="Arial"/>
        </w:rPr>
        <w:t>ation before the product becomes obsolete</w:t>
      </w:r>
      <w:r w:rsidR="002411D1" w:rsidRPr="0074648E">
        <w:rPr>
          <w:rFonts w:ascii="Arial" w:hAnsi="Arial" w:cs="Arial"/>
        </w:rPr>
        <w:t xml:space="preserve"> </w:t>
      </w:r>
      <w:r w:rsidR="002411D1" w:rsidRPr="0074648E">
        <w:rPr>
          <w:rFonts w:ascii="Arial" w:hAnsi="Arial" w:cs="Arial"/>
          <w:shd w:val="clear" w:color="auto" w:fill="FFFFFF"/>
        </w:rPr>
        <w:t>(Kiymaz et al., 2024)</w:t>
      </w:r>
      <w:r w:rsidRPr="0074648E">
        <w:rPr>
          <w:rFonts w:ascii="Arial" w:hAnsi="Arial" w:cs="Arial"/>
        </w:rPr>
        <w:t>.</w:t>
      </w:r>
    </w:p>
    <w:p w14:paraId="6181D45F" w14:textId="3C8972B4" w:rsidR="00775000" w:rsidRPr="0074648E" w:rsidRDefault="00775000" w:rsidP="00572DDE">
      <w:pPr>
        <w:pStyle w:val="NormalWeb"/>
        <w:spacing w:line="360" w:lineRule="auto"/>
        <w:jc w:val="both"/>
        <w:rPr>
          <w:rFonts w:ascii="Arial" w:hAnsi="Arial" w:cs="Arial"/>
        </w:rPr>
      </w:pPr>
      <w:r w:rsidRPr="0074648E">
        <w:rPr>
          <w:rFonts w:ascii="Arial" w:hAnsi="Arial" w:cs="Arial"/>
        </w:rPr>
        <w:t>• Lead-time and network compression. Co-locate DCs with 3PLs around demand cent</w:t>
      </w:r>
      <w:r w:rsidR="00623FD9" w:rsidRPr="0074648E">
        <w:rPr>
          <w:rFonts w:ascii="Arial" w:hAnsi="Arial" w:cs="Arial"/>
        </w:rPr>
        <w:t>re</w:t>
      </w:r>
      <w:r w:rsidRPr="0074648E">
        <w:rPr>
          <w:rFonts w:ascii="Arial" w:hAnsi="Arial" w:cs="Arial"/>
        </w:rPr>
        <w:t>s, and negotiate shorter supplier lead times to warrant smaller buffers.</w:t>
      </w:r>
    </w:p>
    <w:p w14:paraId="4CBD225E" w14:textId="5F40CFCF" w:rsidR="00775000" w:rsidRPr="0074648E" w:rsidRDefault="00775000" w:rsidP="00572DDE">
      <w:pPr>
        <w:pStyle w:val="NormalWeb"/>
        <w:spacing w:line="360" w:lineRule="auto"/>
        <w:jc w:val="both"/>
        <w:rPr>
          <w:rFonts w:ascii="Arial" w:hAnsi="Arial" w:cs="Arial"/>
        </w:rPr>
      </w:pPr>
      <w:r w:rsidRPr="0074648E">
        <w:rPr>
          <w:rFonts w:ascii="Arial" w:hAnsi="Arial" w:cs="Arial"/>
        </w:rPr>
        <w:t>• Vendor-Managed Inventory (VMI)/consignment with key retailers to move inventory upstream and reduce on-books inventory</w:t>
      </w:r>
      <w:r w:rsidR="002411D1" w:rsidRPr="0074648E">
        <w:rPr>
          <w:rFonts w:ascii="Arial" w:hAnsi="Arial" w:cs="Arial"/>
        </w:rPr>
        <w:t xml:space="preserve"> </w:t>
      </w:r>
      <w:r w:rsidR="002411D1" w:rsidRPr="0074648E">
        <w:rPr>
          <w:rFonts w:ascii="Arial" w:hAnsi="Arial" w:cs="Arial"/>
          <w:shd w:val="clear" w:color="auto" w:fill="FFFFFF"/>
        </w:rPr>
        <w:t>(Roy et al., 2025)</w:t>
      </w:r>
      <w:r w:rsidRPr="0074648E">
        <w:rPr>
          <w:rFonts w:ascii="Arial" w:hAnsi="Arial" w:cs="Arial"/>
        </w:rPr>
        <w:t>.</w:t>
      </w:r>
    </w:p>
    <w:p w14:paraId="0EDC5288" w14:textId="6D75DA53" w:rsidR="00775000" w:rsidRPr="0074648E" w:rsidRDefault="00775000" w:rsidP="00572DDE">
      <w:pPr>
        <w:pStyle w:val="NormalWeb"/>
        <w:spacing w:line="360" w:lineRule="auto"/>
        <w:jc w:val="both"/>
        <w:rPr>
          <w:rFonts w:ascii="Arial" w:hAnsi="Arial" w:cs="Arial"/>
        </w:rPr>
      </w:pPr>
      <w:r w:rsidRPr="0074648E">
        <w:rPr>
          <w:rFonts w:ascii="Arial" w:hAnsi="Arial" w:cs="Arial"/>
        </w:rPr>
        <w:t>• Policy analytics. ABC/XYZ classification to distinguish between service levels; multi-echelon inventory optimi</w:t>
      </w:r>
      <w:r w:rsidR="00623FD9" w:rsidRPr="0074648E">
        <w:rPr>
          <w:rFonts w:ascii="Arial" w:hAnsi="Arial" w:cs="Arial"/>
        </w:rPr>
        <w:t>s</w:t>
      </w:r>
      <w:r w:rsidRPr="0074648E">
        <w:rPr>
          <w:rFonts w:ascii="Arial" w:hAnsi="Arial" w:cs="Arial"/>
        </w:rPr>
        <w:t>ation to establish target ranges (min-max) per node and volatility.</w:t>
      </w:r>
    </w:p>
    <w:p w14:paraId="3556F1D7" w14:textId="486DA063" w:rsidR="00775000" w:rsidRPr="0074648E" w:rsidRDefault="00775000" w:rsidP="00572DDE">
      <w:pPr>
        <w:pStyle w:val="NormalWeb"/>
        <w:spacing w:line="360" w:lineRule="auto"/>
        <w:jc w:val="both"/>
        <w:rPr>
          <w:rFonts w:ascii="Arial" w:hAnsi="Arial" w:cs="Arial"/>
        </w:rPr>
      </w:pPr>
      <w:r w:rsidRPr="0074648E">
        <w:rPr>
          <w:rFonts w:ascii="Arial" w:hAnsi="Arial" w:cs="Arial"/>
        </w:rPr>
        <w:t>Cash effect: 20</w:t>
      </w:r>
      <w:r w:rsidR="00623FD9" w:rsidRPr="0074648E">
        <w:rPr>
          <w:rFonts w:ascii="Arial" w:hAnsi="Arial" w:cs="Arial"/>
        </w:rPr>
        <w:t>-</w:t>
      </w:r>
      <w:r w:rsidRPr="0074648E">
        <w:rPr>
          <w:rFonts w:ascii="Arial" w:hAnsi="Arial" w:cs="Arial"/>
        </w:rPr>
        <w:t xml:space="preserve">day DIO reduction would liberate approximately 15.4bn; 30 </w:t>
      </w:r>
      <w:r w:rsidR="00623FD9" w:rsidRPr="0074648E">
        <w:rPr>
          <w:rFonts w:ascii="Arial" w:hAnsi="Arial" w:cs="Arial"/>
        </w:rPr>
        <w:t>reduction</w:t>
      </w:r>
      <w:r w:rsidRPr="0074648E">
        <w:rPr>
          <w:rFonts w:ascii="Arial" w:hAnsi="Arial" w:cs="Arial"/>
        </w:rPr>
        <w:t>, approximately 23.1bn.</w:t>
      </w:r>
    </w:p>
    <w:p w14:paraId="6388950D" w14:textId="0C671474" w:rsidR="00775000" w:rsidRPr="0074648E" w:rsidRDefault="00775000" w:rsidP="00572DDE">
      <w:pPr>
        <w:pStyle w:val="NormalWeb"/>
        <w:spacing w:line="360" w:lineRule="auto"/>
        <w:jc w:val="both"/>
        <w:rPr>
          <w:rFonts w:ascii="Arial" w:hAnsi="Arial" w:cs="Arial"/>
        </w:rPr>
      </w:pPr>
      <w:r w:rsidRPr="0074648E">
        <w:rPr>
          <w:rFonts w:ascii="Arial" w:hAnsi="Arial" w:cs="Arial"/>
        </w:rPr>
        <w:t>3) Payables (DPO 7-12 days; sustainable 90-95 days)</w:t>
      </w:r>
    </w:p>
    <w:p w14:paraId="09CB0CA9" w14:textId="7F387341" w:rsidR="00775000" w:rsidRPr="0074648E" w:rsidRDefault="00775000" w:rsidP="00572DDE">
      <w:pPr>
        <w:pStyle w:val="NormalWeb"/>
        <w:spacing w:line="360" w:lineRule="auto"/>
        <w:jc w:val="both"/>
        <w:rPr>
          <w:rFonts w:ascii="Arial" w:hAnsi="Arial" w:cs="Arial"/>
        </w:rPr>
      </w:pPr>
      <w:r w:rsidRPr="0074648E">
        <w:rPr>
          <w:rFonts w:ascii="Arial" w:hAnsi="Arial" w:cs="Arial"/>
        </w:rPr>
        <w:t xml:space="preserve"> Harmoni</w:t>
      </w:r>
      <w:r w:rsidR="00623FD9" w:rsidRPr="0074648E">
        <w:rPr>
          <w:rFonts w:ascii="Arial" w:hAnsi="Arial" w:cs="Arial"/>
        </w:rPr>
        <w:t>s</w:t>
      </w:r>
      <w:r w:rsidRPr="0074648E">
        <w:rPr>
          <w:rFonts w:ascii="Arial" w:hAnsi="Arial" w:cs="Arial"/>
        </w:rPr>
        <w:t>ation of terms and strategic sourcing. Normali</w:t>
      </w:r>
      <w:r w:rsidR="00623FD9" w:rsidRPr="0074648E">
        <w:rPr>
          <w:rFonts w:ascii="Arial" w:hAnsi="Arial" w:cs="Arial"/>
        </w:rPr>
        <w:t>s</w:t>
      </w:r>
      <w:r w:rsidRPr="0074648E">
        <w:rPr>
          <w:rFonts w:ascii="Arial" w:hAnsi="Arial" w:cs="Arial"/>
        </w:rPr>
        <w:t>e to Net 60/75/90 where bargaining power and relationship can be used; do not use blanket extensions of small/weak vendors.</w:t>
      </w:r>
    </w:p>
    <w:p w14:paraId="4DB16950" w14:textId="5224A028" w:rsidR="00775000" w:rsidRPr="0074648E" w:rsidRDefault="00775000" w:rsidP="00572DDE">
      <w:pPr>
        <w:pStyle w:val="NormalWeb"/>
        <w:spacing w:line="360" w:lineRule="auto"/>
        <w:jc w:val="both"/>
        <w:rPr>
          <w:rFonts w:ascii="Arial" w:hAnsi="Arial" w:cs="Arial"/>
        </w:rPr>
      </w:pPr>
      <w:r w:rsidRPr="0074648E">
        <w:rPr>
          <w:rFonts w:ascii="Arial" w:hAnsi="Arial" w:cs="Arial"/>
        </w:rPr>
        <w:t>Supply-chain finance (re</w:t>
      </w:r>
      <w:r w:rsidR="00623FD9" w:rsidRPr="0074648E">
        <w:rPr>
          <w:rFonts w:ascii="Arial" w:hAnsi="Arial" w:cs="Arial"/>
        </w:rPr>
        <w:t>ceivabl</w:t>
      </w:r>
      <w:r w:rsidRPr="0074648E">
        <w:rPr>
          <w:rFonts w:ascii="Arial" w:hAnsi="Arial" w:cs="Arial"/>
        </w:rPr>
        <w:t>e factoring). Provide early payment to suppliers at your investment-grade rate, as it stays extended, which is both ethical and helps to stabili</w:t>
      </w:r>
      <w:r w:rsidR="00623FD9" w:rsidRPr="0074648E">
        <w:rPr>
          <w:rFonts w:ascii="Arial" w:hAnsi="Arial" w:cs="Arial"/>
        </w:rPr>
        <w:t>s</w:t>
      </w:r>
      <w:r w:rsidRPr="0074648E">
        <w:rPr>
          <w:rFonts w:ascii="Arial" w:hAnsi="Arial" w:cs="Arial"/>
        </w:rPr>
        <w:t>e the chain</w:t>
      </w:r>
      <w:r w:rsidR="002411D1" w:rsidRPr="0074648E">
        <w:rPr>
          <w:rFonts w:ascii="Arial" w:hAnsi="Arial" w:cs="Arial"/>
        </w:rPr>
        <w:t xml:space="preserve"> </w:t>
      </w:r>
      <w:r w:rsidR="002411D1" w:rsidRPr="0074648E">
        <w:rPr>
          <w:rFonts w:ascii="Arial" w:hAnsi="Arial" w:cs="Arial"/>
          <w:shd w:val="clear" w:color="auto" w:fill="FFFFFF"/>
        </w:rPr>
        <w:t>(Roy et al., 2025)</w:t>
      </w:r>
      <w:r w:rsidRPr="0074648E">
        <w:rPr>
          <w:rFonts w:ascii="Arial" w:hAnsi="Arial" w:cs="Arial"/>
        </w:rPr>
        <w:t>.</w:t>
      </w:r>
    </w:p>
    <w:p w14:paraId="2A220B90" w14:textId="318AA2AB" w:rsidR="00775000" w:rsidRPr="0074648E" w:rsidRDefault="00775000" w:rsidP="00572DDE">
      <w:pPr>
        <w:pStyle w:val="NormalWeb"/>
        <w:spacing w:line="360" w:lineRule="auto"/>
        <w:jc w:val="both"/>
        <w:rPr>
          <w:rFonts w:ascii="Arial" w:hAnsi="Arial" w:cs="Arial"/>
        </w:rPr>
      </w:pPr>
      <w:r w:rsidRPr="0074648E">
        <w:rPr>
          <w:rFonts w:ascii="Arial" w:hAnsi="Arial" w:cs="Arial"/>
        </w:rPr>
        <w:lastRenderedPageBreak/>
        <w:t>Contractual alignment. Adjust match pay terms to actual lead times and logistics incoterms to ensure you are not paying long before sell-through.</w:t>
      </w:r>
    </w:p>
    <w:p w14:paraId="7722638F" w14:textId="77777777" w:rsidR="00775000" w:rsidRPr="0074648E" w:rsidRDefault="00775000" w:rsidP="00572DDE">
      <w:pPr>
        <w:pStyle w:val="NormalWeb"/>
        <w:spacing w:line="360" w:lineRule="auto"/>
        <w:jc w:val="both"/>
        <w:rPr>
          <w:rFonts w:ascii="Arial" w:hAnsi="Arial" w:cs="Arial"/>
        </w:rPr>
      </w:pPr>
      <w:r w:rsidRPr="0074648E">
        <w:rPr>
          <w:rFonts w:ascii="Arial" w:hAnsi="Arial" w:cs="Arial"/>
        </w:rPr>
        <w:t>Cash effect: 10DPO means provide an extra trade credit of approximately 7.7bn.</w:t>
      </w:r>
    </w:p>
    <w:p w14:paraId="2D6FE2C3" w14:textId="1FBF47F3" w:rsidR="00C33571" w:rsidRPr="0074648E" w:rsidRDefault="00C33571" w:rsidP="00572DDE">
      <w:pPr>
        <w:rPr>
          <w:rFonts w:ascii="Arial" w:hAnsi="Arial" w:cs="Arial"/>
          <w:b/>
          <w:bCs/>
        </w:rPr>
      </w:pPr>
      <w:r w:rsidRPr="0074648E">
        <w:rPr>
          <w:rFonts w:ascii="Arial" w:hAnsi="Arial" w:cs="Arial"/>
          <w:b/>
          <w:bCs/>
        </w:rPr>
        <w:t xml:space="preserve">Financing options: bridging liquidity ethically and at </w:t>
      </w:r>
      <w:r w:rsidR="00623FD9" w:rsidRPr="0074648E">
        <w:rPr>
          <w:rFonts w:ascii="Arial" w:hAnsi="Arial" w:cs="Arial"/>
          <w:b/>
          <w:bCs/>
        </w:rPr>
        <w:t xml:space="preserve">the </w:t>
      </w:r>
      <w:r w:rsidRPr="0074648E">
        <w:rPr>
          <w:rFonts w:ascii="Arial" w:hAnsi="Arial" w:cs="Arial"/>
          <w:b/>
          <w:bCs/>
        </w:rPr>
        <w:t>lowest risk</w:t>
      </w:r>
    </w:p>
    <w:p w14:paraId="1518D4D4" w14:textId="77777777" w:rsidR="005D6511" w:rsidRPr="0074648E" w:rsidRDefault="005D6511" w:rsidP="00572DDE">
      <w:pPr>
        <w:rPr>
          <w:rFonts w:ascii="Arial" w:hAnsi="Arial" w:cs="Arial"/>
          <w:b/>
          <w:bCs/>
        </w:rPr>
      </w:pPr>
      <w:r w:rsidRPr="0074648E">
        <w:rPr>
          <w:rFonts w:ascii="Arial" w:hAnsi="Arial" w:cs="Arial"/>
          <w:b/>
          <w:bCs/>
        </w:rPr>
        <w:t>Short-term options</w:t>
      </w:r>
    </w:p>
    <w:p w14:paraId="74A997FD" w14:textId="65C63051" w:rsidR="005D6511" w:rsidRPr="0074648E" w:rsidRDefault="005D6511" w:rsidP="00572DDE">
      <w:pPr>
        <w:rPr>
          <w:rFonts w:ascii="Arial" w:hAnsi="Arial" w:cs="Arial"/>
        </w:rPr>
      </w:pPr>
      <w:r w:rsidRPr="0074648E">
        <w:rPr>
          <w:rFonts w:ascii="Arial" w:hAnsi="Arial" w:cs="Arial"/>
        </w:rPr>
        <w:t>• Revolving credit facility (RCF) / committed lines. Opportunistic and fast, yet with high</w:t>
      </w:r>
      <w:r w:rsidR="00623FD9" w:rsidRPr="0074648E">
        <w:rPr>
          <w:rFonts w:ascii="Arial" w:hAnsi="Arial" w:cs="Arial"/>
        </w:rPr>
        <w:t>-</w:t>
      </w:r>
      <w:r w:rsidRPr="0074648E">
        <w:rPr>
          <w:rFonts w:ascii="Arial" w:hAnsi="Arial" w:cs="Arial"/>
        </w:rPr>
        <w:t>risk pricing; keep covenants high with negative EBIT history.</w:t>
      </w:r>
    </w:p>
    <w:p w14:paraId="2938AFFC" w14:textId="32E45D6D" w:rsidR="005D6511" w:rsidRPr="0074648E" w:rsidRDefault="005D6511" w:rsidP="00572DDE">
      <w:pPr>
        <w:rPr>
          <w:rFonts w:ascii="Arial" w:hAnsi="Arial" w:cs="Arial"/>
        </w:rPr>
      </w:pPr>
      <w:r w:rsidRPr="0074648E">
        <w:rPr>
          <w:rFonts w:ascii="Arial" w:hAnsi="Arial" w:cs="Arial"/>
        </w:rPr>
        <w:t xml:space="preserve">• Asset-based lending (ABL). </w:t>
      </w:r>
      <w:r w:rsidR="00623FD9" w:rsidRPr="0074648E">
        <w:rPr>
          <w:rFonts w:ascii="Arial" w:hAnsi="Arial" w:cs="Arial"/>
        </w:rPr>
        <w:t>C</w:t>
      </w:r>
      <w:r w:rsidRPr="0074648E">
        <w:rPr>
          <w:rFonts w:ascii="Arial" w:hAnsi="Arial" w:cs="Arial"/>
        </w:rPr>
        <w:t>ollaterali</w:t>
      </w:r>
      <w:r w:rsidR="00623FD9" w:rsidRPr="0074648E">
        <w:rPr>
          <w:rFonts w:ascii="Arial" w:hAnsi="Arial" w:cs="Arial"/>
        </w:rPr>
        <w:t>s</w:t>
      </w:r>
      <w:r w:rsidRPr="0074648E">
        <w:rPr>
          <w:rFonts w:ascii="Arial" w:hAnsi="Arial" w:cs="Arial"/>
        </w:rPr>
        <w:t>ed against receivables and inventory; conforms to a WC turnaround and may be less expensive than unsecured debt</w:t>
      </w:r>
      <w:r w:rsidR="002411D1" w:rsidRPr="0074648E">
        <w:rPr>
          <w:rFonts w:ascii="Arial" w:hAnsi="Arial" w:cs="Arial"/>
        </w:rPr>
        <w:t xml:space="preserve"> </w:t>
      </w:r>
      <w:r w:rsidR="002411D1" w:rsidRPr="0074648E">
        <w:rPr>
          <w:rFonts w:ascii="Arial" w:hAnsi="Arial" w:cs="Arial"/>
          <w:shd w:val="clear" w:color="auto" w:fill="FFFFFF"/>
        </w:rPr>
        <w:t>(Nguyen, 2024)</w:t>
      </w:r>
      <w:r w:rsidRPr="0074648E">
        <w:rPr>
          <w:rFonts w:ascii="Arial" w:hAnsi="Arial" w:cs="Arial"/>
        </w:rPr>
        <w:t>. Borrowing base increases with the improvement of DSO/DIO.</w:t>
      </w:r>
    </w:p>
    <w:p w14:paraId="7EC41FC0" w14:textId="6A276C82" w:rsidR="005D6511" w:rsidRPr="0074648E" w:rsidRDefault="005D6511" w:rsidP="00572DDE">
      <w:pPr>
        <w:rPr>
          <w:rFonts w:ascii="Arial" w:hAnsi="Arial" w:cs="Arial"/>
        </w:rPr>
      </w:pPr>
      <w:r w:rsidRPr="0074648E">
        <w:rPr>
          <w:rFonts w:ascii="Arial" w:hAnsi="Arial" w:cs="Arial"/>
        </w:rPr>
        <w:t>• Receivables securiti</w:t>
      </w:r>
      <w:r w:rsidR="00623FD9" w:rsidRPr="0074648E">
        <w:rPr>
          <w:rFonts w:ascii="Arial" w:hAnsi="Arial" w:cs="Arial"/>
        </w:rPr>
        <w:t>s</w:t>
      </w:r>
      <w:r w:rsidRPr="0074648E">
        <w:rPr>
          <w:rFonts w:ascii="Arial" w:hAnsi="Arial" w:cs="Arial"/>
        </w:rPr>
        <w:t>ation/ factoring (non-recourse). Transforms AR to cash without increasing reported debt (depends on structure); relieves credit</w:t>
      </w:r>
      <w:r w:rsidR="00623FD9" w:rsidRPr="0074648E">
        <w:rPr>
          <w:rFonts w:ascii="Arial" w:hAnsi="Arial" w:cs="Arial"/>
        </w:rPr>
        <w:t xml:space="preserve"> </w:t>
      </w:r>
      <w:r w:rsidRPr="0074648E">
        <w:rPr>
          <w:rFonts w:ascii="Arial" w:hAnsi="Arial" w:cs="Arial"/>
        </w:rPr>
        <w:t>losses and speed</w:t>
      </w:r>
      <w:r w:rsidR="00623FD9" w:rsidRPr="0074648E">
        <w:rPr>
          <w:rFonts w:ascii="Arial" w:hAnsi="Arial" w:cs="Arial"/>
        </w:rPr>
        <w:t>s</w:t>
      </w:r>
      <w:r w:rsidRPr="0074648E">
        <w:rPr>
          <w:rFonts w:ascii="Arial" w:hAnsi="Arial" w:cs="Arial"/>
        </w:rPr>
        <w:t>.</w:t>
      </w:r>
    </w:p>
    <w:p w14:paraId="4502F459" w14:textId="4EF0133D" w:rsidR="005D6511" w:rsidRPr="0074648E" w:rsidRDefault="005D6511" w:rsidP="00572DDE">
      <w:pPr>
        <w:rPr>
          <w:rFonts w:ascii="Arial" w:hAnsi="Arial" w:cs="Arial"/>
        </w:rPr>
      </w:pPr>
      <w:r w:rsidRPr="0074648E">
        <w:rPr>
          <w:rFonts w:ascii="Arial" w:hAnsi="Arial" w:cs="Arial"/>
        </w:rPr>
        <w:t>Supply-chain finance (reverse factoring). Responsibly extends DPO and provides suppliers with early</w:t>
      </w:r>
      <w:r w:rsidR="00623FD9" w:rsidRPr="0074648E">
        <w:rPr>
          <w:rFonts w:ascii="Arial" w:hAnsi="Arial" w:cs="Arial"/>
        </w:rPr>
        <w:t xml:space="preserve"> payment</w:t>
      </w:r>
      <w:r w:rsidRPr="0074648E">
        <w:rPr>
          <w:rFonts w:ascii="Arial" w:hAnsi="Arial" w:cs="Arial"/>
        </w:rPr>
        <w:t xml:space="preserve"> at low rates.</w:t>
      </w:r>
    </w:p>
    <w:p w14:paraId="1D64CDE1" w14:textId="1A191020" w:rsidR="005D6511" w:rsidRPr="0074648E" w:rsidRDefault="005D6511" w:rsidP="00572DDE">
      <w:pPr>
        <w:rPr>
          <w:rFonts w:ascii="Arial" w:hAnsi="Arial" w:cs="Arial"/>
        </w:rPr>
      </w:pPr>
      <w:r w:rsidRPr="0074648E">
        <w:rPr>
          <w:rFonts w:ascii="Arial" w:hAnsi="Arial" w:cs="Arial"/>
        </w:rPr>
        <w:t>• Commercial paper (CP). The cheapest, usually, but not feasible until the profitability and ratings stabili</w:t>
      </w:r>
      <w:r w:rsidR="00623FD9" w:rsidRPr="0074648E">
        <w:rPr>
          <w:rFonts w:ascii="Arial" w:hAnsi="Arial" w:cs="Arial"/>
        </w:rPr>
        <w:t>s</w:t>
      </w:r>
      <w:r w:rsidRPr="0074648E">
        <w:rPr>
          <w:rFonts w:ascii="Arial" w:hAnsi="Arial" w:cs="Arial"/>
        </w:rPr>
        <w:t>e.</w:t>
      </w:r>
    </w:p>
    <w:p w14:paraId="545CE09B" w14:textId="77777777" w:rsidR="005D6511" w:rsidRPr="0074648E" w:rsidRDefault="005D6511" w:rsidP="00572DDE">
      <w:pPr>
        <w:rPr>
          <w:rFonts w:ascii="Arial" w:hAnsi="Arial" w:cs="Arial"/>
          <w:b/>
          <w:bCs/>
        </w:rPr>
      </w:pPr>
      <w:r w:rsidRPr="0074648E">
        <w:rPr>
          <w:rFonts w:ascii="Arial" w:hAnsi="Arial" w:cs="Arial"/>
          <w:b/>
          <w:bCs/>
        </w:rPr>
        <w:t>Long-term options</w:t>
      </w:r>
    </w:p>
    <w:p w14:paraId="0A216F6E" w14:textId="4DE5991A" w:rsidR="005D6511" w:rsidRPr="0074648E" w:rsidRDefault="005D6511" w:rsidP="00572DDE">
      <w:pPr>
        <w:rPr>
          <w:rFonts w:ascii="Arial" w:hAnsi="Arial" w:cs="Arial"/>
        </w:rPr>
      </w:pPr>
      <w:r w:rsidRPr="0074648E">
        <w:rPr>
          <w:rFonts w:ascii="Arial" w:hAnsi="Arial" w:cs="Arial"/>
        </w:rPr>
        <w:t>• Term loans</w:t>
      </w:r>
      <w:r w:rsidR="00623FD9" w:rsidRPr="0074648E">
        <w:rPr>
          <w:rFonts w:ascii="Arial" w:hAnsi="Arial" w:cs="Arial"/>
        </w:rPr>
        <w:t>/</w:t>
      </w:r>
      <w:r w:rsidRPr="0074648E">
        <w:rPr>
          <w:rFonts w:ascii="Arial" w:hAnsi="Arial" w:cs="Arial"/>
        </w:rPr>
        <w:t>bonds. Offer stability and duration</w:t>
      </w:r>
      <w:r w:rsidR="00623FD9" w:rsidRPr="0074648E">
        <w:rPr>
          <w:rFonts w:ascii="Arial" w:hAnsi="Arial" w:cs="Arial"/>
        </w:rPr>
        <w:t>,</w:t>
      </w:r>
      <w:r w:rsidRPr="0074648E">
        <w:rPr>
          <w:rFonts w:ascii="Arial" w:hAnsi="Arial" w:cs="Arial"/>
        </w:rPr>
        <w:t xml:space="preserve"> but include leverage and interest overhead; not recommended to be increased until interest coverage becomes positive.</w:t>
      </w:r>
    </w:p>
    <w:p w14:paraId="3FBC8FA0" w14:textId="4B7F58A1" w:rsidR="005D6511" w:rsidRPr="0074648E" w:rsidRDefault="005D6511" w:rsidP="00572DDE">
      <w:pPr>
        <w:rPr>
          <w:rFonts w:ascii="Arial" w:hAnsi="Arial" w:cs="Arial"/>
        </w:rPr>
      </w:pPr>
      <w:r w:rsidRPr="0074648E">
        <w:rPr>
          <w:rFonts w:ascii="Arial" w:hAnsi="Arial" w:cs="Arial"/>
        </w:rPr>
        <w:t xml:space="preserve">• Convertible notes. Reduced coupons in favour of possible dilution; may be a transitory mechanism when </w:t>
      </w:r>
      <w:r w:rsidR="00623FD9" w:rsidRPr="0074648E">
        <w:rPr>
          <w:rFonts w:ascii="Arial" w:hAnsi="Arial" w:cs="Arial"/>
        </w:rPr>
        <w:t xml:space="preserve">the </w:t>
      </w:r>
      <w:r w:rsidRPr="0074648E">
        <w:rPr>
          <w:rFonts w:ascii="Arial" w:hAnsi="Arial" w:cs="Arial"/>
        </w:rPr>
        <w:t>equity story is plausible</w:t>
      </w:r>
      <w:r w:rsidR="002411D1" w:rsidRPr="0074648E">
        <w:rPr>
          <w:rFonts w:ascii="Arial" w:hAnsi="Arial" w:cs="Arial"/>
        </w:rPr>
        <w:t xml:space="preserve"> </w:t>
      </w:r>
      <w:r w:rsidR="002411D1" w:rsidRPr="0074648E">
        <w:rPr>
          <w:rFonts w:ascii="Arial" w:hAnsi="Arial" w:cs="Arial"/>
          <w:shd w:val="clear" w:color="auto" w:fill="FFFFFF"/>
        </w:rPr>
        <w:t>(Nguyen, 2024)</w:t>
      </w:r>
      <w:r w:rsidRPr="0074648E">
        <w:rPr>
          <w:rFonts w:ascii="Arial" w:hAnsi="Arial" w:cs="Arial"/>
        </w:rPr>
        <w:t>.</w:t>
      </w:r>
    </w:p>
    <w:p w14:paraId="75F78C1F" w14:textId="2CD8A61C" w:rsidR="005D6511" w:rsidRPr="0074648E" w:rsidRDefault="005D6511" w:rsidP="00572DDE">
      <w:pPr>
        <w:rPr>
          <w:rFonts w:ascii="Arial" w:hAnsi="Arial" w:cs="Arial"/>
        </w:rPr>
      </w:pPr>
      <w:r w:rsidRPr="0074648E">
        <w:rPr>
          <w:rFonts w:ascii="Arial" w:hAnsi="Arial" w:cs="Arial"/>
        </w:rPr>
        <w:t>Use it when: Refinancing the current short-term debt and term-out maturities with EBIT normali</w:t>
      </w:r>
      <w:r w:rsidR="00623FD9" w:rsidRPr="0074648E">
        <w:rPr>
          <w:rFonts w:ascii="Arial" w:hAnsi="Arial" w:cs="Arial"/>
        </w:rPr>
        <w:t>s</w:t>
      </w:r>
      <w:r w:rsidRPr="0074648E">
        <w:rPr>
          <w:rFonts w:ascii="Arial" w:hAnsi="Arial" w:cs="Arial"/>
        </w:rPr>
        <w:t>ed and Altman Z safely above 3.0. It is preferable to avoid net debt addition through the fix; rather, it is better to focus on de-leveraging through WC release and targeted divestitures.</w:t>
      </w:r>
    </w:p>
    <w:p w14:paraId="20D0FDC1" w14:textId="76A14572" w:rsidR="00C33571" w:rsidRPr="0074648E" w:rsidRDefault="00C33571" w:rsidP="00572DDE">
      <w:pPr>
        <w:rPr>
          <w:rFonts w:ascii="Arial" w:hAnsi="Arial" w:cs="Arial"/>
          <w:b/>
          <w:bCs/>
        </w:rPr>
      </w:pPr>
      <w:r w:rsidRPr="0074648E">
        <w:rPr>
          <w:rFonts w:ascii="Arial" w:hAnsi="Arial" w:cs="Arial"/>
          <w:b/>
          <w:bCs/>
        </w:rPr>
        <w:t xml:space="preserve">Recommendation: </w:t>
      </w:r>
      <w:r w:rsidR="00623FD9" w:rsidRPr="0074648E">
        <w:rPr>
          <w:rFonts w:ascii="Arial" w:hAnsi="Arial" w:cs="Arial"/>
          <w:b/>
          <w:bCs/>
        </w:rPr>
        <w:t>S</w:t>
      </w:r>
      <w:r w:rsidRPr="0074648E">
        <w:rPr>
          <w:rFonts w:ascii="Arial" w:hAnsi="Arial" w:cs="Arial"/>
          <w:b/>
          <w:bCs/>
        </w:rPr>
        <w:t>equencing the liquidity turnaround</w:t>
      </w:r>
    </w:p>
    <w:p w14:paraId="42BAE464" w14:textId="5B250B35" w:rsidR="005D6511" w:rsidRPr="0074648E" w:rsidRDefault="005D6511" w:rsidP="00572DDE">
      <w:pPr>
        <w:rPr>
          <w:rFonts w:ascii="Arial" w:hAnsi="Arial" w:cs="Arial"/>
        </w:rPr>
      </w:pPr>
      <w:r w:rsidRPr="0074648E">
        <w:rPr>
          <w:rFonts w:ascii="Arial" w:hAnsi="Arial" w:cs="Arial"/>
        </w:rPr>
        <w:lastRenderedPageBreak/>
        <w:t>1. Short (0</w:t>
      </w:r>
      <w:r w:rsidR="00CE7E6C" w:rsidRPr="0074648E">
        <w:rPr>
          <w:rFonts w:ascii="Arial" w:hAnsi="Arial" w:cs="Arial"/>
        </w:rPr>
        <w:t>-</w:t>
      </w:r>
      <w:r w:rsidRPr="0074648E">
        <w:rPr>
          <w:rFonts w:ascii="Arial" w:hAnsi="Arial" w:cs="Arial"/>
        </w:rPr>
        <w:t>90 days): Stand up Cash War Room; freeze unproductive capex; roll out receivables task force and dynamic discounting; roll out reverse factoring and best suppliers; liquidate old inventory.</w:t>
      </w:r>
    </w:p>
    <w:p w14:paraId="16D8AC45" w14:textId="441C066F" w:rsidR="005D6511" w:rsidRPr="0074648E" w:rsidRDefault="005D6511" w:rsidP="00572DDE">
      <w:pPr>
        <w:rPr>
          <w:rFonts w:ascii="Arial" w:hAnsi="Arial" w:cs="Arial"/>
        </w:rPr>
      </w:pPr>
      <w:r w:rsidRPr="0074648E">
        <w:rPr>
          <w:rFonts w:ascii="Arial" w:hAnsi="Arial" w:cs="Arial"/>
        </w:rPr>
        <w:t>2. Next 3-9 months: institutionali</w:t>
      </w:r>
      <w:r w:rsidR="00623FD9" w:rsidRPr="0074648E">
        <w:rPr>
          <w:rFonts w:ascii="Arial" w:hAnsi="Arial" w:cs="Arial"/>
        </w:rPr>
        <w:t>s</w:t>
      </w:r>
      <w:r w:rsidRPr="0074648E">
        <w:rPr>
          <w:rFonts w:ascii="Arial" w:hAnsi="Arial" w:cs="Arial"/>
        </w:rPr>
        <w:t>e S&amp;OP/S&amp;OE; finali</w:t>
      </w:r>
      <w:r w:rsidR="00623FD9" w:rsidRPr="0074648E">
        <w:rPr>
          <w:rFonts w:ascii="Arial" w:hAnsi="Arial" w:cs="Arial"/>
        </w:rPr>
        <w:t>s</w:t>
      </w:r>
      <w:r w:rsidRPr="0074648E">
        <w:rPr>
          <w:rFonts w:ascii="Arial" w:hAnsi="Arial" w:cs="Arial"/>
        </w:rPr>
        <w:t>e SKU pruning; renegotiate global sourcing conditions; implement ABL and AR securiti</w:t>
      </w:r>
      <w:r w:rsidR="00623FD9" w:rsidRPr="0074648E">
        <w:rPr>
          <w:rFonts w:ascii="Arial" w:hAnsi="Arial" w:cs="Arial"/>
        </w:rPr>
        <w:t>s</w:t>
      </w:r>
      <w:r w:rsidRPr="0074648E">
        <w:rPr>
          <w:rFonts w:ascii="Arial" w:hAnsi="Arial" w:cs="Arial"/>
        </w:rPr>
        <w:t>ation to eliminate use of costly short-term facilities</w:t>
      </w:r>
      <w:r w:rsidR="002411D1" w:rsidRPr="0074648E">
        <w:rPr>
          <w:rFonts w:ascii="Arial" w:hAnsi="Arial" w:cs="Arial"/>
        </w:rPr>
        <w:t xml:space="preserve"> </w:t>
      </w:r>
      <w:r w:rsidR="002411D1" w:rsidRPr="0074648E">
        <w:rPr>
          <w:rFonts w:ascii="Arial" w:hAnsi="Arial" w:cs="Arial"/>
          <w:shd w:val="clear" w:color="auto" w:fill="FFFFFF"/>
        </w:rPr>
        <w:t>(Blessing and Sakouvogui, 2023)</w:t>
      </w:r>
      <w:r w:rsidRPr="0074648E">
        <w:rPr>
          <w:rFonts w:ascii="Arial" w:hAnsi="Arial" w:cs="Arial"/>
        </w:rPr>
        <w:t>.</w:t>
      </w:r>
    </w:p>
    <w:p w14:paraId="115581AD" w14:textId="1D93250F" w:rsidR="005D6511" w:rsidRPr="0074648E" w:rsidRDefault="005D6511" w:rsidP="00572DDE">
      <w:pPr>
        <w:rPr>
          <w:rFonts w:ascii="Arial" w:hAnsi="Arial" w:cs="Arial"/>
        </w:rPr>
      </w:pPr>
      <w:r w:rsidRPr="0074648E">
        <w:rPr>
          <w:rFonts w:ascii="Arial" w:hAnsi="Arial" w:cs="Arial"/>
        </w:rPr>
        <w:t>3. 12 months+: CCC down -55 days and OCF recovered, term-out residual short-term borrowings, retire expensive debt and reestablish covenant headroom.</w:t>
      </w:r>
    </w:p>
    <w:p w14:paraId="0F7328C7" w14:textId="4FF0255F" w:rsidR="00CF3B6C" w:rsidRPr="0074648E" w:rsidRDefault="00CF3B6C" w:rsidP="00934DB9">
      <w:pPr>
        <w:pStyle w:val="Heading1"/>
        <w:rPr>
          <w:rFonts w:ascii="Arial" w:hAnsi="Arial" w:cs="Arial"/>
          <w:color w:val="auto"/>
        </w:rPr>
      </w:pPr>
      <w:bookmarkStart w:id="34" w:name="_Toc210855237"/>
      <w:r w:rsidRPr="0074648E">
        <w:rPr>
          <w:rFonts w:ascii="Arial" w:hAnsi="Arial" w:cs="Arial"/>
          <w:color w:val="auto"/>
        </w:rPr>
        <w:t>Strategic Financial Restructuring Plan</w:t>
      </w:r>
      <w:bookmarkEnd w:id="34"/>
    </w:p>
    <w:p w14:paraId="5B362F4C" w14:textId="5A672BF5" w:rsidR="005D6511" w:rsidRPr="0074648E" w:rsidRDefault="005D6511" w:rsidP="00934DB9">
      <w:pPr>
        <w:rPr>
          <w:rFonts w:ascii="Arial" w:hAnsi="Arial" w:cs="Arial"/>
        </w:rPr>
      </w:pPr>
      <w:r w:rsidRPr="0074648E">
        <w:rPr>
          <w:rFonts w:ascii="Arial" w:hAnsi="Arial" w:cs="Arial"/>
        </w:rPr>
        <w:t>The capital structure of General Electronics is no longer reflective of its earning capacity. Leverage is over 1.0× debt-to-equity, interest coverage is negative, and the Altman Z-Score has deteriorated to the unsafe to grey range of 2.24 in 2023 (2.82 in 2024). Since 2020, it has lost equity totals of around £160bn, and its operating cash flow is less than a quarter of the value of its short-term commitments</w:t>
      </w:r>
      <w:r w:rsidR="002411D1" w:rsidRPr="0074648E">
        <w:rPr>
          <w:rFonts w:ascii="Arial" w:hAnsi="Arial" w:cs="Arial"/>
        </w:rPr>
        <w:t xml:space="preserve"> </w:t>
      </w:r>
      <w:r w:rsidR="002411D1" w:rsidRPr="0074648E">
        <w:rPr>
          <w:rFonts w:ascii="Arial" w:hAnsi="Arial" w:cs="Arial"/>
          <w:shd w:val="clear" w:color="auto" w:fill="FFFFFF"/>
        </w:rPr>
        <w:t>(Blessing and Sakouvogui, 2023)</w:t>
      </w:r>
      <w:r w:rsidRPr="0074648E">
        <w:rPr>
          <w:rFonts w:ascii="Arial" w:hAnsi="Arial" w:cs="Arial"/>
        </w:rPr>
        <w:t xml:space="preserve">. Adding traditional term debt in this state would increase the solvency risk and power of suppliers. Liquidity self-help (working-capital release already scoped), balance-sheet deleveraging, and a portfolio restructuring that would recover the return on capital employed (ROCE) at a level exceeding the cost of capital are the priorities of the restructuring plan. The goal is to shift the Z-Score above 3.0, improve the positive interest cover and reduce </w:t>
      </w:r>
      <w:r w:rsidR="00623FD9" w:rsidRPr="0074648E">
        <w:rPr>
          <w:rFonts w:ascii="Arial" w:hAnsi="Arial" w:cs="Arial"/>
        </w:rPr>
        <w:t xml:space="preserve">the </w:t>
      </w:r>
      <w:r w:rsidRPr="0074648E">
        <w:rPr>
          <w:rFonts w:ascii="Arial" w:hAnsi="Arial" w:cs="Arial"/>
        </w:rPr>
        <w:t>debt-to-equity ratio to below 0.8 in 12 months to 18 months.</w:t>
      </w:r>
    </w:p>
    <w:p w14:paraId="48C153AC" w14:textId="372BDF60" w:rsidR="005D6511" w:rsidRPr="0074648E" w:rsidRDefault="005D6511" w:rsidP="00934DB9">
      <w:pPr>
        <w:rPr>
          <w:rFonts w:ascii="Arial" w:hAnsi="Arial" w:cs="Arial"/>
          <w:b/>
          <w:bCs/>
          <w:i/>
          <w:iCs/>
        </w:rPr>
      </w:pPr>
      <w:r w:rsidRPr="0074648E">
        <w:rPr>
          <w:rFonts w:ascii="Arial" w:hAnsi="Arial" w:cs="Arial"/>
          <w:b/>
          <w:bCs/>
          <w:i/>
          <w:iCs/>
        </w:rPr>
        <w:t>Divestiture and Portfolio Realignment</w:t>
      </w:r>
    </w:p>
    <w:p w14:paraId="3BB3CEE4" w14:textId="0274C539" w:rsidR="005D6511" w:rsidRPr="0074648E" w:rsidRDefault="005D6511" w:rsidP="00934DB9">
      <w:pPr>
        <w:rPr>
          <w:rFonts w:ascii="Arial" w:hAnsi="Arial" w:cs="Arial"/>
        </w:rPr>
      </w:pPr>
      <w:r w:rsidRPr="0074648E">
        <w:rPr>
          <w:rFonts w:ascii="Arial" w:hAnsi="Arial" w:cs="Arial"/>
        </w:rPr>
        <w:t xml:space="preserve">Non-core or structurally low-margin assets divestiture is the most dilutive way to achieve deleveraging. A strict two-axis filter (economic five-year value creation vs. capital intensity and strategic synergy, brand adjacency, </w:t>
      </w:r>
      <w:r w:rsidR="00623FD9" w:rsidRPr="0074648E">
        <w:rPr>
          <w:rFonts w:ascii="Arial" w:hAnsi="Arial" w:cs="Arial"/>
        </w:rPr>
        <w:t>IP</w:t>
      </w:r>
      <w:r w:rsidRPr="0074648E">
        <w:rPr>
          <w:rFonts w:ascii="Arial" w:hAnsi="Arial" w:cs="Arial"/>
        </w:rPr>
        <w:t xml:space="preserve"> spillovers) would probably see the legacy commodity hardware lines, the peripherals regional distribution businesses and some of the captive logistics/real-estate holdings as potential targets</w:t>
      </w:r>
      <w:r w:rsidR="002411D1" w:rsidRPr="0074648E">
        <w:rPr>
          <w:rFonts w:ascii="Arial" w:hAnsi="Arial" w:cs="Arial"/>
        </w:rPr>
        <w:t xml:space="preserve"> </w:t>
      </w:r>
      <w:r w:rsidR="002411D1" w:rsidRPr="0074648E">
        <w:rPr>
          <w:rFonts w:ascii="Arial" w:hAnsi="Arial" w:cs="Arial"/>
          <w:shd w:val="clear" w:color="auto" w:fill="FFFFFF"/>
        </w:rPr>
        <w:t>(Mavlutova et al., 2021)</w:t>
      </w:r>
      <w:r w:rsidRPr="0074648E">
        <w:rPr>
          <w:rFonts w:ascii="Arial" w:hAnsi="Arial" w:cs="Arial"/>
        </w:rPr>
        <w:t xml:space="preserve">.  </w:t>
      </w:r>
    </w:p>
    <w:p w14:paraId="7C14DFC2" w14:textId="02E4E8AC" w:rsidR="005D6511" w:rsidRPr="0074648E" w:rsidRDefault="005D6511" w:rsidP="00934DB9">
      <w:pPr>
        <w:rPr>
          <w:rFonts w:ascii="Arial" w:hAnsi="Arial" w:cs="Arial"/>
        </w:rPr>
      </w:pPr>
      <w:r w:rsidRPr="0074648E">
        <w:rPr>
          <w:rFonts w:ascii="Arial" w:hAnsi="Arial" w:cs="Arial"/>
        </w:rPr>
        <w:t>The effect on shareholder value is two-fold. The first one, proceeds</w:t>
      </w:r>
      <w:r w:rsidR="00623FD9" w:rsidRPr="0074648E">
        <w:rPr>
          <w:rFonts w:ascii="Arial" w:hAnsi="Arial" w:cs="Arial"/>
        </w:rPr>
        <w:t>,</w:t>
      </w:r>
      <w:r w:rsidRPr="0074648E">
        <w:rPr>
          <w:rFonts w:ascii="Arial" w:hAnsi="Arial" w:cs="Arial"/>
        </w:rPr>
        <w:t xml:space="preserve"> helps to roll out expensive revolving and short-term lines, leaving the interest burden behind and </w:t>
      </w:r>
      <w:r w:rsidRPr="0074648E">
        <w:rPr>
          <w:rFonts w:ascii="Arial" w:hAnsi="Arial" w:cs="Arial"/>
        </w:rPr>
        <w:lastRenderedPageBreak/>
        <w:t>increasing the interest coverage to the positive plane; even a £2030bn disposition program can move the Z-Score significantly through the higher X4 (equity-to-liabilities) and eliminate EBIT loss-makers. Second, multiple arbitrage can reali</w:t>
      </w:r>
      <w:r w:rsidR="00623FD9" w:rsidRPr="0074648E">
        <w:rPr>
          <w:rFonts w:ascii="Arial" w:hAnsi="Arial" w:cs="Arial"/>
        </w:rPr>
        <w:t>s</w:t>
      </w:r>
      <w:r w:rsidRPr="0074648E">
        <w:rPr>
          <w:rFonts w:ascii="Arial" w:hAnsi="Arial" w:cs="Arial"/>
        </w:rPr>
        <w:t xml:space="preserve">e concealed worth in case the carved-out assets are valued at higher market multiples than the conglomerate discount that General Electronics carries. </w:t>
      </w:r>
    </w:p>
    <w:p w14:paraId="47D91B00" w14:textId="292527AA" w:rsidR="005D6511" w:rsidRPr="0074648E" w:rsidRDefault="005D6511" w:rsidP="00934DB9">
      <w:pPr>
        <w:rPr>
          <w:rFonts w:ascii="Arial" w:hAnsi="Arial" w:cs="Arial"/>
          <w:b/>
          <w:bCs/>
          <w:i/>
          <w:iCs/>
        </w:rPr>
      </w:pPr>
      <w:r w:rsidRPr="0074648E">
        <w:rPr>
          <w:rFonts w:ascii="Arial" w:hAnsi="Arial" w:cs="Arial"/>
          <w:b/>
          <w:bCs/>
          <w:i/>
          <w:iCs/>
        </w:rPr>
        <w:t>Restructuring of Debts and Liabilities</w:t>
      </w:r>
    </w:p>
    <w:p w14:paraId="6EED9CD9" w14:textId="13AFE9E0" w:rsidR="005D6511" w:rsidRPr="0074648E" w:rsidRDefault="005D6511" w:rsidP="00934DB9">
      <w:pPr>
        <w:rPr>
          <w:rFonts w:ascii="Arial" w:hAnsi="Arial" w:cs="Arial"/>
        </w:rPr>
      </w:pPr>
      <w:r w:rsidRPr="0074648E">
        <w:rPr>
          <w:rFonts w:ascii="Arial" w:hAnsi="Arial" w:cs="Arial"/>
        </w:rPr>
        <w:t>The debt stack should be renegotiated, as its negative EBIT is expected in 20232024. The short</w:t>
      </w:r>
      <w:r w:rsidR="00623FD9" w:rsidRPr="0074648E">
        <w:rPr>
          <w:rFonts w:ascii="Arial" w:hAnsi="Arial" w:cs="Arial"/>
        </w:rPr>
        <w:t>-</w:t>
      </w:r>
      <w:r w:rsidRPr="0074648E">
        <w:rPr>
          <w:rFonts w:ascii="Arial" w:hAnsi="Arial" w:cs="Arial"/>
        </w:rPr>
        <w:t>term agenda is a roundup of covenant resets, maturity extensions and selective exchanges. Prolonging bank-line tenors and maturity-matching bonds pushes interest-rate cliffs back; tiered interest-rate hedging restores predictability in an environment with ongoing inflation</w:t>
      </w:r>
      <w:r w:rsidR="002411D1" w:rsidRPr="0074648E">
        <w:rPr>
          <w:rFonts w:ascii="Arial" w:hAnsi="Arial" w:cs="Arial"/>
        </w:rPr>
        <w:t xml:space="preserve"> </w:t>
      </w:r>
      <w:r w:rsidR="002411D1" w:rsidRPr="0074648E">
        <w:rPr>
          <w:rFonts w:ascii="Arial" w:hAnsi="Arial" w:cs="Arial"/>
          <w:shd w:val="clear" w:color="auto" w:fill="FFFFFF"/>
        </w:rPr>
        <w:t>(Mavlutova et al., 2021)</w:t>
      </w:r>
      <w:r w:rsidRPr="0074648E">
        <w:rPr>
          <w:rFonts w:ascii="Arial" w:hAnsi="Arial" w:cs="Arial"/>
        </w:rPr>
        <w:t xml:space="preserve">. </w:t>
      </w:r>
    </w:p>
    <w:p w14:paraId="33AD82FB" w14:textId="603C430B" w:rsidR="005D6511" w:rsidRPr="0074648E" w:rsidRDefault="005D6511" w:rsidP="00934DB9">
      <w:pPr>
        <w:rPr>
          <w:rFonts w:ascii="Arial" w:hAnsi="Arial" w:cs="Arial"/>
        </w:rPr>
      </w:pPr>
      <w:r w:rsidRPr="0074648E">
        <w:rPr>
          <w:rFonts w:ascii="Arial" w:hAnsi="Arial" w:cs="Arial"/>
        </w:rPr>
        <w:t>A decline in interest expense and reduction in default risk will contribute to increasing shareholder value; equity might be diluted through convertibles, but distress is worse than dilution. There is an increase in operational flexibility when covenants are based on cash</w:t>
      </w:r>
      <w:r w:rsidR="00623FD9" w:rsidRPr="0074648E">
        <w:rPr>
          <w:rFonts w:ascii="Arial" w:hAnsi="Arial" w:cs="Arial"/>
        </w:rPr>
        <w:t>-</w:t>
      </w:r>
      <w:r w:rsidRPr="0074648E">
        <w:rPr>
          <w:rFonts w:ascii="Arial" w:hAnsi="Arial" w:cs="Arial"/>
        </w:rPr>
        <w:t>related metrics (free cash flow, CCC) as opposed to blunt EBITDA tests</w:t>
      </w:r>
      <w:r w:rsidR="00623FD9" w:rsidRPr="0074648E">
        <w:rPr>
          <w:rFonts w:ascii="Arial" w:hAnsi="Arial" w:cs="Arial"/>
        </w:rPr>
        <w:t>,</w:t>
      </w:r>
      <w:r w:rsidRPr="0074648E">
        <w:rPr>
          <w:rFonts w:ascii="Arial" w:hAnsi="Arial" w:cs="Arial"/>
        </w:rPr>
        <w:t xml:space="preserve"> which punish restructuring. </w:t>
      </w:r>
    </w:p>
    <w:p w14:paraId="36755941" w14:textId="77777777" w:rsidR="00CF3B6C" w:rsidRPr="0074648E" w:rsidRDefault="00CF3B6C" w:rsidP="00934DB9">
      <w:pPr>
        <w:pStyle w:val="Heading2"/>
        <w:rPr>
          <w:rFonts w:ascii="Arial" w:hAnsi="Arial" w:cs="Arial"/>
          <w:color w:val="auto"/>
        </w:rPr>
      </w:pPr>
      <w:bookmarkStart w:id="35" w:name="_Toc210855238"/>
      <w:r w:rsidRPr="0074648E">
        <w:rPr>
          <w:rFonts w:ascii="Arial" w:hAnsi="Arial" w:cs="Arial"/>
          <w:color w:val="auto"/>
        </w:rPr>
        <w:t>Equity Injection: Rights Issue vs. Strategic Investor</w:t>
      </w:r>
      <w:bookmarkEnd w:id="35"/>
    </w:p>
    <w:p w14:paraId="2FEB1143" w14:textId="7D4F770F" w:rsidR="005D6511" w:rsidRPr="0074648E" w:rsidRDefault="005D6511" w:rsidP="00934DB9">
      <w:pPr>
        <w:rPr>
          <w:rFonts w:ascii="Arial" w:hAnsi="Arial" w:cs="Arial"/>
        </w:rPr>
      </w:pPr>
      <w:r w:rsidRPr="0074648E">
        <w:rPr>
          <w:rFonts w:ascii="Arial" w:hAnsi="Arial" w:cs="Arial"/>
        </w:rPr>
        <w:t>Green funds can speed up the process of deleveraging and finance restructuring expenses, but the process by which they do so is important. A pre-emptive rights issue maintains a relative ownership and is generally priced at a discount to stimulate take-up; the most just way to treat incumbent shareholders and a message to the world that we are cleaning up the mess</w:t>
      </w:r>
      <w:r w:rsidR="00623FD9" w:rsidRPr="0074648E">
        <w:rPr>
          <w:rFonts w:ascii="Arial" w:hAnsi="Arial" w:cs="Arial"/>
        </w:rPr>
        <w:t>,</w:t>
      </w:r>
      <w:r w:rsidRPr="0074648E">
        <w:rPr>
          <w:rFonts w:ascii="Arial" w:hAnsi="Arial" w:cs="Arial"/>
        </w:rPr>
        <w:t xml:space="preserve"> should it be accompanied by hard cost measures and signed divestiture undertakings</w:t>
      </w:r>
      <w:r w:rsidR="002411D1" w:rsidRPr="0074648E">
        <w:rPr>
          <w:rFonts w:ascii="Arial" w:hAnsi="Arial" w:cs="Arial"/>
        </w:rPr>
        <w:t xml:space="preserve"> </w:t>
      </w:r>
      <w:r w:rsidR="002411D1" w:rsidRPr="0074648E">
        <w:rPr>
          <w:rFonts w:ascii="Arial" w:hAnsi="Arial" w:cs="Arial"/>
          <w:shd w:val="clear" w:color="auto" w:fill="FFFFFF"/>
        </w:rPr>
        <w:t>(Zaramella, 2023)</w:t>
      </w:r>
      <w:r w:rsidRPr="0074648E">
        <w:rPr>
          <w:rFonts w:ascii="Arial" w:hAnsi="Arial" w:cs="Arial"/>
        </w:rPr>
        <w:t xml:space="preserve">. </w:t>
      </w:r>
    </w:p>
    <w:p w14:paraId="6802166C" w14:textId="6FED08EC" w:rsidR="005D6511" w:rsidRPr="0074648E" w:rsidRDefault="005D6511" w:rsidP="00934DB9">
      <w:pPr>
        <w:rPr>
          <w:rFonts w:ascii="Arial" w:hAnsi="Arial" w:cs="Arial"/>
        </w:rPr>
      </w:pPr>
      <w:r w:rsidRPr="0074648E">
        <w:rPr>
          <w:rFonts w:ascii="Arial" w:hAnsi="Arial" w:cs="Arial"/>
        </w:rPr>
        <w:t>In quantitative terms, a rights issue of between 10-15bn, which follows the disclosure of at least 20bn of signed asset sales and an existing receivables securiti</w:t>
      </w:r>
      <w:r w:rsidR="00623FD9" w:rsidRPr="0074648E">
        <w:rPr>
          <w:rFonts w:ascii="Arial" w:hAnsi="Arial" w:cs="Arial"/>
        </w:rPr>
        <w:t>s</w:t>
      </w:r>
      <w:r w:rsidRPr="0074648E">
        <w:rPr>
          <w:rFonts w:ascii="Arial" w:hAnsi="Arial" w:cs="Arial"/>
        </w:rPr>
        <w:t xml:space="preserve">ation facility of </w:t>
      </w:r>
      <w:r w:rsidR="00623FD9" w:rsidRPr="0074648E">
        <w:rPr>
          <w:rFonts w:ascii="Arial" w:hAnsi="Arial" w:cs="Arial"/>
        </w:rPr>
        <w:t xml:space="preserve">a </w:t>
      </w:r>
      <w:r w:rsidRPr="0074648E">
        <w:rPr>
          <w:rFonts w:ascii="Arial" w:hAnsi="Arial" w:cs="Arial"/>
        </w:rPr>
        <w:t>binding kind, could quickly drive net leverage lower and re-create a buffer under covenant</w:t>
      </w:r>
      <w:r w:rsidR="002411D1" w:rsidRPr="0074648E">
        <w:rPr>
          <w:rFonts w:ascii="Arial" w:hAnsi="Arial" w:cs="Arial"/>
        </w:rPr>
        <w:t xml:space="preserve"> </w:t>
      </w:r>
      <w:r w:rsidR="002411D1" w:rsidRPr="0074648E">
        <w:rPr>
          <w:rFonts w:ascii="Arial" w:hAnsi="Arial" w:cs="Arial"/>
          <w:shd w:val="clear" w:color="auto" w:fill="FFFFFF"/>
        </w:rPr>
        <w:t>(Ray, 2022)</w:t>
      </w:r>
      <w:r w:rsidRPr="0074648E">
        <w:rPr>
          <w:rFonts w:ascii="Arial" w:hAnsi="Arial" w:cs="Arial"/>
        </w:rPr>
        <w:t>. Initially, EPS is diluted, and WACC decreases with a reduction in leverage and compression of credit spreads, increasing equity value after one or two years (12-24 months) with a normali</w:t>
      </w:r>
      <w:r w:rsidR="00623FD9" w:rsidRPr="0074648E">
        <w:rPr>
          <w:rFonts w:ascii="Arial" w:hAnsi="Arial" w:cs="Arial"/>
        </w:rPr>
        <w:t>s</w:t>
      </w:r>
      <w:r w:rsidRPr="0074648E">
        <w:rPr>
          <w:rFonts w:ascii="Arial" w:hAnsi="Arial" w:cs="Arial"/>
        </w:rPr>
        <w:t xml:space="preserve">ation of ROCE. </w:t>
      </w:r>
    </w:p>
    <w:p w14:paraId="33231A55" w14:textId="053C7E94" w:rsidR="005D6511" w:rsidRPr="0074648E" w:rsidRDefault="005D6511" w:rsidP="00934DB9">
      <w:pPr>
        <w:rPr>
          <w:rFonts w:ascii="Arial" w:hAnsi="Arial" w:cs="Arial"/>
          <w:b/>
          <w:bCs/>
          <w:i/>
          <w:iCs/>
        </w:rPr>
      </w:pPr>
      <w:r w:rsidRPr="0074648E">
        <w:rPr>
          <w:rFonts w:ascii="Arial" w:hAnsi="Arial" w:cs="Arial"/>
          <w:b/>
          <w:bCs/>
          <w:i/>
          <w:iCs/>
        </w:rPr>
        <w:lastRenderedPageBreak/>
        <w:t>Strategic Combinations: Asset Swap, Merger, or Joint Venture</w:t>
      </w:r>
    </w:p>
    <w:p w14:paraId="64B5F456" w14:textId="08F4B8AA" w:rsidR="005D6511" w:rsidRPr="0074648E" w:rsidRDefault="005D6511" w:rsidP="00934DB9">
      <w:pPr>
        <w:rPr>
          <w:rFonts w:ascii="Arial" w:hAnsi="Arial" w:cs="Arial"/>
        </w:rPr>
      </w:pPr>
      <w:r w:rsidRPr="0074648E">
        <w:rPr>
          <w:rFonts w:ascii="Arial" w:hAnsi="Arial" w:cs="Arial"/>
        </w:rPr>
        <w:t>M&amp;A is to be taken seriously. It may seem luring to a shrinking industry to come together to obtain scale, but a merger of equals usually takes up leadership time and postpones the required self-help. The risk exceeds the reward in the status quo unless the partner has defensible advantages (procurement scale, software stack or access to the market) and the accretive to ROCE after the synergies have been achieved</w:t>
      </w:r>
      <w:r w:rsidR="002411D1" w:rsidRPr="0074648E">
        <w:rPr>
          <w:rFonts w:ascii="Arial" w:hAnsi="Arial" w:cs="Arial"/>
        </w:rPr>
        <w:t xml:space="preserve"> </w:t>
      </w:r>
      <w:r w:rsidR="002411D1" w:rsidRPr="0074648E">
        <w:rPr>
          <w:rFonts w:ascii="Arial" w:hAnsi="Arial" w:cs="Arial"/>
          <w:shd w:val="clear" w:color="auto" w:fill="FFFFFF"/>
        </w:rPr>
        <w:t>(Zaramella, 2023)</w:t>
      </w:r>
      <w:r w:rsidRPr="0074648E">
        <w:rPr>
          <w:rFonts w:ascii="Arial" w:hAnsi="Arial" w:cs="Arial"/>
        </w:rPr>
        <w:t>. In contrast, capital can be de-risked by focused joint ventures or asset swaps</w:t>
      </w:r>
      <w:r w:rsidR="00623FD9" w:rsidRPr="0074648E">
        <w:rPr>
          <w:rFonts w:ascii="Arial" w:hAnsi="Arial" w:cs="Arial"/>
        </w:rPr>
        <w:t>,</w:t>
      </w:r>
      <w:r w:rsidRPr="0074648E">
        <w:rPr>
          <w:rFonts w:ascii="Arial" w:hAnsi="Arial" w:cs="Arial"/>
        </w:rPr>
        <w:t xml:space="preserve"> such as collaborating in component manufacturing to achieve volume pricing but without all of the fixed assets, or exchanging regional distribution networks to become more geographically focused. </w:t>
      </w:r>
    </w:p>
    <w:p w14:paraId="336B6FB1" w14:textId="1D13DA6C" w:rsidR="005D6511" w:rsidRPr="0074648E" w:rsidRDefault="005D6511" w:rsidP="00934DB9">
      <w:pPr>
        <w:rPr>
          <w:rFonts w:ascii="Arial" w:hAnsi="Arial" w:cs="Arial"/>
        </w:rPr>
      </w:pPr>
      <w:r w:rsidRPr="0074648E">
        <w:rPr>
          <w:rFonts w:ascii="Arial" w:hAnsi="Arial" w:cs="Arial"/>
        </w:rPr>
        <w:t xml:space="preserve">The effects on shareholder value are dependent on the credibility of synergy and integration friction. Value-accretive combinations reduce unit costs and increase the gross margin; value-destructive combinations distract management and continue to complicate matters. </w:t>
      </w:r>
    </w:p>
    <w:p w14:paraId="3BA8BB15" w14:textId="17A598D8" w:rsidR="005D6511" w:rsidRPr="0074648E" w:rsidRDefault="005D6511" w:rsidP="00934DB9">
      <w:pPr>
        <w:rPr>
          <w:rFonts w:ascii="Arial" w:hAnsi="Arial" w:cs="Arial"/>
          <w:b/>
          <w:bCs/>
          <w:i/>
          <w:iCs/>
        </w:rPr>
      </w:pPr>
      <w:r w:rsidRPr="0074648E">
        <w:rPr>
          <w:rFonts w:ascii="Arial" w:hAnsi="Arial" w:cs="Arial"/>
          <w:b/>
          <w:bCs/>
          <w:i/>
          <w:iCs/>
        </w:rPr>
        <w:t>The Cost of Capital and Operational Flexibility</w:t>
      </w:r>
    </w:p>
    <w:p w14:paraId="531DF00A" w14:textId="200668B2" w:rsidR="005D6511" w:rsidRPr="0074648E" w:rsidRDefault="005D6511" w:rsidP="00934DB9">
      <w:pPr>
        <w:rPr>
          <w:rFonts w:ascii="Arial" w:hAnsi="Arial" w:cs="Arial"/>
        </w:rPr>
      </w:pPr>
      <w:r w:rsidRPr="0074648E">
        <w:rPr>
          <w:rFonts w:ascii="Arial" w:hAnsi="Arial" w:cs="Arial"/>
        </w:rPr>
        <w:t>The reorgani</w:t>
      </w:r>
      <w:r w:rsidR="00623FD9" w:rsidRPr="0074648E">
        <w:rPr>
          <w:rFonts w:ascii="Arial" w:hAnsi="Arial" w:cs="Arial"/>
        </w:rPr>
        <w:t>s</w:t>
      </w:r>
      <w:r w:rsidRPr="0074648E">
        <w:rPr>
          <w:rFonts w:ascii="Arial" w:hAnsi="Arial" w:cs="Arial"/>
        </w:rPr>
        <w:t>ation should add more, but not less, flexibility to operations. Selling away short-term debts with unstable prices and substituting them with a combination of asset-based lending, longer-term instruments, and equity reduces the break-even revenue to finance. Together with the 50-day cash improvement in the cycle described above, tens of billions of cash are unlocked, eliminating seasonality and the need to promote sales</w:t>
      </w:r>
      <w:r w:rsidR="002411D1" w:rsidRPr="0074648E">
        <w:rPr>
          <w:rFonts w:ascii="Arial" w:hAnsi="Arial" w:cs="Arial"/>
        </w:rPr>
        <w:t xml:space="preserve"> </w:t>
      </w:r>
      <w:r w:rsidR="002411D1" w:rsidRPr="0074648E">
        <w:rPr>
          <w:rFonts w:ascii="Arial" w:hAnsi="Arial" w:cs="Arial"/>
          <w:shd w:val="clear" w:color="auto" w:fill="FFFFFF"/>
        </w:rPr>
        <w:t>(Dong and Liu, 2022)</w:t>
      </w:r>
      <w:r w:rsidRPr="0074648E">
        <w:rPr>
          <w:rFonts w:ascii="Arial" w:hAnsi="Arial" w:cs="Arial"/>
        </w:rPr>
        <w:t>. The liquidity has the benefit of allowing procurement to negotiate longer terms with the suppliers under the supply-chain finance programs made to be fair to the vendors, as a result, stabili</w:t>
      </w:r>
      <w:r w:rsidR="00623FD9" w:rsidRPr="0074648E">
        <w:rPr>
          <w:rFonts w:ascii="Arial" w:hAnsi="Arial" w:cs="Arial"/>
        </w:rPr>
        <w:t>s</w:t>
      </w:r>
      <w:r w:rsidRPr="0074648E">
        <w:rPr>
          <w:rFonts w:ascii="Arial" w:hAnsi="Arial" w:cs="Arial"/>
        </w:rPr>
        <w:t>ing the production schedules and minimi</w:t>
      </w:r>
      <w:r w:rsidR="00623FD9" w:rsidRPr="0074648E">
        <w:rPr>
          <w:rFonts w:ascii="Arial" w:hAnsi="Arial" w:cs="Arial"/>
        </w:rPr>
        <w:t>s</w:t>
      </w:r>
      <w:r w:rsidRPr="0074648E">
        <w:rPr>
          <w:rFonts w:ascii="Arial" w:hAnsi="Arial" w:cs="Arial"/>
        </w:rPr>
        <w:t xml:space="preserve">ing emergency logistics costs. </w:t>
      </w:r>
    </w:p>
    <w:p w14:paraId="1574F0CB" w14:textId="66A678BD" w:rsidR="00F058D7" w:rsidRPr="0074648E" w:rsidRDefault="00983FA6" w:rsidP="00934DB9">
      <w:pPr>
        <w:pStyle w:val="Heading1"/>
        <w:rPr>
          <w:rFonts w:ascii="Arial" w:hAnsi="Arial" w:cs="Arial"/>
          <w:color w:val="auto"/>
        </w:rPr>
      </w:pPr>
      <w:bookmarkStart w:id="36" w:name="_Toc210855239"/>
      <w:r w:rsidRPr="0074648E">
        <w:rPr>
          <w:rFonts w:ascii="Arial" w:hAnsi="Arial" w:cs="Arial"/>
          <w:color w:val="auto"/>
        </w:rPr>
        <w:t>Investment Appraisal and Capital Budgeting</w:t>
      </w:r>
      <w:bookmarkEnd w:id="36"/>
    </w:p>
    <w:p w14:paraId="43989E6B" w14:textId="5A34E29B" w:rsidR="005D6511" w:rsidRDefault="005D6511" w:rsidP="00934DB9">
      <w:pPr>
        <w:rPr>
          <w:rFonts w:ascii="Arial" w:hAnsi="Arial" w:cs="Arial"/>
        </w:rPr>
      </w:pPr>
      <w:r w:rsidRPr="0074648E">
        <w:rPr>
          <w:rFonts w:ascii="Arial" w:hAnsi="Arial" w:cs="Arial"/>
        </w:rPr>
        <w:t>This report evaluated Projects A-C below using Payback Period (PBP), Accounting rate of return</w:t>
      </w:r>
      <w:r w:rsidR="00061113" w:rsidRPr="0074648E">
        <w:rPr>
          <w:rFonts w:ascii="Arial" w:hAnsi="Arial" w:cs="Arial"/>
        </w:rPr>
        <w:t xml:space="preserve"> </w:t>
      </w:r>
      <w:r w:rsidRPr="0074648E">
        <w:rPr>
          <w:rFonts w:ascii="Arial" w:hAnsi="Arial" w:cs="Arial"/>
        </w:rPr>
        <w:t>(ARR), Net Present Value (NPV), Profitability index</w:t>
      </w:r>
      <w:r w:rsidR="00FB4EE3" w:rsidRPr="0074648E">
        <w:rPr>
          <w:rFonts w:ascii="Arial" w:hAnsi="Arial" w:cs="Arial"/>
        </w:rPr>
        <w:t xml:space="preserve"> </w:t>
      </w:r>
      <w:r w:rsidRPr="0074648E">
        <w:rPr>
          <w:rFonts w:ascii="Arial" w:hAnsi="Arial" w:cs="Arial"/>
        </w:rPr>
        <w:t>(PI) and Internal rate of return</w:t>
      </w:r>
      <w:r w:rsidR="00FB4EE3" w:rsidRPr="0074648E">
        <w:rPr>
          <w:rFonts w:ascii="Arial" w:hAnsi="Arial" w:cs="Arial"/>
        </w:rPr>
        <w:t xml:space="preserve"> </w:t>
      </w:r>
      <w:r w:rsidRPr="0074648E">
        <w:rPr>
          <w:rFonts w:ascii="Arial" w:hAnsi="Arial" w:cs="Arial"/>
        </w:rPr>
        <w:t xml:space="preserve">(IRR) at </w:t>
      </w:r>
      <w:r w:rsidR="00623FD9" w:rsidRPr="0074648E">
        <w:rPr>
          <w:rFonts w:ascii="Arial" w:hAnsi="Arial" w:cs="Arial"/>
        </w:rPr>
        <w:t xml:space="preserve">a </w:t>
      </w:r>
      <w:r w:rsidRPr="0074648E">
        <w:rPr>
          <w:rFonts w:ascii="Arial" w:hAnsi="Arial" w:cs="Arial"/>
        </w:rPr>
        <w:t xml:space="preserve">10% discount rate and straight-line depreciation to zero within 5 years. Also provide a capital-rationing suggestion within a cap of £60m of investment, heavily </w:t>
      </w:r>
      <w:r w:rsidRPr="0074648E">
        <w:rPr>
          <w:rFonts w:ascii="Arial" w:hAnsi="Arial" w:cs="Arial"/>
        </w:rPr>
        <w:lastRenderedPageBreak/>
        <w:t>dependent on the financial status of General Electronics (poor profitability, constrained liquidity, increasing leverage) and on the risk profile of individual projects (cash-flow timing/volatility).</w:t>
      </w:r>
    </w:p>
    <w:p w14:paraId="0CD869DA" w14:textId="6ABA1B7F" w:rsidR="00396157" w:rsidRPr="00396157" w:rsidRDefault="00396157" w:rsidP="00396157">
      <w:pPr>
        <w:jc w:val="center"/>
      </w:pPr>
      <w:r>
        <w:t>Detailed Calculation given in appendix</w:t>
      </w:r>
    </w:p>
    <w:p w14:paraId="246D9C04" w14:textId="65492EE3" w:rsidR="007365FF" w:rsidRPr="0074648E" w:rsidRDefault="001A491B" w:rsidP="00934DB9">
      <w:pPr>
        <w:rPr>
          <w:rFonts w:ascii="Arial" w:hAnsi="Arial" w:cs="Arial"/>
          <w:b/>
          <w:bCs/>
          <w:szCs w:val="24"/>
        </w:rPr>
      </w:pPr>
      <w:r w:rsidRPr="0074648E">
        <w:rPr>
          <w:rFonts w:ascii="Arial" w:hAnsi="Arial" w:cs="Arial"/>
          <w:b/>
          <w:bCs/>
          <w:szCs w:val="24"/>
        </w:rPr>
        <w:t>PBP</w:t>
      </w:r>
    </w:p>
    <w:tbl>
      <w:tblPr>
        <w:tblStyle w:val="TableGrid"/>
        <w:tblW w:w="0" w:type="auto"/>
        <w:tblLook w:val="04A0" w:firstRow="1" w:lastRow="0" w:firstColumn="1" w:lastColumn="0" w:noHBand="0" w:noVBand="1"/>
      </w:tblPr>
      <w:tblGrid>
        <w:gridCol w:w="4675"/>
        <w:gridCol w:w="4675"/>
      </w:tblGrid>
      <w:tr w:rsidR="0074648E" w:rsidRPr="0074648E" w14:paraId="13BC6036" w14:textId="77777777" w:rsidTr="001A491B">
        <w:tc>
          <w:tcPr>
            <w:tcW w:w="4675" w:type="dxa"/>
          </w:tcPr>
          <w:p w14:paraId="68695B19" w14:textId="355DA324" w:rsidR="001A491B" w:rsidRPr="0074648E" w:rsidRDefault="001A491B" w:rsidP="00934DB9">
            <w:pPr>
              <w:rPr>
                <w:rFonts w:ascii="Arial" w:hAnsi="Arial" w:cs="Arial"/>
                <w:szCs w:val="24"/>
              </w:rPr>
            </w:pPr>
            <w:r w:rsidRPr="0074648E">
              <w:rPr>
                <w:rFonts w:ascii="Arial" w:hAnsi="Arial" w:cs="Arial"/>
                <w:szCs w:val="24"/>
              </w:rPr>
              <w:t>Project</w:t>
            </w:r>
          </w:p>
        </w:tc>
        <w:tc>
          <w:tcPr>
            <w:tcW w:w="4675" w:type="dxa"/>
          </w:tcPr>
          <w:p w14:paraId="2CD8C9A4" w14:textId="60460CDB" w:rsidR="001A491B" w:rsidRPr="0074648E" w:rsidRDefault="001A491B" w:rsidP="00934DB9">
            <w:pPr>
              <w:rPr>
                <w:rFonts w:ascii="Arial" w:hAnsi="Arial" w:cs="Arial"/>
                <w:szCs w:val="24"/>
              </w:rPr>
            </w:pPr>
            <w:r w:rsidRPr="0074648E">
              <w:rPr>
                <w:rFonts w:ascii="Arial" w:hAnsi="Arial" w:cs="Arial"/>
                <w:szCs w:val="24"/>
              </w:rPr>
              <w:t>Result</w:t>
            </w:r>
          </w:p>
        </w:tc>
      </w:tr>
      <w:tr w:rsidR="0074648E" w:rsidRPr="0074648E" w14:paraId="22FFEE6B" w14:textId="77777777" w:rsidTr="0056094C">
        <w:tc>
          <w:tcPr>
            <w:tcW w:w="4675" w:type="dxa"/>
          </w:tcPr>
          <w:p w14:paraId="3CC3C3F8" w14:textId="64487491" w:rsidR="001A491B" w:rsidRPr="0074648E" w:rsidRDefault="001A491B" w:rsidP="00934DB9">
            <w:pPr>
              <w:rPr>
                <w:rFonts w:ascii="Arial" w:hAnsi="Arial" w:cs="Arial"/>
                <w:szCs w:val="24"/>
              </w:rPr>
            </w:pPr>
            <w:r w:rsidRPr="0074648E">
              <w:rPr>
                <w:rFonts w:ascii="Arial" w:hAnsi="Arial" w:cs="Arial"/>
                <w:szCs w:val="24"/>
              </w:rPr>
              <w:t>A</w:t>
            </w:r>
          </w:p>
        </w:tc>
        <w:tc>
          <w:tcPr>
            <w:tcW w:w="4675" w:type="dxa"/>
            <w:vAlign w:val="center"/>
          </w:tcPr>
          <w:p w14:paraId="3D41DE74" w14:textId="54CEB6BC" w:rsidR="001A491B" w:rsidRPr="0074648E" w:rsidRDefault="001A491B" w:rsidP="00934DB9">
            <w:pPr>
              <w:rPr>
                <w:rFonts w:ascii="Arial" w:hAnsi="Arial" w:cs="Arial"/>
                <w:szCs w:val="24"/>
              </w:rPr>
            </w:pPr>
            <w:r w:rsidRPr="0074648E">
              <w:rPr>
                <w:rFonts w:ascii="Arial" w:hAnsi="Arial" w:cs="Arial"/>
                <w:szCs w:val="24"/>
              </w:rPr>
              <w:t>3.4</w:t>
            </w:r>
          </w:p>
        </w:tc>
      </w:tr>
      <w:tr w:rsidR="0074648E" w:rsidRPr="0074648E" w14:paraId="1715BF2A" w14:textId="77777777" w:rsidTr="0056094C">
        <w:tc>
          <w:tcPr>
            <w:tcW w:w="4675" w:type="dxa"/>
          </w:tcPr>
          <w:p w14:paraId="4F6A5663" w14:textId="4AACCC5F" w:rsidR="001A491B" w:rsidRPr="0074648E" w:rsidRDefault="001A491B" w:rsidP="00934DB9">
            <w:pPr>
              <w:rPr>
                <w:rFonts w:ascii="Arial" w:hAnsi="Arial" w:cs="Arial"/>
                <w:szCs w:val="24"/>
              </w:rPr>
            </w:pPr>
            <w:r w:rsidRPr="0074648E">
              <w:rPr>
                <w:rFonts w:ascii="Arial" w:hAnsi="Arial" w:cs="Arial"/>
                <w:szCs w:val="24"/>
              </w:rPr>
              <w:t>B</w:t>
            </w:r>
          </w:p>
        </w:tc>
        <w:tc>
          <w:tcPr>
            <w:tcW w:w="4675" w:type="dxa"/>
            <w:vAlign w:val="center"/>
          </w:tcPr>
          <w:p w14:paraId="3D80F3CC" w14:textId="19451CCC" w:rsidR="001A491B" w:rsidRPr="0074648E" w:rsidRDefault="001A491B" w:rsidP="00934DB9">
            <w:pPr>
              <w:rPr>
                <w:rFonts w:ascii="Arial" w:hAnsi="Arial" w:cs="Arial"/>
                <w:szCs w:val="24"/>
              </w:rPr>
            </w:pPr>
            <w:r w:rsidRPr="0074648E">
              <w:rPr>
                <w:rFonts w:ascii="Arial" w:hAnsi="Arial" w:cs="Arial"/>
                <w:szCs w:val="24"/>
              </w:rPr>
              <w:t>5</w:t>
            </w:r>
          </w:p>
        </w:tc>
      </w:tr>
      <w:tr w:rsidR="0074648E" w:rsidRPr="0074648E" w14:paraId="3947A366" w14:textId="77777777" w:rsidTr="0056094C">
        <w:tc>
          <w:tcPr>
            <w:tcW w:w="4675" w:type="dxa"/>
          </w:tcPr>
          <w:p w14:paraId="385370DF" w14:textId="62292F5A" w:rsidR="001A491B" w:rsidRPr="0074648E" w:rsidRDefault="001A491B" w:rsidP="00934DB9">
            <w:pPr>
              <w:rPr>
                <w:rFonts w:ascii="Arial" w:hAnsi="Arial" w:cs="Arial"/>
                <w:szCs w:val="24"/>
              </w:rPr>
            </w:pPr>
            <w:r w:rsidRPr="0074648E">
              <w:rPr>
                <w:rFonts w:ascii="Arial" w:hAnsi="Arial" w:cs="Arial"/>
                <w:szCs w:val="24"/>
              </w:rPr>
              <w:t>C</w:t>
            </w:r>
          </w:p>
        </w:tc>
        <w:tc>
          <w:tcPr>
            <w:tcW w:w="4675" w:type="dxa"/>
            <w:vAlign w:val="center"/>
          </w:tcPr>
          <w:p w14:paraId="741DE0D8" w14:textId="0B6E7110" w:rsidR="001A491B" w:rsidRPr="0074648E" w:rsidRDefault="001A491B" w:rsidP="00572DDE">
            <w:pPr>
              <w:keepNext/>
              <w:rPr>
                <w:rFonts w:ascii="Arial" w:hAnsi="Arial" w:cs="Arial"/>
                <w:szCs w:val="24"/>
              </w:rPr>
            </w:pPr>
            <w:r w:rsidRPr="0074648E">
              <w:rPr>
                <w:rFonts w:ascii="Arial" w:hAnsi="Arial" w:cs="Arial"/>
                <w:szCs w:val="24"/>
              </w:rPr>
              <w:t>3.6</w:t>
            </w:r>
          </w:p>
        </w:tc>
      </w:tr>
    </w:tbl>
    <w:p w14:paraId="1778B1C4" w14:textId="1C409672" w:rsidR="00572DDE" w:rsidRPr="0074648E" w:rsidRDefault="00572DDE">
      <w:pPr>
        <w:pStyle w:val="Caption"/>
        <w:rPr>
          <w:rFonts w:ascii="Arial" w:hAnsi="Arial" w:cs="Arial"/>
          <w:color w:val="auto"/>
        </w:rPr>
      </w:pPr>
      <w:bookmarkStart w:id="37" w:name="_Toc210664731"/>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9</w:t>
      </w:r>
      <w:r w:rsidRPr="0074648E">
        <w:rPr>
          <w:rFonts w:ascii="Arial" w:hAnsi="Arial" w:cs="Arial"/>
          <w:color w:val="auto"/>
        </w:rPr>
        <w:fldChar w:fldCharType="end"/>
      </w:r>
      <w:r w:rsidRPr="0074648E">
        <w:rPr>
          <w:rFonts w:ascii="Arial" w:hAnsi="Arial" w:cs="Arial"/>
          <w:color w:val="auto"/>
        </w:rPr>
        <w:t>: PBP Result</w:t>
      </w:r>
      <w:bookmarkEnd w:id="37"/>
    </w:p>
    <w:p w14:paraId="35EA5503" w14:textId="3320AFF5" w:rsidR="001A491B" w:rsidRPr="0074648E" w:rsidRDefault="001A491B" w:rsidP="00934DB9">
      <w:pPr>
        <w:rPr>
          <w:rFonts w:ascii="Arial" w:hAnsi="Arial" w:cs="Arial"/>
          <w:b/>
          <w:bCs/>
          <w:szCs w:val="24"/>
        </w:rPr>
      </w:pPr>
      <w:r w:rsidRPr="0074648E">
        <w:rPr>
          <w:rFonts w:ascii="Arial" w:hAnsi="Arial" w:cs="Arial"/>
          <w:b/>
          <w:bCs/>
          <w:szCs w:val="24"/>
        </w:rPr>
        <w:t>ARR</w:t>
      </w:r>
    </w:p>
    <w:tbl>
      <w:tblPr>
        <w:tblStyle w:val="TableGrid"/>
        <w:tblW w:w="0" w:type="auto"/>
        <w:tblLook w:val="04A0" w:firstRow="1" w:lastRow="0" w:firstColumn="1" w:lastColumn="0" w:noHBand="0" w:noVBand="1"/>
      </w:tblPr>
      <w:tblGrid>
        <w:gridCol w:w="4675"/>
        <w:gridCol w:w="4675"/>
      </w:tblGrid>
      <w:tr w:rsidR="0074648E" w:rsidRPr="0074648E" w14:paraId="59702EAC" w14:textId="77777777" w:rsidTr="004B0E48">
        <w:tc>
          <w:tcPr>
            <w:tcW w:w="4675" w:type="dxa"/>
          </w:tcPr>
          <w:p w14:paraId="6FD36E87" w14:textId="77777777" w:rsidR="001A491B" w:rsidRPr="0074648E" w:rsidRDefault="001A491B" w:rsidP="00934DB9">
            <w:pPr>
              <w:rPr>
                <w:rFonts w:ascii="Arial" w:hAnsi="Arial" w:cs="Arial"/>
                <w:szCs w:val="24"/>
              </w:rPr>
            </w:pPr>
            <w:r w:rsidRPr="0074648E">
              <w:rPr>
                <w:rFonts w:ascii="Arial" w:hAnsi="Arial" w:cs="Arial"/>
                <w:szCs w:val="24"/>
              </w:rPr>
              <w:t>Project</w:t>
            </w:r>
          </w:p>
        </w:tc>
        <w:tc>
          <w:tcPr>
            <w:tcW w:w="4675" w:type="dxa"/>
          </w:tcPr>
          <w:p w14:paraId="1D441F44" w14:textId="77777777" w:rsidR="001A491B" w:rsidRPr="0074648E" w:rsidRDefault="001A491B" w:rsidP="00934DB9">
            <w:pPr>
              <w:rPr>
                <w:rFonts w:ascii="Arial" w:hAnsi="Arial" w:cs="Arial"/>
                <w:szCs w:val="24"/>
              </w:rPr>
            </w:pPr>
            <w:r w:rsidRPr="0074648E">
              <w:rPr>
                <w:rFonts w:ascii="Arial" w:hAnsi="Arial" w:cs="Arial"/>
                <w:szCs w:val="24"/>
              </w:rPr>
              <w:t>Result</w:t>
            </w:r>
          </w:p>
        </w:tc>
      </w:tr>
      <w:tr w:rsidR="0074648E" w:rsidRPr="0074648E" w14:paraId="70B343C6" w14:textId="77777777" w:rsidTr="004B0E48">
        <w:tc>
          <w:tcPr>
            <w:tcW w:w="4675" w:type="dxa"/>
          </w:tcPr>
          <w:p w14:paraId="3FBB5473" w14:textId="77777777" w:rsidR="001A491B" w:rsidRPr="0074648E" w:rsidRDefault="001A491B" w:rsidP="00934DB9">
            <w:pPr>
              <w:rPr>
                <w:rFonts w:ascii="Arial" w:hAnsi="Arial" w:cs="Arial"/>
                <w:szCs w:val="24"/>
              </w:rPr>
            </w:pPr>
            <w:r w:rsidRPr="0074648E">
              <w:rPr>
                <w:rFonts w:ascii="Arial" w:hAnsi="Arial" w:cs="Arial"/>
                <w:szCs w:val="24"/>
              </w:rPr>
              <w:t>A</w:t>
            </w:r>
          </w:p>
        </w:tc>
        <w:tc>
          <w:tcPr>
            <w:tcW w:w="4675" w:type="dxa"/>
            <w:vAlign w:val="center"/>
          </w:tcPr>
          <w:p w14:paraId="10A3A30F" w14:textId="58D4DD10" w:rsidR="001A491B" w:rsidRPr="0074648E" w:rsidRDefault="001A491B" w:rsidP="00934DB9">
            <w:pPr>
              <w:rPr>
                <w:rFonts w:ascii="Arial" w:hAnsi="Arial" w:cs="Arial"/>
                <w:szCs w:val="24"/>
              </w:rPr>
            </w:pPr>
            <w:r w:rsidRPr="0074648E">
              <w:rPr>
                <w:rFonts w:ascii="Arial" w:hAnsi="Arial" w:cs="Arial"/>
                <w:szCs w:val="24"/>
              </w:rPr>
              <w:t>14.00%</w:t>
            </w:r>
          </w:p>
        </w:tc>
      </w:tr>
      <w:tr w:rsidR="0074648E" w:rsidRPr="0074648E" w14:paraId="1EA02B0E" w14:textId="77777777" w:rsidTr="004B0E48">
        <w:tc>
          <w:tcPr>
            <w:tcW w:w="4675" w:type="dxa"/>
          </w:tcPr>
          <w:p w14:paraId="283BEE27" w14:textId="77777777" w:rsidR="001A491B" w:rsidRPr="0074648E" w:rsidRDefault="001A491B" w:rsidP="00934DB9">
            <w:pPr>
              <w:rPr>
                <w:rFonts w:ascii="Arial" w:hAnsi="Arial" w:cs="Arial"/>
                <w:szCs w:val="24"/>
              </w:rPr>
            </w:pPr>
            <w:r w:rsidRPr="0074648E">
              <w:rPr>
                <w:rFonts w:ascii="Arial" w:hAnsi="Arial" w:cs="Arial"/>
                <w:szCs w:val="24"/>
              </w:rPr>
              <w:t>B</w:t>
            </w:r>
          </w:p>
        </w:tc>
        <w:tc>
          <w:tcPr>
            <w:tcW w:w="4675" w:type="dxa"/>
            <w:vAlign w:val="center"/>
          </w:tcPr>
          <w:p w14:paraId="1E2C2550" w14:textId="7EC6E425" w:rsidR="001A491B" w:rsidRPr="0074648E" w:rsidRDefault="001A491B" w:rsidP="00934DB9">
            <w:pPr>
              <w:rPr>
                <w:rFonts w:ascii="Arial" w:hAnsi="Arial" w:cs="Arial"/>
                <w:szCs w:val="24"/>
              </w:rPr>
            </w:pPr>
            <w:r w:rsidRPr="0074648E">
              <w:rPr>
                <w:rFonts w:ascii="Arial" w:hAnsi="Arial" w:cs="Arial"/>
                <w:szCs w:val="24"/>
              </w:rPr>
              <w:t>0.00%</w:t>
            </w:r>
          </w:p>
        </w:tc>
      </w:tr>
      <w:tr w:rsidR="0074648E" w:rsidRPr="0074648E" w14:paraId="491B7D0C" w14:textId="77777777" w:rsidTr="004B0E48">
        <w:tc>
          <w:tcPr>
            <w:tcW w:w="4675" w:type="dxa"/>
          </w:tcPr>
          <w:p w14:paraId="01A08C62" w14:textId="77777777" w:rsidR="001A491B" w:rsidRPr="0074648E" w:rsidRDefault="001A491B" w:rsidP="00934DB9">
            <w:pPr>
              <w:rPr>
                <w:rFonts w:ascii="Arial" w:hAnsi="Arial" w:cs="Arial"/>
                <w:szCs w:val="24"/>
              </w:rPr>
            </w:pPr>
            <w:r w:rsidRPr="0074648E">
              <w:rPr>
                <w:rFonts w:ascii="Arial" w:hAnsi="Arial" w:cs="Arial"/>
                <w:szCs w:val="24"/>
              </w:rPr>
              <w:t>C</w:t>
            </w:r>
          </w:p>
        </w:tc>
        <w:tc>
          <w:tcPr>
            <w:tcW w:w="4675" w:type="dxa"/>
            <w:vAlign w:val="center"/>
          </w:tcPr>
          <w:p w14:paraId="07364C58" w14:textId="2B88AB24" w:rsidR="001A491B" w:rsidRPr="0074648E" w:rsidRDefault="001A491B" w:rsidP="00572DDE">
            <w:pPr>
              <w:keepNext/>
              <w:rPr>
                <w:rFonts w:ascii="Arial" w:hAnsi="Arial" w:cs="Arial"/>
                <w:szCs w:val="24"/>
              </w:rPr>
            </w:pPr>
            <w:r w:rsidRPr="0074648E">
              <w:rPr>
                <w:rFonts w:ascii="Arial" w:hAnsi="Arial" w:cs="Arial"/>
                <w:szCs w:val="24"/>
              </w:rPr>
              <w:t>20.00%</w:t>
            </w:r>
          </w:p>
        </w:tc>
      </w:tr>
    </w:tbl>
    <w:p w14:paraId="3303A8AF" w14:textId="199EE2E3" w:rsidR="00572DDE" w:rsidRPr="0074648E" w:rsidRDefault="00572DDE">
      <w:pPr>
        <w:pStyle w:val="Caption"/>
        <w:rPr>
          <w:rFonts w:ascii="Arial" w:hAnsi="Arial" w:cs="Arial"/>
          <w:color w:val="auto"/>
        </w:rPr>
      </w:pPr>
      <w:bookmarkStart w:id="38" w:name="_Toc210664732"/>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10</w:t>
      </w:r>
      <w:r w:rsidRPr="0074648E">
        <w:rPr>
          <w:rFonts w:ascii="Arial" w:hAnsi="Arial" w:cs="Arial"/>
          <w:color w:val="auto"/>
        </w:rPr>
        <w:fldChar w:fldCharType="end"/>
      </w:r>
      <w:r w:rsidRPr="0074648E">
        <w:rPr>
          <w:rFonts w:ascii="Arial" w:hAnsi="Arial" w:cs="Arial"/>
          <w:color w:val="auto"/>
        </w:rPr>
        <w:t>: ARR Result</w:t>
      </w:r>
      <w:bookmarkEnd w:id="38"/>
    </w:p>
    <w:p w14:paraId="2EA184AF" w14:textId="266C026E" w:rsidR="001A491B" w:rsidRPr="0074648E" w:rsidRDefault="001A491B" w:rsidP="00934DB9">
      <w:pPr>
        <w:rPr>
          <w:rFonts w:ascii="Arial" w:hAnsi="Arial" w:cs="Arial"/>
          <w:b/>
          <w:bCs/>
          <w:szCs w:val="24"/>
        </w:rPr>
      </w:pPr>
      <w:r w:rsidRPr="0074648E">
        <w:rPr>
          <w:rFonts w:ascii="Arial" w:hAnsi="Arial" w:cs="Arial"/>
          <w:b/>
          <w:bCs/>
          <w:szCs w:val="24"/>
        </w:rPr>
        <w:t>NPV</w:t>
      </w:r>
    </w:p>
    <w:tbl>
      <w:tblPr>
        <w:tblStyle w:val="TableGrid"/>
        <w:tblW w:w="0" w:type="auto"/>
        <w:tblLook w:val="04A0" w:firstRow="1" w:lastRow="0" w:firstColumn="1" w:lastColumn="0" w:noHBand="0" w:noVBand="1"/>
      </w:tblPr>
      <w:tblGrid>
        <w:gridCol w:w="4675"/>
        <w:gridCol w:w="4675"/>
      </w:tblGrid>
      <w:tr w:rsidR="0074648E" w:rsidRPr="0074648E" w14:paraId="3ADAA921" w14:textId="77777777" w:rsidTr="004B0E48">
        <w:tc>
          <w:tcPr>
            <w:tcW w:w="4675" w:type="dxa"/>
          </w:tcPr>
          <w:p w14:paraId="2F7AEEA9" w14:textId="77777777" w:rsidR="001A491B" w:rsidRPr="0074648E" w:rsidRDefault="001A491B" w:rsidP="00934DB9">
            <w:pPr>
              <w:rPr>
                <w:rFonts w:ascii="Arial" w:hAnsi="Arial" w:cs="Arial"/>
                <w:szCs w:val="24"/>
              </w:rPr>
            </w:pPr>
            <w:r w:rsidRPr="0074648E">
              <w:rPr>
                <w:rFonts w:ascii="Arial" w:hAnsi="Arial" w:cs="Arial"/>
                <w:szCs w:val="24"/>
              </w:rPr>
              <w:t>Project</w:t>
            </w:r>
          </w:p>
        </w:tc>
        <w:tc>
          <w:tcPr>
            <w:tcW w:w="4675" w:type="dxa"/>
          </w:tcPr>
          <w:p w14:paraId="1A228F28" w14:textId="77777777" w:rsidR="001A491B" w:rsidRPr="0074648E" w:rsidRDefault="001A491B" w:rsidP="00934DB9">
            <w:pPr>
              <w:rPr>
                <w:rFonts w:ascii="Arial" w:hAnsi="Arial" w:cs="Arial"/>
                <w:szCs w:val="24"/>
              </w:rPr>
            </w:pPr>
            <w:r w:rsidRPr="0074648E">
              <w:rPr>
                <w:rFonts w:ascii="Arial" w:hAnsi="Arial" w:cs="Arial"/>
                <w:szCs w:val="24"/>
              </w:rPr>
              <w:t>Result</w:t>
            </w:r>
          </w:p>
        </w:tc>
      </w:tr>
      <w:tr w:rsidR="0074648E" w:rsidRPr="0074648E" w14:paraId="1B673FCB" w14:textId="77777777" w:rsidTr="004B0E48">
        <w:tc>
          <w:tcPr>
            <w:tcW w:w="4675" w:type="dxa"/>
          </w:tcPr>
          <w:p w14:paraId="71972848" w14:textId="77777777" w:rsidR="001A491B" w:rsidRPr="0074648E" w:rsidRDefault="001A491B" w:rsidP="00934DB9">
            <w:pPr>
              <w:rPr>
                <w:rFonts w:ascii="Arial" w:hAnsi="Arial" w:cs="Arial"/>
                <w:szCs w:val="24"/>
              </w:rPr>
            </w:pPr>
            <w:r w:rsidRPr="0074648E">
              <w:rPr>
                <w:rFonts w:ascii="Arial" w:hAnsi="Arial" w:cs="Arial"/>
                <w:szCs w:val="24"/>
              </w:rPr>
              <w:t>A</w:t>
            </w:r>
          </w:p>
        </w:tc>
        <w:tc>
          <w:tcPr>
            <w:tcW w:w="4675" w:type="dxa"/>
            <w:vAlign w:val="center"/>
          </w:tcPr>
          <w:p w14:paraId="4EF1556E" w14:textId="2C9F54FD" w:rsidR="001A491B" w:rsidRPr="0074648E" w:rsidRDefault="001A491B" w:rsidP="00934DB9">
            <w:pPr>
              <w:rPr>
                <w:rFonts w:ascii="Arial" w:hAnsi="Arial" w:cs="Arial"/>
                <w:szCs w:val="24"/>
              </w:rPr>
            </w:pPr>
            <w:r w:rsidRPr="0074648E">
              <w:rPr>
                <w:rFonts w:ascii="Arial" w:hAnsi="Arial" w:cs="Arial"/>
                <w:szCs w:val="24"/>
              </w:rPr>
              <w:t>£1.324m</w:t>
            </w:r>
          </w:p>
        </w:tc>
      </w:tr>
      <w:tr w:rsidR="0074648E" w:rsidRPr="0074648E" w14:paraId="54BE0DEF" w14:textId="77777777" w:rsidTr="004B0E48">
        <w:tc>
          <w:tcPr>
            <w:tcW w:w="4675" w:type="dxa"/>
          </w:tcPr>
          <w:p w14:paraId="630718A0" w14:textId="77777777" w:rsidR="001A491B" w:rsidRPr="0074648E" w:rsidRDefault="001A491B" w:rsidP="00934DB9">
            <w:pPr>
              <w:rPr>
                <w:rFonts w:ascii="Arial" w:hAnsi="Arial" w:cs="Arial"/>
                <w:szCs w:val="24"/>
              </w:rPr>
            </w:pPr>
            <w:r w:rsidRPr="0074648E">
              <w:rPr>
                <w:rFonts w:ascii="Arial" w:hAnsi="Arial" w:cs="Arial"/>
                <w:szCs w:val="24"/>
              </w:rPr>
              <w:t>B</w:t>
            </w:r>
          </w:p>
        </w:tc>
        <w:tc>
          <w:tcPr>
            <w:tcW w:w="4675" w:type="dxa"/>
            <w:vAlign w:val="center"/>
          </w:tcPr>
          <w:p w14:paraId="22488FB6" w14:textId="63AE3272" w:rsidR="001A491B" w:rsidRPr="0074648E" w:rsidRDefault="001A491B" w:rsidP="00934DB9">
            <w:pPr>
              <w:rPr>
                <w:rFonts w:ascii="Arial" w:hAnsi="Arial" w:cs="Arial"/>
                <w:szCs w:val="24"/>
              </w:rPr>
            </w:pPr>
            <w:r w:rsidRPr="0074648E">
              <w:rPr>
                <w:rFonts w:ascii="Arial" w:hAnsi="Arial" w:cs="Arial"/>
                <w:szCs w:val="24"/>
              </w:rPr>
              <w:t>−£7.255m</w:t>
            </w:r>
          </w:p>
        </w:tc>
      </w:tr>
      <w:tr w:rsidR="0074648E" w:rsidRPr="0074648E" w14:paraId="3BA904CD" w14:textId="77777777" w:rsidTr="004B0E48">
        <w:tc>
          <w:tcPr>
            <w:tcW w:w="4675" w:type="dxa"/>
          </w:tcPr>
          <w:p w14:paraId="1A297B58" w14:textId="77777777" w:rsidR="001A491B" w:rsidRPr="0074648E" w:rsidRDefault="001A491B" w:rsidP="00934DB9">
            <w:pPr>
              <w:rPr>
                <w:rFonts w:ascii="Arial" w:hAnsi="Arial" w:cs="Arial"/>
                <w:szCs w:val="24"/>
              </w:rPr>
            </w:pPr>
            <w:r w:rsidRPr="0074648E">
              <w:rPr>
                <w:rFonts w:ascii="Arial" w:hAnsi="Arial" w:cs="Arial"/>
                <w:szCs w:val="24"/>
              </w:rPr>
              <w:t>C</w:t>
            </w:r>
          </w:p>
        </w:tc>
        <w:tc>
          <w:tcPr>
            <w:tcW w:w="4675" w:type="dxa"/>
            <w:vAlign w:val="center"/>
          </w:tcPr>
          <w:p w14:paraId="446D9990" w14:textId="06000C1A" w:rsidR="001A491B" w:rsidRPr="0074648E" w:rsidRDefault="001A491B" w:rsidP="00572DDE">
            <w:pPr>
              <w:keepNext/>
              <w:rPr>
                <w:rFonts w:ascii="Arial" w:hAnsi="Arial" w:cs="Arial"/>
                <w:szCs w:val="24"/>
              </w:rPr>
            </w:pPr>
            <w:r w:rsidRPr="0074648E">
              <w:rPr>
                <w:rFonts w:ascii="Arial" w:hAnsi="Arial" w:cs="Arial"/>
                <w:szCs w:val="24"/>
              </w:rPr>
              <w:t>£4.225m</w:t>
            </w:r>
          </w:p>
        </w:tc>
      </w:tr>
    </w:tbl>
    <w:p w14:paraId="3E3C3F43" w14:textId="46A2639D" w:rsidR="00572DDE" w:rsidRPr="0074648E" w:rsidRDefault="00572DDE">
      <w:pPr>
        <w:pStyle w:val="Caption"/>
        <w:rPr>
          <w:rFonts w:ascii="Arial" w:hAnsi="Arial" w:cs="Arial"/>
          <w:color w:val="auto"/>
        </w:rPr>
      </w:pPr>
      <w:bookmarkStart w:id="39" w:name="_Toc210664733"/>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11</w:t>
      </w:r>
      <w:r w:rsidRPr="0074648E">
        <w:rPr>
          <w:rFonts w:ascii="Arial" w:hAnsi="Arial" w:cs="Arial"/>
          <w:color w:val="auto"/>
        </w:rPr>
        <w:fldChar w:fldCharType="end"/>
      </w:r>
      <w:r w:rsidRPr="0074648E">
        <w:rPr>
          <w:rFonts w:ascii="Arial" w:hAnsi="Arial" w:cs="Arial"/>
          <w:color w:val="auto"/>
        </w:rPr>
        <w:t>: NPV Result</w:t>
      </w:r>
      <w:bookmarkEnd w:id="39"/>
    </w:p>
    <w:p w14:paraId="340F9049" w14:textId="19877517" w:rsidR="001A491B" w:rsidRPr="0074648E" w:rsidRDefault="001A491B" w:rsidP="00934DB9">
      <w:pPr>
        <w:rPr>
          <w:rFonts w:ascii="Arial" w:hAnsi="Arial" w:cs="Arial"/>
          <w:b/>
          <w:bCs/>
          <w:szCs w:val="24"/>
        </w:rPr>
      </w:pPr>
      <w:r w:rsidRPr="0074648E">
        <w:rPr>
          <w:rFonts w:ascii="Arial" w:hAnsi="Arial" w:cs="Arial"/>
          <w:b/>
          <w:bCs/>
          <w:szCs w:val="24"/>
        </w:rPr>
        <w:t>PI</w:t>
      </w:r>
    </w:p>
    <w:tbl>
      <w:tblPr>
        <w:tblStyle w:val="TableGrid"/>
        <w:tblW w:w="0" w:type="auto"/>
        <w:tblLook w:val="04A0" w:firstRow="1" w:lastRow="0" w:firstColumn="1" w:lastColumn="0" w:noHBand="0" w:noVBand="1"/>
      </w:tblPr>
      <w:tblGrid>
        <w:gridCol w:w="4675"/>
        <w:gridCol w:w="4675"/>
      </w:tblGrid>
      <w:tr w:rsidR="0074648E" w:rsidRPr="0074648E" w14:paraId="625C17E8" w14:textId="77777777" w:rsidTr="004B0E48">
        <w:tc>
          <w:tcPr>
            <w:tcW w:w="4675" w:type="dxa"/>
          </w:tcPr>
          <w:p w14:paraId="3B8A67A8" w14:textId="77777777" w:rsidR="001A491B" w:rsidRPr="0074648E" w:rsidRDefault="001A491B" w:rsidP="00934DB9">
            <w:pPr>
              <w:rPr>
                <w:rFonts w:ascii="Arial" w:hAnsi="Arial" w:cs="Arial"/>
                <w:szCs w:val="24"/>
              </w:rPr>
            </w:pPr>
            <w:r w:rsidRPr="0074648E">
              <w:rPr>
                <w:rFonts w:ascii="Arial" w:hAnsi="Arial" w:cs="Arial"/>
                <w:szCs w:val="24"/>
              </w:rPr>
              <w:t>Project</w:t>
            </w:r>
          </w:p>
        </w:tc>
        <w:tc>
          <w:tcPr>
            <w:tcW w:w="4675" w:type="dxa"/>
          </w:tcPr>
          <w:p w14:paraId="47B769A1" w14:textId="77777777" w:rsidR="001A491B" w:rsidRPr="0074648E" w:rsidRDefault="001A491B" w:rsidP="00934DB9">
            <w:pPr>
              <w:rPr>
                <w:rFonts w:ascii="Arial" w:hAnsi="Arial" w:cs="Arial"/>
                <w:szCs w:val="24"/>
              </w:rPr>
            </w:pPr>
            <w:r w:rsidRPr="0074648E">
              <w:rPr>
                <w:rFonts w:ascii="Arial" w:hAnsi="Arial" w:cs="Arial"/>
                <w:szCs w:val="24"/>
              </w:rPr>
              <w:t>Result</w:t>
            </w:r>
          </w:p>
        </w:tc>
      </w:tr>
      <w:tr w:rsidR="0074648E" w:rsidRPr="0074648E" w14:paraId="362C742C" w14:textId="77777777" w:rsidTr="004B0E48">
        <w:tc>
          <w:tcPr>
            <w:tcW w:w="4675" w:type="dxa"/>
          </w:tcPr>
          <w:p w14:paraId="020E17FF" w14:textId="77777777" w:rsidR="001A491B" w:rsidRPr="0074648E" w:rsidRDefault="001A491B" w:rsidP="00934DB9">
            <w:pPr>
              <w:rPr>
                <w:rFonts w:ascii="Arial" w:hAnsi="Arial" w:cs="Arial"/>
                <w:szCs w:val="24"/>
              </w:rPr>
            </w:pPr>
            <w:r w:rsidRPr="0074648E">
              <w:rPr>
                <w:rFonts w:ascii="Arial" w:hAnsi="Arial" w:cs="Arial"/>
                <w:szCs w:val="24"/>
              </w:rPr>
              <w:t>A</w:t>
            </w:r>
          </w:p>
        </w:tc>
        <w:tc>
          <w:tcPr>
            <w:tcW w:w="4675" w:type="dxa"/>
            <w:vAlign w:val="center"/>
          </w:tcPr>
          <w:p w14:paraId="71BB36A6" w14:textId="745DAE84" w:rsidR="001A491B" w:rsidRPr="0074648E" w:rsidRDefault="001A491B" w:rsidP="00934DB9">
            <w:pPr>
              <w:rPr>
                <w:rFonts w:ascii="Arial" w:hAnsi="Arial" w:cs="Arial"/>
                <w:szCs w:val="24"/>
              </w:rPr>
            </w:pPr>
            <w:r w:rsidRPr="0074648E">
              <w:rPr>
                <w:rFonts w:ascii="Arial" w:hAnsi="Arial" w:cs="Arial"/>
                <w:szCs w:val="24"/>
              </w:rPr>
              <w:t>1.033</w:t>
            </w:r>
          </w:p>
        </w:tc>
      </w:tr>
      <w:tr w:rsidR="0074648E" w:rsidRPr="0074648E" w14:paraId="7C550496" w14:textId="77777777" w:rsidTr="004B0E48">
        <w:tc>
          <w:tcPr>
            <w:tcW w:w="4675" w:type="dxa"/>
          </w:tcPr>
          <w:p w14:paraId="62717BBF" w14:textId="77777777" w:rsidR="001A491B" w:rsidRPr="0074648E" w:rsidRDefault="001A491B" w:rsidP="00934DB9">
            <w:pPr>
              <w:rPr>
                <w:rFonts w:ascii="Arial" w:hAnsi="Arial" w:cs="Arial"/>
                <w:szCs w:val="24"/>
              </w:rPr>
            </w:pPr>
            <w:r w:rsidRPr="0074648E">
              <w:rPr>
                <w:rFonts w:ascii="Arial" w:hAnsi="Arial" w:cs="Arial"/>
                <w:szCs w:val="24"/>
              </w:rPr>
              <w:t>B</w:t>
            </w:r>
          </w:p>
        </w:tc>
        <w:tc>
          <w:tcPr>
            <w:tcW w:w="4675" w:type="dxa"/>
            <w:vAlign w:val="center"/>
          </w:tcPr>
          <w:p w14:paraId="36A53E55" w14:textId="6997828C" w:rsidR="001A491B" w:rsidRPr="0074648E" w:rsidRDefault="001A491B" w:rsidP="00934DB9">
            <w:pPr>
              <w:rPr>
                <w:rFonts w:ascii="Arial" w:hAnsi="Arial" w:cs="Arial"/>
                <w:szCs w:val="24"/>
              </w:rPr>
            </w:pPr>
            <w:r w:rsidRPr="0074648E">
              <w:rPr>
                <w:rFonts w:ascii="Arial" w:hAnsi="Arial" w:cs="Arial"/>
                <w:szCs w:val="24"/>
              </w:rPr>
              <w:t>0.758</w:t>
            </w:r>
          </w:p>
        </w:tc>
      </w:tr>
      <w:tr w:rsidR="0074648E" w:rsidRPr="0074648E" w14:paraId="67F1A9E7" w14:textId="77777777" w:rsidTr="004B0E48">
        <w:tc>
          <w:tcPr>
            <w:tcW w:w="4675" w:type="dxa"/>
          </w:tcPr>
          <w:p w14:paraId="649DFA28" w14:textId="77777777" w:rsidR="001A491B" w:rsidRPr="0074648E" w:rsidRDefault="001A491B" w:rsidP="00934DB9">
            <w:pPr>
              <w:rPr>
                <w:rFonts w:ascii="Arial" w:hAnsi="Arial" w:cs="Arial"/>
                <w:szCs w:val="24"/>
              </w:rPr>
            </w:pPr>
            <w:r w:rsidRPr="0074648E">
              <w:rPr>
                <w:rFonts w:ascii="Arial" w:hAnsi="Arial" w:cs="Arial"/>
                <w:szCs w:val="24"/>
              </w:rPr>
              <w:t>C</w:t>
            </w:r>
          </w:p>
        </w:tc>
        <w:tc>
          <w:tcPr>
            <w:tcW w:w="4675" w:type="dxa"/>
            <w:vAlign w:val="center"/>
          </w:tcPr>
          <w:p w14:paraId="1B92C08D" w14:textId="55B99031" w:rsidR="001A491B" w:rsidRPr="0074648E" w:rsidRDefault="001A491B" w:rsidP="00572DDE">
            <w:pPr>
              <w:keepNext/>
              <w:rPr>
                <w:rFonts w:ascii="Arial" w:hAnsi="Arial" w:cs="Arial"/>
                <w:szCs w:val="24"/>
              </w:rPr>
            </w:pPr>
            <w:r w:rsidRPr="0074648E">
              <w:rPr>
                <w:rFonts w:ascii="Arial" w:hAnsi="Arial" w:cs="Arial"/>
                <w:szCs w:val="24"/>
              </w:rPr>
              <w:t>1.085</w:t>
            </w:r>
          </w:p>
        </w:tc>
      </w:tr>
    </w:tbl>
    <w:p w14:paraId="10C6286C" w14:textId="4807BFE5" w:rsidR="00572DDE" w:rsidRPr="0074648E" w:rsidRDefault="00572DDE">
      <w:pPr>
        <w:pStyle w:val="Caption"/>
        <w:rPr>
          <w:rFonts w:ascii="Arial" w:hAnsi="Arial" w:cs="Arial"/>
          <w:color w:val="auto"/>
        </w:rPr>
      </w:pPr>
      <w:bookmarkStart w:id="40" w:name="_Toc210664734"/>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12</w:t>
      </w:r>
      <w:r w:rsidRPr="0074648E">
        <w:rPr>
          <w:rFonts w:ascii="Arial" w:hAnsi="Arial" w:cs="Arial"/>
          <w:color w:val="auto"/>
        </w:rPr>
        <w:fldChar w:fldCharType="end"/>
      </w:r>
      <w:r w:rsidRPr="0074648E">
        <w:rPr>
          <w:rFonts w:ascii="Arial" w:hAnsi="Arial" w:cs="Arial"/>
          <w:color w:val="auto"/>
        </w:rPr>
        <w:t>: PI Result</w:t>
      </w:r>
      <w:bookmarkEnd w:id="40"/>
    </w:p>
    <w:p w14:paraId="2F7A5193" w14:textId="7F3B5B2D" w:rsidR="001A491B" w:rsidRPr="0074648E" w:rsidRDefault="001A491B" w:rsidP="00934DB9">
      <w:pPr>
        <w:rPr>
          <w:rFonts w:ascii="Arial" w:hAnsi="Arial" w:cs="Arial"/>
          <w:b/>
          <w:bCs/>
          <w:szCs w:val="24"/>
        </w:rPr>
      </w:pPr>
      <w:r w:rsidRPr="0074648E">
        <w:rPr>
          <w:rFonts w:ascii="Arial" w:hAnsi="Arial" w:cs="Arial"/>
          <w:b/>
          <w:bCs/>
          <w:szCs w:val="24"/>
        </w:rPr>
        <w:lastRenderedPageBreak/>
        <w:t>IRR</w:t>
      </w:r>
    </w:p>
    <w:tbl>
      <w:tblPr>
        <w:tblStyle w:val="TableGrid"/>
        <w:tblW w:w="0" w:type="auto"/>
        <w:tblLook w:val="04A0" w:firstRow="1" w:lastRow="0" w:firstColumn="1" w:lastColumn="0" w:noHBand="0" w:noVBand="1"/>
      </w:tblPr>
      <w:tblGrid>
        <w:gridCol w:w="4675"/>
        <w:gridCol w:w="4675"/>
      </w:tblGrid>
      <w:tr w:rsidR="0074648E" w:rsidRPr="0074648E" w14:paraId="0EEC093F" w14:textId="77777777" w:rsidTr="004B0E48">
        <w:tc>
          <w:tcPr>
            <w:tcW w:w="4675" w:type="dxa"/>
          </w:tcPr>
          <w:p w14:paraId="32F6A47B" w14:textId="77777777" w:rsidR="001A491B" w:rsidRPr="0074648E" w:rsidRDefault="001A491B" w:rsidP="00934DB9">
            <w:pPr>
              <w:rPr>
                <w:rFonts w:ascii="Arial" w:hAnsi="Arial" w:cs="Arial"/>
                <w:szCs w:val="24"/>
              </w:rPr>
            </w:pPr>
            <w:r w:rsidRPr="0074648E">
              <w:rPr>
                <w:rFonts w:ascii="Arial" w:hAnsi="Arial" w:cs="Arial"/>
                <w:szCs w:val="24"/>
              </w:rPr>
              <w:t>Project</w:t>
            </w:r>
          </w:p>
        </w:tc>
        <w:tc>
          <w:tcPr>
            <w:tcW w:w="4675" w:type="dxa"/>
          </w:tcPr>
          <w:p w14:paraId="3B10CF43" w14:textId="77777777" w:rsidR="001A491B" w:rsidRPr="0074648E" w:rsidRDefault="001A491B" w:rsidP="00934DB9">
            <w:pPr>
              <w:rPr>
                <w:rFonts w:ascii="Arial" w:hAnsi="Arial" w:cs="Arial"/>
                <w:szCs w:val="24"/>
              </w:rPr>
            </w:pPr>
            <w:r w:rsidRPr="0074648E">
              <w:rPr>
                <w:rFonts w:ascii="Arial" w:hAnsi="Arial" w:cs="Arial"/>
                <w:szCs w:val="24"/>
              </w:rPr>
              <w:t>Result</w:t>
            </w:r>
          </w:p>
        </w:tc>
      </w:tr>
      <w:tr w:rsidR="0074648E" w:rsidRPr="0074648E" w14:paraId="705D59C8" w14:textId="77777777" w:rsidTr="004B0E48">
        <w:tc>
          <w:tcPr>
            <w:tcW w:w="4675" w:type="dxa"/>
          </w:tcPr>
          <w:p w14:paraId="102B6971" w14:textId="77777777" w:rsidR="007F29F3" w:rsidRPr="0074648E" w:rsidRDefault="007F29F3" w:rsidP="00934DB9">
            <w:pPr>
              <w:rPr>
                <w:rFonts w:ascii="Arial" w:hAnsi="Arial" w:cs="Arial"/>
                <w:szCs w:val="24"/>
              </w:rPr>
            </w:pPr>
            <w:r w:rsidRPr="0074648E">
              <w:rPr>
                <w:rFonts w:ascii="Arial" w:hAnsi="Arial" w:cs="Arial"/>
                <w:szCs w:val="24"/>
              </w:rPr>
              <w:t>A</w:t>
            </w:r>
          </w:p>
        </w:tc>
        <w:tc>
          <w:tcPr>
            <w:tcW w:w="4675" w:type="dxa"/>
            <w:vAlign w:val="center"/>
          </w:tcPr>
          <w:p w14:paraId="6C78C653" w14:textId="5B50EC93" w:rsidR="007F29F3" w:rsidRPr="0074648E" w:rsidRDefault="007F29F3" w:rsidP="00934DB9">
            <w:pPr>
              <w:rPr>
                <w:rFonts w:ascii="Arial" w:hAnsi="Arial" w:cs="Arial"/>
                <w:szCs w:val="24"/>
              </w:rPr>
            </w:pPr>
            <w:r w:rsidRPr="0074648E">
              <w:rPr>
                <w:rFonts w:ascii="Arial" w:hAnsi="Arial" w:cs="Arial"/>
                <w:szCs w:val="24"/>
              </w:rPr>
              <w:t>11.33%</w:t>
            </w:r>
          </w:p>
        </w:tc>
      </w:tr>
      <w:tr w:rsidR="0074648E" w:rsidRPr="0074648E" w14:paraId="1618C2AA" w14:textId="77777777" w:rsidTr="004B0E48">
        <w:tc>
          <w:tcPr>
            <w:tcW w:w="4675" w:type="dxa"/>
          </w:tcPr>
          <w:p w14:paraId="484A42C5" w14:textId="77777777" w:rsidR="007F29F3" w:rsidRPr="0074648E" w:rsidRDefault="007F29F3" w:rsidP="00934DB9">
            <w:pPr>
              <w:rPr>
                <w:rFonts w:ascii="Arial" w:hAnsi="Arial" w:cs="Arial"/>
                <w:szCs w:val="24"/>
              </w:rPr>
            </w:pPr>
            <w:r w:rsidRPr="0074648E">
              <w:rPr>
                <w:rFonts w:ascii="Arial" w:hAnsi="Arial" w:cs="Arial"/>
                <w:szCs w:val="24"/>
              </w:rPr>
              <w:t>B</w:t>
            </w:r>
          </w:p>
        </w:tc>
        <w:tc>
          <w:tcPr>
            <w:tcW w:w="4675" w:type="dxa"/>
            <w:vAlign w:val="center"/>
          </w:tcPr>
          <w:p w14:paraId="63F055CF" w14:textId="28718AC2" w:rsidR="007F29F3" w:rsidRPr="0074648E" w:rsidRDefault="007F29F3" w:rsidP="00934DB9">
            <w:pPr>
              <w:rPr>
                <w:rFonts w:ascii="Arial" w:hAnsi="Arial" w:cs="Arial"/>
                <w:szCs w:val="24"/>
              </w:rPr>
            </w:pPr>
            <w:r w:rsidRPr="0074648E">
              <w:rPr>
                <w:rFonts w:ascii="Arial" w:hAnsi="Arial" w:cs="Arial"/>
                <w:szCs w:val="24"/>
              </w:rPr>
              <w:t>0.00%</w:t>
            </w:r>
          </w:p>
        </w:tc>
      </w:tr>
      <w:tr w:rsidR="0074648E" w:rsidRPr="0074648E" w14:paraId="4E5DC2E4" w14:textId="77777777" w:rsidTr="004B0E48">
        <w:tc>
          <w:tcPr>
            <w:tcW w:w="4675" w:type="dxa"/>
          </w:tcPr>
          <w:p w14:paraId="4EF0ACC7" w14:textId="77777777" w:rsidR="007F29F3" w:rsidRPr="0074648E" w:rsidRDefault="007F29F3" w:rsidP="00934DB9">
            <w:pPr>
              <w:rPr>
                <w:rFonts w:ascii="Arial" w:hAnsi="Arial" w:cs="Arial"/>
                <w:szCs w:val="24"/>
              </w:rPr>
            </w:pPr>
            <w:r w:rsidRPr="0074648E">
              <w:rPr>
                <w:rFonts w:ascii="Arial" w:hAnsi="Arial" w:cs="Arial"/>
                <w:szCs w:val="24"/>
              </w:rPr>
              <w:t>C</w:t>
            </w:r>
          </w:p>
        </w:tc>
        <w:tc>
          <w:tcPr>
            <w:tcW w:w="4675" w:type="dxa"/>
            <w:vAlign w:val="center"/>
          </w:tcPr>
          <w:p w14:paraId="022130E7" w14:textId="3A214518" w:rsidR="007F29F3" w:rsidRPr="0074648E" w:rsidRDefault="007F29F3" w:rsidP="00572DDE">
            <w:pPr>
              <w:keepNext/>
              <w:rPr>
                <w:rFonts w:ascii="Arial" w:hAnsi="Arial" w:cs="Arial"/>
                <w:szCs w:val="24"/>
              </w:rPr>
            </w:pPr>
            <w:r w:rsidRPr="0074648E">
              <w:rPr>
                <w:rFonts w:ascii="Arial" w:hAnsi="Arial" w:cs="Arial"/>
                <w:szCs w:val="24"/>
              </w:rPr>
              <w:t>12.72%</w:t>
            </w:r>
          </w:p>
        </w:tc>
      </w:tr>
    </w:tbl>
    <w:p w14:paraId="25AE837A" w14:textId="4233B707" w:rsidR="001A491B" w:rsidRPr="0074648E" w:rsidRDefault="00572DDE" w:rsidP="00572DDE">
      <w:pPr>
        <w:pStyle w:val="Caption"/>
        <w:rPr>
          <w:rFonts w:ascii="Arial" w:hAnsi="Arial" w:cs="Arial"/>
          <w:color w:val="auto"/>
          <w:szCs w:val="24"/>
        </w:rPr>
      </w:pPr>
      <w:bookmarkStart w:id="41" w:name="_Toc210664735"/>
      <w:r w:rsidRPr="0074648E">
        <w:rPr>
          <w:rFonts w:ascii="Arial" w:hAnsi="Arial" w:cs="Arial"/>
          <w:color w:val="auto"/>
        </w:rPr>
        <w:t xml:space="preserve">Table </w:t>
      </w:r>
      <w:r w:rsidRPr="0074648E">
        <w:rPr>
          <w:rFonts w:ascii="Arial" w:hAnsi="Arial" w:cs="Arial"/>
          <w:color w:val="auto"/>
        </w:rPr>
        <w:fldChar w:fldCharType="begin"/>
      </w:r>
      <w:r w:rsidRPr="0074648E">
        <w:rPr>
          <w:rFonts w:ascii="Arial" w:hAnsi="Arial" w:cs="Arial"/>
          <w:color w:val="auto"/>
        </w:rPr>
        <w:instrText xml:space="preserve"> SEQ Table \* ARABIC </w:instrText>
      </w:r>
      <w:r w:rsidRPr="0074648E">
        <w:rPr>
          <w:rFonts w:ascii="Arial" w:hAnsi="Arial" w:cs="Arial"/>
          <w:color w:val="auto"/>
        </w:rPr>
        <w:fldChar w:fldCharType="separate"/>
      </w:r>
      <w:r w:rsidRPr="0074648E">
        <w:rPr>
          <w:rFonts w:ascii="Arial" w:hAnsi="Arial" w:cs="Arial"/>
          <w:noProof/>
          <w:color w:val="auto"/>
        </w:rPr>
        <w:t>13</w:t>
      </w:r>
      <w:r w:rsidRPr="0074648E">
        <w:rPr>
          <w:rFonts w:ascii="Arial" w:hAnsi="Arial" w:cs="Arial"/>
          <w:color w:val="auto"/>
        </w:rPr>
        <w:fldChar w:fldCharType="end"/>
      </w:r>
      <w:r w:rsidRPr="0074648E">
        <w:rPr>
          <w:rFonts w:ascii="Arial" w:hAnsi="Arial" w:cs="Arial"/>
          <w:color w:val="auto"/>
        </w:rPr>
        <w:t>: IRR Result</w:t>
      </w:r>
      <w:bookmarkEnd w:id="41"/>
    </w:p>
    <w:p w14:paraId="60DDB7A1" w14:textId="77777777" w:rsidR="00F66FD4" w:rsidRPr="0074648E" w:rsidRDefault="00F66FD4" w:rsidP="00934DB9">
      <w:pPr>
        <w:pStyle w:val="Heading2"/>
        <w:rPr>
          <w:rFonts w:ascii="Arial" w:hAnsi="Arial" w:cs="Arial"/>
          <w:color w:val="auto"/>
        </w:rPr>
      </w:pPr>
      <w:bookmarkStart w:id="42" w:name="_Toc210855240"/>
      <w:r w:rsidRPr="0074648E">
        <w:rPr>
          <w:rFonts w:ascii="Arial" w:hAnsi="Arial" w:cs="Arial"/>
          <w:color w:val="auto"/>
        </w:rPr>
        <w:t>Decision Summary</w:t>
      </w:r>
      <w:bookmarkEnd w:id="42"/>
    </w:p>
    <w:p w14:paraId="40697F11" w14:textId="77777777" w:rsidR="005D6511" w:rsidRPr="0074648E" w:rsidRDefault="005D6511" w:rsidP="00934DB9">
      <w:pPr>
        <w:rPr>
          <w:rFonts w:ascii="Arial" w:hAnsi="Arial" w:cs="Arial"/>
        </w:rPr>
      </w:pPr>
      <w:r w:rsidRPr="0074648E">
        <w:rPr>
          <w:rFonts w:ascii="Arial" w:hAnsi="Arial" w:cs="Arial"/>
        </w:rPr>
        <w:t>Since the capital constraint is 60 million pounds and the results of the appraisal are PBP: A 3.4 yrs, B 5.0 yrs, C 3.6 yrs; ARR: A 14.00%, B 0.00%, C 20.00; NPV: A £1.324m, B -7.255m, C 4.225m; PI: A 1.033, B 0.758, C 1.085 At the budget ceiling, a combination of two projects is not possible (A+B= 70m, B+C= 80m, A+C= 90m). The selected project C is the best allocation of scarce capital to a firm in financial recovery because it has the highest NPV, the best Profitability Index, and the best IRR margin above the 10% hurdle.</w:t>
      </w:r>
    </w:p>
    <w:p w14:paraId="2A3C94C8" w14:textId="77777777" w:rsidR="005D6511" w:rsidRPr="0074648E" w:rsidRDefault="005D6511" w:rsidP="00934DB9">
      <w:pPr>
        <w:rPr>
          <w:rFonts w:ascii="Arial" w:hAnsi="Arial" w:cs="Arial"/>
          <w:b/>
          <w:bCs/>
          <w:i/>
          <w:iCs/>
        </w:rPr>
      </w:pPr>
      <w:r w:rsidRPr="0074648E">
        <w:rPr>
          <w:rFonts w:ascii="Arial" w:hAnsi="Arial" w:cs="Arial"/>
          <w:b/>
          <w:bCs/>
          <w:i/>
          <w:iCs/>
        </w:rPr>
        <w:t>Project C Wins Why: Value per Pound, Return above Hurdle, Economic Profit</w:t>
      </w:r>
    </w:p>
    <w:p w14:paraId="71247BD1" w14:textId="00732C79" w:rsidR="005D6511" w:rsidRPr="0074648E" w:rsidRDefault="005D6511" w:rsidP="00934DB9">
      <w:pPr>
        <w:rPr>
          <w:rFonts w:ascii="Arial" w:hAnsi="Arial" w:cs="Arial"/>
        </w:rPr>
      </w:pPr>
      <w:r w:rsidRPr="0074648E">
        <w:rPr>
          <w:rFonts w:ascii="Arial" w:hAnsi="Arial" w:cs="Arial"/>
        </w:rPr>
        <w:t>Value creation (NPV &amp; PI)</w:t>
      </w:r>
      <w:r w:rsidR="00CE7E6C" w:rsidRPr="0074648E">
        <w:rPr>
          <w:rFonts w:ascii="Arial" w:hAnsi="Arial" w:cs="Arial"/>
        </w:rPr>
        <w:t>:</w:t>
      </w:r>
      <w:r w:rsidRPr="0074648E">
        <w:rPr>
          <w:rFonts w:ascii="Arial" w:hAnsi="Arial" w:cs="Arial"/>
        </w:rPr>
        <w:t xml:space="preserve"> Capital rationing raises the value intensity, the value that a pound of invested capital can generate. Project C has a PI of 1.085</w:t>
      </w:r>
      <w:r w:rsidR="00623FD9" w:rsidRPr="0074648E">
        <w:rPr>
          <w:rFonts w:ascii="Arial" w:hAnsi="Arial" w:cs="Arial"/>
        </w:rPr>
        <w:t>,</w:t>
      </w:r>
      <w:r w:rsidRPr="0074648E">
        <w:rPr>
          <w:rFonts w:ascii="Arial" w:hAnsi="Arial" w:cs="Arial"/>
        </w:rPr>
        <w:t xml:space="preserve"> indicating that the value per pound invested is 8.5p, compared to 3.3p in Project A</w:t>
      </w:r>
      <w:r w:rsidR="00623FD9" w:rsidRPr="0074648E">
        <w:rPr>
          <w:rFonts w:ascii="Arial" w:hAnsi="Arial" w:cs="Arial"/>
        </w:rPr>
        <w:t>,</w:t>
      </w:r>
      <w:r w:rsidRPr="0074648E">
        <w:rPr>
          <w:rFonts w:ascii="Arial" w:hAnsi="Arial" w:cs="Arial"/>
        </w:rPr>
        <w:t xml:space="preserve"> and </w:t>
      </w:r>
      <w:r w:rsidR="00623FD9" w:rsidRPr="0074648E">
        <w:rPr>
          <w:rFonts w:ascii="Arial" w:hAnsi="Arial" w:cs="Arial"/>
        </w:rPr>
        <w:t>P</w:t>
      </w:r>
      <w:r w:rsidRPr="0074648E">
        <w:rPr>
          <w:rFonts w:ascii="Arial" w:hAnsi="Arial" w:cs="Arial"/>
        </w:rPr>
        <w:t>roject B incurred a loss (PI &lt; 1). Its NPV ( £4.225m) is also maximum and directly proportional to the wealth of the shareholders</w:t>
      </w:r>
      <w:r w:rsidR="00623FD9" w:rsidRPr="0074648E">
        <w:rPr>
          <w:rFonts w:ascii="Arial" w:hAnsi="Arial" w:cs="Arial"/>
        </w:rPr>
        <w:t>,</w:t>
      </w:r>
      <w:r w:rsidRPr="0074648E">
        <w:rPr>
          <w:rFonts w:ascii="Arial" w:hAnsi="Arial" w:cs="Arial"/>
        </w:rPr>
        <w:t xml:space="preserve"> which is at </w:t>
      </w:r>
      <w:r w:rsidR="00623FD9" w:rsidRPr="0074648E">
        <w:rPr>
          <w:rFonts w:ascii="Arial" w:hAnsi="Arial" w:cs="Arial"/>
        </w:rPr>
        <w:t>a</w:t>
      </w:r>
      <w:r w:rsidRPr="0074648E">
        <w:rPr>
          <w:rFonts w:ascii="Arial" w:hAnsi="Arial" w:cs="Arial"/>
        </w:rPr>
        <w:t xml:space="preserve"> discount rate of 10% rate</w:t>
      </w:r>
      <w:r w:rsidR="002411D1" w:rsidRPr="0074648E">
        <w:rPr>
          <w:rFonts w:ascii="Arial" w:hAnsi="Arial" w:cs="Arial"/>
        </w:rPr>
        <w:t xml:space="preserve"> </w:t>
      </w:r>
      <w:r w:rsidR="002411D1" w:rsidRPr="0074648E">
        <w:rPr>
          <w:rFonts w:ascii="Arial" w:hAnsi="Arial" w:cs="Arial"/>
          <w:shd w:val="clear" w:color="auto" w:fill="FFFFFF"/>
        </w:rPr>
        <w:t>(Awodire et al., 2023)</w:t>
      </w:r>
      <w:r w:rsidRPr="0074648E">
        <w:rPr>
          <w:rFonts w:ascii="Arial" w:hAnsi="Arial" w:cs="Arial"/>
        </w:rPr>
        <w:t>. In hard liquidity situations, the rational goal is to maximi</w:t>
      </w:r>
      <w:r w:rsidR="00623FD9" w:rsidRPr="0074648E">
        <w:rPr>
          <w:rFonts w:ascii="Arial" w:hAnsi="Arial" w:cs="Arial"/>
        </w:rPr>
        <w:t>s</w:t>
      </w:r>
      <w:r w:rsidRPr="0074648E">
        <w:rPr>
          <w:rFonts w:ascii="Arial" w:hAnsi="Arial" w:cs="Arial"/>
        </w:rPr>
        <w:t>e NPV/unit of capital; Project C is obviously the winner on this measure.</w:t>
      </w:r>
    </w:p>
    <w:p w14:paraId="1FAF05DA" w14:textId="1ADC23F7" w:rsidR="005D6511" w:rsidRPr="0074648E" w:rsidRDefault="005D6511" w:rsidP="00934DB9">
      <w:pPr>
        <w:rPr>
          <w:rFonts w:ascii="Arial" w:hAnsi="Arial" w:cs="Arial"/>
        </w:rPr>
      </w:pPr>
      <w:r w:rsidRPr="0074648E">
        <w:rPr>
          <w:rFonts w:ascii="Arial" w:hAnsi="Arial" w:cs="Arial"/>
        </w:rPr>
        <w:t>Return vs. the 10% hurdle (IRR)</w:t>
      </w:r>
      <w:r w:rsidR="00CE7E6C" w:rsidRPr="0074648E">
        <w:rPr>
          <w:rFonts w:ascii="Arial" w:hAnsi="Arial" w:cs="Arial"/>
        </w:rPr>
        <w:t>:</w:t>
      </w:r>
      <w:r w:rsidRPr="0074648E">
        <w:rPr>
          <w:rFonts w:ascii="Arial" w:hAnsi="Arial" w:cs="Arial"/>
        </w:rPr>
        <w:t xml:space="preserve"> C’s IRR (12.72) provides a clearance of nearly 2.7 percentage points, providing a wider buffer should the actual cost of capital of the firm increase (which is likely in a high leverage, grey zone Altman Z scenario). The hurdle is crossed by A with a lower headroom (11.33%), whereas B does not cross the hurdle at all (0.00). Due to negative EBIT and low interest coverage in the recent past, projects with distinct spread</w:t>
      </w:r>
      <w:r w:rsidR="00623FD9" w:rsidRPr="0074648E">
        <w:rPr>
          <w:rFonts w:ascii="Arial" w:hAnsi="Arial" w:cs="Arial"/>
        </w:rPr>
        <w:t>s</w:t>
      </w:r>
      <w:r w:rsidRPr="0074648E">
        <w:rPr>
          <w:rFonts w:ascii="Arial" w:hAnsi="Arial" w:cs="Arial"/>
        </w:rPr>
        <w:t xml:space="preserve"> across the hurdle are required by the company to recover economic profit</w:t>
      </w:r>
      <w:r w:rsidR="00623FD9" w:rsidRPr="0074648E">
        <w:rPr>
          <w:rFonts w:ascii="Arial" w:hAnsi="Arial" w:cs="Arial"/>
        </w:rPr>
        <w:t>.</w:t>
      </w:r>
      <w:r w:rsidRPr="0074648E">
        <w:rPr>
          <w:rFonts w:ascii="Arial" w:hAnsi="Arial" w:cs="Arial"/>
        </w:rPr>
        <w:t xml:space="preserve"> C is the leading project here</w:t>
      </w:r>
      <w:r w:rsidR="002411D1" w:rsidRPr="0074648E">
        <w:rPr>
          <w:rFonts w:ascii="Arial" w:hAnsi="Arial" w:cs="Arial"/>
        </w:rPr>
        <w:t xml:space="preserve"> </w:t>
      </w:r>
      <w:r w:rsidR="002411D1" w:rsidRPr="0074648E">
        <w:rPr>
          <w:rFonts w:ascii="Arial" w:hAnsi="Arial" w:cs="Arial"/>
          <w:shd w:val="clear" w:color="auto" w:fill="FFFFFF"/>
        </w:rPr>
        <w:t>(Purnamasari and Adriza, 2024)</w:t>
      </w:r>
      <w:r w:rsidRPr="0074648E">
        <w:rPr>
          <w:rFonts w:ascii="Arial" w:hAnsi="Arial" w:cs="Arial"/>
        </w:rPr>
        <w:t>.</w:t>
      </w:r>
    </w:p>
    <w:p w14:paraId="188038AA" w14:textId="229990E9" w:rsidR="005D6511" w:rsidRPr="0074648E" w:rsidRDefault="005D6511" w:rsidP="00934DB9">
      <w:pPr>
        <w:rPr>
          <w:rFonts w:ascii="Arial" w:hAnsi="Arial" w:cs="Arial"/>
        </w:rPr>
      </w:pPr>
      <w:r w:rsidRPr="0074648E">
        <w:rPr>
          <w:rFonts w:ascii="Arial" w:hAnsi="Arial" w:cs="Arial"/>
        </w:rPr>
        <w:lastRenderedPageBreak/>
        <w:t>Profitability, accounting</w:t>
      </w:r>
      <w:r w:rsidR="00CE7E6C" w:rsidRPr="0074648E">
        <w:rPr>
          <w:rFonts w:ascii="Arial" w:hAnsi="Arial" w:cs="Arial"/>
        </w:rPr>
        <w:t>:</w:t>
      </w:r>
      <w:r w:rsidRPr="0074648E">
        <w:rPr>
          <w:rFonts w:ascii="Arial" w:hAnsi="Arial" w:cs="Arial"/>
        </w:rPr>
        <w:t xml:space="preserve"> Although ARR is not a cash measure, it supplements the capital budgeting results. The ARR of 20% by C comfortably surpasses that of A of 14% and 0% by B, ensuring that C is not just value-accretive, but stronger on accounting returns that are frequently under scrutiny by investors and lenders.</w:t>
      </w:r>
    </w:p>
    <w:p w14:paraId="0A0A9BA4" w14:textId="6A27AE42" w:rsidR="005D6511" w:rsidRPr="0074648E" w:rsidRDefault="005D6511" w:rsidP="00934DB9">
      <w:pPr>
        <w:rPr>
          <w:rFonts w:ascii="Arial" w:hAnsi="Arial" w:cs="Arial"/>
          <w:b/>
          <w:bCs/>
          <w:i/>
          <w:iCs/>
        </w:rPr>
      </w:pPr>
      <w:r w:rsidRPr="0074648E">
        <w:rPr>
          <w:rFonts w:ascii="Arial" w:hAnsi="Arial" w:cs="Arial"/>
          <w:b/>
          <w:bCs/>
          <w:i/>
          <w:iCs/>
        </w:rPr>
        <w:t>Handling Liquidity: Payback Timing and Cash Conversio</w:t>
      </w:r>
      <w:r w:rsidR="00CE7E6C" w:rsidRPr="0074648E">
        <w:rPr>
          <w:rFonts w:ascii="Arial" w:hAnsi="Arial" w:cs="Arial"/>
          <w:b/>
          <w:bCs/>
          <w:i/>
          <w:iCs/>
        </w:rPr>
        <w:t>n</w:t>
      </w:r>
    </w:p>
    <w:p w14:paraId="540199CD" w14:textId="0A894B55" w:rsidR="005D6511" w:rsidRPr="0074648E" w:rsidRDefault="005D6511" w:rsidP="00934DB9">
      <w:pPr>
        <w:rPr>
          <w:rFonts w:ascii="Arial" w:hAnsi="Arial" w:cs="Arial"/>
        </w:rPr>
      </w:pPr>
      <w:r w:rsidRPr="0074648E">
        <w:rPr>
          <w:rFonts w:ascii="Arial" w:hAnsi="Arial" w:cs="Arial"/>
        </w:rPr>
        <w:t>The one common rebuttal is that Project A has a slightly lower payback time on a simple payback basis (3.4 years versus 3.6 years on C). Premature recovery is appealing in a turbid liquidity setting. With the time value of money properly considered, however, the discount</w:t>
      </w:r>
      <w:r w:rsidR="00623FD9" w:rsidRPr="0074648E">
        <w:rPr>
          <w:rFonts w:ascii="Arial" w:hAnsi="Arial" w:cs="Arial"/>
        </w:rPr>
        <w:t>ed</w:t>
      </w:r>
      <w:r w:rsidRPr="0074648E">
        <w:rPr>
          <w:rFonts w:ascii="Arial" w:hAnsi="Arial" w:cs="Arial"/>
        </w:rPr>
        <w:t xml:space="preserve"> project C has </w:t>
      </w:r>
      <w:r w:rsidR="00623FD9" w:rsidRPr="0074648E">
        <w:rPr>
          <w:rFonts w:ascii="Arial" w:hAnsi="Arial" w:cs="Arial"/>
        </w:rPr>
        <w:t xml:space="preserve">an </w:t>
      </w:r>
      <w:r w:rsidRPr="0074648E">
        <w:rPr>
          <w:rFonts w:ascii="Arial" w:hAnsi="Arial" w:cs="Arial"/>
        </w:rPr>
        <w:t>earlier pa</w:t>
      </w:r>
      <w:r w:rsidR="00623FD9" w:rsidRPr="0074648E">
        <w:rPr>
          <w:rFonts w:ascii="Arial" w:hAnsi="Arial" w:cs="Arial"/>
        </w:rPr>
        <w:t>yback and is</w:t>
      </w:r>
      <w:r w:rsidRPr="0074648E">
        <w:rPr>
          <w:rFonts w:ascii="Arial" w:hAnsi="Arial" w:cs="Arial"/>
        </w:rPr>
        <w:t xml:space="preserve"> faster than A (in the analysis above)</w:t>
      </w:r>
      <w:r w:rsidR="00623FD9" w:rsidRPr="0074648E">
        <w:rPr>
          <w:rFonts w:ascii="Arial" w:hAnsi="Arial" w:cs="Arial"/>
        </w:rPr>
        <w:t>,</w:t>
      </w:r>
      <w:r w:rsidRPr="0074648E">
        <w:rPr>
          <w:rFonts w:ascii="Arial" w:hAnsi="Arial" w:cs="Arial"/>
        </w:rPr>
        <w:t xml:space="preserve"> and C also has </w:t>
      </w:r>
      <w:r w:rsidR="00623FD9" w:rsidRPr="0074648E">
        <w:rPr>
          <w:rFonts w:ascii="Arial" w:hAnsi="Arial" w:cs="Arial"/>
        </w:rPr>
        <w:t xml:space="preserve">a </w:t>
      </w:r>
      <w:r w:rsidRPr="0074648E">
        <w:rPr>
          <w:rFonts w:ascii="Arial" w:hAnsi="Arial" w:cs="Arial"/>
        </w:rPr>
        <w:t>higher total value</w:t>
      </w:r>
      <w:r w:rsidR="002411D1" w:rsidRPr="0074648E">
        <w:rPr>
          <w:rFonts w:ascii="Arial" w:hAnsi="Arial" w:cs="Arial"/>
        </w:rPr>
        <w:t xml:space="preserve"> </w:t>
      </w:r>
      <w:r w:rsidR="002411D1" w:rsidRPr="0074648E">
        <w:rPr>
          <w:rFonts w:ascii="Arial" w:hAnsi="Arial" w:cs="Arial"/>
          <w:shd w:val="clear" w:color="auto" w:fill="FFFFFF"/>
        </w:rPr>
        <w:t>(Awodire et al., 2023)</w:t>
      </w:r>
      <w:r w:rsidRPr="0074648E">
        <w:rPr>
          <w:rFonts w:ascii="Arial" w:hAnsi="Arial" w:cs="Arial"/>
        </w:rPr>
        <w:t>. Furthermore, the liquidity issue in the firm must be resolved by mainly reforming working capital and not by promoting lower-value projects. The near 1.0 quick ratio of the firm and the coverage of the operating cash flow by current liabilities of 0.09 means that liberating cash through operations (DSO -, DIO -, DPO +) can create enough liquidity to supply orders of magnitude higher than the payback benefit of 0.2 years of A.</w:t>
      </w:r>
    </w:p>
    <w:p w14:paraId="5C76224A" w14:textId="728D6884" w:rsidR="005D6511" w:rsidRPr="0074648E" w:rsidRDefault="005D6511" w:rsidP="00934DB9">
      <w:pPr>
        <w:rPr>
          <w:rFonts w:ascii="Arial" w:hAnsi="Arial" w:cs="Arial"/>
          <w:b/>
          <w:bCs/>
          <w:i/>
          <w:iCs/>
        </w:rPr>
      </w:pPr>
      <w:r w:rsidRPr="0074648E">
        <w:rPr>
          <w:rFonts w:ascii="Arial" w:hAnsi="Arial" w:cs="Arial"/>
          <w:b/>
          <w:bCs/>
          <w:i/>
          <w:iCs/>
        </w:rPr>
        <w:t>Company Background: Profitability, Solvency Risk, and Capital Discipline</w:t>
      </w:r>
    </w:p>
    <w:p w14:paraId="3B0E6266" w14:textId="662B0622" w:rsidR="005D6511" w:rsidRPr="0074648E" w:rsidRDefault="005D6511" w:rsidP="00934DB9">
      <w:pPr>
        <w:rPr>
          <w:rFonts w:ascii="Arial" w:hAnsi="Arial" w:cs="Arial"/>
        </w:rPr>
      </w:pPr>
      <w:r w:rsidRPr="0074648E">
        <w:rPr>
          <w:rFonts w:ascii="Arial" w:hAnsi="Arial" w:cs="Arial"/>
        </w:rPr>
        <w:t xml:space="preserve">General Electronics is recording two consecutive losses, </w:t>
      </w:r>
      <w:r w:rsidR="00623FD9" w:rsidRPr="0074648E">
        <w:rPr>
          <w:rFonts w:ascii="Arial" w:hAnsi="Arial" w:cs="Arial"/>
        </w:rPr>
        <w:t xml:space="preserve">the </w:t>
      </w:r>
      <w:r w:rsidRPr="0074648E">
        <w:rPr>
          <w:rFonts w:ascii="Arial" w:hAnsi="Arial" w:cs="Arial"/>
        </w:rPr>
        <w:t>Debt-to-Equity ratio is exceeding 1.0, negative interest coverage, and Altman Z-Score dropped into the Grey zone in 2023 and is still in the Grey zone in 2024. Under these circumstances</w:t>
      </w:r>
      <w:r w:rsidR="00623FD9" w:rsidRPr="0074648E">
        <w:rPr>
          <w:rFonts w:ascii="Arial" w:hAnsi="Arial" w:cs="Arial"/>
        </w:rPr>
        <w:t>,</w:t>
      </w:r>
      <w:r w:rsidRPr="0074648E">
        <w:rPr>
          <w:rFonts w:ascii="Arial" w:hAnsi="Arial" w:cs="Arial"/>
        </w:rPr>
        <w:t xml:space="preserve"> the investment rule book gets stricter:</w:t>
      </w:r>
    </w:p>
    <w:p w14:paraId="31E1C403" w14:textId="77777777" w:rsidR="005D6511" w:rsidRPr="0074648E" w:rsidRDefault="005D6511" w:rsidP="00934DB9">
      <w:pPr>
        <w:rPr>
          <w:rFonts w:ascii="Arial" w:hAnsi="Arial" w:cs="Arial"/>
        </w:rPr>
      </w:pPr>
      <w:r w:rsidRPr="0074648E">
        <w:rPr>
          <w:rFonts w:ascii="Arial" w:hAnsi="Arial" w:cs="Arial"/>
        </w:rPr>
        <w:t>Disallow negative NPV (Project B) on its face-payback cannot redeem value destruction.</w:t>
      </w:r>
    </w:p>
    <w:p w14:paraId="3D298294" w14:textId="1B972B95" w:rsidR="005D6511" w:rsidRPr="0074648E" w:rsidRDefault="005D6511" w:rsidP="00934DB9">
      <w:pPr>
        <w:rPr>
          <w:rFonts w:ascii="Arial" w:hAnsi="Arial" w:cs="Arial"/>
        </w:rPr>
      </w:pPr>
      <w:r w:rsidRPr="0074648E">
        <w:rPr>
          <w:rFonts w:ascii="Arial" w:hAnsi="Arial" w:cs="Arial"/>
        </w:rPr>
        <w:t>Favo</w:t>
      </w:r>
      <w:r w:rsidR="00623FD9" w:rsidRPr="0074648E">
        <w:rPr>
          <w:rFonts w:ascii="Arial" w:hAnsi="Arial" w:cs="Arial"/>
        </w:rPr>
        <w:t>u</w:t>
      </w:r>
      <w:r w:rsidRPr="0074648E">
        <w:rPr>
          <w:rFonts w:ascii="Arial" w:hAnsi="Arial" w:cs="Arial"/>
        </w:rPr>
        <w:t>r more NPV/PI projects within the budget (Project C).</w:t>
      </w:r>
    </w:p>
    <w:p w14:paraId="7C833949" w14:textId="059EDFBB" w:rsidR="005D6511" w:rsidRPr="0074648E" w:rsidRDefault="005D6511" w:rsidP="00934DB9">
      <w:pPr>
        <w:rPr>
          <w:rFonts w:ascii="Arial" w:hAnsi="Arial" w:cs="Arial"/>
        </w:rPr>
      </w:pPr>
      <w:r w:rsidRPr="0074648E">
        <w:rPr>
          <w:rFonts w:ascii="Arial" w:hAnsi="Arial" w:cs="Arial"/>
        </w:rPr>
        <w:t xml:space="preserve">Make sure IRR comfortably overcomes the hurdle to survive volatility and </w:t>
      </w:r>
      <w:r w:rsidR="00623FD9" w:rsidRPr="0074648E">
        <w:rPr>
          <w:rFonts w:ascii="Arial" w:hAnsi="Arial" w:cs="Arial"/>
        </w:rPr>
        <w:t xml:space="preserve">a </w:t>
      </w:r>
      <w:r w:rsidRPr="0074648E">
        <w:rPr>
          <w:rFonts w:ascii="Arial" w:hAnsi="Arial" w:cs="Arial"/>
        </w:rPr>
        <w:t xml:space="preserve">possible rise in </w:t>
      </w:r>
      <w:r w:rsidR="00623FD9" w:rsidRPr="0074648E">
        <w:rPr>
          <w:rFonts w:ascii="Arial" w:hAnsi="Arial" w:cs="Arial"/>
        </w:rPr>
        <w:t xml:space="preserve">the </w:t>
      </w:r>
      <w:r w:rsidRPr="0074648E">
        <w:rPr>
          <w:rFonts w:ascii="Arial" w:hAnsi="Arial" w:cs="Arial"/>
        </w:rPr>
        <w:t>cost of borrowing (C &gt; A).</w:t>
      </w:r>
    </w:p>
    <w:p w14:paraId="51399756" w14:textId="35EF82D2" w:rsidR="005D6511" w:rsidRPr="0074648E" w:rsidRDefault="005D6511" w:rsidP="00934DB9">
      <w:pPr>
        <w:rPr>
          <w:rFonts w:ascii="Arial" w:hAnsi="Arial" w:cs="Arial"/>
          <w:b/>
          <w:bCs/>
          <w:i/>
          <w:iCs/>
        </w:rPr>
      </w:pPr>
      <w:r w:rsidRPr="0074648E">
        <w:rPr>
          <w:rFonts w:ascii="Arial" w:hAnsi="Arial" w:cs="Arial"/>
          <w:b/>
          <w:bCs/>
          <w:i/>
          <w:iCs/>
        </w:rPr>
        <w:t>Liquidity self-help, not extra leverage, should accompany pair investment</w:t>
      </w:r>
    </w:p>
    <w:p w14:paraId="296F94C9" w14:textId="1AC92DCB" w:rsidR="005D6511" w:rsidRPr="0074648E" w:rsidRDefault="005D6511" w:rsidP="00934DB9">
      <w:pPr>
        <w:rPr>
          <w:rFonts w:ascii="Arial" w:hAnsi="Arial" w:cs="Arial"/>
        </w:rPr>
      </w:pPr>
      <w:r w:rsidRPr="0074648E">
        <w:rPr>
          <w:rFonts w:ascii="Arial" w:hAnsi="Arial" w:cs="Arial"/>
        </w:rPr>
        <w:t xml:space="preserve">Project C is not an exception to this discipline. It will generate the highest value per pound, jump over the hurdle with a more cautious distance, and can be designed in a way that </w:t>
      </w:r>
      <w:r w:rsidRPr="0074648E">
        <w:rPr>
          <w:rFonts w:ascii="Arial" w:hAnsi="Arial" w:cs="Arial"/>
        </w:rPr>
        <w:lastRenderedPageBreak/>
        <w:t xml:space="preserve">will </w:t>
      </w:r>
      <w:r w:rsidR="00623FD9" w:rsidRPr="0074648E">
        <w:rPr>
          <w:rFonts w:ascii="Arial" w:hAnsi="Arial" w:cs="Arial"/>
        </w:rPr>
        <w:t>e</w:t>
      </w:r>
      <w:r w:rsidRPr="0074648E">
        <w:rPr>
          <w:rFonts w:ascii="Arial" w:hAnsi="Arial" w:cs="Arial"/>
        </w:rPr>
        <w:t>nsure liquidity (see risk mitigations). Project A is acceptable, but not optimal, when rationing applies; Project B is not admissible.</w:t>
      </w:r>
    </w:p>
    <w:p w14:paraId="38ABB4FE" w14:textId="01841483" w:rsidR="005D6511" w:rsidRPr="0074648E" w:rsidRDefault="005D6511" w:rsidP="00934DB9">
      <w:pPr>
        <w:rPr>
          <w:rFonts w:ascii="Arial" w:hAnsi="Arial" w:cs="Arial"/>
        </w:rPr>
      </w:pPr>
      <w:r w:rsidRPr="0074648E">
        <w:rPr>
          <w:rFonts w:ascii="Arial" w:hAnsi="Arial" w:cs="Arial"/>
          <w:b/>
          <w:bCs/>
          <w:i/>
          <w:iCs/>
        </w:rPr>
        <w:t xml:space="preserve">The Characteristics of </w:t>
      </w:r>
      <w:r w:rsidR="00623FD9" w:rsidRPr="0074648E">
        <w:rPr>
          <w:rFonts w:ascii="Arial" w:hAnsi="Arial" w:cs="Arial"/>
          <w:b/>
          <w:bCs/>
          <w:i/>
          <w:iCs/>
        </w:rPr>
        <w:t>R</w:t>
      </w:r>
      <w:r w:rsidRPr="0074648E">
        <w:rPr>
          <w:rFonts w:ascii="Arial" w:hAnsi="Arial" w:cs="Arial"/>
          <w:b/>
          <w:bCs/>
          <w:i/>
          <w:iCs/>
        </w:rPr>
        <w:t>isk and De-Risking Project C</w:t>
      </w:r>
    </w:p>
    <w:p w14:paraId="2E4B432D" w14:textId="30639FC1" w:rsidR="005D6511" w:rsidRPr="0074648E" w:rsidRDefault="005D6511" w:rsidP="00934DB9">
      <w:pPr>
        <w:rPr>
          <w:rFonts w:ascii="Arial" w:hAnsi="Arial" w:cs="Arial"/>
        </w:rPr>
      </w:pPr>
      <w:r w:rsidRPr="0074648E">
        <w:rPr>
          <w:rFonts w:ascii="Arial" w:hAnsi="Arial" w:cs="Arial"/>
        </w:rPr>
        <w:t>Volatility of the cash-flow and back-end loading</w:t>
      </w:r>
      <w:r w:rsidR="00623FD9" w:rsidRPr="0074648E">
        <w:rPr>
          <w:rFonts w:ascii="Arial" w:hAnsi="Arial" w:cs="Arial"/>
        </w:rPr>
        <w:t>:</w:t>
      </w:r>
      <w:r w:rsidRPr="0074648E">
        <w:rPr>
          <w:rFonts w:ascii="Arial" w:hAnsi="Arial" w:cs="Arial"/>
        </w:rPr>
        <w:t xml:space="preserve"> Project C is more back-loaded than profile A; initial years are low with scale-up between years 3-4</w:t>
      </w:r>
      <w:r w:rsidR="002411D1" w:rsidRPr="0074648E">
        <w:rPr>
          <w:rFonts w:ascii="Arial" w:hAnsi="Arial" w:cs="Arial"/>
        </w:rPr>
        <w:t xml:space="preserve"> </w:t>
      </w:r>
      <w:r w:rsidR="002411D1" w:rsidRPr="0074648E">
        <w:rPr>
          <w:rFonts w:ascii="Arial" w:hAnsi="Arial" w:cs="Arial"/>
          <w:shd w:val="clear" w:color="auto" w:fill="FFFFFF"/>
        </w:rPr>
        <w:t>(Purnamasari and Adriza, 2024)</w:t>
      </w:r>
      <w:r w:rsidRPr="0074648E">
        <w:rPr>
          <w:rFonts w:ascii="Arial" w:hAnsi="Arial" w:cs="Arial"/>
        </w:rPr>
        <w:t>. This brings about execution risk (ramp delays, cost overrun) and market risk (demand elasticity, pricing pressure). These risks exist, but can be controlled, and are not too great to be offset by the greater value of C</w:t>
      </w:r>
      <w:r w:rsidR="00623FD9" w:rsidRPr="0074648E">
        <w:rPr>
          <w:rFonts w:ascii="Arial" w:hAnsi="Arial" w:cs="Arial"/>
        </w:rPr>
        <w:t>,</w:t>
      </w:r>
      <w:r w:rsidRPr="0074648E">
        <w:rPr>
          <w:rFonts w:ascii="Arial" w:hAnsi="Arial" w:cs="Arial"/>
        </w:rPr>
        <w:t xml:space="preserve"> w</w:t>
      </w:r>
      <w:r w:rsidR="00623FD9" w:rsidRPr="0074648E">
        <w:rPr>
          <w:rFonts w:ascii="Arial" w:hAnsi="Arial" w:cs="Arial"/>
        </w:rPr>
        <w:t>h</w:t>
      </w:r>
      <w:r w:rsidRPr="0074648E">
        <w:rPr>
          <w:rFonts w:ascii="Arial" w:hAnsi="Arial" w:cs="Arial"/>
        </w:rPr>
        <w:t xml:space="preserve">ere risk mitigation </w:t>
      </w:r>
      <w:r w:rsidR="00623FD9" w:rsidRPr="0074648E">
        <w:rPr>
          <w:rFonts w:ascii="Arial" w:hAnsi="Arial" w:cs="Arial"/>
        </w:rPr>
        <w:t xml:space="preserve">is </w:t>
      </w:r>
      <w:r w:rsidRPr="0074648E">
        <w:rPr>
          <w:rFonts w:ascii="Arial" w:hAnsi="Arial" w:cs="Arial"/>
        </w:rPr>
        <w:t>to be incorporated in governance and commercial structure:</w:t>
      </w:r>
    </w:p>
    <w:p w14:paraId="185CD317" w14:textId="28A639F3" w:rsidR="005D6511" w:rsidRPr="0074648E" w:rsidRDefault="005D6511" w:rsidP="00934DB9">
      <w:pPr>
        <w:rPr>
          <w:rFonts w:ascii="Arial" w:hAnsi="Arial" w:cs="Arial"/>
        </w:rPr>
      </w:pPr>
      <w:r w:rsidRPr="0074648E">
        <w:rPr>
          <w:rFonts w:ascii="Arial" w:hAnsi="Arial" w:cs="Arial"/>
        </w:rPr>
        <w:t>• Stage-gated funding</w:t>
      </w:r>
      <w:r w:rsidR="00623FD9" w:rsidRPr="0074648E">
        <w:rPr>
          <w:rFonts w:ascii="Arial" w:hAnsi="Arial" w:cs="Arial"/>
        </w:rPr>
        <w:t>:</w:t>
      </w:r>
      <w:r w:rsidRPr="0074648E">
        <w:rPr>
          <w:rFonts w:ascii="Arial" w:hAnsi="Arial" w:cs="Arial"/>
        </w:rPr>
        <w:t xml:space="preserve"> According to technical preparedness, supply commitment, and customer offtake milestones, release the 50m tranches. Stop or pause when milestones are not met by more than 10%.</w:t>
      </w:r>
    </w:p>
    <w:p w14:paraId="3C1AE69B" w14:textId="6FC9E759" w:rsidR="005D6511" w:rsidRPr="0074648E" w:rsidRDefault="005D6511" w:rsidP="00934DB9">
      <w:pPr>
        <w:rPr>
          <w:rFonts w:ascii="Arial" w:hAnsi="Arial" w:cs="Arial"/>
        </w:rPr>
      </w:pPr>
      <w:r w:rsidRPr="0074648E">
        <w:rPr>
          <w:rFonts w:ascii="Arial" w:hAnsi="Arial" w:cs="Arial"/>
        </w:rPr>
        <w:t>• Customer-backed cash flows</w:t>
      </w:r>
      <w:r w:rsidR="00623FD9" w:rsidRPr="0074648E">
        <w:rPr>
          <w:rFonts w:ascii="Arial" w:hAnsi="Arial" w:cs="Arial"/>
        </w:rPr>
        <w:t>:</w:t>
      </w:r>
      <w:r w:rsidRPr="0074648E">
        <w:rPr>
          <w:rFonts w:ascii="Arial" w:hAnsi="Arial" w:cs="Arial"/>
        </w:rPr>
        <w:t xml:space="preserve"> Orders or pre-orders or minimum-volume commitments with anchor customers to secure a portion of the Y3Y4 ramp</w:t>
      </w:r>
      <w:r w:rsidR="002411D1" w:rsidRPr="0074648E">
        <w:rPr>
          <w:rFonts w:ascii="Arial" w:hAnsi="Arial" w:cs="Arial"/>
        </w:rPr>
        <w:t xml:space="preserve"> </w:t>
      </w:r>
      <w:r w:rsidR="002411D1" w:rsidRPr="0074648E">
        <w:rPr>
          <w:rFonts w:ascii="Arial" w:hAnsi="Arial" w:cs="Arial"/>
          <w:shd w:val="clear" w:color="auto" w:fill="FFFFFF"/>
        </w:rPr>
        <w:t>(Nunden et al., 2022)</w:t>
      </w:r>
      <w:r w:rsidRPr="0074648E">
        <w:rPr>
          <w:rFonts w:ascii="Arial" w:hAnsi="Arial" w:cs="Arial"/>
        </w:rPr>
        <w:t>. When possible, securiti</w:t>
      </w:r>
      <w:r w:rsidR="00623FD9" w:rsidRPr="0074648E">
        <w:rPr>
          <w:rFonts w:ascii="Arial" w:hAnsi="Arial" w:cs="Arial"/>
        </w:rPr>
        <w:t>s</w:t>
      </w:r>
      <w:r w:rsidRPr="0074648E">
        <w:rPr>
          <w:rFonts w:ascii="Arial" w:hAnsi="Arial" w:cs="Arial"/>
        </w:rPr>
        <w:t>e receivables against such contracts to bring forward cash without accruing net debt.</w:t>
      </w:r>
    </w:p>
    <w:p w14:paraId="19E89E7C" w14:textId="77777777" w:rsidR="00F66FD4" w:rsidRPr="0074648E" w:rsidRDefault="00F66FD4" w:rsidP="00934DB9">
      <w:pPr>
        <w:pStyle w:val="Heading2"/>
        <w:rPr>
          <w:rFonts w:ascii="Arial" w:hAnsi="Arial" w:cs="Arial"/>
          <w:color w:val="auto"/>
          <w:sz w:val="36"/>
        </w:rPr>
      </w:pPr>
      <w:bookmarkStart w:id="43" w:name="_Toc210855241"/>
      <w:r w:rsidRPr="0074648E">
        <w:rPr>
          <w:rFonts w:ascii="Arial" w:hAnsi="Arial" w:cs="Arial"/>
          <w:color w:val="auto"/>
        </w:rPr>
        <w:t>Financing and Balance-Sheet Optics</w:t>
      </w:r>
      <w:bookmarkEnd w:id="43"/>
    </w:p>
    <w:p w14:paraId="207308CA" w14:textId="68D6CF48" w:rsidR="005D6511" w:rsidRPr="0074648E" w:rsidRDefault="005D6511" w:rsidP="00934DB9">
      <w:pPr>
        <w:rPr>
          <w:rFonts w:ascii="Arial" w:hAnsi="Arial" w:cs="Arial"/>
          <w:szCs w:val="24"/>
        </w:rPr>
      </w:pPr>
      <w:r w:rsidRPr="0074648E">
        <w:rPr>
          <w:rFonts w:ascii="Arial" w:hAnsi="Arial" w:cs="Arial"/>
          <w:szCs w:val="24"/>
        </w:rPr>
        <w:t>There is no need to take additional leverage to approve Project C under the £60m limit, in line with our deleveraging requirement. It can be funded out of re-allocated capex, proceeds of non-core assets (which had been previously addressed in the restructuring plan), and working-capital release. Moreover, customer prepayments (securiti</w:t>
      </w:r>
      <w:r w:rsidR="00623FD9" w:rsidRPr="0074648E">
        <w:rPr>
          <w:rFonts w:ascii="Arial" w:hAnsi="Arial" w:cs="Arial"/>
          <w:szCs w:val="24"/>
        </w:rPr>
        <w:t>s</w:t>
      </w:r>
      <w:r w:rsidRPr="0074648E">
        <w:rPr>
          <w:rFonts w:ascii="Arial" w:hAnsi="Arial" w:cs="Arial"/>
          <w:szCs w:val="24"/>
        </w:rPr>
        <w:t>ation of receivables, project-specific cash pull-forward) may smooth short-term cash requirements</w:t>
      </w:r>
      <w:r w:rsidR="002411D1" w:rsidRPr="0074648E">
        <w:rPr>
          <w:rFonts w:ascii="Arial" w:hAnsi="Arial" w:cs="Arial"/>
          <w:szCs w:val="24"/>
        </w:rPr>
        <w:t xml:space="preserve"> </w:t>
      </w:r>
      <w:r w:rsidR="002411D1" w:rsidRPr="0074648E">
        <w:rPr>
          <w:rFonts w:ascii="Arial" w:hAnsi="Arial" w:cs="Arial"/>
          <w:shd w:val="clear" w:color="auto" w:fill="FFFFFF"/>
        </w:rPr>
        <w:t>(Purnamasari and Adriza, 2024)</w:t>
      </w:r>
      <w:r w:rsidRPr="0074648E">
        <w:rPr>
          <w:rFonts w:ascii="Arial" w:hAnsi="Arial" w:cs="Arial"/>
          <w:szCs w:val="24"/>
        </w:rPr>
        <w:t>. This will help calm down lenders and rating stakeholders as the company strives to bring the Z-</w:t>
      </w:r>
      <w:r w:rsidR="00623FD9" w:rsidRPr="0074648E">
        <w:rPr>
          <w:rFonts w:ascii="Arial" w:hAnsi="Arial" w:cs="Arial"/>
          <w:szCs w:val="24"/>
        </w:rPr>
        <w:t>s</w:t>
      </w:r>
      <w:r w:rsidRPr="0074648E">
        <w:rPr>
          <w:rFonts w:ascii="Arial" w:hAnsi="Arial" w:cs="Arial"/>
          <w:szCs w:val="24"/>
        </w:rPr>
        <w:t>core back above 3.0 and regain favo</w:t>
      </w:r>
      <w:r w:rsidR="00623FD9" w:rsidRPr="0074648E">
        <w:rPr>
          <w:rFonts w:ascii="Arial" w:hAnsi="Arial" w:cs="Arial"/>
          <w:szCs w:val="24"/>
        </w:rPr>
        <w:t>u</w:t>
      </w:r>
      <w:r w:rsidRPr="0074648E">
        <w:rPr>
          <w:rFonts w:ascii="Arial" w:hAnsi="Arial" w:cs="Arial"/>
          <w:szCs w:val="24"/>
        </w:rPr>
        <w:t>rable interest coverage. Authori</w:t>
      </w:r>
      <w:r w:rsidR="00623FD9" w:rsidRPr="0074648E">
        <w:rPr>
          <w:rFonts w:ascii="Arial" w:hAnsi="Arial" w:cs="Arial"/>
          <w:szCs w:val="24"/>
        </w:rPr>
        <w:t>s</w:t>
      </w:r>
      <w:r w:rsidRPr="0074648E">
        <w:rPr>
          <w:rFonts w:ascii="Arial" w:hAnsi="Arial" w:cs="Arial"/>
          <w:szCs w:val="24"/>
        </w:rPr>
        <w:t>ing Project A in lieu would cost less money (40m) but yield fewer benefits, and would still necessitate the same liquidity measures; authori</w:t>
      </w:r>
      <w:r w:rsidR="00623FD9" w:rsidRPr="0074648E">
        <w:rPr>
          <w:rFonts w:ascii="Arial" w:hAnsi="Arial" w:cs="Arial"/>
          <w:szCs w:val="24"/>
        </w:rPr>
        <w:t>s</w:t>
      </w:r>
      <w:r w:rsidRPr="0074648E">
        <w:rPr>
          <w:rFonts w:ascii="Arial" w:hAnsi="Arial" w:cs="Arial"/>
          <w:szCs w:val="24"/>
        </w:rPr>
        <w:t>ing Project B would destroy value and reputation.</w:t>
      </w:r>
    </w:p>
    <w:p w14:paraId="7824F10A" w14:textId="78892BC2" w:rsidR="005D6511" w:rsidRPr="0074648E" w:rsidRDefault="005D6511" w:rsidP="00934DB9">
      <w:pPr>
        <w:rPr>
          <w:rFonts w:ascii="Arial" w:hAnsi="Arial" w:cs="Arial"/>
          <w:b/>
          <w:bCs/>
          <w:i/>
          <w:iCs/>
          <w:szCs w:val="24"/>
        </w:rPr>
      </w:pPr>
      <w:r w:rsidRPr="0074648E">
        <w:rPr>
          <w:rFonts w:ascii="Arial" w:hAnsi="Arial" w:cs="Arial"/>
          <w:b/>
          <w:bCs/>
          <w:i/>
          <w:iCs/>
          <w:szCs w:val="24"/>
        </w:rPr>
        <w:t>Strategic Fit and Optionality</w:t>
      </w:r>
    </w:p>
    <w:p w14:paraId="3C400DA9" w14:textId="3FF8640F" w:rsidR="005D6511" w:rsidRPr="0074648E" w:rsidRDefault="005D6511" w:rsidP="00934DB9">
      <w:pPr>
        <w:rPr>
          <w:rFonts w:ascii="Arial" w:hAnsi="Arial" w:cs="Arial"/>
          <w:szCs w:val="24"/>
        </w:rPr>
      </w:pPr>
      <w:r w:rsidRPr="0074648E">
        <w:rPr>
          <w:rFonts w:ascii="Arial" w:hAnsi="Arial" w:cs="Arial"/>
          <w:szCs w:val="24"/>
        </w:rPr>
        <w:lastRenderedPageBreak/>
        <w:t>The back-end scale of Project C indicates that it might be strategic, such as being associated with a higher-margin platform or growth adjacency (e.g., connected home, energy-efficient components, or services ecosystem). Such a strategic fit is important: a project that grows gross margin and increases switching costs is what General Electronics needs to recover ROCE</w:t>
      </w:r>
      <w:r w:rsidR="002411D1" w:rsidRPr="0074648E">
        <w:rPr>
          <w:rFonts w:ascii="Arial" w:hAnsi="Arial" w:cs="Arial"/>
          <w:szCs w:val="24"/>
        </w:rPr>
        <w:t xml:space="preserve"> </w:t>
      </w:r>
      <w:r w:rsidR="002411D1" w:rsidRPr="0074648E">
        <w:rPr>
          <w:rFonts w:ascii="Arial" w:hAnsi="Arial" w:cs="Arial"/>
          <w:shd w:val="clear" w:color="auto" w:fill="FFFFFF"/>
        </w:rPr>
        <w:t>(Nunden et al., 2022)</w:t>
      </w:r>
      <w:r w:rsidRPr="0074648E">
        <w:rPr>
          <w:rFonts w:ascii="Arial" w:hAnsi="Arial" w:cs="Arial"/>
          <w:szCs w:val="24"/>
        </w:rPr>
        <w:t xml:space="preserve">. The C option value is also significant: in cases where progress is made earlier than expected, incremental capacity is granted at a later stage; in cases where not, stage gates restrict sunk cost. Project A, on the other hand, is a smaller project with </w:t>
      </w:r>
      <w:r w:rsidR="00623FD9" w:rsidRPr="0074648E">
        <w:rPr>
          <w:rFonts w:ascii="Arial" w:hAnsi="Arial" w:cs="Arial"/>
          <w:szCs w:val="24"/>
        </w:rPr>
        <w:t xml:space="preserve">a </w:t>
      </w:r>
      <w:r w:rsidRPr="0074648E">
        <w:rPr>
          <w:rFonts w:ascii="Arial" w:hAnsi="Arial" w:cs="Arial"/>
          <w:szCs w:val="24"/>
        </w:rPr>
        <w:t>lower density of value quality and is rather a tactical change than a strategic change.</w:t>
      </w:r>
    </w:p>
    <w:p w14:paraId="0058DE25" w14:textId="73A90C5D" w:rsidR="005D6511" w:rsidRPr="0074648E" w:rsidRDefault="005D6511" w:rsidP="00934DB9">
      <w:pPr>
        <w:rPr>
          <w:rFonts w:ascii="Arial" w:hAnsi="Arial" w:cs="Arial"/>
          <w:b/>
          <w:bCs/>
          <w:i/>
          <w:iCs/>
          <w:szCs w:val="24"/>
        </w:rPr>
      </w:pPr>
      <w:r w:rsidRPr="0074648E">
        <w:rPr>
          <w:rFonts w:ascii="Arial" w:hAnsi="Arial" w:cs="Arial"/>
          <w:b/>
          <w:bCs/>
          <w:i/>
          <w:iCs/>
          <w:szCs w:val="24"/>
        </w:rPr>
        <w:t>Governance, KPIs, and Ethical Execution</w:t>
      </w:r>
    </w:p>
    <w:p w14:paraId="6C4EEB6F" w14:textId="18AF375F" w:rsidR="005D6511" w:rsidRPr="0074648E" w:rsidRDefault="00623FD9" w:rsidP="00934DB9">
      <w:pPr>
        <w:rPr>
          <w:rFonts w:ascii="Arial" w:hAnsi="Arial" w:cs="Arial"/>
          <w:szCs w:val="24"/>
        </w:rPr>
      </w:pPr>
      <w:r w:rsidRPr="0074648E">
        <w:rPr>
          <w:rFonts w:ascii="Arial" w:hAnsi="Arial" w:cs="Arial"/>
          <w:szCs w:val="24"/>
        </w:rPr>
        <w:t>T</w:t>
      </w:r>
      <w:r w:rsidR="005D6511" w:rsidRPr="0074648E">
        <w:rPr>
          <w:rFonts w:ascii="Arial" w:hAnsi="Arial" w:cs="Arial"/>
          <w:szCs w:val="24"/>
        </w:rPr>
        <w:t>o comply with the company philosophy of ethical and globally scalable business:</w:t>
      </w:r>
    </w:p>
    <w:p w14:paraId="2AAAF1CB" w14:textId="0CB81C10" w:rsidR="005D6511" w:rsidRPr="0074648E" w:rsidRDefault="005D6511" w:rsidP="00623FD9">
      <w:pPr>
        <w:pStyle w:val="ListParagraph"/>
        <w:numPr>
          <w:ilvl w:val="0"/>
          <w:numId w:val="18"/>
        </w:numPr>
        <w:rPr>
          <w:rFonts w:ascii="Arial" w:hAnsi="Arial" w:cs="Arial"/>
          <w:szCs w:val="24"/>
        </w:rPr>
      </w:pPr>
      <w:r w:rsidRPr="0074648E">
        <w:rPr>
          <w:rFonts w:ascii="Arial" w:hAnsi="Arial" w:cs="Arial"/>
          <w:szCs w:val="24"/>
        </w:rPr>
        <w:t>Governance: Have a Project Investment Committee that reports to the board and has authority on stage gates, hedging policy, supplier terms, and cash KPIs.</w:t>
      </w:r>
    </w:p>
    <w:p w14:paraId="7B0AD355" w14:textId="7A41DC87" w:rsidR="005D6511" w:rsidRPr="0074648E" w:rsidRDefault="005D6511" w:rsidP="00623FD9">
      <w:pPr>
        <w:pStyle w:val="ListParagraph"/>
        <w:numPr>
          <w:ilvl w:val="0"/>
          <w:numId w:val="18"/>
        </w:numPr>
        <w:rPr>
          <w:rFonts w:ascii="Arial" w:hAnsi="Arial" w:cs="Arial"/>
          <w:szCs w:val="24"/>
        </w:rPr>
      </w:pPr>
      <w:r w:rsidRPr="0074648E">
        <w:rPr>
          <w:rFonts w:ascii="Arial" w:hAnsi="Arial" w:cs="Arial"/>
          <w:szCs w:val="24"/>
        </w:rPr>
        <w:t>KPIs: Monthly NPV-at-risk, milestone, unit, and CCC performance (inventory related to the project; DSO on project invoices; DPO on key suppliers).</w:t>
      </w:r>
    </w:p>
    <w:p w14:paraId="695A54DE" w14:textId="6941CAB0" w:rsidR="005D6511" w:rsidRPr="0074648E" w:rsidRDefault="005D6511" w:rsidP="00623FD9">
      <w:pPr>
        <w:pStyle w:val="ListParagraph"/>
        <w:numPr>
          <w:ilvl w:val="0"/>
          <w:numId w:val="18"/>
        </w:numPr>
        <w:rPr>
          <w:rFonts w:ascii="Arial" w:hAnsi="Arial" w:cs="Arial"/>
          <w:szCs w:val="24"/>
        </w:rPr>
      </w:pPr>
      <w:r w:rsidRPr="0074648E">
        <w:rPr>
          <w:rFonts w:ascii="Arial" w:hAnsi="Arial" w:cs="Arial"/>
          <w:szCs w:val="24"/>
        </w:rPr>
        <w:t>Supplier and workforce standards: In case the project changes the supply base or footprint, make sure it is sourced responsibly, with fair payment terms (particularly when it comes to SMEs), and that it meets e-waste and environmental requirements</w:t>
      </w:r>
      <w:r w:rsidR="002411D1" w:rsidRPr="0074648E">
        <w:rPr>
          <w:rFonts w:ascii="Arial" w:hAnsi="Arial" w:cs="Arial"/>
          <w:szCs w:val="24"/>
        </w:rPr>
        <w:t xml:space="preserve"> </w:t>
      </w:r>
      <w:r w:rsidR="002411D1" w:rsidRPr="0074648E">
        <w:rPr>
          <w:rFonts w:ascii="Arial" w:hAnsi="Arial" w:cs="Arial"/>
          <w:shd w:val="clear" w:color="auto" w:fill="FFFFFF"/>
        </w:rPr>
        <w:t>(Nunden et al., 2022)</w:t>
      </w:r>
      <w:r w:rsidRPr="0074648E">
        <w:rPr>
          <w:rFonts w:ascii="Arial" w:hAnsi="Arial" w:cs="Arial"/>
          <w:szCs w:val="24"/>
        </w:rPr>
        <w:t>.</w:t>
      </w:r>
    </w:p>
    <w:p w14:paraId="4976C58E" w14:textId="22F03189" w:rsidR="005D6511" w:rsidRPr="0074648E" w:rsidRDefault="005D6511" w:rsidP="00623FD9">
      <w:pPr>
        <w:pStyle w:val="ListParagraph"/>
        <w:numPr>
          <w:ilvl w:val="0"/>
          <w:numId w:val="18"/>
        </w:numPr>
        <w:rPr>
          <w:rFonts w:ascii="Arial" w:hAnsi="Arial" w:cs="Arial"/>
          <w:szCs w:val="24"/>
        </w:rPr>
      </w:pPr>
      <w:r w:rsidRPr="0074648E">
        <w:rPr>
          <w:rFonts w:ascii="Arial" w:hAnsi="Arial" w:cs="Arial"/>
          <w:szCs w:val="24"/>
        </w:rPr>
        <w:t>Openness to investors/lenders: Report milestone achievements and cash-related metrics; base management compensation on value creation and cash conversion, rather than revenue.</w:t>
      </w:r>
    </w:p>
    <w:p w14:paraId="6C85AA8E" w14:textId="7A2CF77C" w:rsidR="005D6511" w:rsidRPr="0074648E" w:rsidRDefault="005D6511" w:rsidP="00934DB9">
      <w:pPr>
        <w:rPr>
          <w:rFonts w:ascii="Arial" w:hAnsi="Arial" w:cs="Arial"/>
          <w:b/>
          <w:bCs/>
          <w:i/>
          <w:iCs/>
          <w:szCs w:val="24"/>
        </w:rPr>
      </w:pPr>
      <w:r w:rsidRPr="0074648E">
        <w:rPr>
          <w:rFonts w:ascii="Arial" w:hAnsi="Arial" w:cs="Arial"/>
          <w:b/>
          <w:bCs/>
          <w:i/>
          <w:iCs/>
          <w:szCs w:val="24"/>
        </w:rPr>
        <w:t>The Contingency Plan and Sensitivity</w:t>
      </w:r>
    </w:p>
    <w:p w14:paraId="5EECFED9" w14:textId="390D444F" w:rsidR="005D6511" w:rsidRPr="0074648E" w:rsidRDefault="005D6511" w:rsidP="00934DB9">
      <w:pPr>
        <w:rPr>
          <w:rFonts w:ascii="Arial" w:hAnsi="Arial" w:cs="Arial"/>
          <w:szCs w:val="24"/>
        </w:rPr>
      </w:pPr>
      <w:r w:rsidRPr="0074648E">
        <w:rPr>
          <w:rFonts w:ascii="Arial" w:hAnsi="Arial" w:cs="Arial"/>
          <w:szCs w:val="24"/>
        </w:rPr>
        <w:t xml:space="preserve">Sensitivity test shows that C is superior unless there is </w:t>
      </w:r>
      <w:r w:rsidR="00623FD9" w:rsidRPr="0074648E">
        <w:rPr>
          <w:rFonts w:ascii="Arial" w:hAnsi="Arial" w:cs="Arial"/>
          <w:szCs w:val="24"/>
        </w:rPr>
        <w:t xml:space="preserve">a </w:t>
      </w:r>
      <w:r w:rsidRPr="0074648E">
        <w:rPr>
          <w:rFonts w:ascii="Arial" w:hAnsi="Arial" w:cs="Arial"/>
          <w:szCs w:val="24"/>
        </w:rPr>
        <w:t xml:space="preserve">material slip of the ramp or a significant increase in </w:t>
      </w:r>
      <w:r w:rsidR="00623FD9" w:rsidRPr="0074648E">
        <w:rPr>
          <w:rFonts w:ascii="Arial" w:hAnsi="Arial" w:cs="Arial"/>
          <w:szCs w:val="24"/>
        </w:rPr>
        <w:t xml:space="preserve">the </w:t>
      </w:r>
      <w:r w:rsidRPr="0074648E">
        <w:rPr>
          <w:rFonts w:ascii="Arial" w:hAnsi="Arial" w:cs="Arial"/>
          <w:szCs w:val="24"/>
        </w:rPr>
        <w:t>discount rate. Two safeguards:</w:t>
      </w:r>
    </w:p>
    <w:p w14:paraId="44F9AF03" w14:textId="46492962" w:rsidR="005D6511" w:rsidRPr="0074648E" w:rsidRDefault="005D6511" w:rsidP="00623FD9">
      <w:pPr>
        <w:pStyle w:val="ListParagraph"/>
        <w:numPr>
          <w:ilvl w:val="0"/>
          <w:numId w:val="19"/>
        </w:numPr>
        <w:rPr>
          <w:rFonts w:ascii="Arial" w:hAnsi="Arial" w:cs="Arial"/>
          <w:szCs w:val="24"/>
        </w:rPr>
      </w:pPr>
      <w:r w:rsidRPr="0074648E">
        <w:rPr>
          <w:rFonts w:ascii="Arial" w:hAnsi="Arial" w:cs="Arial"/>
          <w:szCs w:val="24"/>
        </w:rPr>
        <w:t>Ramp-Delay Situation: When Y3 inflows risk slip past, with no recovery evident, freeze remaining capex, and activate asset-light JV or co-funding with customers to distribute risk</w:t>
      </w:r>
      <w:r w:rsidR="002411D1" w:rsidRPr="0074648E">
        <w:rPr>
          <w:rFonts w:ascii="Arial" w:hAnsi="Arial" w:cs="Arial"/>
          <w:szCs w:val="24"/>
        </w:rPr>
        <w:t xml:space="preserve"> </w:t>
      </w:r>
      <w:r w:rsidR="002411D1" w:rsidRPr="0074648E">
        <w:rPr>
          <w:rFonts w:ascii="Arial" w:hAnsi="Arial" w:cs="Arial"/>
          <w:shd w:val="clear" w:color="auto" w:fill="FFFFFF"/>
        </w:rPr>
        <w:t>(Focacci, 2022)</w:t>
      </w:r>
      <w:r w:rsidRPr="0074648E">
        <w:rPr>
          <w:rFonts w:ascii="Arial" w:hAnsi="Arial" w:cs="Arial"/>
          <w:szCs w:val="24"/>
        </w:rPr>
        <w:t>.</w:t>
      </w:r>
    </w:p>
    <w:p w14:paraId="39BBDA4F" w14:textId="6D652FFF" w:rsidR="005D6511" w:rsidRPr="0074648E" w:rsidRDefault="005D6511" w:rsidP="00623FD9">
      <w:pPr>
        <w:pStyle w:val="ListParagraph"/>
        <w:numPr>
          <w:ilvl w:val="0"/>
          <w:numId w:val="19"/>
        </w:numPr>
        <w:rPr>
          <w:rFonts w:ascii="Arial" w:hAnsi="Arial" w:cs="Arial"/>
          <w:szCs w:val="24"/>
        </w:rPr>
      </w:pPr>
      <w:r w:rsidRPr="0074648E">
        <w:rPr>
          <w:rFonts w:ascii="Arial" w:hAnsi="Arial" w:cs="Arial"/>
          <w:szCs w:val="24"/>
        </w:rPr>
        <w:lastRenderedPageBreak/>
        <w:t>Cost-of-Capital Shock: A</w:t>
      </w:r>
      <w:r w:rsidR="00623FD9" w:rsidRPr="0074648E">
        <w:rPr>
          <w:rFonts w:ascii="Arial" w:hAnsi="Arial" w:cs="Arial"/>
          <w:szCs w:val="24"/>
        </w:rPr>
        <w:t>n</w:t>
      </w:r>
      <w:r w:rsidRPr="0074648E">
        <w:rPr>
          <w:rFonts w:ascii="Arial" w:hAnsi="Arial" w:cs="Arial"/>
          <w:szCs w:val="24"/>
        </w:rPr>
        <w:t xml:space="preserve"> increase in WACC makes C more robust than A in terms of IRR and PI; A and C should be deteriorating, the board must protect liquidity by retaining C (higher value density) and increasing working-capital release.</w:t>
      </w:r>
    </w:p>
    <w:p w14:paraId="76B2E8D4" w14:textId="77777777" w:rsidR="005D6511" w:rsidRPr="0074648E" w:rsidRDefault="005D6511" w:rsidP="00934DB9">
      <w:pPr>
        <w:rPr>
          <w:rFonts w:ascii="Arial" w:hAnsi="Arial" w:cs="Arial"/>
          <w:b/>
          <w:bCs/>
          <w:i/>
          <w:iCs/>
          <w:szCs w:val="24"/>
        </w:rPr>
      </w:pPr>
      <w:r w:rsidRPr="0074648E">
        <w:rPr>
          <w:rFonts w:ascii="Arial" w:hAnsi="Arial" w:cs="Arial"/>
          <w:b/>
          <w:bCs/>
          <w:i/>
          <w:iCs/>
          <w:szCs w:val="24"/>
        </w:rPr>
        <w:t>Final Recommendation</w:t>
      </w:r>
    </w:p>
    <w:p w14:paraId="489B0EF1" w14:textId="3C86B62B" w:rsidR="005D6511" w:rsidRPr="0074648E" w:rsidRDefault="005D6511" w:rsidP="00934DB9">
      <w:pPr>
        <w:rPr>
          <w:rFonts w:ascii="Arial" w:hAnsi="Arial" w:cs="Arial"/>
          <w:szCs w:val="24"/>
        </w:rPr>
      </w:pPr>
      <w:r w:rsidRPr="0074648E">
        <w:rPr>
          <w:rFonts w:ascii="Arial" w:hAnsi="Arial" w:cs="Arial"/>
          <w:szCs w:val="24"/>
        </w:rPr>
        <w:t xml:space="preserve">Project C (approved to be funded at £50m); Project B (rejected due to inability to fund at this time); Project A (deferral) should be approved as a contingency decision. This option is the most value-efficient in terms of cost, keeps the fragile liquidity of the firm balanced between investment and working-capital release, and fosters a strategic change toward more profitable, scalable platforms. Capital discipline demands in a firm born out of losses, where leverage is high and the Z-Score is in the </w:t>
      </w:r>
      <w:r w:rsidR="00623FD9" w:rsidRPr="0074648E">
        <w:rPr>
          <w:rFonts w:ascii="Arial" w:hAnsi="Arial" w:cs="Arial"/>
          <w:szCs w:val="24"/>
        </w:rPr>
        <w:t xml:space="preserve">grey </w:t>
      </w:r>
      <w:r w:rsidRPr="0074648E">
        <w:rPr>
          <w:rFonts w:ascii="Arial" w:hAnsi="Arial" w:cs="Arial"/>
          <w:szCs w:val="24"/>
        </w:rPr>
        <w:t xml:space="preserve">zone that </w:t>
      </w:r>
      <w:r w:rsidR="00C85D76" w:rsidRPr="0074648E">
        <w:rPr>
          <w:rFonts w:ascii="Arial" w:hAnsi="Arial" w:cs="Arial"/>
          <w:szCs w:val="24"/>
        </w:rPr>
        <w:t>can</w:t>
      </w:r>
      <w:r w:rsidRPr="0074648E">
        <w:rPr>
          <w:rFonts w:ascii="Arial" w:hAnsi="Arial" w:cs="Arial"/>
          <w:szCs w:val="24"/>
        </w:rPr>
        <w:t xml:space="preserve"> support the project that best enhances economic profit and investment-grade credibility, which is Project C.</w:t>
      </w:r>
    </w:p>
    <w:p w14:paraId="7F990C30" w14:textId="77777777" w:rsidR="005D6511" w:rsidRPr="0074648E" w:rsidRDefault="005D6511" w:rsidP="00934DB9">
      <w:pPr>
        <w:rPr>
          <w:rFonts w:ascii="Arial" w:hAnsi="Arial" w:cs="Arial"/>
          <w:szCs w:val="24"/>
        </w:rPr>
      </w:pPr>
    </w:p>
    <w:p w14:paraId="11AAD738" w14:textId="77777777" w:rsidR="005D6511" w:rsidRPr="0074648E" w:rsidRDefault="005D6511" w:rsidP="00934DB9">
      <w:pPr>
        <w:jc w:val="left"/>
        <w:rPr>
          <w:rFonts w:ascii="Arial" w:hAnsi="Arial" w:cs="Arial"/>
          <w:szCs w:val="24"/>
        </w:rPr>
      </w:pPr>
      <w:r w:rsidRPr="0074648E">
        <w:rPr>
          <w:rFonts w:ascii="Arial" w:hAnsi="Arial" w:cs="Arial"/>
          <w:szCs w:val="24"/>
        </w:rPr>
        <w:br w:type="page"/>
      </w:r>
    </w:p>
    <w:p w14:paraId="2D758912" w14:textId="6B4D5B0C" w:rsidR="005D6511" w:rsidRPr="0074648E" w:rsidRDefault="005D6511" w:rsidP="00934DB9">
      <w:pPr>
        <w:pStyle w:val="Heading1"/>
        <w:rPr>
          <w:rFonts w:ascii="Arial" w:hAnsi="Arial" w:cs="Arial"/>
          <w:color w:val="auto"/>
        </w:rPr>
      </w:pPr>
      <w:bookmarkStart w:id="44" w:name="_Toc210855242"/>
      <w:r w:rsidRPr="0074648E">
        <w:rPr>
          <w:rFonts w:ascii="Arial" w:hAnsi="Arial" w:cs="Arial"/>
          <w:color w:val="auto"/>
        </w:rPr>
        <w:lastRenderedPageBreak/>
        <w:t>Conclusion</w:t>
      </w:r>
      <w:bookmarkEnd w:id="44"/>
    </w:p>
    <w:p w14:paraId="50026556" w14:textId="10A5BF39" w:rsidR="00911717" w:rsidRPr="0074648E" w:rsidRDefault="005D6511" w:rsidP="00934DB9">
      <w:pPr>
        <w:rPr>
          <w:rFonts w:ascii="Arial" w:hAnsi="Arial" w:cs="Arial"/>
          <w:szCs w:val="24"/>
        </w:rPr>
      </w:pPr>
      <w:r w:rsidRPr="0074648E">
        <w:rPr>
          <w:rFonts w:ascii="Arial" w:hAnsi="Arial" w:cs="Arial"/>
          <w:szCs w:val="24"/>
        </w:rPr>
        <w:t>General Electronics is at a critical</w:t>
      </w:r>
      <w:r w:rsidR="00623FD9" w:rsidRPr="0074648E">
        <w:rPr>
          <w:rFonts w:ascii="Arial" w:hAnsi="Arial" w:cs="Arial"/>
          <w:szCs w:val="24"/>
        </w:rPr>
        <w:t xml:space="preserve"> yet </w:t>
      </w:r>
      <w:r w:rsidRPr="0074648E">
        <w:rPr>
          <w:rFonts w:ascii="Arial" w:hAnsi="Arial" w:cs="Arial"/>
          <w:szCs w:val="24"/>
        </w:rPr>
        <w:t xml:space="preserve">recoverable crossroads. </w:t>
      </w:r>
      <w:r w:rsidR="00911717" w:rsidRPr="0074648E">
        <w:rPr>
          <w:rFonts w:ascii="Arial" w:hAnsi="Arial" w:cs="Arial"/>
          <w:szCs w:val="24"/>
        </w:rPr>
        <w:t>This</w:t>
      </w:r>
      <w:r w:rsidRPr="0074648E">
        <w:rPr>
          <w:rFonts w:ascii="Arial" w:hAnsi="Arial" w:cs="Arial"/>
          <w:szCs w:val="24"/>
        </w:rPr>
        <w:t xml:space="preserve"> five-year analysis concurs on failed profitability, weak liquidity, increased leverage, and a Z-Score in the grey region. The way out is obvious: unlock cash by shortening the cash conversion cycle, deleverage by specific divestitures and liability management, and reestablish earnings discipline. In capital rationing, fund Project C best NPV/PI and the best IRR spread-and reject B and defer A. Fund under stage-gated funding, hedging, and ethical supplier and workforce protection. CCC -50 days, positive interest coverage, D/E/0.8 and Z/3.0 will be used as indicators of success. Through responsible governance and open disclosure, the company will be able to regain solvency and resume scalable, responsible development.</w:t>
      </w:r>
    </w:p>
    <w:p w14:paraId="41A59C16" w14:textId="77777777" w:rsidR="00911717" w:rsidRPr="0074648E" w:rsidRDefault="00911717">
      <w:pPr>
        <w:spacing w:line="259" w:lineRule="auto"/>
        <w:jc w:val="left"/>
        <w:rPr>
          <w:rFonts w:ascii="Arial" w:hAnsi="Arial" w:cs="Arial"/>
          <w:szCs w:val="24"/>
        </w:rPr>
      </w:pPr>
      <w:r w:rsidRPr="0074648E">
        <w:rPr>
          <w:rFonts w:ascii="Arial" w:hAnsi="Arial" w:cs="Arial"/>
          <w:szCs w:val="24"/>
        </w:rPr>
        <w:br w:type="page"/>
      </w:r>
    </w:p>
    <w:p w14:paraId="71FCF73C" w14:textId="14194CEF" w:rsidR="00134114" w:rsidRPr="0074648E" w:rsidRDefault="00911717" w:rsidP="00911717">
      <w:pPr>
        <w:pStyle w:val="Heading1"/>
        <w:rPr>
          <w:rFonts w:ascii="Arial" w:hAnsi="Arial" w:cs="Arial"/>
          <w:color w:val="auto"/>
        </w:rPr>
      </w:pPr>
      <w:bookmarkStart w:id="45" w:name="_Toc210855243"/>
      <w:r w:rsidRPr="0074648E">
        <w:rPr>
          <w:rFonts w:ascii="Arial" w:hAnsi="Arial" w:cs="Arial"/>
          <w:color w:val="auto"/>
        </w:rPr>
        <w:lastRenderedPageBreak/>
        <w:t>Reference</w:t>
      </w:r>
      <w:bookmarkEnd w:id="45"/>
    </w:p>
    <w:p w14:paraId="7819F781"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Awodire, M., Agboola, O., Ogundojutimi, O. and Odumuwagun, O., 2023. Capital Budgeting and Financial Investment Appraisal: A Review of Archival Literature. </w:t>
      </w:r>
      <w:r w:rsidRPr="0074648E">
        <w:rPr>
          <w:rFonts w:ascii="Arial" w:hAnsi="Arial" w:cs="Arial"/>
          <w:i/>
          <w:iCs/>
          <w:shd w:val="clear" w:color="auto" w:fill="FFFFFF"/>
        </w:rPr>
        <w:t>American Journal of Multidisciplinary Research in Africa</w:t>
      </w:r>
      <w:r w:rsidRPr="0074648E">
        <w:rPr>
          <w:rFonts w:ascii="Arial" w:hAnsi="Arial" w:cs="Arial"/>
          <w:shd w:val="clear" w:color="auto" w:fill="FFFFFF"/>
        </w:rPr>
        <w:t>, </w:t>
      </w:r>
      <w:r w:rsidRPr="0074648E">
        <w:rPr>
          <w:rFonts w:ascii="Arial" w:hAnsi="Arial" w:cs="Arial"/>
          <w:i/>
          <w:iCs/>
          <w:shd w:val="clear" w:color="auto" w:fill="FFFFFF"/>
        </w:rPr>
        <w:t>3</w:t>
      </w:r>
      <w:r w:rsidRPr="0074648E">
        <w:rPr>
          <w:rFonts w:ascii="Arial" w:hAnsi="Arial" w:cs="Arial"/>
          <w:shd w:val="clear" w:color="auto" w:fill="FFFFFF"/>
        </w:rPr>
        <w:t xml:space="preserve">(10.58314).  </w:t>
      </w:r>
    </w:p>
    <w:p w14:paraId="1739032E"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Blessing, H. and Sakouvogui, G., 2023. Impact of liquidity and solvency ratios on financial performance: a comprehensive analysis. </w:t>
      </w:r>
      <w:r w:rsidRPr="0074648E">
        <w:rPr>
          <w:rFonts w:ascii="Arial" w:hAnsi="Arial" w:cs="Arial"/>
          <w:i/>
          <w:iCs/>
          <w:shd w:val="clear" w:color="auto" w:fill="FFFFFF"/>
        </w:rPr>
        <w:t>Indonesia Auditing Research Journal</w:t>
      </w:r>
      <w:r w:rsidRPr="0074648E">
        <w:rPr>
          <w:rFonts w:ascii="Arial" w:hAnsi="Arial" w:cs="Arial"/>
          <w:shd w:val="clear" w:color="auto" w:fill="FFFFFF"/>
        </w:rPr>
        <w:t>, </w:t>
      </w:r>
      <w:r w:rsidRPr="0074648E">
        <w:rPr>
          <w:rFonts w:ascii="Arial" w:hAnsi="Arial" w:cs="Arial"/>
          <w:i/>
          <w:iCs/>
          <w:shd w:val="clear" w:color="auto" w:fill="FFFFFF"/>
        </w:rPr>
        <w:t>12</w:t>
      </w:r>
      <w:r w:rsidRPr="0074648E">
        <w:rPr>
          <w:rFonts w:ascii="Arial" w:hAnsi="Arial" w:cs="Arial"/>
          <w:shd w:val="clear" w:color="auto" w:fill="FFFFFF"/>
        </w:rPr>
        <w:t xml:space="preserve">(3), pp.102-115.  </w:t>
      </w:r>
    </w:p>
    <w:p w14:paraId="013BC42C"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Cındık, Z. and Armutlulu, I.H., 2021. A revision of Altman Z-Score model and a comparative analysis of Turkish companies’ financial distress prediction. </w:t>
      </w:r>
      <w:r w:rsidRPr="0074648E">
        <w:rPr>
          <w:rFonts w:ascii="Arial" w:hAnsi="Arial" w:cs="Arial"/>
          <w:i/>
          <w:iCs/>
          <w:shd w:val="clear" w:color="auto" w:fill="FFFFFF"/>
        </w:rPr>
        <w:t>National Accounting Review</w:t>
      </w:r>
      <w:r w:rsidRPr="0074648E">
        <w:rPr>
          <w:rFonts w:ascii="Arial" w:hAnsi="Arial" w:cs="Arial"/>
          <w:shd w:val="clear" w:color="auto" w:fill="FFFFFF"/>
        </w:rPr>
        <w:t>, </w:t>
      </w:r>
      <w:r w:rsidRPr="0074648E">
        <w:rPr>
          <w:rFonts w:ascii="Arial" w:hAnsi="Arial" w:cs="Arial"/>
          <w:i/>
          <w:iCs/>
          <w:shd w:val="clear" w:color="auto" w:fill="FFFFFF"/>
        </w:rPr>
        <w:t>3</w:t>
      </w:r>
      <w:r w:rsidRPr="0074648E">
        <w:rPr>
          <w:rFonts w:ascii="Arial" w:hAnsi="Arial" w:cs="Arial"/>
          <w:shd w:val="clear" w:color="auto" w:fill="FFFFFF"/>
        </w:rPr>
        <w:t xml:space="preserve">(2), pp.237-255.  </w:t>
      </w:r>
    </w:p>
    <w:p w14:paraId="6CE171E5"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Dong, Y. and Liu, P., 2022. The effect of state capital injection on private firms’ performance: Evidence from Chinese industrial firms. </w:t>
      </w:r>
      <w:r w:rsidRPr="0074648E">
        <w:rPr>
          <w:rFonts w:ascii="Arial" w:hAnsi="Arial" w:cs="Arial"/>
          <w:i/>
          <w:iCs/>
          <w:shd w:val="clear" w:color="auto" w:fill="FFFFFF"/>
        </w:rPr>
        <w:t>China Economic Quarterly International</w:t>
      </w:r>
      <w:r w:rsidRPr="0074648E">
        <w:rPr>
          <w:rFonts w:ascii="Arial" w:hAnsi="Arial" w:cs="Arial"/>
          <w:shd w:val="clear" w:color="auto" w:fill="FFFFFF"/>
        </w:rPr>
        <w:t>, </w:t>
      </w:r>
      <w:r w:rsidRPr="0074648E">
        <w:rPr>
          <w:rFonts w:ascii="Arial" w:hAnsi="Arial" w:cs="Arial"/>
          <w:i/>
          <w:iCs/>
          <w:shd w:val="clear" w:color="auto" w:fill="FFFFFF"/>
        </w:rPr>
        <w:t>2</w:t>
      </w:r>
      <w:r w:rsidRPr="0074648E">
        <w:rPr>
          <w:rFonts w:ascii="Arial" w:hAnsi="Arial" w:cs="Arial"/>
          <w:shd w:val="clear" w:color="auto" w:fill="FFFFFF"/>
        </w:rPr>
        <w:t xml:space="preserve">(2), pp.85-97.  </w:t>
      </w:r>
    </w:p>
    <w:p w14:paraId="1FDB5AF3" w14:textId="77777777" w:rsidR="002411D1" w:rsidRPr="0074648E" w:rsidRDefault="002411D1" w:rsidP="002411D1">
      <w:pPr>
        <w:rPr>
          <w:rFonts w:ascii="Arial" w:hAnsi="Arial" w:cs="Arial"/>
        </w:rPr>
      </w:pPr>
      <w:r w:rsidRPr="0074648E">
        <w:rPr>
          <w:rFonts w:ascii="Arial" w:hAnsi="Arial" w:cs="Arial"/>
          <w:shd w:val="clear" w:color="auto" w:fill="FFFFFF"/>
        </w:rPr>
        <w:t>Focacci, A., 2022. The investment rate of return at the end of the period: a future worth approach to capital budgeting. </w:t>
      </w:r>
      <w:r w:rsidRPr="0074648E">
        <w:rPr>
          <w:rFonts w:ascii="Arial" w:hAnsi="Arial" w:cs="Arial"/>
          <w:i/>
          <w:iCs/>
          <w:shd w:val="clear" w:color="auto" w:fill="FFFFFF"/>
        </w:rPr>
        <w:t>International Journal of Revenue Management</w:t>
      </w:r>
      <w:r w:rsidRPr="0074648E">
        <w:rPr>
          <w:rFonts w:ascii="Arial" w:hAnsi="Arial" w:cs="Arial"/>
          <w:shd w:val="clear" w:color="auto" w:fill="FFFFFF"/>
        </w:rPr>
        <w:t>, </w:t>
      </w:r>
      <w:r w:rsidRPr="0074648E">
        <w:rPr>
          <w:rFonts w:ascii="Arial" w:hAnsi="Arial" w:cs="Arial"/>
          <w:i/>
          <w:iCs/>
          <w:shd w:val="clear" w:color="auto" w:fill="FFFFFF"/>
        </w:rPr>
        <w:t>13</w:t>
      </w:r>
      <w:r w:rsidRPr="0074648E">
        <w:rPr>
          <w:rFonts w:ascii="Arial" w:hAnsi="Arial" w:cs="Arial"/>
          <w:shd w:val="clear" w:color="auto" w:fill="FFFFFF"/>
        </w:rPr>
        <w:t xml:space="preserve">(1-2), pp.79-98.  </w:t>
      </w:r>
    </w:p>
    <w:p w14:paraId="3D3CEBED"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Husain, T., Ardhiansyah, M. and Fathudin, D., 2021. Confirmatory factor analysis: Model testing of financial ratio's with decision support systems approach. </w:t>
      </w:r>
      <w:r w:rsidRPr="0074648E">
        <w:rPr>
          <w:rFonts w:ascii="Arial" w:hAnsi="Arial" w:cs="Arial"/>
          <w:i/>
          <w:iCs/>
          <w:shd w:val="clear" w:color="auto" w:fill="FFFFFF"/>
        </w:rPr>
        <w:t>International Journal of Advances in Applied Sciences (IJAAS)</w:t>
      </w:r>
      <w:r w:rsidRPr="0074648E">
        <w:rPr>
          <w:rFonts w:ascii="Arial" w:hAnsi="Arial" w:cs="Arial"/>
          <w:shd w:val="clear" w:color="auto" w:fill="FFFFFF"/>
        </w:rPr>
        <w:t>, </w:t>
      </w:r>
      <w:r w:rsidRPr="0074648E">
        <w:rPr>
          <w:rFonts w:ascii="Arial" w:hAnsi="Arial" w:cs="Arial"/>
          <w:i/>
          <w:iCs/>
          <w:shd w:val="clear" w:color="auto" w:fill="FFFFFF"/>
        </w:rPr>
        <w:t>10</w:t>
      </w:r>
      <w:r w:rsidRPr="0074648E">
        <w:rPr>
          <w:rFonts w:ascii="Arial" w:hAnsi="Arial" w:cs="Arial"/>
          <w:shd w:val="clear" w:color="auto" w:fill="FFFFFF"/>
        </w:rPr>
        <w:t xml:space="preserve">(2), pp.115-121.  </w:t>
      </w:r>
    </w:p>
    <w:p w14:paraId="6533C028"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Imansyah, S. and Mustafa, M.H., 2021. The analysis of financial ratios effect on the stock price of consumer goods sector companies listed in kompas100 index. </w:t>
      </w:r>
      <w:r w:rsidRPr="0074648E">
        <w:rPr>
          <w:rFonts w:ascii="Arial" w:hAnsi="Arial" w:cs="Arial"/>
          <w:i/>
          <w:iCs/>
          <w:shd w:val="clear" w:color="auto" w:fill="FFFFFF"/>
        </w:rPr>
        <w:t>Dinasti International Journal of Digital Business Management</w:t>
      </w:r>
      <w:r w:rsidRPr="0074648E">
        <w:rPr>
          <w:rFonts w:ascii="Arial" w:hAnsi="Arial" w:cs="Arial"/>
          <w:shd w:val="clear" w:color="auto" w:fill="FFFFFF"/>
        </w:rPr>
        <w:t>, </w:t>
      </w:r>
      <w:r w:rsidRPr="0074648E">
        <w:rPr>
          <w:rFonts w:ascii="Arial" w:hAnsi="Arial" w:cs="Arial"/>
          <w:i/>
          <w:iCs/>
          <w:shd w:val="clear" w:color="auto" w:fill="FFFFFF"/>
        </w:rPr>
        <w:t>2</w:t>
      </w:r>
      <w:r w:rsidRPr="0074648E">
        <w:rPr>
          <w:rFonts w:ascii="Arial" w:hAnsi="Arial" w:cs="Arial"/>
          <w:shd w:val="clear" w:color="auto" w:fill="FFFFFF"/>
        </w:rPr>
        <w:t xml:space="preserve">(2), pp.371-384.  </w:t>
      </w:r>
    </w:p>
    <w:p w14:paraId="0D5FAF4D"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Kiymaz, H., Haque, S. and Choudhury, A.A., 2024. Working capital management and firm performance: A comparative analysis of developed and emerging economies. </w:t>
      </w:r>
      <w:r w:rsidRPr="0074648E">
        <w:rPr>
          <w:rFonts w:ascii="Arial" w:hAnsi="Arial" w:cs="Arial"/>
          <w:i/>
          <w:iCs/>
          <w:shd w:val="clear" w:color="auto" w:fill="FFFFFF"/>
        </w:rPr>
        <w:t>Borsa Istanbul Review</w:t>
      </w:r>
      <w:r w:rsidRPr="0074648E">
        <w:rPr>
          <w:rFonts w:ascii="Arial" w:hAnsi="Arial" w:cs="Arial"/>
          <w:shd w:val="clear" w:color="auto" w:fill="FFFFFF"/>
        </w:rPr>
        <w:t>, </w:t>
      </w:r>
      <w:r w:rsidRPr="0074648E">
        <w:rPr>
          <w:rFonts w:ascii="Arial" w:hAnsi="Arial" w:cs="Arial"/>
          <w:i/>
          <w:iCs/>
          <w:shd w:val="clear" w:color="auto" w:fill="FFFFFF"/>
        </w:rPr>
        <w:t>24</w:t>
      </w:r>
      <w:r w:rsidRPr="0074648E">
        <w:rPr>
          <w:rFonts w:ascii="Arial" w:hAnsi="Arial" w:cs="Arial"/>
          <w:shd w:val="clear" w:color="auto" w:fill="FFFFFF"/>
        </w:rPr>
        <w:t xml:space="preserve">(3), pp.634-642.  </w:t>
      </w:r>
    </w:p>
    <w:p w14:paraId="2AD4DE9D"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Mavlutova, I., Babenko, V., Dykan, V., Prokopenko, N., Kalinichenko, S. and Tokmakova, I., 2021. Business restructuring as a method of strengtening company’s financial position. </w:t>
      </w:r>
      <w:r w:rsidRPr="0074648E">
        <w:rPr>
          <w:rFonts w:ascii="Arial" w:hAnsi="Arial" w:cs="Arial"/>
          <w:i/>
          <w:iCs/>
          <w:shd w:val="clear" w:color="auto" w:fill="FFFFFF"/>
        </w:rPr>
        <w:t>Journal of Optimization in Industrial Engineering</w:t>
      </w:r>
      <w:r w:rsidRPr="0074648E">
        <w:rPr>
          <w:rFonts w:ascii="Arial" w:hAnsi="Arial" w:cs="Arial"/>
          <w:shd w:val="clear" w:color="auto" w:fill="FFFFFF"/>
        </w:rPr>
        <w:t>, </w:t>
      </w:r>
      <w:r w:rsidRPr="0074648E">
        <w:rPr>
          <w:rFonts w:ascii="Arial" w:hAnsi="Arial" w:cs="Arial"/>
          <w:i/>
          <w:iCs/>
          <w:shd w:val="clear" w:color="auto" w:fill="FFFFFF"/>
        </w:rPr>
        <w:t>14</w:t>
      </w:r>
      <w:r w:rsidRPr="0074648E">
        <w:rPr>
          <w:rFonts w:ascii="Arial" w:hAnsi="Arial" w:cs="Arial"/>
          <w:shd w:val="clear" w:color="auto" w:fill="FFFFFF"/>
        </w:rPr>
        <w:t xml:space="preserve">(1), pp.129-139.  </w:t>
      </w:r>
    </w:p>
    <w:p w14:paraId="436CE502"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lastRenderedPageBreak/>
        <w:t>Nguyen, M., 2024. </w:t>
      </w:r>
      <w:r w:rsidRPr="0074648E">
        <w:rPr>
          <w:rFonts w:ascii="Arial" w:hAnsi="Arial" w:cs="Arial"/>
          <w:i/>
          <w:iCs/>
          <w:shd w:val="clear" w:color="auto" w:fill="FFFFFF"/>
        </w:rPr>
        <w:t>Funding Liquidity Risk in Decentralized Lending: An Empirical Investigation from a Financial Intermediation Perspective</w:t>
      </w:r>
      <w:r w:rsidRPr="0074648E">
        <w:rPr>
          <w:rFonts w:ascii="Arial" w:hAnsi="Arial" w:cs="Arial"/>
          <w:shd w:val="clear" w:color="auto" w:fill="FFFFFF"/>
        </w:rPr>
        <w:t xml:space="preserve"> (Doctoral dissertation, RMIT University).  </w:t>
      </w:r>
    </w:p>
    <w:p w14:paraId="439A4B81"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Nunden, N., Abbana, S., Marimuthu, F. and Sentoo, N., 2022. An assessment of management skills on capital budgeting planning and practices: evidence from the small and medium enterprise sector. </w:t>
      </w:r>
      <w:r w:rsidRPr="0074648E">
        <w:rPr>
          <w:rFonts w:ascii="Arial" w:hAnsi="Arial" w:cs="Arial"/>
          <w:i/>
          <w:iCs/>
          <w:shd w:val="clear" w:color="auto" w:fill="FFFFFF"/>
        </w:rPr>
        <w:t>Cogent Business &amp; Management</w:t>
      </w:r>
      <w:r w:rsidRPr="0074648E">
        <w:rPr>
          <w:rFonts w:ascii="Arial" w:hAnsi="Arial" w:cs="Arial"/>
          <w:shd w:val="clear" w:color="auto" w:fill="FFFFFF"/>
        </w:rPr>
        <w:t>, </w:t>
      </w:r>
      <w:r w:rsidRPr="0074648E">
        <w:rPr>
          <w:rFonts w:ascii="Arial" w:hAnsi="Arial" w:cs="Arial"/>
          <w:i/>
          <w:iCs/>
          <w:shd w:val="clear" w:color="auto" w:fill="FFFFFF"/>
        </w:rPr>
        <w:t>9</w:t>
      </w:r>
      <w:r w:rsidRPr="0074648E">
        <w:rPr>
          <w:rFonts w:ascii="Arial" w:hAnsi="Arial" w:cs="Arial"/>
          <w:shd w:val="clear" w:color="auto" w:fill="FFFFFF"/>
        </w:rPr>
        <w:t xml:space="preserve">(1), p.2136481.  </w:t>
      </w:r>
    </w:p>
    <w:p w14:paraId="114F5C2C"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Olayinka, A.A., 2022. Financial statement analysis as a tool for investment decisions and assessment of companies’ performance. </w:t>
      </w:r>
      <w:r w:rsidRPr="0074648E">
        <w:rPr>
          <w:rFonts w:ascii="Arial" w:hAnsi="Arial" w:cs="Arial"/>
          <w:i/>
          <w:iCs/>
          <w:shd w:val="clear" w:color="auto" w:fill="FFFFFF"/>
        </w:rPr>
        <w:t>International Journal of Financial, Accounting, and Management</w:t>
      </w:r>
      <w:r w:rsidRPr="0074648E">
        <w:rPr>
          <w:rFonts w:ascii="Arial" w:hAnsi="Arial" w:cs="Arial"/>
          <w:shd w:val="clear" w:color="auto" w:fill="FFFFFF"/>
        </w:rPr>
        <w:t>, </w:t>
      </w:r>
      <w:r w:rsidRPr="0074648E">
        <w:rPr>
          <w:rFonts w:ascii="Arial" w:hAnsi="Arial" w:cs="Arial"/>
          <w:i/>
          <w:iCs/>
          <w:shd w:val="clear" w:color="auto" w:fill="FFFFFF"/>
        </w:rPr>
        <w:t>4</w:t>
      </w:r>
      <w:r w:rsidRPr="0074648E">
        <w:rPr>
          <w:rFonts w:ascii="Arial" w:hAnsi="Arial" w:cs="Arial"/>
          <w:shd w:val="clear" w:color="auto" w:fill="FFFFFF"/>
        </w:rPr>
        <w:t xml:space="preserve">(1), pp.49-66.  </w:t>
      </w:r>
    </w:p>
    <w:p w14:paraId="2C8FC254"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Purnamasari, P. and Adriza, 2024. Capital budgeting techniques and financial performance: a comparison between SMEs and large listed firms. </w:t>
      </w:r>
      <w:r w:rsidRPr="0074648E">
        <w:rPr>
          <w:rFonts w:ascii="Arial" w:hAnsi="Arial" w:cs="Arial"/>
          <w:i/>
          <w:iCs/>
          <w:shd w:val="clear" w:color="auto" w:fill="FFFFFF"/>
        </w:rPr>
        <w:t>Cogent Economics &amp; Finance</w:t>
      </w:r>
      <w:r w:rsidRPr="0074648E">
        <w:rPr>
          <w:rFonts w:ascii="Arial" w:hAnsi="Arial" w:cs="Arial"/>
          <w:shd w:val="clear" w:color="auto" w:fill="FFFFFF"/>
        </w:rPr>
        <w:t>, </w:t>
      </w:r>
      <w:r w:rsidRPr="0074648E">
        <w:rPr>
          <w:rFonts w:ascii="Arial" w:hAnsi="Arial" w:cs="Arial"/>
          <w:i/>
          <w:iCs/>
          <w:shd w:val="clear" w:color="auto" w:fill="FFFFFF"/>
        </w:rPr>
        <w:t>12</w:t>
      </w:r>
      <w:r w:rsidRPr="0074648E">
        <w:rPr>
          <w:rFonts w:ascii="Arial" w:hAnsi="Arial" w:cs="Arial"/>
          <w:shd w:val="clear" w:color="auto" w:fill="FFFFFF"/>
        </w:rPr>
        <w:t xml:space="preserve">(1), p.2404707.  </w:t>
      </w:r>
    </w:p>
    <w:p w14:paraId="221EC8CA"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Ray, K.G., 2022. </w:t>
      </w:r>
      <w:r w:rsidRPr="0074648E">
        <w:rPr>
          <w:rFonts w:ascii="Arial" w:hAnsi="Arial" w:cs="Arial"/>
          <w:i/>
          <w:iCs/>
          <w:shd w:val="clear" w:color="auto" w:fill="FFFFFF"/>
        </w:rPr>
        <w:t>Mergers and acquisitions: Strategy, valuation and integration</w:t>
      </w:r>
      <w:r w:rsidRPr="0074648E">
        <w:rPr>
          <w:rFonts w:ascii="Arial" w:hAnsi="Arial" w:cs="Arial"/>
          <w:shd w:val="clear" w:color="auto" w:fill="FFFFFF"/>
        </w:rPr>
        <w:t xml:space="preserve">. PHI Learning Pvt. Ltd.  </w:t>
      </w:r>
    </w:p>
    <w:p w14:paraId="1209B0AC"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Roy, P., Rossi, M., Salloum, C., Jarrar, H. and Ghose, B., 2025. Working capital management efficiency in large firms during crisis: implications for community-based enterprises. </w:t>
      </w:r>
      <w:r w:rsidRPr="0074648E">
        <w:rPr>
          <w:rFonts w:ascii="Arial" w:hAnsi="Arial" w:cs="Arial"/>
          <w:i/>
          <w:iCs/>
          <w:shd w:val="clear" w:color="auto" w:fill="FFFFFF"/>
        </w:rPr>
        <w:t>Journal of Enterprising Communities: People and Places in the Global Economy</w:t>
      </w:r>
      <w:r w:rsidRPr="0074648E">
        <w:rPr>
          <w:rFonts w:ascii="Arial" w:hAnsi="Arial" w:cs="Arial"/>
          <w:shd w:val="clear" w:color="auto" w:fill="FFFFFF"/>
        </w:rPr>
        <w:t>, </w:t>
      </w:r>
      <w:r w:rsidRPr="0074648E">
        <w:rPr>
          <w:rFonts w:ascii="Arial" w:hAnsi="Arial" w:cs="Arial"/>
          <w:i/>
          <w:iCs/>
          <w:shd w:val="clear" w:color="auto" w:fill="FFFFFF"/>
        </w:rPr>
        <w:t>19</w:t>
      </w:r>
      <w:r w:rsidRPr="0074648E">
        <w:rPr>
          <w:rFonts w:ascii="Arial" w:hAnsi="Arial" w:cs="Arial"/>
          <w:shd w:val="clear" w:color="auto" w:fill="FFFFFF"/>
        </w:rPr>
        <w:t xml:space="preserve">(3), pp.485-509.  </w:t>
      </w:r>
    </w:p>
    <w:p w14:paraId="18CB6E4F" w14:textId="77777777" w:rsidR="002411D1" w:rsidRPr="0074648E" w:rsidRDefault="002411D1" w:rsidP="002411D1">
      <w:pPr>
        <w:rPr>
          <w:rFonts w:ascii="Arial" w:hAnsi="Arial" w:cs="Arial"/>
          <w:shd w:val="clear" w:color="auto" w:fill="FFFFFF"/>
        </w:rPr>
      </w:pPr>
      <w:r w:rsidRPr="0074648E">
        <w:rPr>
          <w:rFonts w:ascii="Arial" w:hAnsi="Arial" w:cs="Arial"/>
          <w:shd w:val="clear" w:color="auto" w:fill="FFFFFF"/>
        </w:rPr>
        <w:t xml:space="preserve">Zaramella, G., 2023. Financial Restructuring: analysis and applications.  </w:t>
      </w:r>
    </w:p>
    <w:p w14:paraId="5796C3A9" w14:textId="350DB121" w:rsidR="00F9543B" w:rsidRPr="0074648E" w:rsidRDefault="00F9543B">
      <w:pPr>
        <w:spacing w:line="259" w:lineRule="auto"/>
        <w:jc w:val="left"/>
        <w:rPr>
          <w:rFonts w:ascii="Arial" w:hAnsi="Arial" w:cs="Arial"/>
          <w:szCs w:val="24"/>
        </w:rPr>
      </w:pPr>
      <w:r w:rsidRPr="0074648E">
        <w:rPr>
          <w:rFonts w:ascii="Arial" w:hAnsi="Arial" w:cs="Arial"/>
          <w:szCs w:val="24"/>
        </w:rPr>
        <w:br w:type="page"/>
      </w:r>
    </w:p>
    <w:p w14:paraId="695106D8" w14:textId="0D9AD247" w:rsidR="00911717" w:rsidRPr="0074648E" w:rsidRDefault="00F9543B" w:rsidP="00F9543B">
      <w:pPr>
        <w:pStyle w:val="Heading1"/>
        <w:rPr>
          <w:rFonts w:ascii="Arial" w:hAnsi="Arial" w:cs="Arial"/>
          <w:color w:val="auto"/>
        </w:rPr>
      </w:pPr>
      <w:bookmarkStart w:id="46" w:name="_Toc210855244"/>
      <w:r w:rsidRPr="0074648E">
        <w:rPr>
          <w:rFonts w:ascii="Arial" w:hAnsi="Arial" w:cs="Arial"/>
          <w:color w:val="auto"/>
        </w:rPr>
        <w:lastRenderedPageBreak/>
        <w:t>Appendix</w:t>
      </w:r>
      <w:bookmarkEnd w:id="46"/>
    </w:p>
    <w:p w14:paraId="13344452" w14:textId="09B417A0" w:rsidR="00F9543B" w:rsidRPr="0074648E" w:rsidRDefault="00A25397" w:rsidP="00934DB9">
      <w:pPr>
        <w:rPr>
          <w:rFonts w:ascii="Arial" w:hAnsi="Arial" w:cs="Arial"/>
          <w:szCs w:val="24"/>
        </w:rPr>
      </w:pPr>
      <w:r w:rsidRPr="0074648E">
        <w:rPr>
          <w:rFonts w:ascii="Arial" w:hAnsi="Arial" w:cs="Arial"/>
          <w:szCs w:val="24"/>
        </w:rPr>
        <w:t>Detail Calculation</w:t>
      </w:r>
    </w:p>
    <w:p w14:paraId="4D63C67E" w14:textId="48B234EF" w:rsidR="005947B9" w:rsidRPr="0074648E" w:rsidRDefault="005947B9" w:rsidP="00934DB9">
      <w:pPr>
        <w:rPr>
          <w:rFonts w:ascii="Arial" w:hAnsi="Arial" w:cs="Arial"/>
        </w:rPr>
      </w:pPr>
      <w:r w:rsidRPr="0074648E">
        <w:rPr>
          <w:rFonts w:ascii="Arial" w:hAnsi="Arial" w:cs="Arial"/>
        </w:rPr>
        <w:object w:dxaOrig="1503" w:dyaOrig="983" w14:anchorId="6AB2FC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2pt" o:ole="">
            <v:imagedata r:id="rId16" o:title=""/>
          </v:shape>
          <o:OLEObject Type="Embed" ProgID="Excel.Sheet.12" ShapeID="_x0000_i1025" DrawAspect="Icon" ObjectID="_1825328496" r:id="rId17"/>
        </w:object>
      </w:r>
    </w:p>
    <w:p w14:paraId="2630B7FE" w14:textId="2F95F17E" w:rsidR="005947B9" w:rsidRPr="0074648E" w:rsidRDefault="005947B9" w:rsidP="00934DB9">
      <w:pPr>
        <w:rPr>
          <w:rFonts w:ascii="Arial" w:hAnsi="Arial" w:cs="Arial"/>
        </w:rPr>
      </w:pPr>
      <w:r w:rsidRPr="0074648E">
        <w:rPr>
          <w:rFonts w:ascii="Arial" w:hAnsi="Arial" w:cs="Arial"/>
        </w:rPr>
        <w:t>Detailed calculation given in excel file also in word.</w:t>
      </w:r>
    </w:p>
    <w:tbl>
      <w:tblPr>
        <w:tblW w:w="4997" w:type="pct"/>
        <w:tblInd w:w="5" w:type="dxa"/>
        <w:tblLook w:val="04A0" w:firstRow="1" w:lastRow="0" w:firstColumn="1" w:lastColumn="0" w:noHBand="0" w:noVBand="1"/>
      </w:tblPr>
      <w:tblGrid>
        <w:gridCol w:w="2192"/>
        <w:gridCol w:w="709"/>
        <w:gridCol w:w="1128"/>
        <w:gridCol w:w="898"/>
        <w:gridCol w:w="651"/>
        <w:gridCol w:w="1011"/>
        <w:gridCol w:w="827"/>
        <w:gridCol w:w="1053"/>
        <w:gridCol w:w="886"/>
      </w:tblGrid>
      <w:tr w:rsidR="0074648E" w:rsidRPr="0074648E" w14:paraId="7612C0A0" w14:textId="77777777" w:rsidTr="00396157">
        <w:trPr>
          <w:trHeight w:val="310"/>
        </w:trPr>
        <w:tc>
          <w:tcPr>
            <w:tcW w:w="1114" w:type="pct"/>
            <w:tcBorders>
              <w:top w:val="nil"/>
              <w:left w:val="nil"/>
              <w:bottom w:val="nil"/>
              <w:right w:val="nil"/>
            </w:tcBorders>
            <w:noWrap/>
            <w:vAlign w:val="bottom"/>
            <w:hideMark/>
          </w:tcPr>
          <w:p w14:paraId="7D3B4EF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577" w:type="pct"/>
            <w:tcBorders>
              <w:top w:val="nil"/>
              <w:left w:val="nil"/>
              <w:bottom w:val="nil"/>
              <w:right w:val="nil"/>
            </w:tcBorders>
            <w:noWrap/>
            <w:vAlign w:val="bottom"/>
            <w:hideMark/>
          </w:tcPr>
          <w:p w14:paraId="675287F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531" w:type="pct"/>
            <w:tcBorders>
              <w:top w:val="nil"/>
              <w:left w:val="nil"/>
              <w:bottom w:val="nil"/>
              <w:right w:val="nil"/>
            </w:tcBorders>
            <w:noWrap/>
            <w:vAlign w:val="bottom"/>
            <w:hideMark/>
          </w:tcPr>
          <w:p w14:paraId="64370E5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F2DB98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8336A6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3785BCA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0A2EDD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258C350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0EDAAC5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17F87D5C" w14:textId="77777777" w:rsidTr="00396157">
        <w:trPr>
          <w:trHeight w:val="560"/>
        </w:trPr>
        <w:tc>
          <w:tcPr>
            <w:tcW w:w="1114" w:type="pct"/>
            <w:tcBorders>
              <w:top w:val="single" w:sz="4" w:space="0" w:color="auto"/>
              <w:left w:val="single" w:sz="4" w:space="0" w:color="auto"/>
              <w:bottom w:val="single" w:sz="4" w:space="0" w:color="auto"/>
              <w:right w:val="single" w:sz="4" w:space="0" w:color="auto"/>
            </w:tcBorders>
            <w:vAlign w:val="center"/>
            <w:hideMark/>
          </w:tcPr>
          <w:p w14:paraId="4874A25A"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Year</w:t>
            </w:r>
          </w:p>
        </w:tc>
        <w:tc>
          <w:tcPr>
            <w:tcW w:w="577" w:type="pct"/>
            <w:tcBorders>
              <w:top w:val="single" w:sz="4" w:space="0" w:color="auto"/>
              <w:left w:val="nil"/>
              <w:bottom w:val="single" w:sz="4" w:space="0" w:color="auto"/>
              <w:right w:val="single" w:sz="4" w:space="0" w:color="auto"/>
            </w:tcBorders>
            <w:vAlign w:val="center"/>
            <w:hideMark/>
          </w:tcPr>
          <w:p w14:paraId="3D8523A6"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₁</w:t>
            </w:r>
            <w:r w:rsidRPr="0074648E">
              <w:rPr>
                <w:rFonts w:ascii="Arial" w:eastAsia="Times New Roman" w:hAnsi="Arial" w:cs="Arial"/>
                <w:b/>
                <w:bCs/>
                <w:kern w:val="0"/>
                <w:sz w:val="22"/>
                <w14:ligatures w14:val="none"/>
              </w:rPr>
              <w:t xml:space="preserve"> = WC/TA</w:t>
            </w:r>
          </w:p>
        </w:tc>
        <w:tc>
          <w:tcPr>
            <w:tcW w:w="531" w:type="pct"/>
            <w:tcBorders>
              <w:top w:val="single" w:sz="4" w:space="0" w:color="auto"/>
              <w:left w:val="nil"/>
              <w:bottom w:val="single" w:sz="4" w:space="0" w:color="auto"/>
              <w:right w:val="single" w:sz="4" w:space="0" w:color="auto"/>
            </w:tcBorders>
            <w:vAlign w:val="center"/>
            <w:hideMark/>
          </w:tcPr>
          <w:p w14:paraId="37B55FB0"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₂</w:t>
            </w:r>
            <w:r w:rsidRPr="0074648E">
              <w:rPr>
                <w:rFonts w:ascii="Arial" w:eastAsia="Times New Roman" w:hAnsi="Arial" w:cs="Arial"/>
                <w:b/>
                <w:bCs/>
                <w:kern w:val="0"/>
                <w:sz w:val="22"/>
                <w14:ligatures w14:val="none"/>
              </w:rPr>
              <w:t xml:space="preserve"> = RE/TA</w:t>
            </w:r>
          </w:p>
        </w:tc>
        <w:tc>
          <w:tcPr>
            <w:tcW w:w="461" w:type="pct"/>
            <w:tcBorders>
              <w:top w:val="single" w:sz="4" w:space="0" w:color="auto"/>
              <w:left w:val="nil"/>
              <w:bottom w:val="single" w:sz="4" w:space="0" w:color="auto"/>
              <w:right w:val="single" w:sz="4" w:space="0" w:color="auto"/>
            </w:tcBorders>
            <w:vAlign w:val="center"/>
            <w:hideMark/>
          </w:tcPr>
          <w:p w14:paraId="4424A83F"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₃</w:t>
            </w:r>
            <w:r w:rsidRPr="0074648E">
              <w:rPr>
                <w:rFonts w:ascii="Arial" w:eastAsia="Times New Roman" w:hAnsi="Arial" w:cs="Arial"/>
                <w:b/>
                <w:bCs/>
                <w:kern w:val="0"/>
                <w:sz w:val="22"/>
                <w14:ligatures w14:val="none"/>
              </w:rPr>
              <w:t xml:space="preserve"> = EBIT/TA</w:t>
            </w:r>
          </w:p>
        </w:tc>
        <w:tc>
          <w:tcPr>
            <w:tcW w:w="461" w:type="pct"/>
            <w:tcBorders>
              <w:top w:val="single" w:sz="4" w:space="0" w:color="auto"/>
              <w:left w:val="nil"/>
              <w:bottom w:val="single" w:sz="4" w:space="0" w:color="auto"/>
              <w:right w:val="single" w:sz="4" w:space="0" w:color="auto"/>
            </w:tcBorders>
            <w:vAlign w:val="center"/>
            <w:hideMark/>
          </w:tcPr>
          <w:p w14:paraId="4D575366"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₄</w:t>
            </w:r>
            <w:r w:rsidRPr="0074648E">
              <w:rPr>
                <w:rFonts w:ascii="Arial" w:eastAsia="Times New Roman" w:hAnsi="Arial" w:cs="Arial"/>
                <w:b/>
                <w:bCs/>
                <w:kern w:val="0"/>
                <w:sz w:val="22"/>
                <w14:ligatures w14:val="none"/>
              </w:rPr>
              <w:t xml:space="preserve"> = E/TD</w:t>
            </w:r>
          </w:p>
        </w:tc>
        <w:tc>
          <w:tcPr>
            <w:tcW w:w="478" w:type="pct"/>
            <w:tcBorders>
              <w:top w:val="single" w:sz="4" w:space="0" w:color="auto"/>
              <w:left w:val="nil"/>
              <w:bottom w:val="single" w:sz="4" w:space="0" w:color="auto"/>
              <w:right w:val="single" w:sz="4" w:space="0" w:color="auto"/>
            </w:tcBorders>
            <w:vAlign w:val="center"/>
            <w:hideMark/>
          </w:tcPr>
          <w:p w14:paraId="2A275A14"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₅</w:t>
            </w:r>
            <w:r w:rsidRPr="0074648E">
              <w:rPr>
                <w:rFonts w:ascii="Arial" w:eastAsia="Times New Roman" w:hAnsi="Arial" w:cs="Arial"/>
                <w:b/>
                <w:bCs/>
                <w:kern w:val="0"/>
                <w:sz w:val="22"/>
                <w14:ligatures w14:val="none"/>
              </w:rPr>
              <w:t xml:space="preserve"> = Sales/TA</w:t>
            </w:r>
          </w:p>
        </w:tc>
        <w:tc>
          <w:tcPr>
            <w:tcW w:w="461" w:type="pct"/>
            <w:tcBorders>
              <w:top w:val="single" w:sz="4" w:space="0" w:color="auto"/>
              <w:left w:val="nil"/>
              <w:bottom w:val="single" w:sz="4" w:space="0" w:color="auto"/>
              <w:right w:val="single" w:sz="4" w:space="0" w:color="auto"/>
            </w:tcBorders>
            <w:vAlign w:val="center"/>
            <w:hideMark/>
          </w:tcPr>
          <w:p w14:paraId="42B78BE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Z-Score</w:t>
            </w:r>
          </w:p>
        </w:tc>
        <w:tc>
          <w:tcPr>
            <w:tcW w:w="497" w:type="pct"/>
            <w:tcBorders>
              <w:top w:val="single" w:sz="4" w:space="0" w:color="auto"/>
              <w:left w:val="nil"/>
              <w:bottom w:val="single" w:sz="4" w:space="0" w:color="auto"/>
              <w:right w:val="single" w:sz="4" w:space="0" w:color="auto"/>
            </w:tcBorders>
            <w:vAlign w:val="center"/>
            <w:hideMark/>
          </w:tcPr>
          <w:p w14:paraId="167FFB10"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Component</w:t>
            </w:r>
          </w:p>
        </w:tc>
        <w:tc>
          <w:tcPr>
            <w:tcW w:w="421" w:type="pct"/>
            <w:tcBorders>
              <w:top w:val="single" w:sz="4" w:space="0" w:color="auto"/>
              <w:left w:val="nil"/>
              <w:bottom w:val="single" w:sz="4" w:space="0" w:color="auto"/>
              <w:right w:val="single" w:sz="4" w:space="0" w:color="auto"/>
            </w:tcBorders>
            <w:vAlign w:val="center"/>
            <w:hideMark/>
          </w:tcPr>
          <w:p w14:paraId="46CF40DF"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Formula</w:t>
            </w:r>
          </w:p>
        </w:tc>
      </w:tr>
      <w:tr w:rsidR="0074648E" w:rsidRPr="001B3E73" w14:paraId="025A41D8" w14:textId="77777777" w:rsidTr="00396157">
        <w:trPr>
          <w:trHeight w:val="790"/>
        </w:trPr>
        <w:tc>
          <w:tcPr>
            <w:tcW w:w="1114" w:type="pct"/>
            <w:tcBorders>
              <w:top w:val="nil"/>
              <w:left w:val="single" w:sz="4" w:space="0" w:color="auto"/>
              <w:bottom w:val="single" w:sz="4" w:space="0" w:color="auto"/>
              <w:right w:val="single" w:sz="4" w:space="0" w:color="auto"/>
            </w:tcBorders>
            <w:vAlign w:val="center"/>
            <w:hideMark/>
          </w:tcPr>
          <w:p w14:paraId="32EDFDCD"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2020</w:t>
            </w:r>
          </w:p>
        </w:tc>
        <w:tc>
          <w:tcPr>
            <w:tcW w:w="577" w:type="pct"/>
            <w:tcBorders>
              <w:top w:val="nil"/>
              <w:left w:val="nil"/>
              <w:bottom w:val="single" w:sz="4" w:space="0" w:color="auto"/>
              <w:right w:val="single" w:sz="4" w:space="0" w:color="auto"/>
            </w:tcBorders>
            <w:vAlign w:val="center"/>
            <w:hideMark/>
          </w:tcPr>
          <w:p w14:paraId="6F2E70F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0.29</w:t>
            </w:r>
          </w:p>
        </w:tc>
        <w:tc>
          <w:tcPr>
            <w:tcW w:w="531" w:type="pct"/>
            <w:tcBorders>
              <w:top w:val="nil"/>
              <w:left w:val="nil"/>
              <w:bottom w:val="single" w:sz="4" w:space="0" w:color="auto"/>
              <w:right w:val="single" w:sz="4" w:space="0" w:color="auto"/>
            </w:tcBorders>
            <w:vAlign w:val="center"/>
            <w:hideMark/>
          </w:tcPr>
          <w:p w14:paraId="63B0CF9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0.64</w:t>
            </w:r>
          </w:p>
        </w:tc>
        <w:tc>
          <w:tcPr>
            <w:tcW w:w="461" w:type="pct"/>
            <w:tcBorders>
              <w:top w:val="nil"/>
              <w:left w:val="nil"/>
              <w:bottom w:val="single" w:sz="4" w:space="0" w:color="auto"/>
              <w:right w:val="single" w:sz="4" w:space="0" w:color="auto"/>
            </w:tcBorders>
            <w:vAlign w:val="center"/>
            <w:hideMark/>
          </w:tcPr>
          <w:p w14:paraId="111859C7"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0.07</w:t>
            </w:r>
          </w:p>
        </w:tc>
        <w:tc>
          <w:tcPr>
            <w:tcW w:w="461" w:type="pct"/>
            <w:tcBorders>
              <w:top w:val="nil"/>
              <w:left w:val="nil"/>
              <w:bottom w:val="single" w:sz="4" w:space="0" w:color="auto"/>
              <w:right w:val="single" w:sz="4" w:space="0" w:color="auto"/>
            </w:tcBorders>
            <w:vAlign w:val="center"/>
            <w:hideMark/>
          </w:tcPr>
          <w:p w14:paraId="6E38E82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1.59</w:t>
            </w:r>
          </w:p>
        </w:tc>
        <w:tc>
          <w:tcPr>
            <w:tcW w:w="478" w:type="pct"/>
            <w:tcBorders>
              <w:top w:val="nil"/>
              <w:left w:val="nil"/>
              <w:bottom w:val="single" w:sz="4" w:space="0" w:color="auto"/>
              <w:right w:val="single" w:sz="4" w:space="0" w:color="auto"/>
            </w:tcBorders>
            <w:vAlign w:val="center"/>
            <w:hideMark/>
          </w:tcPr>
          <w:p w14:paraId="18301217"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1.2</w:t>
            </w:r>
          </w:p>
        </w:tc>
        <w:tc>
          <w:tcPr>
            <w:tcW w:w="461" w:type="pct"/>
            <w:tcBorders>
              <w:top w:val="nil"/>
              <w:left w:val="nil"/>
              <w:bottom w:val="single" w:sz="4" w:space="0" w:color="auto"/>
              <w:right w:val="single" w:sz="4" w:space="0" w:color="auto"/>
            </w:tcBorders>
            <w:vAlign w:val="center"/>
            <w:hideMark/>
          </w:tcPr>
          <w:p w14:paraId="0732CD0F"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3.64</w:t>
            </w:r>
          </w:p>
        </w:tc>
        <w:tc>
          <w:tcPr>
            <w:tcW w:w="497" w:type="pct"/>
            <w:tcBorders>
              <w:top w:val="nil"/>
              <w:left w:val="nil"/>
              <w:bottom w:val="single" w:sz="4" w:space="0" w:color="auto"/>
              <w:right w:val="single" w:sz="4" w:space="0" w:color="auto"/>
            </w:tcBorders>
            <w:vAlign w:val="center"/>
            <w:hideMark/>
          </w:tcPr>
          <w:p w14:paraId="42F15D9D"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₁</w:t>
            </w:r>
          </w:p>
        </w:tc>
        <w:tc>
          <w:tcPr>
            <w:tcW w:w="421" w:type="pct"/>
            <w:tcBorders>
              <w:top w:val="nil"/>
              <w:left w:val="nil"/>
              <w:bottom w:val="single" w:sz="4" w:space="0" w:color="auto"/>
              <w:right w:val="single" w:sz="4" w:space="0" w:color="auto"/>
            </w:tcBorders>
            <w:vAlign w:val="center"/>
            <w:hideMark/>
          </w:tcPr>
          <w:p w14:paraId="40A12D79" w14:textId="77777777" w:rsidR="00881F5C" w:rsidRPr="001B3E73" w:rsidRDefault="00881F5C" w:rsidP="00881F5C">
            <w:pPr>
              <w:spacing w:after="0" w:line="240" w:lineRule="auto"/>
              <w:jc w:val="left"/>
              <w:rPr>
                <w:rFonts w:ascii="Arial" w:eastAsia="Times New Roman" w:hAnsi="Arial" w:cs="Arial"/>
                <w:kern w:val="0"/>
                <w:sz w:val="22"/>
                <w:lang w:val="fr-FR"/>
                <w14:ligatures w14:val="none"/>
              </w:rPr>
            </w:pPr>
            <w:r w:rsidRPr="001B3E73">
              <w:rPr>
                <w:rFonts w:ascii="Arial" w:eastAsia="Times New Roman" w:hAnsi="Arial" w:cs="Arial"/>
                <w:kern w:val="0"/>
                <w:sz w:val="22"/>
                <w:lang w:val="fr-FR"/>
                <w14:ligatures w14:val="none"/>
              </w:rPr>
              <w:t>(Current Assets – Current Liabilities) / Total Assets</w:t>
            </w:r>
          </w:p>
        </w:tc>
      </w:tr>
      <w:tr w:rsidR="0074648E" w:rsidRPr="0074648E" w14:paraId="6D70689E" w14:textId="77777777" w:rsidTr="00396157">
        <w:trPr>
          <w:trHeight w:val="580"/>
        </w:trPr>
        <w:tc>
          <w:tcPr>
            <w:tcW w:w="1114" w:type="pct"/>
            <w:tcBorders>
              <w:top w:val="nil"/>
              <w:left w:val="single" w:sz="4" w:space="0" w:color="auto"/>
              <w:bottom w:val="single" w:sz="4" w:space="0" w:color="auto"/>
              <w:right w:val="single" w:sz="4" w:space="0" w:color="auto"/>
            </w:tcBorders>
            <w:vAlign w:val="center"/>
            <w:hideMark/>
          </w:tcPr>
          <w:p w14:paraId="5B9CA880"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2021</w:t>
            </w:r>
          </w:p>
        </w:tc>
        <w:tc>
          <w:tcPr>
            <w:tcW w:w="577" w:type="pct"/>
            <w:tcBorders>
              <w:top w:val="nil"/>
              <w:left w:val="nil"/>
              <w:bottom w:val="single" w:sz="4" w:space="0" w:color="auto"/>
              <w:right w:val="single" w:sz="4" w:space="0" w:color="auto"/>
            </w:tcBorders>
            <w:vAlign w:val="center"/>
            <w:hideMark/>
          </w:tcPr>
          <w:p w14:paraId="23F916B6"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0.24</w:t>
            </w:r>
          </w:p>
        </w:tc>
        <w:tc>
          <w:tcPr>
            <w:tcW w:w="531" w:type="pct"/>
            <w:tcBorders>
              <w:top w:val="nil"/>
              <w:left w:val="nil"/>
              <w:bottom w:val="single" w:sz="4" w:space="0" w:color="auto"/>
              <w:right w:val="single" w:sz="4" w:space="0" w:color="auto"/>
            </w:tcBorders>
            <w:vAlign w:val="center"/>
            <w:hideMark/>
          </w:tcPr>
          <w:p w14:paraId="25E9174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0.65</w:t>
            </w:r>
          </w:p>
        </w:tc>
        <w:tc>
          <w:tcPr>
            <w:tcW w:w="461" w:type="pct"/>
            <w:tcBorders>
              <w:top w:val="nil"/>
              <w:left w:val="nil"/>
              <w:bottom w:val="single" w:sz="4" w:space="0" w:color="auto"/>
              <w:right w:val="single" w:sz="4" w:space="0" w:color="auto"/>
            </w:tcBorders>
            <w:vAlign w:val="center"/>
            <w:hideMark/>
          </w:tcPr>
          <w:p w14:paraId="7A2F3D2F"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0.05</w:t>
            </w:r>
          </w:p>
        </w:tc>
        <w:tc>
          <w:tcPr>
            <w:tcW w:w="461" w:type="pct"/>
            <w:tcBorders>
              <w:top w:val="nil"/>
              <w:left w:val="nil"/>
              <w:bottom w:val="single" w:sz="4" w:space="0" w:color="auto"/>
              <w:right w:val="single" w:sz="4" w:space="0" w:color="auto"/>
            </w:tcBorders>
            <w:vAlign w:val="center"/>
            <w:hideMark/>
          </w:tcPr>
          <w:p w14:paraId="014B22F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1.18</w:t>
            </w:r>
          </w:p>
        </w:tc>
        <w:tc>
          <w:tcPr>
            <w:tcW w:w="478" w:type="pct"/>
            <w:tcBorders>
              <w:top w:val="nil"/>
              <w:left w:val="nil"/>
              <w:bottom w:val="single" w:sz="4" w:space="0" w:color="auto"/>
              <w:right w:val="single" w:sz="4" w:space="0" w:color="auto"/>
            </w:tcBorders>
            <w:vAlign w:val="center"/>
            <w:hideMark/>
          </w:tcPr>
          <w:p w14:paraId="3A895757"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1.18</w:t>
            </w:r>
          </w:p>
        </w:tc>
        <w:tc>
          <w:tcPr>
            <w:tcW w:w="461" w:type="pct"/>
            <w:tcBorders>
              <w:top w:val="nil"/>
              <w:left w:val="nil"/>
              <w:bottom w:val="single" w:sz="4" w:space="0" w:color="auto"/>
              <w:right w:val="single" w:sz="4" w:space="0" w:color="auto"/>
            </w:tcBorders>
            <w:vAlign w:val="center"/>
            <w:hideMark/>
          </w:tcPr>
          <w:p w14:paraId="41E876E1"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3.22</w:t>
            </w:r>
          </w:p>
        </w:tc>
        <w:tc>
          <w:tcPr>
            <w:tcW w:w="497" w:type="pct"/>
            <w:tcBorders>
              <w:top w:val="nil"/>
              <w:left w:val="nil"/>
              <w:bottom w:val="single" w:sz="4" w:space="0" w:color="auto"/>
              <w:right w:val="single" w:sz="4" w:space="0" w:color="auto"/>
            </w:tcBorders>
            <w:vAlign w:val="center"/>
            <w:hideMark/>
          </w:tcPr>
          <w:p w14:paraId="0E25659D"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₂</w:t>
            </w:r>
          </w:p>
        </w:tc>
        <w:tc>
          <w:tcPr>
            <w:tcW w:w="421" w:type="pct"/>
            <w:tcBorders>
              <w:top w:val="nil"/>
              <w:left w:val="nil"/>
              <w:bottom w:val="single" w:sz="4" w:space="0" w:color="auto"/>
              <w:right w:val="single" w:sz="4" w:space="0" w:color="auto"/>
            </w:tcBorders>
            <w:vAlign w:val="center"/>
            <w:hideMark/>
          </w:tcPr>
          <w:p w14:paraId="4BB803A3"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Retained Earnings / Total Assets</w:t>
            </w:r>
          </w:p>
        </w:tc>
      </w:tr>
      <w:tr w:rsidR="0074648E" w:rsidRPr="0074648E" w14:paraId="4F82E806" w14:textId="77777777" w:rsidTr="00396157">
        <w:trPr>
          <w:trHeight w:val="430"/>
        </w:trPr>
        <w:tc>
          <w:tcPr>
            <w:tcW w:w="1114" w:type="pct"/>
            <w:tcBorders>
              <w:top w:val="nil"/>
              <w:left w:val="single" w:sz="4" w:space="0" w:color="auto"/>
              <w:bottom w:val="single" w:sz="4" w:space="0" w:color="auto"/>
              <w:right w:val="single" w:sz="4" w:space="0" w:color="auto"/>
            </w:tcBorders>
            <w:vAlign w:val="center"/>
            <w:hideMark/>
          </w:tcPr>
          <w:p w14:paraId="0C6A5E8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2022</w:t>
            </w:r>
          </w:p>
        </w:tc>
        <w:tc>
          <w:tcPr>
            <w:tcW w:w="577" w:type="pct"/>
            <w:tcBorders>
              <w:top w:val="nil"/>
              <w:left w:val="nil"/>
              <w:bottom w:val="single" w:sz="4" w:space="0" w:color="auto"/>
              <w:right w:val="single" w:sz="4" w:space="0" w:color="auto"/>
            </w:tcBorders>
            <w:vAlign w:val="center"/>
            <w:hideMark/>
          </w:tcPr>
          <w:p w14:paraId="67B90E86"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0.24</w:t>
            </w:r>
          </w:p>
        </w:tc>
        <w:tc>
          <w:tcPr>
            <w:tcW w:w="531" w:type="pct"/>
            <w:tcBorders>
              <w:top w:val="nil"/>
              <w:left w:val="nil"/>
              <w:bottom w:val="single" w:sz="4" w:space="0" w:color="auto"/>
              <w:right w:val="single" w:sz="4" w:space="0" w:color="auto"/>
            </w:tcBorders>
            <w:vAlign w:val="center"/>
            <w:hideMark/>
          </w:tcPr>
          <w:p w14:paraId="416F0E56"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0.66</w:t>
            </w:r>
          </w:p>
        </w:tc>
        <w:tc>
          <w:tcPr>
            <w:tcW w:w="461" w:type="pct"/>
            <w:tcBorders>
              <w:top w:val="nil"/>
              <w:left w:val="nil"/>
              <w:bottom w:val="single" w:sz="4" w:space="0" w:color="auto"/>
              <w:right w:val="single" w:sz="4" w:space="0" w:color="auto"/>
            </w:tcBorders>
            <w:vAlign w:val="center"/>
            <w:hideMark/>
          </w:tcPr>
          <w:p w14:paraId="5C85C30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0.03</w:t>
            </w:r>
          </w:p>
        </w:tc>
        <w:tc>
          <w:tcPr>
            <w:tcW w:w="461" w:type="pct"/>
            <w:tcBorders>
              <w:top w:val="nil"/>
              <w:left w:val="nil"/>
              <w:bottom w:val="single" w:sz="4" w:space="0" w:color="auto"/>
              <w:right w:val="single" w:sz="4" w:space="0" w:color="auto"/>
            </w:tcBorders>
            <w:vAlign w:val="center"/>
            <w:hideMark/>
          </w:tcPr>
          <w:p w14:paraId="129879F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1.14</w:t>
            </w:r>
          </w:p>
        </w:tc>
        <w:tc>
          <w:tcPr>
            <w:tcW w:w="478" w:type="pct"/>
            <w:tcBorders>
              <w:top w:val="nil"/>
              <w:left w:val="nil"/>
              <w:bottom w:val="single" w:sz="4" w:space="0" w:color="auto"/>
              <w:right w:val="single" w:sz="4" w:space="0" w:color="auto"/>
            </w:tcBorders>
            <w:vAlign w:val="center"/>
            <w:hideMark/>
          </w:tcPr>
          <w:p w14:paraId="7E8C44C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1.08</w:t>
            </w:r>
          </w:p>
        </w:tc>
        <w:tc>
          <w:tcPr>
            <w:tcW w:w="461" w:type="pct"/>
            <w:tcBorders>
              <w:top w:val="nil"/>
              <w:left w:val="nil"/>
              <w:bottom w:val="single" w:sz="4" w:space="0" w:color="auto"/>
              <w:right w:val="single" w:sz="4" w:space="0" w:color="auto"/>
            </w:tcBorders>
            <w:vAlign w:val="center"/>
            <w:hideMark/>
          </w:tcPr>
          <w:p w14:paraId="6636B79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3.06</w:t>
            </w:r>
          </w:p>
        </w:tc>
        <w:tc>
          <w:tcPr>
            <w:tcW w:w="497" w:type="pct"/>
            <w:tcBorders>
              <w:top w:val="nil"/>
              <w:left w:val="nil"/>
              <w:bottom w:val="single" w:sz="4" w:space="0" w:color="auto"/>
              <w:right w:val="single" w:sz="4" w:space="0" w:color="auto"/>
            </w:tcBorders>
            <w:vAlign w:val="center"/>
            <w:hideMark/>
          </w:tcPr>
          <w:p w14:paraId="5C2F0D07"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₃</w:t>
            </w:r>
          </w:p>
        </w:tc>
        <w:tc>
          <w:tcPr>
            <w:tcW w:w="421" w:type="pct"/>
            <w:tcBorders>
              <w:top w:val="nil"/>
              <w:left w:val="nil"/>
              <w:bottom w:val="single" w:sz="4" w:space="0" w:color="auto"/>
              <w:right w:val="single" w:sz="4" w:space="0" w:color="auto"/>
            </w:tcBorders>
            <w:vAlign w:val="center"/>
            <w:hideMark/>
          </w:tcPr>
          <w:p w14:paraId="14139D36"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EBIT / Total Assets</w:t>
            </w:r>
          </w:p>
        </w:tc>
      </w:tr>
      <w:tr w:rsidR="0074648E" w:rsidRPr="0074648E" w14:paraId="4AF4C959"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6C0C0BFD"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2023</w:t>
            </w:r>
          </w:p>
        </w:tc>
        <w:tc>
          <w:tcPr>
            <w:tcW w:w="577" w:type="pct"/>
            <w:tcBorders>
              <w:top w:val="nil"/>
              <w:left w:val="nil"/>
              <w:bottom w:val="single" w:sz="4" w:space="0" w:color="auto"/>
              <w:right w:val="single" w:sz="4" w:space="0" w:color="auto"/>
            </w:tcBorders>
            <w:vAlign w:val="center"/>
            <w:hideMark/>
          </w:tcPr>
          <w:p w14:paraId="2534D2A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0.27</w:t>
            </w:r>
          </w:p>
        </w:tc>
        <w:tc>
          <w:tcPr>
            <w:tcW w:w="531" w:type="pct"/>
            <w:tcBorders>
              <w:top w:val="nil"/>
              <w:left w:val="nil"/>
              <w:bottom w:val="single" w:sz="4" w:space="0" w:color="auto"/>
              <w:right w:val="single" w:sz="4" w:space="0" w:color="auto"/>
            </w:tcBorders>
            <w:vAlign w:val="center"/>
            <w:hideMark/>
          </w:tcPr>
          <w:p w14:paraId="7681761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0.65</w:t>
            </w:r>
          </w:p>
        </w:tc>
        <w:tc>
          <w:tcPr>
            <w:tcW w:w="461" w:type="pct"/>
            <w:tcBorders>
              <w:top w:val="nil"/>
              <w:left w:val="nil"/>
              <w:bottom w:val="single" w:sz="4" w:space="0" w:color="auto"/>
              <w:right w:val="single" w:sz="4" w:space="0" w:color="auto"/>
            </w:tcBorders>
            <w:vAlign w:val="center"/>
            <w:hideMark/>
          </w:tcPr>
          <w:p w14:paraId="5F9BC650"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-0.24</w:t>
            </w:r>
          </w:p>
        </w:tc>
        <w:tc>
          <w:tcPr>
            <w:tcW w:w="461" w:type="pct"/>
            <w:tcBorders>
              <w:top w:val="nil"/>
              <w:left w:val="nil"/>
              <w:bottom w:val="single" w:sz="4" w:space="0" w:color="auto"/>
              <w:right w:val="single" w:sz="4" w:space="0" w:color="auto"/>
            </w:tcBorders>
            <w:vAlign w:val="center"/>
            <w:hideMark/>
          </w:tcPr>
          <w:p w14:paraId="7613DE60"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1.01</w:t>
            </w:r>
          </w:p>
        </w:tc>
        <w:tc>
          <w:tcPr>
            <w:tcW w:w="478" w:type="pct"/>
            <w:tcBorders>
              <w:top w:val="nil"/>
              <w:left w:val="nil"/>
              <w:bottom w:val="single" w:sz="4" w:space="0" w:color="auto"/>
              <w:right w:val="single" w:sz="4" w:space="0" w:color="auto"/>
            </w:tcBorders>
            <w:vAlign w:val="center"/>
            <w:hideMark/>
          </w:tcPr>
          <w:p w14:paraId="7346F79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1.18</w:t>
            </w:r>
          </w:p>
        </w:tc>
        <w:tc>
          <w:tcPr>
            <w:tcW w:w="461" w:type="pct"/>
            <w:tcBorders>
              <w:top w:val="nil"/>
              <w:left w:val="nil"/>
              <w:bottom w:val="single" w:sz="4" w:space="0" w:color="auto"/>
              <w:right w:val="single" w:sz="4" w:space="0" w:color="auto"/>
            </w:tcBorders>
            <w:vAlign w:val="center"/>
            <w:hideMark/>
          </w:tcPr>
          <w:p w14:paraId="0496543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2.24</w:t>
            </w:r>
          </w:p>
        </w:tc>
        <w:tc>
          <w:tcPr>
            <w:tcW w:w="497" w:type="pct"/>
            <w:tcBorders>
              <w:top w:val="nil"/>
              <w:left w:val="nil"/>
              <w:bottom w:val="single" w:sz="4" w:space="0" w:color="auto"/>
              <w:right w:val="single" w:sz="4" w:space="0" w:color="auto"/>
            </w:tcBorders>
            <w:vAlign w:val="center"/>
            <w:hideMark/>
          </w:tcPr>
          <w:p w14:paraId="1629D0DF"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₄</w:t>
            </w:r>
          </w:p>
        </w:tc>
        <w:tc>
          <w:tcPr>
            <w:tcW w:w="421" w:type="pct"/>
            <w:tcBorders>
              <w:top w:val="nil"/>
              <w:left w:val="nil"/>
              <w:bottom w:val="single" w:sz="4" w:space="0" w:color="auto"/>
              <w:right w:val="single" w:sz="4" w:space="0" w:color="auto"/>
            </w:tcBorders>
            <w:vAlign w:val="center"/>
            <w:hideMark/>
          </w:tcPr>
          <w:p w14:paraId="5D3EBD66"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Equity / Total Liabilities</w:t>
            </w:r>
          </w:p>
        </w:tc>
      </w:tr>
      <w:tr w:rsidR="0074648E" w:rsidRPr="0074648E" w14:paraId="63484C7C"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2BDD2643"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2024</w:t>
            </w:r>
          </w:p>
        </w:tc>
        <w:tc>
          <w:tcPr>
            <w:tcW w:w="577" w:type="pct"/>
            <w:tcBorders>
              <w:top w:val="nil"/>
              <w:left w:val="nil"/>
              <w:bottom w:val="single" w:sz="4" w:space="0" w:color="auto"/>
              <w:right w:val="single" w:sz="4" w:space="0" w:color="auto"/>
            </w:tcBorders>
            <w:vAlign w:val="center"/>
            <w:hideMark/>
          </w:tcPr>
          <w:p w14:paraId="5E11A46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0.26</w:t>
            </w:r>
          </w:p>
        </w:tc>
        <w:tc>
          <w:tcPr>
            <w:tcW w:w="531" w:type="pct"/>
            <w:tcBorders>
              <w:top w:val="nil"/>
              <w:left w:val="nil"/>
              <w:bottom w:val="single" w:sz="4" w:space="0" w:color="auto"/>
              <w:right w:val="single" w:sz="4" w:space="0" w:color="auto"/>
            </w:tcBorders>
            <w:vAlign w:val="center"/>
            <w:hideMark/>
          </w:tcPr>
          <w:p w14:paraId="65DC782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0.64</w:t>
            </w:r>
          </w:p>
        </w:tc>
        <w:tc>
          <w:tcPr>
            <w:tcW w:w="461" w:type="pct"/>
            <w:tcBorders>
              <w:top w:val="nil"/>
              <w:left w:val="nil"/>
              <w:bottom w:val="single" w:sz="4" w:space="0" w:color="auto"/>
              <w:right w:val="single" w:sz="4" w:space="0" w:color="auto"/>
            </w:tcBorders>
            <w:vAlign w:val="center"/>
            <w:hideMark/>
          </w:tcPr>
          <w:p w14:paraId="55FB4D1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-0.05</w:t>
            </w:r>
          </w:p>
        </w:tc>
        <w:tc>
          <w:tcPr>
            <w:tcW w:w="461" w:type="pct"/>
            <w:tcBorders>
              <w:top w:val="nil"/>
              <w:left w:val="nil"/>
              <w:bottom w:val="single" w:sz="4" w:space="0" w:color="auto"/>
              <w:right w:val="single" w:sz="4" w:space="0" w:color="auto"/>
            </w:tcBorders>
            <w:vAlign w:val="center"/>
            <w:hideMark/>
          </w:tcPr>
          <w:p w14:paraId="24CA0131"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0.9</w:t>
            </w:r>
          </w:p>
        </w:tc>
        <w:tc>
          <w:tcPr>
            <w:tcW w:w="478" w:type="pct"/>
            <w:tcBorders>
              <w:top w:val="nil"/>
              <w:left w:val="nil"/>
              <w:bottom w:val="single" w:sz="4" w:space="0" w:color="auto"/>
              <w:right w:val="single" w:sz="4" w:space="0" w:color="auto"/>
            </w:tcBorders>
            <w:vAlign w:val="center"/>
            <w:hideMark/>
          </w:tcPr>
          <w:p w14:paraId="749C7C5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1.22</w:t>
            </w:r>
          </w:p>
        </w:tc>
        <w:tc>
          <w:tcPr>
            <w:tcW w:w="461" w:type="pct"/>
            <w:tcBorders>
              <w:top w:val="nil"/>
              <w:left w:val="nil"/>
              <w:bottom w:val="single" w:sz="4" w:space="0" w:color="auto"/>
              <w:right w:val="single" w:sz="4" w:space="0" w:color="auto"/>
            </w:tcBorders>
            <w:vAlign w:val="center"/>
            <w:hideMark/>
          </w:tcPr>
          <w:p w14:paraId="325B9ACF"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2.82</w:t>
            </w:r>
          </w:p>
        </w:tc>
        <w:tc>
          <w:tcPr>
            <w:tcW w:w="497" w:type="pct"/>
            <w:tcBorders>
              <w:top w:val="nil"/>
              <w:left w:val="nil"/>
              <w:bottom w:val="single" w:sz="4" w:space="0" w:color="auto"/>
              <w:right w:val="single" w:sz="4" w:space="0" w:color="auto"/>
            </w:tcBorders>
            <w:vAlign w:val="center"/>
            <w:hideMark/>
          </w:tcPr>
          <w:p w14:paraId="7F4EB277"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X</w:t>
            </w:r>
            <w:r w:rsidRPr="0074648E">
              <w:rPr>
                <w:rFonts w:ascii="Cambria Math" w:eastAsia="Times New Roman" w:hAnsi="Cambria Math" w:cs="Cambria Math"/>
                <w:b/>
                <w:bCs/>
                <w:kern w:val="0"/>
                <w:sz w:val="22"/>
                <w14:ligatures w14:val="none"/>
              </w:rPr>
              <w:t>₅</w:t>
            </w:r>
          </w:p>
        </w:tc>
        <w:tc>
          <w:tcPr>
            <w:tcW w:w="421" w:type="pct"/>
            <w:tcBorders>
              <w:top w:val="nil"/>
              <w:left w:val="nil"/>
              <w:bottom w:val="single" w:sz="4" w:space="0" w:color="auto"/>
              <w:right w:val="single" w:sz="4" w:space="0" w:color="auto"/>
            </w:tcBorders>
            <w:vAlign w:val="center"/>
            <w:hideMark/>
          </w:tcPr>
          <w:p w14:paraId="09217313"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Sales / Total Assets</w:t>
            </w:r>
          </w:p>
        </w:tc>
      </w:tr>
      <w:tr w:rsidR="0074648E" w:rsidRPr="0074648E" w14:paraId="7E96940E" w14:textId="77777777" w:rsidTr="00396157">
        <w:trPr>
          <w:trHeight w:val="310"/>
        </w:trPr>
        <w:tc>
          <w:tcPr>
            <w:tcW w:w="1114" w:type="pct"/>
            <w:tcBorders>
              <w:top w:val="nil"/>
              <w:left w:val="nil"/>
              <w:bottom w:val="nil"/>
              <w:right w:val="nil"/>
            </w:tcBorders>
            <w:noWrap/>
            <w:vAlign w:val="bottom"/>
            <w:hideMark/>
          </w:tcPr>
          <w:p w14:paraId="67AB0DCE" w14:textId="77777777" w:rsidR="00881F5C" w:rsidRPr="0074648E" w:rsidRDefault="00881F5C" w:rsidP="00881F5C">
            <w:pPr>
              <w:spacing w:after="0" w:line="240" w:lineRule="auto"/>
              <w:jc w:val="left"/>
              <w:rPr>
                <w:rFonts w:ascii="Arial" w:eastAsia="Times New Roman" w:hAnsi="Arial" w:cs="Arial"/>
                <w:kern w:val="0"/>
                <w:sz w:val="22"/>
                <w14:ligatures w14:val="none"/>
              </w:rPr>
            </w:pPr>
          </w:p>
        </w:tc>
        <w:tc>
          <w:tcPr>
            <w:tcW w:w="577" w:type="pct"/>
            <w:tcBorders>
              <w:top w:val="nil"/>
              <w:left w:val="nil"/>
              <w:bottom w:val="nil"/>
              <w:right w:val="nil"/>
            </w:tcBorders>
            <w:noWrap/>
            <w:vAlign w:val="bottom"/>
            <w:hideMark/>
          </w:tcPr>
          <w:p w14:paraId="283D931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531" w:type="pct"/>
            <w:tcBorders>
              <w:top w:val="nil"/>
              <w:left w:val="nil"/>
              <w:bottom w:val="nil"/>
              <w:right w:val="nil"/>
            </w:tcBorders>
            <w:noWrap/>
            <w:vAlign w:val="bottom"/>
            <w:hideMark/>
          </w:tcPr>
          <w:p w14:paraId="5D40D1D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ABF01F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CBA566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0391EE8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077CE7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5F37770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6DDE274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CC603C6" w14:textId="77777777" w:rsidTr="00396157">
        <w:trPr>
          <w:trHeight w:val="310"/>
        </w:trPr>
        <w:tc>
          <w:tcPr>
            <w:tcW w:w="1114" w:type="pct"/>
            <w:tcBorders>
              <w:top w:val="single" w:sz="4" w:space="0" w:color="auto"/>
              <w:left w:val="single" w:sz="4" w:space="0" w:color="auto"/>
              <w:bottom w:val="single" w:sz="4" w:space="0" w:color="auto"/>
              <w:right w:val="single" w:sz="4" w:space="0" w:color="auto"/>
            </w:tcBorders>
            <w:noWrap/>
            <w:vAlign w:val="bottom"/>
            <w:hideMark/>
          </w:tcPr>
          <w:p w14:paraId="71BACA41"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Project A</w:t>
            </w:r>
          </w:p>
        </w:tc>
        <w:tc>
          <w:tcPr>
            <w:tcW w:w="577" w:type="pct"/>
            <w:tcBorders>
              <w:top w:val="single" w:sz="4" w:space="0" w:color="auto"/>
              <w:left w:val="nil"/>
              <w:bottom w:val="single" w:sz="4" w:space="0" w:color="auto"/>
              <w:right w:val="single" w:sz="4" w:space="0" w:color="auto"/>
            </w:tcBorders>
            <w:noWrap/>
            <w:vAlign w:val="bottom"/>
            <w:hideMark/>
          </w:tcPr>
          <w:p w14:paraId="25EE127B"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31" w:type="pct"/>
            <w:tcBorders>
              <w:top w:val="single" w:sz="4" w:space="0" w:color="auto"/>
              <w:left w:val="nil"/>
              <w:bottom w:val="single" w:sz="4" w:space="0" w:color="auto"/>
              <w:right w:val="single" w:sz="4" w:space="0" w:color="auto"/>
            </w:tcBorders>
            <w:noWrap/>
            <w:vAlign w:val="bottom"/>
            <w:hideMark/>
          </w:tcPr>
          <w:p w14:paraId="3947BDB1"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single" w:sz="4" w:space="0" w:color="auto"/>
              <w:left w:val="nil"/>
              <w:bottom w:val="single" w:sz="4" w:space="0" w:color="auto"/>
              <w:right w:val="single" w:sz="4" w:space="0" w:color="auto"/>
            </w:tcBorders>
            <w:noWrap/>
            <w:vAlign w:val="bottom"/>
            <w:hideMark/>
          </w:tcPr>
          <w:p w14:paraId="1045144F"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nil"/>
              <w:right w:val="nil"/>
            </w:tcBorders>
            <w:noWrap/>
            <w:vAlign w:val="bottom"/>
            <w:hideMark/>
          </w:tcPr>
          <w:p w14:paraId="4528C87B" w14:textId="77777777" w:rsidR="00881F5C" w:rsidRPr="0074648E" w:rsidRDefault="00881F5C" w:rsidP="00881F5C">
            <w:pPr>
              <w:spacing w:after="0" w:line="240" w:lineRule="auto"/>
              <w:jc w:val="left"/>
              <w:rPr>
                <w:rFonts w:ascii="Arial" w:eastAsia="Times New Roman" w:hAnsi="Arial" w:cs="Arial"/>
                <w:kern w:val="0"/>
                <w:szCs w:val="24"/>
                <w14:ligatures w14:val="none"/>
              </w:rPr>
            </w:pPr>
          </w:p>
        </w:tc>
        <w:tc>
          <w:tcPr>
            <w:tcW w:w="478" w:type="pct"/>
            <w:tcBorders>
              <w:top w:val="nil"/>
              <w:left w:val="nil"/>
              <w:bottom w:val="nil"/>
              <w:right w:val="nil"/>
            </w:tcBorders>
            <w:noWrap/>
            <w:vAlign w:val="bottom"/>
            <w:hideMark/>
          </w:tcPr>
          <w:p w14:paraId="489FEFD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3AC1378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217B9B1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1DF8CC6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A4808BC"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038BAEE8"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Year</w:t>
            </w:r>
          </w:p>
        </w:tc>
        <w:tc>
          <w:tcPr>
            <w:tcW w:w="577" w:type="pct"/>
            <w:tcBorders>
              <w:top w:val="nil"/>
              <w:left w:val="nil"/>
              <w:bottom w:val="single" w:sz="4" w:space="0" w:color="auto"/>
              <w:right w:val="single" w:sz="4" w:space="0" w:color="auto"/>
            </w:tcBorders>
            <w:vAlign w:val="center"/>
            <w:hideMark/>
          </w:tcPr>
          <w:p w14:paraId="20C1A405"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Net Cash Flow</w:t>
            </w:r>
          </w:p>
        </w:tc>
        <w:tc>
          <w:tcPr>
            <w:tcW w:w="531" w:type="pct"/>
            <w:tcBorders>
              <w:top w:val="nil"/>
              <w:left w:val="nil"/>
              <w:bottom w:val="single" w:sz="4" w:space="0" w:color="auto"/>
              <w:right w:val="single" w:sz="4" w:space="0" w:color="auto"/>
            </w:tcBorders>
            <w:vAlign w:val="center"/>
            <w:hideMark/>
          </w:tcPr>
          <w:p w14:paraId="3FBE0DF6"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Factor = 1/(1+0.10)^t</w:t>
            </w:r>
          </w:p>
        </w:tc>
        <w:tc>
          <w:tcPr>
            <w:tcW w:w="461" w:type="pct"/>
            <w:tcBorders>
              <w:top w:val="nil"/>
              <w:left w:val="nil"/>
              <w:bottom w:val="single" w:sz="4" w:space="0" w:color="auto"/>
              <w:right w:val="single" w:sz="4" w:space="0" w:color="auto"/>
            </w:tcBorders>
            <w:vAlign w:val="center"/>
            <w:hideMark/>
          </w:tcPr>
          <w:p w14:paraId="792A6E68"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of Inflow</w:t>
            </w:r>
          </w:p>
        </w:tc>
        <w:tc>
          <w:tcPr>
            <w:tcW w:w="461" w:type="pct"/>
            <w:tcBorders>
              <w:top w:val="nil"/>
              <w:left w:val="nil"/>
              <w:bottom w:val="nil"/>
              <w:right w:val="nil"/>
            </w:tcBorders>
            <w:noWrap/>
            <w:vAlign w:val="bottom"/>
            <w:hideMark/>
          </w:tcPr>
          <w:p w14:paraId="6BDA760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36EEDA4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4380F9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75BABFC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185B869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0DD8235"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0883C3A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w:t>
            </w:r>
          </w:p>
        </w:tc>
        <w:tc>
          <w:tcPr>
            <w:tcW w:w="577" w:type="pct"/>
            <w:tcBorders>
              <w:top w:val="nil"/>
              <w:left w:val="nil"/>
              <w:bottom w:val="single" w:sz="4" w:space="0" w:color="auto"/>
              <w:right w:val="single" w:sz="4" w:space="0" w:color="auto"/>
            </w:tcBorders>
            <w:vAlign w:val="center"/>
            <w:hideMark/>
          </w:tcPr>
          <w:p w14:paraId="41F5AFB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-40</w:t>
            </w:r>
          </w:p>
        </w:tc>
        <w:tc>
          <w:tcPr>
            <w:tcW w:w="531" w:type="pct"/>
            <w:tcBorders>
              <w:top w:val="nil"/>
              <w:left w:val="nil"/>
              <w:bottom w:val="single" w:sz="4" w:space="0" w:color="auto"/>
              <w:right w:val="single" w:sz="4" w:space="0" w:color="auto"/>
            </w:tcBorders>
            <w:vAlign w:val="center"/>
            <w:hideMark/>
          </w:tcPr>
          <w:p w14:paraId="0962D55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w:t>
            </w:r>
          </w:p>
        </w:tc>
        <w:tc>
          <w:tcPr>
            <w:tcW w:w="461" w:type="pct"/>
            <w:tcBorders>
              <w:top w:val="nil"/>
              <w:left w:val="nil"/>
              <w:bottom w:val="single" w:sz="4" w:space="0" w:color="auto"/>
              <w:right w:val="single" w:sz="4" w:space="0" w:color="auto"/>
            </w:tcBorders>
            <w:vAlign w:val="center"/>
            <w:hideMark/>
          </w:tcPr>
          <w:p w14:paraId="2F9F9751"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-40</w:t>
            </w:r>
          </w:p>
        </w:tc>
        <w:tc>
          <w:tcPr>
            <w:tcW w:w="461" w:type="pct"/>
            <w:tcBorders>
              <w:top w:val="nil"/>
              <w:left w:val="nil"/>
              <w:bottom w:val="nil"/>
              <w:right w:val="nil"/>
            </w:tcBorders>
            <w:noWrap/>
            <w:vAlign w:val="bottom"/>
            <w:hideMark/>
          </w:tcPr>
          <w:p w14:paraId="187CCC0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06ACEF7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336B221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00783E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B5B191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702D3C44"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2CD90DB6"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lastRenderedPageBreak/>
              <w:t>1</w:t>
            </w:r>
          </w:p>
        </w:tc>
        <w:tc>
          <w:tcPr>
            <w:tcW w:w="577" w:type="pct"/>
            <w:tcBorders>
              <w:top w:val="nil"/>
              <w:left w:val="nil"/>
              <w:bottom w:val="single" w:sz="4" w:space="0" w:color="auto"/>
              <w:right w:val="single" w:sz="4" w:space="0" w:color="auto"/>
            </w:tcBorders>
            <w:vAlign w:val="center"/>
            <w:hideMark/>
          </w:tcPr>
          <w:p w14:paraId="1DEFCC8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w:t>
            </w:r>
          </w:p>
        </w:tc>
        <w:tc>
          <w:tcPr>
            <w:tcW w:w="531" w:type="pct"/>
            <w:tcBorders>
              <w:top w:val="nil"/>
              <w:left w:val="nil"/>
              <w:bottom w:val="single" w:sz="4" w:space="0" w:color="auto"/>
              <w:right w:val="single" w:sz="4" w:space="0" w:color="auto"/>
            </w:tcBorders>
            <w:vAlign w:val="center"/>
            <w:hideMark/>
          </w:tcPr>
          <w:p w14:paraId="1385D626"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0.9091</w:t>
            </w:r>
          </w:p>
        </w:tc>
        <w:tc>
          <w:tcPr>
            <w:tcW w:w="461" w:type="pct"/>
            <w:tcBorders>
              <w:top w:val="nil"/>
              <w:left w:val="nil"/>
              <w:bottom w:val="single" w:sz="4" w:space="0" w:color="auto"/>
              <w:right w:val="single" w:sz="4" w:space="0" w:color="auto"/>
            </w:tcBorders>
            <w:vAlign w:val="center"/>
            <w:hideMark/>
          </w:tcPr>
          <w:p w14:paraId="10751C6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9.09</w:t>
            </w:r>
          </w:p>
        </w:tc>
        <w:tc>
          <w:tcPr>
            <w:tcW w:w="461" w:type="pct"/>
            <w:tcBorders>
              <w:top w:val="nil"/>
              <w:left w:val="nil"/>
              <w:bottom w:val="nil"/>
              <w:right w:val="nil"/>
            </w:tcBorders>
            <w:noWrap/>
            <w:vAlign w:val="bottom"/>
            <w:hideMark/>
          </w:tcPr>
          <w:p w14:paraId="77CEDEB9"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56435A7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70F2596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1C5D8E6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4C2CDD2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09CBEAE"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126DFCC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w:t>
            </w:r>
          </w:p>
        </w:tc>
        <w:tc>
          <w:tcPr>
            <w:tcW w:w="577" w:type="pct"/>
            <w:tcBorders>
              <w:top w:val="nil"/>
              <w:left w:val="nil"/>
              <w:bottom w:val="single" w:sz="4" w:space="0" w:color="auto"/>
              <w:right w:val="single" w:sz="4" w:space="0" w:color="auto"/>
            </w:tcBorders>
            <w:vAlign w:val="center"/>
            <w:hideMark/>
          </w:tcPr>
          <w:p w14:paraId="2086624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12</w:t>
            </w:r>
          </w:p>
        </w:tc>
        <w:tc>
          <w:tcPr>
            <w:tcW w:w="531" w:type="pct"/>
            <w:tcBorders>
              <w:top w:val="nil"/>
              <w:left w:val="nil"/>
              <w:bottom w:val="single" w:sz="4" w:space="0" w:color="auto"/>
              <w:right w:val="single" w:sz="4" w:space="0" w:color="auto"/>
            </w:tcBorders>
            <w:vAlign w:val="center"/>
            <w:hideMark/>
          </w:tcPr>
          <w:p w14:paraId="5E75731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0.8264</w:t>
            </w:r>
          </w:p>
        </w:tc>
        <w:tc>
          <w:tcPr>
            <w:tcW w:w="461" w:type="pct"/>
            <w:tcBorders>
              <w:top w:val="nil"/>
              <w:left w:val="nil"/>
              <w:bottom w:val="single" w:sz="4" w:space="0" w:color="auto"/>
              <w:right w:val="single" w:sz="4" w:space="0" w:color="auto"/>
            </w:tcBorders>
            <w:vAlign w:val="center"/>
            <w:hideMark/>
          </w:tcPr>
          <w:p w14:paraId="5ACE359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9.92</w:t>
            </w:r>
          </w:p>
        </w:tc>
        <w:tc>
          <w:tcPr>
            <w:tcW w:w="461" w:type="pct"/>
            <w:tcBorders>
              <w:top w:val="nil"/>
              <w:left w:val="nil"/>
              <w:bottom w:val="nil"/>
              <w:right w:val="nil"/>
            </w:tcBorders>
            <w:noWrap/>
            <w:vAlign w:val="bottom"/>
            <w:hideMark/>
          </w:tcPr>
          <w:p w14:paraId="33EBC192"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766DC95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6CD1FD7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EF6EAB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719873B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58E771B"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184BC280"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3</w:t>
            </w:r>
          </w:p>
        </w:tc>
        <w:tc>
          <w:tcPr>
            <w:tcW w:w="577" w:type="pct"/>
            <w:tcBorders>
              <w:top w:val="nil"/>
              <w:left w:val="nil"/>
              <w:bottom w:val="single" w:sz="4" w:space="0" w:color="auto"/>
              <w:right w:val="single" w:sz="4" w:space="0" w:color="auto"/>
            </w:tcBorders>
            <w:vAlign w:val="center"/>
            <w:hideMark/>
          </w:tcPr>
          <w:p w14:paraId="2D715F3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14</w:t>
            </w:r>
          </w:p>
        </w:tc>
        <w:tc>
          <w:tcPr>
            <w:tcW w:w="531" w:type="pct"/>
            <w:tcBorders>
              <w:top w:val="nil"/>
              <w:left w:val="nil"/>
              <w:bottom w:val="single" w:sz="4" w:space="0" w:color="auto"/>
              <w:right w:val="single" w:sz="4" w:space="0" w:color="auto"/>
            </w:tcBorders>
            <w:vAlign w:val="center"/>
            <w:hideMark/>
          </w:tcPr>
          <w:p w14:paraId="715DFD6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0.7513</w:t>
            </w:r>
          </w:p>
        </w:tc>
        <w:tc>
          <w:tcPr>
            <w:tcW w:w="461" w:type="pct"/>
            <w:tcBorders>
              <w:top w:val="nil"/>
              <w:left w:val="nil"/>
              <w:bottom w:val="single" w:sz="4" w:space="0" w:color="auto"/>
              <w:right w:val="single" w:sz="4" w:space="0" w:color="auto"/>
            </w:tcBorders>
            <w:vAlign w:val="center"/>
            <w:hideMark/>
          </w:tcPr>
          <w:p w14:paraId="3DD05B9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10.52</w:t>
            </w:r>
          </w:p>
        </w:tc>
        <w:tc>
          <w:tcPr>
            <w:tcW w:w="461" w:type="pct"/>
            <w:tcBorders>
              <w:top w:val="nil"/>
              <w:left w:val="nil"/>
              <w:bottom w:val="nil"/>
              <w:right w:val="nil"/>
            </w:tcBorders>
            <w:noWrap/>
            <w:vAlign w:val="bottom"/>
            <w:hideMark/>
          </w:tcPr>
          <w:p w14:paraId="7D574E74"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1969AFB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687488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0EF5B08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02828E0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608DCC0"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257C303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w:t>
            </w:r>
          </w:p>
        </w:tc>
        <w:tc>
          <w:tcPr>
            <w:tcW w:w="577" w:type="pct"/>
            <w:tcBorders>
              <w:top w:val="nil"/>
              <w:left w:val="nil"/>
              <w:bottom w:val="single" w:sz="4" w:space="0" w:color="auto"/>
              <w:right w:val="single" w:sz="4" w:space="0" w:color="auto"/>
            </w:tcBorders>
            <w:vAlign w:val="center"/>
            <w:hideMark/>
          </w:tcPr>
          <w:p w14:paraId="28534E1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w:t>
            </w:r>
          </w:p>
        </w:tc>
        <w:tc>
          <w:tcPr>
            <w:tcW w:w="531" w:type="pct"/>
            <w:tcBorders>
              <w:top w:val="nil"/>
              <w:left w:val="nil"/>
              <w:bottom w:val="single" w:sz="4" w:space="0" w:color="auto"/>
              <w:right w:val="single" w:sz="4" w:space="0" w:color="auto"/>
            </w:tcBorders>
            <w:vAlign w:val="center"/>
            <w:hideMark/>
          </w:tcPr>
          <w:p w14:paraId="1EE73EC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0.683</w:t>
            </w:r>
          </w:p>
        </w:tc>
        <w:tc>
          <w:tcPr>
            <w:tcW w:w="461" w:type="pct"/>
            <w:tcBorders>
              <w:top w:val="nil"/>
              <w:left w:val="nil"/>
              <w:bottom w:val="single" w:sz="4" w:space="0" w:color="auto"/>
              <w:right w:val="single" w:sz="4" w:space="0" w:color="auto"/>
            </w:tcBorders>
            <w:vAlign w:val="center"/>
            <w:hideMark/>
          </w:tcPr>
          <w:p w14:paraId="285FB57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6.83</w:t>
            </w:r>
          </w:p>
        </w:tc>
        <w:tc>
          <w:tcPr>
            <w:tcW w:w="461" w:type="pct"/>
            <w:tcBorders>
              <w:top w:val="nil"/>
              <w:left w:val="nil"/>
              <w:bottom w:val="nil"/>
              <w:right w:val="nil"/>
            </w:tcBorders>
            <w:noWrap/>
            <w:vAlign w:val="bottom"/>
            <w:hideMark/>
          </w:tcPr>
          <w:p w14:paraId="7AC0EB38"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560CB98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413574F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AD3E45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6DEADC0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51B44ED1"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7D099FA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w:t>
            </w:r>
          </w:p>
        </w:tc>
        <w:tc>
          <w:tcPr>
            <w:tcW w:w="577" w:type="pct"/>
            <w:tcBorders>
              <w:top w:val="nil"/>
              <w:left w:val="nil"/>
              <w:bottom w:val="single" w:sz="4" w:space="0" w:color="auto"/>
              <w:right w:val="single" w:sz="4" w:space="0" w:color="auto"/>
            </w:tcBorders>
            <w:vAlign w:val="center"/>
            <w:hideMark/>
          </w:tcPr>
          <w:p w14:paraId="753F4ED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8</w:t>
            </w:r>
          </w:p>
        </w:tc>
        <w:tc>
          <w:tcPr>
            <w:tcW w:w="531" w:type="pct"/>
            <w:tcBorders>
              <w:top w:val="nil"/>
              <w:left w:val="nil"/>
              <w:bottom w:val="single" w:sz="4" w:space="0" w:color="auto"/>
              <w:right w:val="single" w:sz="4" w:space="0" w:color="auto"/>
            </w:tcBorders>
            <w:vAlign w:val="center"/>
            <w:hideMark/>
          </w:tcPr>
          <w:p w14:paraId="18C17C4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0.6209</w:t>
            </w:r>
          </w:p>
        </w:tc>
        <w:tc>
          <w:tcPr>
            <w:tcW w:w="461" w:type="pct"/>
            <w:tcBorders>
              <w:top w:val="nil"/>
              <w:left w:val="nil"/>
              <w:bottom w:val="single" w:sz="4" w:space="0" w:color="auto"/>
              <w:right w:val="single" w:sz="4" w:space="0" w:color="auto"/>
            </w:tcBorders>
            <w:vAlign w:val="center"/>
            <w:hideMark/>
          </w:tcPr>
          <w:p w14:paraId="51C9A3B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4.97</w:t>
            </w:r>
          </w:p>
        </w:tc>
        <w:tc>
          <w:tcPr>
            <w:tcW w:w="461" w:type="pct"/>
            <w:tcBorders>
              <w:top w:val="nil"/>
              <w:left w:val="nil"/>
              <w:bottom w:val="nil"/>
              <w:right w:val="nil"/>
            </w:tcBorders>
            <w:noWrap/>
            <w:vAlign w:val="bottom"/>
            <w:hideMark/>
          </w:tcPr>
          <w:p w14:paraId="3F9A3085"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1944290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66E6825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4229E5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F224B6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1E7DAE7E"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0D4086F0"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Totals</w:t>
            </w:r>
          </w:p>
        </w:tc>
        <w:tc>
          <w:tcPr>
            <w:tcW w:w="577" w:type="pct"/>
            <w:tcBorders>
              <w:top w:val="nil"/>
              <w:left w:val="nil"/>
              <w:bottom w:val="single" w:sz="4" w:space="0" w:color="auto"/>
              <w:right w:val="single" w:sz="4" w:space="0" w:color="auto"/>
            </w:tcBorders>
            <w:vAlign w:val="center"/>
            <w:hideMark/>
          </w:tcPr>
          <w:p w14:paraId="7F8564F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3B7EAE3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05EE8293"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inflows = 41.33</w:t>
            </w:r>
          </w:p>
        </w:tc>
        <w:tc>
          <w:tcPr>
            <w:tcW w:w="461" w:type="pct"/>
            <w:tcBorders>
              <w:top w:val="nil"/>
              <w:left w:val="nil"/>
              <w:bottom w:val="nil"/>
              <w:right w:val="nil"/>
            </w:tcBorders>
            <w:noWrap/>
            <w:vAlign w:val="bottom"/>
            <w:hideMark/>
          </w:tcPr>
          <w:p w14:paraId="2A13E7EB"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58B4E3C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E935F7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66C198E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C14368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FDB8617" w14:textId="77777777" w:rsidTr="00396157">
        <w:trPr>
          <w:trHeight w:val="840"/>
        </w:trPr>
        <w:tc>
          <w:tcPr>
            <w:tcW w:w="1114" w:type="pct"/>
            <w:tcBorders>
              <w:top w:val="nil"/>
              <w:left w:val="single" w:sz="4" w:space="0" w:color="auto"/>
              <w:bottom w:val="single" w:sz="4" w:space="0" w:color="auto"/>
              <w:right w:val="single" w:sz="4" w:space="0" w:color="auto"/>
            </w:tcBorders>
            <w:vAlign w:val="center"/>
            <w:hideMark/>
          </w:tcPr>
          <w:p w14:paraId="569BE77F"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77" w:type="pct"/>
            <w:tcBorders>
              <w:top w:val="nil"/>
              <w:left w:val="nil"/>
              <w:bottom w:val="single" w:sz="4" w:space="0" w:color="auto"/>
              <w:right w:val="single" w:sz="4" w:space="0" w:color="auto"/>
            </w:tcBorders>
            <w:vAlign w:val="center"/>
            <w:hideMark/>
          </w:tcPr>
          <w:p w14:paraId="360CD72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25A752E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1F24504C"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NPV = 41.33 − 40.00 = £1.324m</w:t>
            </w:r>
          </w:p>
        </w:tc>
        <w:tc>
          <w:tcPr>
            <w:tcW w:w="461" w:type="pct"/>
            <w:tcBorders>
              <w:top w:val="nil"/>
              <w:left w:val="nil"/>
              <w:bottom w:val="nil"/>
              <w:right w:val="nil"/>
            </w:tcBorders>
            <w:noWrap/>
            <w:vAlign w:val="bottom"/>
            <w:hideMark/>
          </w:tcPr>
          <w:p w14:paraId="4F29280F"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78F2A6F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FFCDBB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728641D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397C13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18BA04F1"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73B3DB8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77" w:type="pct"/>
            <w:tcBorders>
              <w:top w:val="nil"/>
              <w:left w:val="nil"/>
              <w:bottom w:val="single" w:sz="4" w:space="0" w:color="auto"/>
              <w:right w:val="single" w:sz="4" w:space="0" w:color="auto"/>
            </w:tcBorders>
            <w:vAlign w:val="center"/>
            <w:hideMark/>
          </w:tcPr>
          <w:p w14:paraId="55FA76B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04A9BAE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7E74EB83"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PI = 41.33 / 40.00 = 1.033</w:t>
            </w:r>
          </w:p>
        </w:tc>
        <w:tc>
          <w:tcPr>
            <w:tcW w:w="461" w:type="pct"/>
            <w:tcBorders>
              <w:top w:val="nil"/>
              <w:left w:val="nil"/>
              <w:bottom w:val="nil"/>
              <w:right w:val="nil"/>
            </w:tcBorders>
            <w:noWrap/>
            <w:vAlign w:val="bottom"/>
            <w:hideMark/>
          </w:tcPr>
          <w:p w14:paraId="667C037D"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3E9EB8D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6A25CF3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78A88C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8AD3AE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556F8781" w14:textId="77777777" w:rsidTr="00396157">
        <w:trPr>
          <w:trHeight w:val="310"/>
        </w:trPr>
        <w:tc>
          <w:tcPr>
            <w:tcW w:w="1114" w:type="pct"/>
            <w:tcBorders>
              <w:top w:val="nil"/>
              <w:left w:val="single" w:sz="4" w:space="0" w:color="auto"/>
              <w:bottom w:val="single" w:sz="4" w:space="0" w:color="auto"/>
              <w:right w:val="single" w:sz="4" w:space="0" w:color="auto"/>
            </w:tcBorders>
            <w:noWrap/>
            <w:vAlign w:val="bottom"/>
            <w:hideMark/>
          </w:tcPr>
          <w:p w14:paraId="335C548A"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Project B</w:t>
            </w:r>
          </w:p>
        </w:tc>
        <w:tc>
          <w:tcPr>
            <w:tcW w:w="577" w:type="pct"/>
            <w:tcBorders>
              <w:top w:val="nil"/>
              <w:left w:val="nil"/>
              <w:bottom w:val="single" w:sz="4" w:space="0" w:color="auto"/>
              <w:right w:val="single" w:sz="4" w:space="0" w:color="auto"/>
            </w:tcBorders>
            <w:noWrap/>
            <w:vAlign w:val="bottom"/>
            <w:hideMark/>
          </w:tcPr>
          <w:p w14:paraId="7823F471"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31" w:type="pct"/>
            <w:tcBorders>
              <w:top w:val="nil"/>
              <w:left w:val="nil"/>
              <w:bottom w:val="single" w:sz="4" w:space="0" w:color="auto"/>
              <w:right w:val="single" w:sz="4" w:space="0" w:color="auto"/>
            </w:tcBorders>
            <w:noWrap/>
            <w:vAlign w:val="bottom"/>
            <w:hideMark/>
          </w:tcPr>
          <w:p w14:paraId="166589BD"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5061E6B5"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nil"/>
              <w:right w:val="nil"/>
            </w:tcBorders>
            <w:noWrap/>
            <w:vAlign w:val="bottom"/>
            <w:hideMark/>
          </w:tcPr>
          <w:p w14:paraId="56DC9FCB" w14:textId="77777777" w:rsidR="00881F5C" w:rsidRPr="0074648E" w:rsidRDefault="00881F5C" w:rsidP="00881F5C">
            <w:pPr>
              <w:spacing w:after="0" w:line="240" w:lineRule="auto"/>
              <w:jc w:val="left"/>
              <w:rPr>
                <w:rFonts w:ascii="Arial" w:eastAsia="Times New Roman" w:hAnsi="Arial" w:cs="Arial"/>
                <w:kern w:val="0"/>
                <w:szCs w:val="24"/>
                <w14:ligatures w14:val="none"/>
              </w:rPr>
            </w:pPr>
          </w:p>
        </w:tc>
        <w:tc>
          <w:tcPr>
            <w:tcW w:w="478" w:type="pct"/>
            <w:tcBorders>
              <w:top w:val="nil"/>
              <w:left w:val="nil"/>
              <w:bottom w:val="nil"/>
              <w:right w:val="nil"/>
            </w:tcBorders>
            <w:noWrap/>
            <w:vAlign w:val="bottom"/>
            <w:hideMark/>
          </w:tcPr>
          <w:p w14:paraId="68EB1A1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E55D5E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5DFBD31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0DCE5F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7FBC52D5"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32AE37FB"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Year</w:t>
            </w:r>
          </w:p>
        </w:tc>
        <w:tc>
          <w:tcPr>
            <w:tcW w:w="577" w:type="pct"/>
            <w:tcBorders>
              <w:top w:val="nil"/>
              <w:left w:val="nil"/>
              <w:bottom w:val="single" w:sz="4" w:space="0" w:color="auto"/>
              <w:right w:val="single" w:sz="4" w:space="0" w:color="auto"/>
            </w:tcBorders>
            <w:vAlign w:val="center"/>
            <w:hideMark/>
          </w:tcPr>
          <w:p w14:paraId="60A6630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Net Cash Flow</w:t>
            </w:r>
          </w:p>
        </w:tc>
        <w:tc>
          <w:tcPr>
            <w:tcW w:w="531" w:type="pct"/>
            <w:tcBorders>
              <w:top w:val="nil"/>
              <w:left w:val="nil"/>
              <w:bottom w:val="single" w:sz="4" w:space="0" w:color="auto"/>
              <w:right w:val="single" w:sz="4" w:space="0" w:color="auto"/>
            </w:tcBorders>
            <w:vAlign w:val="center"/>
            <w:hideMark/>
          </w:tcPr>
          <w:p w14:paraId="6A323BB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Factor</w:t>
            </w:r>
          </w:p>
        </w:tc>
        <w:tc>
          <w:tcPr>
            <w:tcW w:w="461" w:type="pct"/>
            <w:tcBorders>
              <w:top w:val="nil"/>
              <w:left w:val="nil"/>
              <w:bottom w:val="single" w:sz="4" w:space="0" w:color="auto"/>
              <w:right w:val="single" w:sz="4" w:space="0" w:color="auto"/>
            </w:tcBorders>
            <w:vAlign w:val="center"/>
            <w:hideMark/>
          </w:tcPr>
          <w:p w14:paraId="2429C774"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of Inflow</w:t>
            </w:r>
          </w:p>
        </w:tc>
        <w:tc>
          <w:tcPr>
            <w:tcW w:w="461" w:type="pct"/>
            <w:tcBorders>
              <w:top w:val="nil"/>
              <w:left w:val="nil"/>
              <w:bottom w:val="nil"/>
              <w:right w:val="nil"/>
            </w:tcBorders>
            <w:noWrap/>
            <w:vAlign w:val="bottom"/>
            <w:hideMark/>
          </w:tcPr>
          <w:p w14:paraId="71D57D2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262F8DC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95FA75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5A3CBD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67CEB32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8EAD8E0"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76C2A9E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w:t>
            </w:r>
          </w:p>
        </w:tc>
        <w:tc>
          <w:tcPr>
            <w:tcW w:w="577" w:type="pct"/>
            <w:tcBorders>
              <w:top w:val="nil"/>
              <w:left w:val="nil"/>
              <w:bottom w:val="single" w:sz="4" w:space="0" w:color="auto"/>
              <w:right w:val="single" w:sz="4" w:space="0" w:color="auto"/>
            </w:tcBorders>
            <w:vAlign w:val="center"/>
            <w:hideMark/>
          </w:tcPr>
          <w:p w14:paraId="24FC7B0D"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-30</w:t>
            </w:r>
          </w:p>
        </w:tc>
        <w:tc>
          <w:tcPr>
            <w:tcW w:w="531" w:type="pct"/>
            <w:tcBorders>
              <w:top w:val="nil"/>
              <w:left w:val="nil"/>
              <w:bottom w:val="single" w:sz="4" w:space="0" w:color="auto"/>
              <w:right w:val="single" w:sz="4" w:space="0" w:color="auto"/>
            </w:tcBorders>
            <w:vAlign w:val="center"/>
            <w:hideMark/>
          </w:tcPr>
          <w:p w14:paraId="050978D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w:t>
            </w:r>
          </w:p>
        </w:tc>
        <w:tc>
          <w:tcPr>
            <w:tcW w:w="461" w:type="pct"/>
            <w:tcBorders>
              <w:top w:val="nil"/>
              <w:left w:val="nil"/>
              <w:bottom w:val="single" w:sz="4" w:space="0" w:color="auto"/>
              <w:right w:val="single" w:sz="4" w:space="0" w:color="auto"/>
            </w:tcBorders>
            <w:vAlign w:val="center"/>
            <w:hideMark/>
          </w:tcPr>
          <w:p w14:paraId="576E99A4"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-30</w:t>
            </w:r>
          </w:p>
        </w:tc>
        <w:tc>
          <w:tcPr>
            <w:tcW w:w="461" w:type="pct"/>
            <w:tcBorders>
              <w:top w:val="nil"/>
              <w:left w:val="nil"/>
              <w:bottom w:val="nil"/>
              <w:right w:val="nil"/>
            </w:tcBorders>
            <w:noWrap/>
            <w:vAlign w:val="bottom"/>
            <w:hideMark/>
          </w:tcPr>
          <w:p w14:paraId="4908FCDF"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78D9DE1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592AD5F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5B5FB0C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010CF39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16D0C515"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148EF97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w:t>
            </w:r>
          </w:p>
        </w:tc>
        <w:tc>
          <w:tcPr>
            <w:tcW w:w="577" w:type="pct"/>
            <w:tcBorders>
              <w:top w:val="nil"/>
              <w:left w:val="nil"/>
              <w:bottom w:val="single" w:sz="4" w:space="0" w:color="auto"/>
              <w:right w:val="single" w:sz="4" w:space="0" w:color="auto"/>
            </w:tcBorders>
            <w:vAlign w:val="center"/>
            <w:hideMark/>
          </w:tcPr>
          <w:p w14:paraId="4C054BB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531" w:type="pct"/>
            <w:tcBorders>
              <w:top w:val="nil"/>
              <w:left w:val="nil"/>
              <w:bottom w:val="single" w:sz="4" w:space="0" w:color="auto"/>
              <w:right w:val="single" w:sz="4" w:space="0" w:color="auto"/>
            </w:tcBorders>
            <w:vAlign w:val="center"/>
            <w:hideMark/>
          </w:tcPr>
          <w:p w14:paraId="023633C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0.9091</w:t>
            </w:r>
          </w:p>
        </w:tc>
        <w:tc>
          <w:tcPr>
            <w:tcW w:w="461" w:type="pct"/>
            <w:tcBorders>
              <w:top w:val="nil"/>
              <w:left w:val="nil"/>
              <w:bottom w:val="single" w:sz="4" w:space="0" w:color="auto"/>
              <w:right w:val="single" w:sz="4" w:space="0" w:color="auto"/>
            </w:tcBorders>
            <w:vAlign w:val="center"/>
            <w:hideMark/>
          </w:tcPr>
          <w:p w14:paraId="746DF92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5.45</w:t>
            </w:r>
          </w:p>
        </w:tc>
        <w:tc>
          <w:tcPr>
            <w:tcW w:w="461" w:type="pct"/>
            <w:tcBorders>
              <w:top w:val="nil"/>
              <w:left w:val="nil"/>
              <w:bottom w:val="nil"/>
              <w:right w:val="nil"/>
            </w:tcBorders>
            <w:noWrap/>
            <w:vAlign w:val="bottom"/>
            <w:hideMark/>
          </w:tcPr>
          <w:p w14:paraId="39FCBB38"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2FA7209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399A4B7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6F4E3C2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766337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0499129"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6225653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w:t>
            </w:r>
          </w:p>
        </w:tc>
        <w:tc>
          <w:tcPr>
            <w:tcW w:w="577" w:type="pct"/>
            <w:tcBorders>
              <w:top w:val="nil"/>
              <w:left w:val="nil"/>
              <w:bottom w:val="single" w:sz="4" w:space="0" w:color="auto"/>
              <w:right w:val="single" w:sz="4" w:space="0" w:color="auto"/>
            </w:tcBorders>
            <w:vAlign w:val="center"/>
            <w:hideMark/>
          </w:tcPr>
          <w:p w14:paraId="4FA987E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531" w:type="pct"/>
            <w:tcBorders>
              <w:top w:val="nil"/>
              <w:left w:val="nil"/>
              <w:bottom w:val="single" w:sz="4" w:space="0" w:color="auto"/>
              <w:right w:val="single" w:sz="4" w:space="0" w:color="auto"/>
            </w:tcBorders>
            <w:vAlign w:val="center"/>
            <w:hideMark/>
          </w:tcPr>
          <w:p w14:paraId="35CEE82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0.8264</w:t>
            </w:r>
          </w:p>
        </w:tc>
        <w:tc>
          <w:tcPr>
            <w:tcW w:w="461" w:type="pct"/>
            <w:tcBorders>
              <w:top w:val="nil"/>
              <w:left w:val="nil"/>
              <w:bottom w:val="single" w:sz="4" w:space="0" w:color="auto"/>
              <w:right w:val="single" w:sz="4" w:space="0" w:color="auto"/>
            </w:tcBorders>
            <w:vAlign w:val="center"/>
            <w:hideMark/>
          </w:tcPr>
          <w:p w14:paraId="5DAE08F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4.96</w:t>
            </w:r>
          </w:p>
        </w:tc>
        <w:tc>
          <w:tcPr>
            <w:tcW w:w="461" w:type="pct"/>
            <w:tcBorders>
              <w:top w:val="nil"/>
              <w:left w:val="nil"/>
              <w:bottom w:val="nil"/>
              <w:right w:val="nil"/>
            </w:tcBorders>
            <w:noWrap/>
            <w:vAlign w:val="bottom"/>
            <w:hideMark/>
          </w:tcPr>
          <w:p w14:paraId="789A1CC1"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4B4E071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B728AE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4482E7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02C587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4FE3312"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0152AEE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3</w:t>
            </w:r>
          </w:p>
        </w:tc>
        <w:tc>
          <w:tcPr>
            <w:tcW w:w="577" w:type="pct"/>
            <w:tcBorders>
              <w:top w:val="nil"/>
              <w:left w:val="nil"/>
              <w:bottom w:val="single" w:sz="4" w:space="0" w:color="auto"/>
              <w:right w:val="single" w:sz="4" w:space="0" w:color="auto"/>
            </w:tcBorders>
            <w:vAlign w:val="center"/>
            <w:hideMark/>
          </w:tcPr>
          <w:p w14:paraId="5C0BD78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531" w:type="pct"/>
            <w:tcBorders>
              <w:top w:val="nil"/>
              <w:left w:val="nil"/>
              <w:bottom w:val="single" w:sz="4" w:space="0" w:color="auto"/>
              <w:right w:val="single" w:sz="4" w:space="0" w:color="auto"/>
            </w:tcBorders>
            <w:vAlign w:val="center"/>
            <w:hideMark/>
          </w:tcPr>
          <w:p w14:paraId="4D588EE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0.7513</w:t>
            </w:r>
          </w:p>
        </w:tc>
        <w:tc>
          <w:tcPr>
            <w:tcW w:w="461" w:type="pct"/>
            <w:tcBorders>
              <w:top w:val="nil"/>
              <w:left w:val="nil"/>
              <w:bottom w:val="single" w:sz="4" w:space="0" w:color="auto"/>
              <w:right w:val="single" w:sz="4" w:space="0" w:color="auto"/>
            </w:tcBorders>
            <w:vAlign w:val="center"/>
            <w:hideMark/>
          </w:tcPr>
          <w:p w14:paraId="596EAA40"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4.51</w:t>
            </w:r>
          </w:p>
        </w:tc>
        <w:tc>
          <w:tcPr>
            <w:tcW w:w="461" w:type="pct"/>
            <w:tcBorders>
              <w:top w:val="nil"/>
              <w:left w:val="nil"/>
              <w:bottom w:val="nil"/>
              <w:right w:val="nil"/>
            </w:tcBorders>
            <w:noWrap/>
            <w:vAlign w:val="bottom"/>
            <w:hideMark/>
          </w:tcPr>
          <w:p w14:paraId="058648E6"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0BA7456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B1E031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96A5E0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40A715D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3039EE99"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06FA2271"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w:t>
            </w:r>
          </w:p>
        </w:tc>
        <w:tc>
          <w:tcPr>
            <w:tcW w:w="577" w:type="pct"/>
            <w:tcBorders>
              <w:top w:val="nil"/>
              <w:left w:val="nil"/>
              <w:bottom w:val="single" w:sz="4" w:space="0" w:color="auto"/>
              <w:right w:val="single" w:sz="4" w:space="0" w:color="auto"/>
            </w:tcBorders>
            <w:vAlign w:val="center"/>
            <w:hideMark/>
          </w:tcPr>
          <w:p w14:paraId="450807E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531" w:type="pct"/>
            <w:tcBorders>
              <w:top w:val="nil"/>
              <w:left w:val="nil"/>
              <w:bottom w:val="single" w:sz="4" w:space="0" w:color="auto"/>
              <w:right w:val="single" w:sz="4" w:space="0" w:color="auto"/>
            </w:tcBorders>
            <w:vAlign w:val="center"/>
            <w:hideMark/>
          </w:tcPr>
          <w:p w14:paraId="6024850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0.683</w:t>
            </w:r>
          </w:p>
        </w:tc>
        <w:tc>
          <w:tcPr>
            <w:tcW w:w="461" w:type="pct"/>
            <w:tcBorders>
              <w:top w:val="nil"/>
              <w:left w:val="nil"/>
              <w:bottom w:val="single" w:sz="4" w:space="0" w:color="auto"/>
              <w:right w:val="single" w:sz="4" w:space="0" w:color="auto"/>
            </w:tcBorders>
            <w:vAlign w:val="center"/>
            <w:hideMark/>
          </w:tcPr>
          <w:p w14:paraId="74115D3F"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4.1</w:t>
            </w:r>
          </w:p>
        </w:tc>
        <w:tc>
          <w:tcPr>
            <w:tcW w:w="461" w:type="pct"/>
            <w:tcBorders>
              <w:top w:val="nil"/>
              <w:left w:val="nil"/>
              <w:bottom w:val="nil"/>
              <w:right w:val="nil"/>
            </w:tcBorders>
            <w:noWrap/>
            <w:vAlign w:val="bottom"/>
            <w:hideMark/>
          </w:tcPr>
          <w:p w14:paraId="5933410E"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1E53AA0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AAD9BC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13D78E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6E5439C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3059102E"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398332EF"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w:t>
            </w:r>
          </w:p>
        </w:tc>
        <w:tc>
          <w:tcPr>
            <w:tcW w:w="577" w:type="pct"/>
            <w:tcBorders>
              <w:top w:val="nil"/>
              <w:left w:val="nil"/>
              <w:bottom w:val="single" w:sz="4" w:space="0" w:color="auto"/>
              <w:right w:val="single" w:sz="4" w:space="0" w:color="auto"/>
            </w:tcBorders>
            <w:vAlign w:val="center"/>
            <w:hideMark/>
          </w:tcPr>
          <w:p w14:paraId="7945BC0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531" w:type="pct"/>
            <w:tcBorders>
              <w:top w:val="nil"/>
              <w:left w:val="nil"/>
              <w:bottom w:val="single" w:sz="4" w:space="0" w:color="auto"/>
              <w:right w:val="single" w:sz="4" w:space="0" w:color="auto"/>
            </w:tcBorders>
            <w:vAlign w:val="center"/>
            <w:hideMark/>
          </w:tcPr>
          <w:p w14:paraId="034A99F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0.6209</w:t>
            </w:r>
          </w:p>
        </w:tc>
        <w:tc>
          <w:tcPr>
            <w:tcW w:w="461" w:type="pct"/>
            <w:tcBorders>
              <w:top w:val="nil"/>
              <w:left w:val="nil"/>
              <w:bottom w:val="single" w:sz="4" w:space="0" w:color="auto"/>
              <w:right w:val="single" w:sz="4" w:space="0" w:color="auto"/>
            </w:tcBorders>
            <w:vAlign w:val="center"/>
            <w:hideMark/>
          </w:tcPr>
          <w:p w14:paraId="6001F26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3.73</w:t>
            </w:r>
          </w:p>
        </w:tc>
        <w:tc>
          <w:tcPr>
            <w:tcW w:w="461" w:type="pct"/>
            <w:tcBorders>
              <w:top w:val="nil"/>
              <w:left w:val="nil"/>
              <w:bottom w:val="nil"/>
              <w:right w:val="nil"/>
            </w:tcBorders>
            <w:noWrap/>
            <w:vAlign w:val="bottom"/>
            <w:hideMark/>
          </w:tcPr>
          <w:p w14:paraId="45BD0015"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7EB90BF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C0D7AA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C27CDE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E132AA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A375E61"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63CE8CAD"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Totals</w:t>
            </w:r>
          </w:p>
        </w:tc>
        <w:tc>
          <w:tcPr>
            <w:tcW w:w="577" w:type="pct"/>
            <w:tcBorders>
              <w:top w:val="nil"/>
              <w:left w:val="nil"/>
              <w:bottom w:val="single" w:sz="4" w:space="0" w:color="auto"/>
              <w:right w:val="single" w:sz="4" w:space="0" w:color="auto"/>
            </w:tcBorders>
            <w:vAlign w:val="center"/>
            <w:hideMark/>
          </w:tcPr>
          <w:p w14:paraId="05F7AC2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09933B51"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70575748"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inflows = 22.74</w:t>
            </w:r>
          </w:p>
        </w:tc>
        <w:tc>
          <w:tcPr>
            <w:tcW w:w="461" w:type="pct"/>
            <w:tcBorders>
              <w:top w:val="nil"/>
              <w:left w:val="nil"/>
              <w:bottom w:val="nil"/>
              <w:right w:val="nil"/>
            </w:tcBorders>
            <w:noWrap/>
            <w:vAlign w:val="bottom"/>
            <w:hideMark/>
          </w:tcPr>
          <w:p w14:paraId="61BC6296"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131EF10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5117FE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2B6452A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42C4928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3F98FDB8" w14:textId="77777777" w:rsidTr="00396157">
        <w:trPr>
          <w:trHeight w:val="840"/>
        </w:trPr>
        <w:tc>
          <w:tcPr>
            <w:tcW w:w="1114" w:type="pct"/>
            <w:tcBorders>
              <w:top w:val="nil"/>
              <w:left w:val="single" w:sz="4" w:space="0" w:color="auto"/>
              <w:bottom w:val="single" w:sz="4" w:space="0" w:color="auto"/>
              <w:right w:val="single" w:sz="4" w:space="0" w:color="auto"/>
            </w:tcBorders>
            <w:vAlign w:val="center"/>
            <w:hideMark/>
          </w:tcPr>
          <w:p w14:paraId="092C6E5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77" w:type="pct"/>
            <w:tcBorders>
              <w:top w:val="nil"/>
              <w:left w:val="nil"/>
              <w:bottom w:val="single" w:sz="4" w:space="0" w:color="auto"/>
              <w:right w:val="single" w:sz="4" w:space="0" w:color="auto"/>
            </w:tcBorders>
            <w:vAlign w:val="center"/>
            <w:hideMark/>
          </w:tcPr>
          <w:p w14:paraId="0891641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4CBA469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2133B09B"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NPV = 22.74 − 30.00 = −£7.255m</w:t>
            </w:r>
          </w:p>
        </w:tc>
        <w:tc>
          <w:tcPr>
            <w:tcW w:w="461" w:type="pct"/>
            <w:tcBorders>
              <w:top w:val="nil"/>
              <w:left w:val="nil"/>
              <w:bottom w:val="nil"/>
              <w:right w:val="nil"/>
            </w:tcBorders>
            <w:noWrap/>
            <w:vAlign w:val="bottom"/>
            <w:hideMark/>
          </w:tcPr>
          <w:p w14:paraId="570AED4B"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593E3EE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4400B40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6A08727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611D642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57D948C5"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6B4A60D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77" w:type="pct"/>
            <w:tcBorders>
              <w:top w:val="nil"/>
              <w:left w:val="nil"/>
              <w:bottom w:val="single" w:sz="4" w:space="0" w:color="auto"/>
              <w:right w:val="single" w:sz="4" w:space="0" w:color="auto"/>
            </w:tcBorders>
            <w:vAlign w:val="center"/>
            <w:hideMark/>
          </w:tcPr>
          <w:p w14:paraId="1F7238F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7C00A80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403C2E1A"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 xml:space="preserve">PI = 22.74 / 30.00 </w:t>
            </w:r>
            <w:r w:rsidRPr="0074648E">
              <w:rPr>
                <w:rFonts w:ascii="Arial" w:eastAsia="Times New Roman" w:hAnsi="Arial" w:cs="Arial"/>
                <w:b/>
                <w:bCs/>
                <w:kern w:val="0"/>
                <w:sz w:val="22"/>
                <w14:ligatures w14:val="none"/>
              </w:rPr>
              <w:lastRenderedPageBreak/>
              <w:t>= 0.758</w:t>
            </w:r>
          </w:p>
        </w:tc>
        <w:tc>
          <w:tcPr>
            <w:tcW w:w="461" w:type="pct"/>
            <w:tcBorders>
              <w:top w:val="nil"/>
              <w:left w:val="nil"/>
              <w:bottom w:val="nil"/>
              <w:right w:val="nil"/>
            </w:tcBorders>
            <w:noWrap/>
            <w:vAlign w:val="bottom"/>
            <w:hideMark/>
          </w:tcPr>
          <w:p w14:paraId="5FC16F9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1AE2CD0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9E0188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7518BE9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51557E4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B457475" w14:textId="77777777" w:rsidTr="00396157">
        <w:trPr>
          <w:trHeight w:val="310"/>
        </w:trPr>
        <w:tc>
          <w:tcPr>
            <w:tcW w:w="1114" w:type="pct"/>
            <w:tcBorders>
              <w:top w:val="nil"/>
              <w:left w:val="single" w:sz="4" w:space="0" w:color="auto"/>
              <w:bottom w:val="single" w:sz="4" w:space="0" w:color="auto"/>
              <w:right w:val="single" w:sz="4" w:space="0" w:color="auto"/>
            </w:tcBorders>
            <w:noWrap/>
            <w:vAlign w:val="bottom"/>
            <w:hideMark/>
          </w:tcPr>
          <w:p w14:paraId="45C9A082"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Project C</w:t>
            </w:r>
          </w:p>
        </w:tc>
        <w:tc>
          <w:tcPr>
            <w:tcW w:w="577" w:type="pct"/>
            <w:tcBorders>
              <w:top w:val="nil"/>
              <w:left w:val="nil"/>
              <w:bottom w:val="single" w:sz="4" w:space="0" w:color="auto"/>
              <w:right w:val="single" w:sz="4" w:space="0" w:color="auto"/>
            </w:tcBorders>
            <w:noWrap/>
            <w:vAlign w:val="bottom"/>
            <w:hideMark/>
          </w:tcPr>
          <w:p w14:paraId="631F6721"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31" w:type="pct"/>
            <w:tcBorders>
              <w:top w:val="nil"/>
              <w:left w:val="nil"/>
              <w:bottom w:val="single" w:sz="4" w:space="0" w:color="auto"/>
              <w:right w:val="single" w:sz="4" w:space="0" w:color="auto"/>
            </w:tcBorders>
            <w:noWrap/>
            <w:vAlign w:val="bottom"/>
            <w:hideMark/>
          </w:tcPr>
          <w:p w14:paraId="46C436E7"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707B148E"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nil"/>
              <w:right w:val="nil"/>
            </w:tcBorders>
            <w:noWrap/>
            <w:vAlign w:val="bottom"/>
            <w:hideMark/>
          </w:tcPr>
          <w:p w14:paraId="3CD08738" w14:textId="77777777" w:rsidR="00881F5C" w:rsidRPr="0074648E" w:rsidRDefault="00881F5C" w:rsidP="00881F5C">
            <w:pPr>
              <w:spacing w:after="0" w:line="240" w:lineRule="auto"/>
              <w:jc w:val="left"/>
              <w:rPr>
                <w:rFonts w:ascii="Arial" w:eastAsia="Times New Roman" w:hAnsi="Arial" w:cs="Arial"/>
                <w:kern w:val="0"/>
                <w:szCs w:val="24"/>
                <w14:ligatures w14:val="none"/>
              </w:rPr>
            </w:pPr>
          </w:p>
        </w:tc>
        <w:tc>
          <w:tcPr>
            <w:tcW w:w="478" w:type="pct"/>
            <w:tcBorders>
              <w:top w:val="nil"/>
              <w:left w:val="nil"/>
              <w:bottom w:val="nil"/>
              <w:right w:val="nil"/>
            </w:tcBorders>
            <w:noWrap/>
            <w:vAlign w:val="bottom"/>
            <w:hideMark/>
          </w:tcPr>
          <w:p w14:paraId="26E03E1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3BAF4E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6517DF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6F5A038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757B43A3"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62918B70"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Year</w:t>
            </w:r>
          </w:p>
        </w:tc>
        <w:tc>
          <w:tcPr>
            <w:tcW w:w="577" w:type="pct"/>
            <w:tcBorders>
              <w:top w:val="nil"/>
              <w:left w:val="nil"/>
              <w:bottom w:val="single" w:sz="4" w:space="0" w:color="auto"/>
              <w:right w:val="single" w:sz="4" w:space="0" w:color="auto"/>
            </w:tcBorders>
            <w:vAlign w:val="center"/>
            <w:hideMark/>
          </w:tcPr>
          <w:p w14:paraId="049F26ED"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Net Cash Flow</w:t>
            </w:r>
          </w:p>
        </w:tc>
        <w:tc>
          <w:tcPr>
            <w:tcW w:w="531" w:type="pct"/>
            <w:tcBorders>
              <w:top w:val="nil"/>
              <w:left w:val="nil"/>
              <w:bottom w:val="single" w:sz="4" w:space="0" w:color="auto"/>
              <w:right w:val="single" w:sz="4" w:space="0" w:color="auto"/>
            </w:tcBorders>
            <w:vAlign w:val="center"/>
            <w:hideMark/>
          </w:tcPr>
          <w:p w14:paraId="68A5006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Factor</w:t>
            </w:r>
          </w:p>
        </w:tc>
        <w:tc>
          <w:tcPr>
            <w:tcW w:w="461" w:type="pct"/>
            <w:tcBorders>
              <w:top w:val="nil"/>
              <w:left w:val="nil"/>
              <w:bottom w:val="single" w:sz="4" w:space="0" w:color="auto"/>
              <w:right w:val="single" w:sz="4" w:space="0" w:color="auto"/>
            </w:tcBorders>
            <w:vAlign w:val="center"/>
            <w:hideMark/>
          </w:tcPr>
          <w:p w14:paraId="1D0D5300"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of Inflow</w:t>
            </w:r>
          </w:p>
        </w:tc>
        <w:tc>
          <w:tcPr>
            <w:tcW w:w="461" w:type="pct"/>
            <w:tcBorders>
              <w:top w:val="nil"/>
              <w:left w:val="nil"/>
              <w:bottom w:val="nil"/>
              <w:right w:val="nil"/>
            </w:tcBorders>
            <w:noWrap/>
            <w:vAlign w:val="bottom"/>
            <w:hideMark/>
          </w:tcPr>
          <w:p w14:paraId="2335E9D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6658917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6ED1F43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0794098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553F390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5610834A"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14DEC7B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w:t>
            </w:r>
          </w:p>
        </w:tc>
        <w:tc>
          <w:tcPr>
            <w:tcW w:w="577" w:type="pct"/>
            <w:tcBorders>
              <w:top w:val="nil"/>
              <w:left w:val="nil"/>
              <w:bottom w:val="single" w:sz="4" w:space="0" w:color="auto"/>
              <w:right w:val="single" w:sz="4" w:space="0" w:color="auto"/>
            </w:tcBorders>
            <w:vAlign w:val="center"/>
            <w:hideMark/>
          </w:tcPr>
          <w:p w14:paraId="41A088E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-50</w:t>
            </w:r>
          </w:p>
        </w:tc>
        <w:tc>
          <w:tcPr>
            <w:tcW w:w="531" w:type="pct"/>
            <w:tcBorders>
              <w:top w:val="nil"/>
              <w:left w:val="nil"/>
              <w:bottom w:val="single" w:sz="4" w:space="0" w:color="auto"/>
              <w:right w:val="single" w:sz="4" w:space="0" w:color="auto"/>
            </w:tcBorders>
            <w:vAlign w:val="center"/>
            <w:hideMark/>
          </w:tcPr>
          <w:p w14:paraId="46B1D6F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w:t>
            </w:r>
          </w:p>
        </w:tc>
        <w:tc>
          <w:tcPr>
            <w:tcW w:w="461" w:type="pct"/>
            <w:tcBorders>
              <w:top w:val="nil"/>
              <w:left w:val="nil"/>
              <w:bottom w:val="single" w:sz="4" w:space="0" w:color="auto"/>
              <w:right w:val="single" w:sz="4" w:space="0" w:color="auto"/>
            </w:tcBorders>
            <w:vAlign w:val="center"/>
            <w:hideMark/>
          </w:tcPr>
          <w:p w14:paraId="2F8FDC81"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-50</w:t>
            </w:r>
          </w:p>
        </w:tc>
        <w:tc>
          <w:tcPr>
            <w:tcW w:w="461" w:type="pct"/>
            <w:tcBorders>
              <w:top w:val="nil"/>
              <w:left w:val="nil"/>
              <w:bottom w:val="nil"/>
              <w:right w:val="nil"/>
            </w:tcBorders>
            <w:noWrap/>
            <w:vAlign w:val="bottom"/>
            <w:hideMark/>
          </w:tcPr>
          <w:p w14:paraId="3D0B0B7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6BC4B75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74B9706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0919C81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3D1E7F9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B533DA1"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52898EC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w:t>
            </w:r>
          </w:p>
        </w:tc>
        <w:tc>
          <w:tcPr>
            <w:tcW w:w="577" w:type="pct"/>
            <w:tcBorders>
              <w:top w:val="nil"/>
              <w:left w:val="nil"/>
              <w:bottom w:val="single" w:sz="4" w:space="0" w:color="auto"/>
              <w:right w:val="single" w:sz="4" w:space="0" w:color="auto"/>
            </w:tcBorders>
            <w:vAlign w:val="center"/>
            <w:hideMark/>
          </w:tcPr>
          <w:p w14:paraId="0236C9B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w:t>
            </w:r>
          </w:p>
        </w:tc>
        <w:tc>
          <w:tcPr>
            <w:tcW w:w="531" w:type="pct"/>
            <w:tcBorders>
              <w:top w:val="nil"/>
              <w:left w:val="nil"/>
              <w:bottom w:val="single" w:sz="4" w:space="0" w:color="auto"/>
              <w:right w:val="single" w:sz="4" w:space="0" w:color="auto"/>
            </w:tcBorders>
            <w:vAlign w:val="center"/>
            <w:hideMark/>
          </w:tcPr>
          <w:p w14:paraId="0AE593D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0.9091</w:t>
            </w:r>
          </w:p>
        </w:tc>
        <w:tc>
          <w:tcPr>
            <w:tcW w:w="461" w:type="pct"/>
            <w:tcBorders>
              <w:top w:val="nil"/>
              <w:left w:val="nil"/>
              <w:bottom w:val="single" w:sz="4" w:space="0" w:color="auto"/>
              <w:right w:val="single" w:sz="4" w:space="0" w:color="auto"/>
            </w:tcBorders>
            <w:vAlign w:val="center"/>
            <w:hideMark/>
          </w:tcPr>
          <w:p w14:paraId="2465DD47"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4.55</w:t>
            </w:r>
          </w:p>
        </w:tc>
        <w:tc>
          <w:tcPr>
            <w:tcW w:w="461" w:type="pct"/>
            <w:tcBorders>
              <w:top w:val="nil"/>
              <w:left w:val="nil"/>
              <w:bottom w:val="nil"/>
              <w:right w:val="nil"/>
            </w:tcBorders>
            <w:noWrap/>
            <w:vAlign w:val="bottom"/>
            <w:hideMark/>
          </w:tcPr>
          <w:p w14:paraId="72E6B769"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181724C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4AEBB30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F40C6C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0315831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88AD79E"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73704AB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w:t>
            </w:r>
          </w:p>
        </w:tc>
        <w:tc>
          <w:tcPr>
            <w:tcW w:w="577" w:type="pct"/>
            <w:tcBorders>
              <w:top w:val="nil"/>
              <w:left w:val="nil"/>
              <w:bottom w:val="single" w:sz="4" w:space="0" w:color="auto"/>
              <w:right w:val="single" w:sz="4" w:space="0" w:color="auto"/>
            </w:tcBorders>
            <w:vAlign w:val="center"/>
            <w:hideMark/>
          </w:tcPr>
          <w:p w14:paraId="35F0322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w:t>
            </w:r>
          </w:p>
        </w:tc>
        <w:tc>
          <w:tcPr>
            <w:tcW w:w="531" w:type="pct"/>
            <w:tcBorders>
              <w:top w:val="nil"/>
              <w:left w:val="nil"/>
              <w:bottom w:val="single" w:sz="4" w:space="0" w:color="auto"/>
              <w:right w:val="single" w:sz="4" w:space="0" w:color="auto"/>
            </w:tcBorders>
            <w:vAlign w:val="center"/>
            <w:hideMark/>
          </w:tcPr>
          <w:p w14:paraId="5AC158B0"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0.8264</w:t>
            </w:r>
          </w:p>
        </w:tc>
        <w:tc>
          <w:tcPr>
            <w:tcW w:w="461" w:type="pct"/>
            <w:tcBorders>
              <w:top w:val="nil"/>
              <w:left w:val="nil"/>
              <w:bottom w:val="single" w:sz="4" w:space="0" w:color="auto"/>
              <w:right w:val="single" w:sz="4" w:space="0" w:color="auto"/>
            </w:tcBorders>
            <w:vAlign w:val="center"/>
            <w:hideMark/>
          </w:tcPr>
          <w:p w14:paraId="4674333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8.26</w:t>
            </w:r>
          </w:p>
        </w:tc>
        <w:tc>
          <w:tcPr>
            <w:tcW w:w="461" w:type="pct"/>
            <w:tcBorders>
              <w:top w:val="nil"/>
              <w:left w:val="nil"/>
              <w:bottom w:val="nil"/>
              <w:right w:val="nil"/>
            </w:tcBorders>
            <w:noWrap/>
            <w:vAlign w:val="bottom"/>
            <w:hideMark/>
          </w:tcPr>
          <w:p w14:paraId="72DD0E81"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2582690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704A05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2787FF2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755257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3DF4136F"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517E814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3</w:t>
            </w:r>
          </w:p>
        </w:tc>
        <w:tc>
          <w:tcPr>
            <w:tcW w:w="577" w:type="pct"/>
            <w:tcBorders>
              <w:top w:val="nil"/>
              <w:left w:val="nil"/>
              <w:bottom w:val="single" w:sz="4" w:space="0" w:color="auto"/>
              <w:right w:val="single" w:sz="4" w:space="0" w:color="auto"/>
            </w:tcBorders>
            <w:vAlign w:val="center"/>
            <w:hideMark/>
          </w:tcPr>
          <w:p w14:paraId="7D3208B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20</w:t>
            </w:r>
          </w:p>
        </w:tc>
        <w:tc>
          <w:tcPr>
            <w:tcW w:w="531" w:type="pct"/>
            <w:tcBorders>
              <w:top w:val="nil"/>
              <w:left w:val="nil"/>
              <w:bottom w:val="single" w:sz="4" w:space="0" w:color="auto"/>
              <w:right w:val="single" w:sz="4" w:space="0" w:color="auto"/>
            </w:tcBorders>
            <w:vAlign w:val="center"/>
            <w:hideMark/>
          </w:tcPr>
          <w:p w14:paraId="0385F7E1"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0.7513</w:t>
            </w:r>
          </w:p>
        </w:tc>
        <w:tc>
          <w:tcPr>
            <w:tcW w:w="461" w:type="pct"/>
            <w:tcBorders>
              <w:top w:val="nil"/>
              <w:left w:val="nil"/>
              <w:bottom w:val="single" w:sz="4" w:space="0" w:color="auto"/>
              <w:right w:val="single" w:sz="4" w:space="0" w:color="auto"/>
            </w:tcBorders>
            <w:vAlign w:val="center"/>
            <w:hideMark/>
          </w:tcPr>
          <w:p w14:paraId="458335A6"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15.03</w:t>
            </w:r>
          </w:p>
        </w:tc>
        <w:tc>
          <w:tcPr>
            <w:tcW w:w="461" w:type="pct"/>
            <w:tcBorders>
              <w:top w:val="nil"/>
              <w:left w:val="nil"/>
              <w:bottom w:val="nil"/>
              <w:right w:val="nil"/>
            </w:tcBorders>
            <w:noWrap/>
            <w:vAlign w:val="bottom"/>
            <w:hideMark/>
          </w:tcPr>
          <w:p w14:paraId="55AE0303"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0FB65E8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62557C7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0493F09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3A8290A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133AFC6"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579A6F1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w:t>
            </w:r>
          </w:p>
        </w:tc>
        <w:tc>
          <w:tcPr>
            <w:tcW w:w="577" w:type="pct"/>
            <w:tcBorders>
              <w:top w:val="nil"/>
              <w:left w:val="nil"/>
              <w:bottom w:val="single" w:sz="4" w:space="0" w:color="auto"/>
              <w:right w:val="single" w:sz="4" w:space="0" w:color="auto"/>
            </w:tcBorders>
            <w:vAlign w:val="center"/>
            <w:hideMark/>
          </w:tcPr>
          <w:p w14:paraId="5AA41F5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25</w:t>
            </w:r>
          </w:p>
        </w:tc>
        <w:tc>
          <w:tcPr>
            <w:tcW w:w="531" w:type="pct"/>
            <w:tcBorders>
              <w:top w:val="nil"/>
              <w:left w:val="nil"/>
              <w:bottom w:val="single" w:sz="4" w:space="0" w:color="auto"/>
              <w:right w:val="single" w:sz="4" w:space="0" w:color="auto"/>
            </w:tcBorders>
            <w:vAlign w:val="center"/>
            <w:hideMark/>
          </w:tcPr>
          <w:p w14:paraId="65542F77"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0.683</w:t>
            </w:r>
          </w:p>
        </w:tc>
        <w:tc>
          <w:tcPr>
            <w:tcW w:w="461" w:type="pct"/>
            <w:tcBorders>
              <w:top w:val="nil"/>
              <w:left w:val="nil"/>
              <w:bottom w:val="single" w:sz="4" w:space="0" w:color="auto"/>
              <w:right w:val="single" w:sz="4" w:space="0" w:color="auto"/>
            </w:tcBorders>
            <w:vAlign w:val="center"/>
            <w:hideMark/>
          </w:tcPr>
          <w:p w14:paraId="69ADCBA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17.07</w:t>
            </w:r>
          </w:p>
        </w:tc>
        <w:tc>
          <w:tcPr>
            <w:tcW w:w="461" w:type="pct"/>
            <w:tcBorders>
              <w:top w:val="nil"/>
              <w:left w:val="nil"/>
              <w:bottom w:val="nil"/>
              <w:right w:val="nil"/>
            </w:tcBorders>
            <w:noWrap/>
            <w:vAlign w:val="bottom"/>
            <w:hideMark/>
          </w:tcPr>
          <w:p w14:paraId="4B6AEDA8"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602C290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92E2FE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1BF0ACA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7B1B4BB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4E82256"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16EB1D1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w:t>
            </w:r>
          </w:p>
        </w:tc>
        <w:tc>
          <w:tcPr>
            <w:tcW w:w="577" w:type="pct"/>
            <w:tcBorders>
              <w:top w:val="nil"/>
              <w:left w:val="nil"/>
              <w:bottom w:val="single" w:sz="4" w:space="0" w:color="auto"/>
              <w:right w:val="single" w:sz="4" w:space="0" w:color="auto"/>
            </w:tcBorders>
            <w:vAlign w:val="center"/>
            <w:hideMark/>
          </w:tcPr>
          <w:p w14:paraId="54C8C7B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15</w:t>
            </w:r>
          </w:p>
        </w:tc>
        <w:tc>
          <w:tcPr>
            <w:tcW w:w="531" w:type="pct"/>
            <w:tcBorders>
              <w:top w:val="nil"/>
              <w:left w:val="nil"/>
              <w:bottom w:val="single" w:sz="4" w:space="0" w:color="auto"/>
              <w:right w:val="single" w:sz="4" w:space="0" w:color="auto"/>
            </w:tcBorders>
            <w:vAlign w:val="center"/>
            <w:hideMark/>
          </w:tcPr>
          <w:p w14:paraId="35A36E36"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0.6209</w:t>
            </w:r>
          </w:p>
        </w:tc>
        <w:tc>
          <w:tcPr>
            <w:tcW w:w="461" w:type="pct"/>
            <w:tcBorders>
              <w:top w:val="nil"/>
              <w:left w:val="nil"/>
              <w:bottom w:val="single" w:sz="4" w:space="0" w:color="auto"/>
              <w:right w:val="single" w:sz="4" w:space="0" w:color="auto"/>
            </w:tcBorders>
            <w:vAlign w:val="center"/>
            <w:hideMark/>
          </w:tcPr>
          <w:p w14:paraId="59C7CB35"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9.31</w:t>
            </w:r>
          </w:p>
        </w:tc>
        <w:tc>
          <w:tcPr>
            <w:tcW w:w="461" w:type="pct"/>
            <w:tcBorders>
              <w:top w:val="nil"/>
              <w:left w:val="nil"/>
              <w:bottom w:val="nil"/>
              <w:right w:val="nil"/>
            </w:tcBorders>
            <w:noWrap/>
            <w:vAlign w:val="bottom"/>
            <w:hideMark/>
          </w:tcPr>
          <w:p w14:paraId="60CB95EE" w14:textId="77777777" w:rsidR="00881F5C" w:rsidRPr="0074648E" w:rsidRDefault="00881F5C" w:rsidP="00881F5C">
            <w:pPr>
              <w:spacing w:after="0" w:line="240" w:lineRule="auto"/>
              <w:jc w:val="right"/>
              <w:rPr>
                <w:rFonts w:ascii="Arial" w:eastAsia="Times New Roman" w:hAnsi="Arial" w:cs="Arial"/>
                <w:kern w:val="0"/>
                <w:sz w:val="22"/>
                <w14:ligatures w14:val="none"/>
              </w:rPr>
            </w:pPr>
          </w:p>
        </w:tc>
        <w:tc>
          <w:tcPr>
            <w:tcW w:w="478" w:type="pct"/>
            <w:tcBorders>
              <w:top w:val="nil"/>
              <w:left w:val="nil"/>
              <w:bottom w:val="nil"/>
              <w:right w:val="nil"/>
            </w:tcBorders>
            <w:noWrap/>
            <w:vAlign w:val="bottom"/>
            <w:hideMark/>
          </w:tcPr>
          <w:p w14:paraId="7D43B7F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9F50C7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8EB2E2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3157807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D26740D"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5879ED32"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Totals</w:t>
            </w:r>
          </w:p>
        </w:tc>
        <w:tc>
          <w:tcPr>
            <w:tcW w:w="577" w:type="pct"/>
            <w:tcBorders>
              <w:top w:val="nil"/>
              <w:left w:val="nil"/>
              <w:bottom w:val="single" w:sz="4" w:space="0" w:color="auto"/>
              <w:right w:val="single" w:sz="4" w:space="0" w:color="auto"/>
            </w:tcBorders>
            <w:vAlign w:val="center"/>
            <w:hideMark/>
          </w:tcPr>
          <w:p w14:paraId="588D7A9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46A4F47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4143F5AA"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PV inflows = 54.22</w:t>
            </w:r>
          </w:p>
        </w:tc>
        <w:tc>
          <w:tcPr>
            <w:tcW w:w="461" w:type="pct"/>
            <w:tcBorders>
              <w:top w:val="nil"/>
              <w:left w:val="nil"/>
              <w:bottom w:val="nil"/>
              <w:right w:val="nil"/>
            </w:tcBorders>
            <w:noWrap/>
            <w:vAlign w:val="bottom"/>
            <w:hideMark/>
          </w:tcPr>
          <w:p w14:paraId="67345292"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5D50A6B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7A19C2F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958F51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74C037B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22CF4CA1" w14:textId="77777777" w:rsidTr="00396157">
        <w:trPr>
          <w:trHeight w:val="840"/>
        </w:trPr>
        <w:tc>
          <w:tcPr>
            <w:tcW w:w="1114" w:type="pct"/>
            <w:tcBorders>
              <w:top w:val="nil"/>
              <w:left w:val="single" w:sz="4" w:space="0" w:color="auto"/>
              <w:bottom w:val="single" w:sz="4" w:space="0" w:color="auto"/>
              <w:right w:val="single" w:sz="4" w:space="0" w:color="auto"/>
            </w:tcBorders>
            <w:vAlign w:val="center"/>
            <w:hideMark/>
          </w:tcPr>
          <w:p w14:paraId="173EC0E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77" w:type="pct"/>
            <w:tcBorders>
              <w:top w:val="nil"/>
              <w:left w:val="nil"/>
              <w:bottom w:val="single" w:sz="4" w:space="0" w:color="auto"/>
              <w:right w:val="single" w:sz="4" w:space="0" w:color="auto"/>
            </w:tcBorders>
            <w:vAlign w:val="center"/>
            <w:hideMark/>
          </w:tcPr>
          <w:p w14:paraId="5D7B683C"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625AAB7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4B712D74"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NPV = 54.22 − 50.00 = £4.225m</w:t>
            </w:r>
          </w:p>
        </w:tc>
        <w:tc>
          <w:tcPr>
            <w:tcW w:w="461" w:type="pct"/>
            <w:tcBorders>
              <w:top w:val="nil"/>
              <w:left w:val="nil"/>
              <w:bottom w:val="nil"/>
              <w:right w:val="nil"/>
            </w:tcBorders>
            <w:noWrap/>
            <w:vAlign w:val="bottom"/>
            <w:hideMark/>
          </w:tcPr>
          <w:p w14:paraId="4FE99594"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4F1C31D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07B0241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0B64BE2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32DEA79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3B687C0D"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05BB85FF"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77" w:type="pct"/>
            <w:tcBorders>
              <w:top w:val="nil"/>
              <w:left w:val="nil"/>
              <w:bottom w:val="single" w:sz="4" w:space="0" w:color="auto"/>
              <w:right w:val="single" w:sz="4" w:space="0" w:color="auto"/>
            </w:tcBorders>
            <w:vAlign w:val="center"/>
            <w:hideMark/>
          </w:tcPr>
          <w:p w14:paraId="06104262"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531" w:type="pct"/>
            <w:tcBorders>
              <w:top w:val="nil"/>
              <w:left w:val="nil"/>
              <w:bottom w:val="single" w:sz="4" w:space="0" w:color="auto"/>
              <w:right w:val="single" w:sz="4" w:space="0" w:color="auto"/>
            </w:tcBorders>
            <w:vAlign w:val="center"/>
            <w:hideMark/>
          </w:tcPr>
          <w:p w14:paraId="38CF6CA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w:t>
            </w:r>
          </w:p>
        </w:tc>
        <w:tc>
          <w:tcPr>
            <w:tcW w:w="461" w:type="pct"/>
            <w:tcBorders>
              <w:top w:val="nil"/>
              <w:left w:val="nil"/>
              <w:bottom w:val="single" w:sz="4" w:space="0" w:color="auto"/>
              <w:right w:val="single" w:sz="4" w:space="0" w:color="auto"/>
            </w:tcBorders>
            <w:vAlign w:val="center"/>
            <w:hideMark/>
          </w:tcPr>
          <w:p w14:paraId="08887F0B"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PI = 54.22 / 50.00 = 1.085</w:t>
            </w:r>
          </w:p>
        </w:tc>
        <w:tc>
          <w:tcPr>
            <w:tcW w:w="461" w:type="pct"/>
            <w:tcBorders>
              <w:top w:val="nil"/>
              <w:left w:val="nil"/>
              <w:bottom w:val="nil"/>
              <w:right w:val="nil"/>
            </w:tcBorders>
            <w:noWrap/>
            <w:vAlign w:val="bottom"/>
            <w:hideMark/>
          </w:tcPr>
          <w:p w14:paraId="777E6ED5"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78" w:type="pct"/>
            <w:tcBorders>
              <w:top w:val="nil"/>
              <w:left w:val="nil"/>
              <w:bottom w:val="nil"/>
              <w:right w:val="nil"/>
            </w:tcBorders>
            <w:noWrap/>
            <w:vAlign w:val="bottom"/>
            <w:hideMark/>
          </w:tcPr>
          <w:p w14:paraId="486ED72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5F4154C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685E2D0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7FF37F52"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56B5757F" w14:textId="77777777" w:rsidTr="00396157">
        <w:trPr>
          <w:trHeight w:val="310"/>
        </w:trPr>
        <w:tc>
          <w:tcPr>
            <w:tcW w:w="1114" w:type="pct"/>
            <w:tcBorders>
              <w:top w:val="nil"/>
              <w:left w:val="nil"/>
              <w:bottom w:val="nil"/>
              <w:right w:val="nil"/>
            </w:tcBorders>
            <w:noWrap/>
            <w:vAlign w:val="bottom"/>
            <w:hideMark/>
          </w:tcPr>
          <w:p w14:paraId="326BE3F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577" w:type="pct"/>
            <w:tcBorders>
              <w:top w:val="nil"/>
              <w:left w:val="nil"/>
              <w:bottom w:val="nil"/>
              <w:right w:val="nil"/>
            </w:tcBorders>
            <w:noWrap/>
            <w:vAlign w:val="bottom"/>
            <w:hideMark/>
          </w:tcPr>
          <w:p w14:paraId="7014CA5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531" w:type="pct"/>
            <w:tcBorders>
              <w:top w:val="nil"/>
              <w:left w:val="nil"/>
              <w:bottom w:val="nil"/>
              <w:right w:val="nil"/>
            </w:tcBorders>
            <w:noWrap/>
            <w:vAlign w:val="bottom"/>
            <w:hideMark/>
          </w:tcPr>
          <w:p w14:paraId="68A2C55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4778954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7804CC3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6B1B55F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2BE961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48FC4D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0A7F74E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2A0AF42" w14:textId="77777777" w:rsidTr="00396157">
        <w:trPr>
          <w:trHeight w:val="310"/>
        </w:trPr>
        <w:tc>
          <w:tcPr>
            <w:tcW w:w="1114" w:type="pct"/>
            <w:tcBorders>
              <w:top w:val="single" w:sz="4" w:space="0" w:color="auto"/>
              <w:left w:val="single" w:sz="4" w:space="0" w:color="auto"/>
              <w:bottom w:val="single" w:sz="4" w:space="0" w:color="auto"/>
              <w:right w:val="single" w:sz="4" w:space="0" w:color="auto"/>
            </w:tcBorders>
            <w:noWrap/>
            <w:vAlign w:val="bottom"/>
            <w:hideMark/>
          </w:tcPr>
          <w:p w14:paraId="0A697B55"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Payback Period Calculation</w:t>
            </w:r>
          </w:p>
        </w:tc>
        <w:tc>
          <w:tcPr>
            <w:tcW w:w="577" w:type="pct"/>
            <w:tcBorders>
              <w:top w:val="single" w:sz="4" w:space="0" w:color="auto"/>
              <w:left w:val="nil"/>
              <w:bottom w:val="single" w:sz="4" w:space="0" w:color="auto"/>
              <w:right w:val="single" w:sz="4" w:space="0" w:color="auto"/>
            </w:tcBorders>
            <w:noWrap/>
            <w:vAlign w:val="bottom"/>
            <w:hideMark/>
          </w:tcPr>
          <w:p w14:paraId="0BAD1877"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31" w:type="pct"/>
            <w:tcBorders>
              <w:top w:val="single" w:sz="4" w:space="0" w:color="auto"/>
              <w:left w:val="nil"/>
              <w:bottom w:val="single" w:sz="4" w:space="0" w:color="auto"/>
              <w:right w:val="single" w:sz="4" w:space="0" w:color="auto"/>
            </w:tcBorders>
            <w:noWrap/>
            <w:vAlign w:val="bottom"/>
            <w:hideMark/>
          </w:tcPr>
          <w:p w14:paraId="0A9043A2"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single" w:sz="4" w:space="0" w:color="auto"/>
              <w:left w:val="nil"/>
              <w:bottom w:val="single" w:sz="4" w:space="0" w:color="auto"/>
              <w:right w:val="single" w:sz="4" w:space="0" w:color="auto"/>
            </w:tcBorders>
            <w:noWrap/>
            <w:vAlign w:val="bottom"/>
            <w:hideMark/>
          </w:tcPr>
          <w:p w14:paraId="5B7F4C61"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single" w:sz="4" w:space="0" w:color="auto"/>
              <w:left w:val="nil"/>
              <w:bottom w:val="single" w:sz="4" w:space="0" w:color="auto"/>
              <w:right w:val="single" w:sz="4" w:space="0" w:color="auto"/>
            </w:tcBorders>
            <w:noWrap/>
            <w:vAlign w:val="bottom"/>
            <w:hideMark/>
          </w:tcPr>
          <w:p w14:paraId="3DA21DB9"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78" w:type="pct"/>
            <w:tcBorders>
              <w:top w:val="single" w:sz="4" w:space="0" w:color="auto"/>
              <w:left w:val="nil"/>
              <w:bottom w:val="single" w:sz="4" w:space="0" w:color="auto"/>
              <w:right w:val="single" w:sz="4" w:space="0" w:color="auto"/>
            </w:tcBorders>
            <w:noWrap/>
            <w:vAlign w:val="bottom"/>
            <w:hideMark/>
          </w:tcPr>
          <w:p w14:paraId="0F5B1F0C"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single" w:sz="4" w:space="0" w:color="auto"/>
              <w:left w:val="nil"/>
              <w:bottom w:val="single" w:sz="4" w:space="0" w:color="auto"/>
              <w:right w:val="single" w:sz="4" w:space="0" w:color="auto"/>
            </w:tcBorders>
            <w:noWrap/>
            <w:vAlign w:val="bottom"/>
            <w:hideMark/>
          </w:tcPr>
          <w:p w14:paraId="35C2C4DC"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97" w:type="pct"/>
            <w:tcBorders>
              <w:top w:val="nil"/>
              <w:left w:val="nil"/>
              <w:bottom w:val="nil"/>
              <w:right w:val="nil"/>
            </w:tcBorders>
            <w:noWrap/>
            <w:vAlign w:val="bottom"/>
            <w:hideMark/>
          </w:tcPr>
          <w:p w14:paraId="0C06F9ED" w14:textId="77777777" w:rsidR="00881F5C" w:rsidRPr="0074648E" w:rsidRDefault="00881F5C" w:rsidP="00881F5C">
            <w:pPr>
              <w:spacing w:after="0" w:line="240" w:lineRule="auto"/>
              <w:jc w:val="left"/>
              <w:rPr>
                <w:rFonts w:ascii="Arial" w:eastAsia="Times New Roman" w:hAnsi="Arial" w:cs="Arial"/>
                <w:kern w:val="0"/>
                <w:szCs w:val="24"/>
                <w14:ligatures w14:val="none"/>
              </w:rPr>
            </w:pPr>
          </w:p>
        </w:tc>
        <w:tc>
          <w:tcPr>
            <w:tcW w:w="421" w:type="pct"/>
            <w:tcBorders>
              <w:top w:val="nil"/>
              <w:left w:val="nil"/>
              <w:bottom w:val="nil"/>
              <w:right w:val="nil"/>
            </w:tcBorders>
            <w:noWrap/>
            <w:vAlign w:val="bottom"/>
            <w:hideMark/>
          </w:tcPr>
          <w:p w14:paraId="02AEAFF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1B6E987" w14:textId="77777777" w:rsidTr="00396157">
        <w:trPr>
          <w:trHeight w:val="1120"/>
        </w:trPr>
        <w:tc>
          <w:tcPr>
            <w:tcW w:w="1114" w:type="pct"/>
            <w:tcBorders>
              <w:top w:val="nil"/>
              <w:left w:val="single" w:sz="4" w:space="0" w:color="auto"/>
              <w:bottom w:val="single" w:sz="4" w:space="0" w:color="auto"/>
              <w:right w:val="single" w:sz="4" w:space="0" w:color="auto"/>
            </w:tcBorders>
            <w:vAlign w:val="center"/>
            <w:hideMark/>
          </w:tcPr>
          <w:p w14:paraId="6970305F"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Project</w:t>
            </w:r>
          </w:p>
        </w:tc>
        <w:tc>
          <w:tcPr>
            <w:tcW w:w="577" w:type="pct"/>
            <w:tcBorders>
              <w:top w:val="nil"/>
              <w:left w:val="nil"/>
              <w:bottom w:val="single" w:sz="4" w:space="0" w:color="auto"/>
              <w:right w:val="single" w:sz="4" w:space="0" w:color="auto"/>
            </w:tcBorders>
            <w:vAlign w:val="center"/>
            <w:hideMark/>
          </w:tcPr>
          <w:p w14:paraId="0FFCA29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Initial Outlay (£m)</w:t>
            </w:r>
          </w:p>
        </w:tc>
        <w:tc>
          <w:tcPr>
            <w:tcW w:w="531" w:type="pct"/>
            <w:tcBorders>
              <w:top w:val="nil"/>
              <w:left w:val="nil"/>
              <w:bottom w:val="single" w:sz="4" w:space="0" w:color="auto"/>
              <w:right w:val="single" w:sz="4" w:space="0" w:color="auto"/>
            </w:tcBorders>
            <w:vAlign w:val="center"/>
            <w:hideMark/>
          </w:tcPr>
          <w:p w14:paraId="69F67D9A"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Year When Cumulative Turns Positive</w:t>
            </w:r>
          </w:p>
        </w:tc>
        <w:tc>
          <w:tcPr>
            <w:tcW w:w="461" w:type="pct"/>
            <w:tcBorders>
              <w:top w:val="nil"/>
              <w:left w:val="nil"/>
              <w:bottom w:val="single" w:sz="4" w:space="0" w:color="auto"/>
              <w:right w:val="single" w:sz="4" w:space="0" w:color="auto"/>
            </w:tcBorders>
            <w:vAlign w:val="center"/>
            <w:hideMark/>
          </w:tcPr>
          <w:p w14:paraId="303D7BBA"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Shortfall Just Before That Year (£m)</w:t>
            </w:r>
          </w:p>
        </w:tc>
        <w:tc>
          <w:tcPr>
            <w:tcW w:w="461" w:type="pct"/>
            <w:tcBorders>
              <w:top w:val="nil"/>
              <w:left w:val="nil"/>
              <w:bottom w:val="single" w:sz="4" w:space="0" w:color="auto"/>
              <w:right w:val="single" w:sz="4" w:space="0" w:color="auto"/>
            </w:tcBorders>
            <w:vAlign w:val="center"/>
            <w:hideMark/>
          </w:tcPr>
          <w:p w14:paraId="41C04EEF"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Cash Inflow In That Year (£m)</w:t>
            </w:r>
          </w:p>
        </w:tc>
        <w:tc>
          <w:tcPr>
            <w:tcW w:w="478" w:type="pct"/>
            <w:tcBorders>
              <w:top w:val="nil"/>
              <w:left w:val="nil"/>
              <w:bottom w:val="single" w:sz="4" w:space="0" w:color="auto"/>
              <w:right w:val="single" w:sz="4" w:space="0" w:color="auto"/>
            </w:tcBorders>
            <w:vAlign w:val="center"/>
            <w:hideMark/>
          </w:tcPr>
          <w:p w14:paraId="09A101CA"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Fraction of Year to Recover Shortfall</w:t>
            </w:r>
          </w:p>
        </w:tc>
        <w:tc>
          <w:tcPr>
            <w:tcW w:w="461" w:type="pct"/>
            <w:tcBorders>
              <w:top w:val="nil"/>
              <w:left w:val="nil"/>
              <w:bottom w:val="single" w:sz="4" w:space="0" w:color="auto"/>
              <w:right w:val="single" w:sz="4" w:space="0" w:color="auto"/>
            </w:tcBorders>
            <w:vAlign w:val="center"/>
            <w:hideMark/>
          </w:tcPr>
          <w:p w14:paraId="00CE697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Payback Period (Years)</w:t>
            </w:r>
          </w:p>
        </w:tc>
        <w:tc>
          <w:tcPr>
            <w:tcW w:w="497" w:type="pct"/>
            <w:tcBorders>
              <w:top w:val="nil"/>
              <w:left w:val="nil"/>
              <w:bottom w:val="nil"/>
              <w:right w:val="nil"/>
            </w:tcBorders>
            <w:noWrap/>
            <w:vAlign w:val="bottom"/>
            <w:hideMark/>
          </w:tcPr>
          <w:p w14:paraId="09B1C8B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046DC1F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203DDD30"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61299221"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A</w:t>
            </w:r>
          </w:p>
        </w:tc>
        <w:tc>
          <w:tcPr>
            <w:tcW w:w="577" w:type="pct"/>
            <w:tcBorders>
              <w:top w:val="nil"/>
              <w:left w:val="nil"/>
              <w:bottom w:val="single" w:sz="4" w:space="0" w:color="auto"/>
              <w:right w:val="single" w:sz="4" w:space="0" w:color="auto"/>
            </w:tcBorders>
            <w:vAlign w:val="center"/>
            <w:hideMark/>
          </w:tcPr>
          <w:p w14:paraId="12D7F96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40</w:t>
            </w:r>
          </w:p>
        </w:tc>
        <w:tc>
          <w:tcPr>
            <w:tcW w:w="531" w:type="pct"/>
            <w:tcBorders>
              <w:top w:val="nil"/>
              <w:left w:val="nil"/>
              <w:bottom w:val="single" w:sz="4" w:space="0" w:color="auto"/>
              <w:right w:val="single" w:sz="4" w:space="0" w:color="auto"/>
            </w:tcBorders>
            <w:vAlign w:val="center"/>
            <w:hideMark/>
          </w:tcPr>
          <w:p w14:paraId="0287014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Year 4</w:t>
            </w:r>
          </w:p>
        </w:tc>
        <w:tc>
          <w:tcPr>
            <w:tcW w:w="461" w:type="pct"/>
            <w:tcBorders>
              <w:top w:val="nil"/>
              <w:left w:val="nil"/>
              <w:bottom w:val="single" w:sz="4" w:space="0" w:color="auto"/>
              <w:right w:val="single" w:sz="4" w:space="0" w:color="auto"/>
            </w:tcBorders>
            <w:vAlign w:val="center"/>
            <w:hideMark/>
          </w:tcPr>
          <w:p w14:paraId="104941D0"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w:t>
            </w:r>
          </w:p>
        </w:tc>
        <w:tc>
          <w:tcPr>
            <w:tcW w:w="461" w:type="pct"/>
            <w:tcBorders>
              <w:top w:val="nil"/>
              <w:left w:val="nil"/>
              <w:bottom w:val="single" w:sz="4" w:space="0" w:color="auto"/>
              <w:right w:val="single" w:sz="4" w:space="0" w:color="auto"/>
            </w:tcBorders>
            <w:vAlign w:val="center"/>
            <w:hideMark/>
          </w:tcPr>
          <w:p w14:paraId="656E7871"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w:t>
            </w:r>
          </w:p>
        </w:tc>
        <w:tc>
          <w:tcPr>
            <w:tcW w:w="478" w:type="pct"/>
            <w:tcBorders>
              <w:top w:val="nil"/>
              <w:left w:val="nil"/>
              <w:bottom w:val="single" w:sz="4" w:space="0" w:color="auto"/>
              <w:right w:val="single" w:sz="4" w:space="0" w:color="auto"/>
            </w:tcBorders>
            <w:vAlign w:val="center"/>
            <w:hideMark/>
          </w:tcPr>
          <w:p w14:paraId="5A0F7A8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xml:space="preserve">4/10 = </w:t>
            </w:r>
            <w:r w:rsidRPr="0074648E">
              <w:rPr>
                <w:rFonts w:ascii="Arial" w:eastAsia="Times New Roman" w:hAnsi="Arial" w:cs="Arial"/>
                <w:b/>
                <w:bCs/>
                <w:kern w:val="0"/>
                <w:sz w:val="22"/>
                <w14:ligatures w14:val="none"/>
              </w:rPr>
              <w:t>0.40</w:t>
            </w:r>
          </w:p>
        </w:tc>
        <w:tc>
          <w:tcPr>
            <w:tcW w:w="461" w:type="pct"/>
            <w:tcBorders>
              <w:top w:val="nil"/>
              <w:left w:val="nil"/>
              <w:bottom w:val="single" w:sz="4" w:space="0" w:color="auto"/>
              <w:right w:val="single" w:sz="4" w:space="0" w:color="auto"/>
            </w:tcBorders>
            <w:vAlign w:val="center"/>
            <w:hideMark/>
          </w:tcPr>
          <w:p w14:paraId="1EDBF046"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3.4</w:t>
            </w:r>
          </w:p>
        </w:tc>
        <w:tc>
          <w:tcPr>
            <w:tcW w:w="497" w:type="pct"/>
            <w:tcBorders>
              <w:top w:val="nil"/>
              <w:left w:val="nil"/>
              <w:bottom w:val="nil"/>
              <w:right w:val="nil"/>
            </w:tcBorders>
            <w:noWrap/>
            <w:vAlign w:val="bottom"/>
            <w:hideMark/>
          </w:tcPr>
          <w:p w14:paraId="769D6A7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100B6567"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7F574FB2"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005B39D5"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B</w:t>
            </w:r>
          </w:p>
        </w:tc>
        <w:tc>
          <w:tcPr>
            <w:tcW w:w="577" w:type="pct"/>
            <w:tcBorders>
              <w:top w:val="nil"/>
              <w:left w:val="nil"/>
              <w:bottom w:val="single" w:sz="4" w:space="0" w:color="auto"/>
              <w:right w:val="single" w:sz="4" w:space="0" w:color="auto"/>
            </w:tcBorders>
            <w:vAlign w:val="center"/>
            <w:hideMark/>
          </w:tcPr>
          <w:p w14:paraId="46C6471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30</w:t>
            </w:r>
          </w:p>
        </w:tc>
        <w:tc>
          <w:tcPr>
            <w:tcW w:w="531" w:type="pct"/>
            <w:tcBorders>
              <w:top w:val="nil"/>
              <w:left w:val="nil"/>
              <w:bottom w:val="single" w:sz="4" w:space="0" w:color="auto"/>
              <w:right w:val="single" w:sz="4" w:space="0" w:color="auto"/>
            </w:tcBorders>
            <w:vAlign w:val="center"/>
            <w:hideMark/>
          </w:tcPr>
          <w:p w14:paraId="3FA3203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Year 5 (end)</w:t>
            </w:r>
          </w:p>
        </w:tc>
        <w:tc>
          <w:tcPr>
            <w:tcW w:w="461" w:type="pct"/>
            <w:tcBorders>
              <w:top w:val="nil"/>
              <w:left w:val="nil"/>
              <w:bottom w:val="single" w:sz="4" w:space="0" w:color="auto"/>
              <w:right w:val="single" w:sz="4" w:space="0" w:color="auto"/>
            </w:tcBorders>
            <w:vAlign w:val="center"/>
            <w:hideMark/>
          </w:tcPr>
          <w:p w14:paraId="7017CFC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461" w:type="pct"/>
            <w:tcBorders>
              <w:top w:val="nil"/>
              <w:left w:val="nil"/>
              <w:bottom w:val="single" w:sz="4" w:space="0" w:color="auto"/>
              <w:right w:val="single" w:sz="4" w:space="0" w:color="auto"/>
            </w:tcBorders>
            <w:vAlign w:val="center"/>
            <w:hideMark/>
          </w:tcPr>
          <w:p w14:paraId="5C8B9B93"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478" w:type="pct"/>
            <w:tcBorders>
              <w:top w:val="nil"/>
              <w:left w:val="nil"/>
              <w:bottom w:val="single" w:sz="4" w:space="0" w:color="auto"/>
              <w:right w:val="single" w:sz="4" w:space="0" w:color="auto"/>
            </w:tcBorders>
            <w:vAlign w:val="center"/>
            <w:hideMark/>
          </w:tcPr>
          <w:p w14:paraId="72DC47EA"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xml:space="preserve">6/6 = </w:t>
            </w:r>
            <w:r w:rsidRPr="0074648E">
              <w:rPr>
                <w:rFonts w:ascii="Arial" w:eastAsia="Times New Roman" w:hAnsi="Arial" w:cs="Arial"/>
                <w:b/>
                <w:bCs/>
                <w:kern w:val="0"/>
                <w:sz w:val="22"/>
                <w14:ligatures w14:val="none"/>
              </w:rPr>
              <w:t>1.00</w:t>
            </w:r>
          </w:p>
        </w:tc>
        <w:tc>
          <w:tcPr>
            <w:tcW w:w="461" w:type="pct"/>
            <w:tcBorders>
              <w:top w:val="nil"/>
              <w:left w:val="nil"/>
              <w:bottom w:val="single" w:sz="4" w:space="0" w:color="auto"/>
              <w:right w:val="single" w:sz="4" w:space="0" w:color="auto"/>
            </w:tcBorders>
            <w:vAlign w:val="center"/>
            <w:hideMark/>
          </w:tcPr>
          <w:p w14:paraId="07BFE355"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5</w:t>
            </w:r>
          </w:p>
        </w:tc>
        <w:tc>
          <w:tcPr>
            <w:tcW w:w="497" w:type="pct"/>
            <w:tcBorders>
              <w:top w:val="nil"/>
              <w:left w:val="nil"/>
              <w:bottom w:val="nil"/>
              <w:right w:val="nil"/>
            </w:tcBorders>
            <w:noWrap/>
            <w:vAlign w:val="bottom"/>
            <w:hideMark/>
          </w:tcPr>
          <w:p w14:paraId="6780E927"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577D5CA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5514257"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53995D3E"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lastRenderedPageBreak/>
              <w:t>C</w:t>
            </w:r>
          </w:p>
        </w:tc>
        <w:tc>
          <w:tcPr>
            <w:tcW w:w="577" w:type="pct"/>
            <w:tcBorders>
              <w:top w:val="nil"/>
              <w:left w:val="nil"/>
              <w:bottom w:val="single" w:sz="4" w:space="0" w:color="auto"/>
              <w:right w:val="single" w:sz="4" w:space="0" w:color="auto"/>
            </w:tcBorders>
            <w:vAlign w:val="center"/>
            <w:hideMark/>
          </w:tcPr>
          <w:p w14:paraId="3D9AFDD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50</w:t>
            </w:r>
          </w:p>
        </w:tc>
        <w:tc>
          <w:tcPr>
            <w:tcW w:w="531" w:type="pct"/>
            <w:tcBorders>
              <w:top w:val="nil"/>
              <w:left w:val="nil"/>
              <w:bottom w:val="single" w:sz="4" w:space="0" w:color="auto"/>
              <w:right w:val="single" w:sz="4" w:space="0" w:color="auto"/>
            </w:tcBorders>
            <w:vAlign w:val="center"/>
            <w:hideMark/>
          </w:tcPr>
          <w:p w14:paraId="7E093E00"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Year 4</w:t>
            </w:r>
          </w:p>
        </w:tc>
        <w:tc>
          <w:tcPr>
            <w:tcW w:w="461" w:type="pct"/>
            <w:tcBorders>
              <w:top w:val="nil"/>
              <w:left w:val="nil"/>
              <w:bottom w:val="single" w:sz="4" w:space="0" w:color="auto"/>
              <w:right w:val="single" w:sz="4" w:space="0" w:color="auto"/>
            </w:tcBorders>
            <w:vAlign w:val="center"/>
            <w:hideMark/>
          </w:tcPr>
          <w:p w14:paraId="439C93D7"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15</w:t>
            </w:r>
          </w:p>
        </w:tc>
        <w:tc>
          <w:tcPr>
            <w:tcW w:w="461" w:type="pct"/>
            <w:tcBorders>
              <w:top w:val="nil"/>
              <w:left w:val="nil"/>
              <w:bottom w:val="single" w:sz="4" w:space="0" w:color="auto"/>
              <w:right w:val="single" w:sz="4" w:space="0" w:color="auto"/>
            </w:tcBorders>
            <w:vAlign w:val="center"/>
            <w:hideMark/>
          </w:tcPr>
          <w:p w14:paraId="68E07319"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25</w:t>
            </w:r>
          </w:p>
        </w:tc>
        <w:tc>
          <w:tcPr>
            <w:tcW w:w="478" w:type="pct"/>
            <w:tcBorders>
              <w:top w:val="nil"/>
              <w:left w:val="nil"/>
              <w:bottom w:val="single" w:sz="4" w:space="0" w:color="auto"/>
              <w:right w:val="single" w:sz="4" w:space="0" w:color="auto"/>
            </w:tcBorders>
            <w:vAlign w:val="center"/>
            <w:hideMark/>
          </w:tcPr>
          <w:p w14:paraId="05AC77A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 xml:space="preserve">15/25 = </w:t>
            </w:r>
            <w:r w:rsidRPr="0074648E">
              <w:rPr>
                <w:rFonts w:ascii="Arial" w:eastAsia="Times New Roman" w:hAnsi="Arial" w:cs="Arial"/>
                <w:b/>
                <w:bCs/>
                <w:kern w:val="0"/>
                <w:sz w:val="22"/>
                <w14:ligatures w14:val="none"/>
              </w:rPr>
              <w:t>0.60</w:t>
            </w:r>
          </w:p>
        </w:tc>
        <w:tc>
          <w:tcPr>
            <w:tcW w:w="461" w:type="pct"/>
            <w:tcBorders>
              <w:top w:val="nil"/>
              <w:left w:val="nil"/>
              <w:bottom w:val="single" w:sz="4" w:space="0" w:color="auto"/>
              <w:right w:val="single" w:sz="4" w:space="0" w:color="auto"/>
            </w:tcBorders>
            <w:vAlign w:val="center"/>
            <w:hideMark/>
          </w:tcPr>
          <w:p w14:paraId="4477E96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3.6</w:t>
            </w:r>
          </w:p>
        </w:tc>
        <w:tc>
          <w:tcPr>
            <w:tcW w:w="497" w:type="pct"/>
            <w:tcBorders>
              <w:top w:val="nil"/>
              <w:left w:val="nil"/>
              <w:bottom w:val="nil"/>
              <w:right w:val="nil"/>
            </w:tcBorders>
            <w:noWrap/>
            <w:vAlign w:val="bottom"/>
            <w:hideMark/>
          </w:tcPr>
          <w:p w14:paraId="47423883"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527ECB7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6126DA77" w14:textId="77777777" w:rsidTr="00396157">
        <w:trPr>
          <w:trHeight w:val="310"/>
        </w:trPr>
        <w:tc>
          <w:tcPr>
            <w:tcW w:w="1114" w:type="pct"/>
            <w:tcBorders>
              <w:top w:val="nil"/>
              <w:left w:val="single" w:sz="4" w:space="0" w:color="auto"/>
              <w:bottom w:val="single" w:sz="4" w:space="0" w:color="auto"/>
              <w:right w:val="single" w:sz="4" w:space="0" w:color="auto"/>
            </w:tcBorders>
            <w:noWrap/>
            <w:vAlign w:val="bottom"/>
            <w:hideMark/>
          </w:tcPr>
          <w:p w14:paraId="796AEBD4"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77" w:type="pct"/>
            <w:tcBorders>
              <w:top w:val="nil"/>
              <w:left w:val="nil"/>
              <w:bottom w:val="single" w:sz="4" w:space="0" w:color="auto"/>
              <w:right w:val="single" w:sz="4" w:space="0" w:color="auto"/>
            </w:tcBorders>
            <w:noWrap/>
            <w:vAlign w:val="bottom"/>
            <w:hideMark/>
          </w:tcPr>
          <w:p w14:paraId="15E61742"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31" w:type="pct"/>
            <w:tcBorders>
              <w:top w:val="nil"/>
              <w:left w:val="nil"/>
              <w:bottom w:val="single" w:sz="4" w:space="0" w:color="auto"/>
              <w:right w:val="single" w:sz="4" w:space="0" w:color="auto"/>
            </w:tcBorders>
            <w:noWrap/>
            <w:vAlign w:val="bottom"/>
            <w:hideMark/>
          </w:tcPr>
          <w:p w14:paraId="3717008A"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087C8581"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2C1A5166"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78" w:type="pct"/>
            <w:tcBorders>
              <w:top w:val="nil"/>
              <w:left w:val="nil"/>
              <w:bottom w:val="single" w:sz="4" w:space="0" w:color="auto"/>
              <w:right w:val="single" w:sz="4" w:space="0" w:color="auto"/>
            </w:tcBorders>
            <w:noWrap/>
            <w:vAlign w:val="bottom"/>
            <w:hideMark/>
          </w:tcPr>
          <w:p w14:paraId="08B17DFD"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1C3B14C6"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97" w:type="pct"/>
            <w:tcBorders>
              <w:top w:val="nil"/>
              <w:left w:val="nil"/>
              <w:bottom w:val="nil"/>
              <w:right w:val="nil"/>
            </w:tcBorders>
            <w:noWrap/>
            <w:vAlign w:val="bottom"/>
            <w:hideMark/>
          </w:tcPr>
          <w:p w14:paraId="2198BCCF" w14:textId="77777777" w:rsidR="00881F5C" w:rsidRPr="0074648E" w:rsidRDefault="00881F5C" w:rsidP="00881F5C">
            <w:pPr>
              <w:spacing w:after="0" w:line="240" w:lineRule="auto"/>
              <w:jc w:val="left"/>
              <w:rPr>
                <w:rFonts w:ascii="Arial" w:eastAsia="Times New Roman" w:hAnsi="Arial" w:cs="Arial"/>
                <w:kern w:val="0"/>
                <w:szCs w:val="24"/>
                <w14:ligatures w14:val="none"/>
              </w:rPr>
            </w:pPr>
          </w:p>
        </w:tc>
        <w:tc>
          <w:tcPr>
            <w:tcW w:w="421" w:type="pct"/>
            <w:tcBorders>
              <w:top w:val="nil"/>
              <w:left w:val="nil"/>
              <w:bottom w:val="nil"/>
              <w:right w:val="nil"/>
            </w:tcBorders>
            <w:noWrap/>
            <w:vAlign w:val="bottom"/>
            <w:hideMark/>
          </w:tcPr>
          <w:p w14:paraId="7B90129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3CAD14F1" w14:textId="77777777" w:rsidTr="00396157">
        <w:trPr>
          <w:trHeight w:val="310"/>
        </w:trPr>
        <w:tc>
          <w:tcPr>
            <w:tcW w:w="1114" w:type="pct"/>
            <w:tcBorders>
              <w:top w:val="nil"/>
              <w:left w:val="single" w:sz="4" w:space="0" w:color="auto"/>
              <w:bottom w:val="single" w:sz="4" w:space="0" w:color="auto"/>
              <w:right w:val="single" w:sz="4" w:space="0" w:color="auto"/>
            </w:tcBorders>
            <w:noWrap/>
            <w:vAlign w:val="bottom"/>
            <w:hideMark/>
          </w:tcPr>
          <w:p w14:paraId="2A97E15F" w14:textId="77777777" w:rsidR="00881F5C" w:rsidRPr="0074648E" w:rsidRDefault="00881F5C" w:rsidP="00881F5C">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ARR Calculation</w:t>
            </w:r>
          </w:p>
        </w:tc>
        <w:tc>
          <w:tcPr>
            <w:tcW w:w="577" w:type="pct"/>
            <w:tcBorders>
              <w:top w:val="nil"/>
              <w:left w:val="nil"/>
              <w:bottom w:val="single" w:sz="4" w:space="0" w:color="auto"/>
              <w:right w:val="single" w:sz="4" w:space="0" w:color="auto"/>
            </w:tcBorders>
            <w:noWrap/>
            <w:vAlign w:val="bottom"/>
            <w:hideMark/>
          </w:tcPr>
          <w:p w14:paraId="1FADC0B2"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31" w:type="pct"/>
            <w:tcBorders>
              <w:top w:val="nil"/>
              <w:left w:val="nil"/>
              <w:bottom w:val="single" w:sz="4" w:space="0" w:color="auto"/>
              <w:right w:val="single" w:sz="4" w:space="0" w:color="auto"/>
            </w:tcBorders>
            <w:noWrap/>
            <w:vAlign w:val="bottom"/>
            <w:hideMark/>
          </w:tcPr>
          <w:p w14:paraId="67C63591"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3A01F1C3"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77A4A9DE"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78" w:type="pct"/>
            <w:tcBorders>
              <w:top w:val="nil"/>
              <w:left w:val="nil"/>
              <w:bottom w:val="single" w:sz="4" w:space="0" w:color="auto"/>
              <w:right w:val="single" w:sz="4" w:space="0" w:color="auto"/>
            </w:tcBorders>
            <w:noWrap/>
            <w:vAlign w:val="bottom"/>
            <w:hideMark/>
          </w:tcPr>
          <w:p w14:paraId="0315964C"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single" w:sz="4" w:space="0" w:color="auto"/>
              <w:right w:val="single" w:sz="4" w:space="0" w:color="auto"/>
            </w:tcBorders>
            <w:noWrap/>
            <w:vAlign w:val="bottom"/>
            <w:hideMark/>
          </w:tcPr>
          <w:p w14:paraId="6E33A3C5"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97" w:type="pct"/>
            <w:tcBorders>
              <w:top w:val="nil"/>
              <w:left w:val="nil"/>
              <w:bottom w:val="nil"/>
              <w:right w:val="nil"/>
            </w:tcBorders>
            <w:noWrap/>
            <w:vAlign w:val="bottom"/>
            <w:hideMark/>
          </w:tcPr>
          <w:p w14:paraId="4E1EA551" w14:textId="77777777" w:rsidR="00881F5C" w:rsidRPr="0074648E" w:rsidRDefault="00881F5C" w:rsidP="00881F5C">
            <w:pPr>
              <w:spacing w:after="0" w:line="240" w:lineRule="auto"/>
              <w:jc w:val="left"/>
              <w:rPr>
                <w:rFonts w:ascii="Arial" w:eastAsia="Times New Roman" w:hAnsi="Arial" w:cs="Arial"/>
                <w:kern w:val="0"/>
                <w:szCs w:val="24"/>
                <w14:ligatures w14:val="none"/>
              </w:rPr>
            </w:pPr>
          </w:p>
        </w:tc>
        <w:tc>
          <w:tcPr>
            <w:tcW w:w="421" w:type="pct"/>
            <w:tcBorders>
              <w:top w:val="nil"/>
              <w:left w:val="nil"/>
              <w:bottom w:val="nil"/>
              <w:right w:val="nil"/>
            </w:tcBorders>
            <w:noWrap/>
            <w:vAlign w:val="bottom"/>
            <w:hideMark/>
          </w:tcPr>
          <w:p w14:paraId="08B902C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DA12994" w14:textId="77777777" w:rsidTr="00396157">
        <w:trPr>
          <w:trHeight w:val="840"/>
        </w:trPr>
        <w:tc>
          <w:tcPr>
            <w:tcW w:w="1114" w:type="pct"/>
            <w:tcBorders>
              <w:top w:val="nil"/>
              <w:left w:val="single" w:sz="4" w:space="0" w:color="auto"/>
              <w:bottom w:val="single" w:sz="4" w:space="0" w:color="auto"/>
              <w:right w:val="single" w:sz="4" w:space="0" w:color="auto"/>
            </w:tcBorders>
            <w:vAlign w:val="center"/>
            <w:hideMark/>
          </w:tcPr>
          <w:p w14:paraId="57092A4E"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Project</w:t>
            </w:r>
          </w:p>
        </w:tc>
        <w:tc>
          <w:tcPr>
            <w:tcW w:w="577" w:type="pct"/>
            <w:tcBorders>
              <w:top w:val="nil"/>
              <w:left w:val="nil"/>
              <w:bottom w:val="single" w:sz="4" w:space="0" w:color="auto"/>
              <w:right w:val="single" w:sz="4" w:space="0" w:color="auto"/>
            </w:tcBorders>
            <w:vAlign w:val="center"/>
            <w:hideMark/>
          </w:tcPr>
          <w:p w14:paraId="15A8DA7D"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Initial (£m)</w:t>
            </w:r>
          </w:p>
        </w:tc>
        <w:tc>
          <w:tcPr>
            <w:tcW w:w="531" w:type="pct"/>
            <w:tcBorders>
              <w:top w:val="nil"/>
              <w:left w:val="nil"/>
              <w:bottom w:val="single" w:sz="4" w:space="0" w:color="auto"/>
              <w:right w:val="single" w:sz="4" w:space="0" w:color="auto"/>
            </w:tcBorders>
            <w:vAlign w:val="center"/>
            <w:hideMark/>
          </w:tcPr>
          <w:p w14:paraId="09D2B352"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Depreciation p.a.</w:t>
            </w:r>
          </w:p>
        </w:tc>
        <w:tc>
          <w:tcPr>
            <w:tcW w:w="461" w:type="pct"/>
            <w:tcBorders>
              <w:top w:val="nil"/>
              <w:left w:val="nil"/>
              <w:bottom w:val="single" w:sz="4" w:space="0" w:color="auto"/>
              <w:right w:val="single" w:sz="4" w:space="0" w:color="auto"/>
            </w:tcBorders>
            <w:vAlign w:val="center"/>
            <w:hideMark/>
          </w:tcPr>
          <w:p w14:paraId="73361652"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Profits by Year (CF − Dep) (£m)</w:t>
            </w:r>
          </w:p>
        </w:tc>
        <w:tc>
          <w:tcPr>
            <w:tcW w:w="461" w:type="pct"/>
            <w:tcBorders>
              <w:top w:val="nil"/>
              <w:left w:val="nil"/>
              <w:bottom w:val="single" w:sz="4" w:space="0" w:color="auto"/>
              <w:right w:val="single" w:sz="4" w:space="0" w:color="auto"/>
            </w:tcBorders>
            <w:vAlign w:val="center"/>
            <w:hideMark/>
          </w:tcPr>
          <w:p w14:paraId="7D033734"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Avg Profit (£m)</w:t>
            </w:r>
          </w:p>
        </w:tc>
        <w:tc>
          <w:tcPr>
            <w:tcW w:w="478" w:type="pct"/>
            <w:tcBorders>
              <w:top w:val="nil"/>
              <w:left w:val="nil"/>
              <w:bottom w:val="single" w:sz="4" w:space="0" w:color="auto"/>
              <w:right w:val="single" w:sz="4" w:space="0" w:color="auto"/>
            </w:tcBorders>
            <w:vAlign w:val="center"/>
            <w:hideMark/>
          </w:tcPr>
          <w:p w14:paraId="7F69C9FC"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Avg Investment (£m)</w:t>
            </w:r>
          </w:p>
        </w:tc>
        <w:tc>
          <w:tcPr>
            <w:tcW w:w="461" w:type="pct"/>
            <w:tcBorders>
              <w:top w:val="nil"/>
              <w:left w:val="nil"/>
              <w:bottom w:val="single" w:sz="4" w:space="0" w:color="auto"/>
              <w:right w:val="single" w:sz="4" w:space="0" w:color="auto"/>
            </w:tcBorders>
            <w:vAlign w:val="center"/>
            <w:hideMark/>
          </w:tcPr>
          <w:p w14:paraId="1876D1BE"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ARR</w:t>
            </w:r>
          </w:p>
        </w:tc>
        <w:tc>
          <w:tcPr>
            <w:tcW w:w="497" w:type="pct"/>
            <w:tcBorders>
              <w:top w:val="nil"/>
              <w:left w:val="nil"/>
              <w:bottom w:val="nil"/>
              <w:right w:val="nil"/>
            </w:tcBorders>
            <w:noWrap/>
            <w:vAlign w:val="bottom"/>
            <w:hideMark/>
          </w:tcPr>
          <w:p w14:paraId="21592FFB"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75926E5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59F02EB2"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7AC4B800"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A</w:t>
            </w:r>
          </w:p>
        </w:tc>
        <w:tc>
          <w:tcPr>
            <w:tcW w:w="577" w:type="pct"/>
            <w:tcBorders>
              <w:top w:val="nil"/>
              <w:left w:val="nil"/>
              <w:bottom w:val="single" w:sz="4" w:space="0" w:color="auto"/>
              <w:right w:val="single" w:sz="4" w:space="0" w:color="auto"/>
            </w:tcBorders>
            <w:vAlign w:val="center"/>
            <w:hideMark/>
          </w:tcPr>
          <w:p w14:paraId="67D3E2C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40</w:t>
            </w:r>
          </w:p>
        </w:tc>
        <w:tc>
          <w:tcPr>
            <w:tcW w:w="531" w:type="pct"/>
            <w:tcBorders>
              <w:top w:val="nil"/>
              <w:left w:val="nil"/>
              <w:bottom w:val="single" w:sz="4" w:space="0" w:color="auto"/>
              <w:right w:val="single" w:sz="4" w:space="0" w:color="auto"/>
            </w:tcBorders>
            <w:vAlign w:val="center"/>
            <w:hideMark/>
          </w:tcPr>
          <w:p w14:paraId="46AF625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8</w:t>
            </w:r>
          </w:p>
        </w:tc>
        <w:tc>
          <w:tcPr>
            <w:tcW w:w="461" w:type="pct"/>
            <w:tcBorders>
              <w:top w:val="nil"/>
              <w:left w:val="nil"/>
              <w:bottom w:val="single" w:sz="4" w:space="0" w:color="auto"/>
              <w:right w:val="single" w:sz="4" w:space="0" w:color="auto"/>
            </w:tcBorders>
            <w:vAlign w:val="center"/>
            <w:hideMark/>
          </w:tcPr>
          <w:p w14:paraId="515C0449"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2, 4, 6, 2, 0</w:t>
            </w:r>
          </w:p>
        </w:tc>
        <w:tc>
          <w:tcPr>
            <w:tcW w:w="461" w:type="pct"/>
            <w:tcBorders>
              <w:top w:val="nil"/>
              <w:left w:val="nil"/>
              <w:bottom w:val="single" w:sz="4" w:space="0" w:color="auto"/>
              <w:right w:val="single" w:sz="4" w:space="0" w:color="auto"/>
            </w:tcBorders>
            <w:vAlign w:val="center"/>
            <w:hideMark/>
          </w:tcPr>
          <w:p w14:paraId="521D413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2.8</w:t>
            </w:r>
          </w:p>
        </w:tc>
        <w:tc>
          <w:tcPr>
            <w:tcW w:w="478" w:type="pct"/>
            <w:tcBorders>
              <w:top w:val="nil"/>
              <w:left w:val="nil"/>
              <w:bottom w:val="single" w:sz="4" w:space="0" w:color="auto"/>
              <w:right w:val="single" w:sz="4" w:space="0" w:color="auto"/>
            </w:tcBorders>
            <w:vAlign w:val="center"/>
            <w:hideMark/>
          </w:tcPr>
          <w:p w14:paraId="475B5C2E"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20</w:t>
            </w:r>
          </w:p>
        </w:tc>
        <w:tc>
          <w:tcPr>
            <w:tcW w:w="461" w:type="pct"/>
            <w:tcBorders>
              <w:top w:val="nil"/>
              <w:left w:val="nil"/>
              <w:bottom w:val="single" w:sz="4" w:space="0" w:color="auto"/>
              <w:right w:val="single" w:sz="4" w:space="0" w:color="auto"/>
            </w:tcBorders>
            <w:vAlign w:val="center"/>
            <w:hideMark/>
          </w:tcPr>
          <w:p w14:paraId="16EC26F5"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14.00%</w:t>
            </w:r>
          </w:p>
        </w:tc>
        <w:tc>
          <w:tcPr>
            <w:tcW w:w="497" w:type="pct"/>
            <w:tcBorders>
              <w:top w:val="nil"/>
              <w:left w:val="nil"/>
              <w:bottom w:val="nil"/>
              <w:right w:val="nil"/>
            </w:tcBorders>
            <w:noWrap/>
            <w:vAlign w:val="bottom"/>
            <w:hideMark/>
          </w:tcPr>
          <w:p w14:paraId="7C9F3B1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03AB33D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2032C9A2"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6E3C44F8"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B</w:t>
            </w:r>
          </w:p>
        </w:tc>
        <w:tc>
          <w:tcPr>
            <w:tcW w:w="577" w:type="pct"/>
            <w:tcBorders>
              <w:top w:val="nil"/>
              <w:left w:val="nil"/>
              <w:bottom w:val="single" w:sz="4" w:space="0" w:color="auto"/>
              <w:right w:val="single" w:sz="4" w:space="0" w:color="auto"/>
            </w:tcBorders>
            <w:vAlign w:val="center"/>
            <w:hideMark/>
          </w:tcPr>
          <w:p w14:paraId="192EC3E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30</w:t>
            </w:r>
          </w:p>
        </w:tc>
        <w:tc>
          <w:tcPr>
            <w:tcW w:w="531" w:type="pct"/>
            <w:tcBorders>
              <w:top w:val="nil"/>
              <w:left w:val="nil"/>
              <w:bottom w:val="single" w:sz="4" w:space="0" w:color="auto"/>
              <w:right w:val="single" w:sz="4" w:space="0" w:color="auto"/>
            </w:tcBorders>
            <w:vAlign w:val="center"/>
            <w:hideMark/>
          </w:tcPr>
          <w:p w14:paraId="321F08E1"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6</w:t>
            </w:r>
          </w:p>
        </w:tc>
        <w:tc>
          <w:tcPr>
            <w:tcW w:w="461" w:type="pct"/>
            <w:tcBorders>
              <w:top w:val="nil"/>
              <w:left w:val="nil"/>
              <w:bottom w:val="single" w:sz="4" w:space="0" w:color="auto"/>
              <w:right w:val="single" w:sz="4" w:space="0" w:color="auto"/>
            </w:tcBorders>
            <w:vAlign w:val="center"/>
            <w:hideMark/>
          </w:tcPr>
          <w:p w14:paraId="6BA478E7"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0, 0, 0, 0, 0</w:t>
            </w:r>
          </w:p>
        </w:tc>
        <w:tc>
          <w:tcPr>
            <w:tcW w:w="461" w:type="pct"/>
            <w:tcBorders>
              <w:top w:val="nil"/>
              <w:left w:val="nil"/>
              <w:bottom w:val="single" w:sz="4" w:space="0" w:color="auto"/>
              <w:right w:val="single" w:sz="4" w:space="0" w:color="auto"/>
            </w:tcBorders>
            <w:vAlign w:val="center"/>
            <w:hideMark/>
          </w:tcPr>
          <w:p w14:paraId="1FBF159B"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0</w:t>
            </w:r>
          </w:p>
        </w:tc>
        <w:tc>
          <w:tcPr>
            <w:tcW w:w="478" w:type="pct"/>
            <w:tcBorders>
              <w:top w:val="nil"/>
              <w:left w:val="nil"/>
              <w:bottom w:val="single" w:sz="4" w:space="0" w:color="auto"/>
              <w:right w:val="single" w:sz="4" w:space="0" w:color="auto"/>
            </w:tcBorders>
            <w:vAlign w:val="center"/>
            <w:hideMark/>
          </w:tcPr>
          <w:p w14:paraId="00AC8D24"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15</w:t>
            </w:r>
          </w:p>
        </w:tc>
        <w:tc>
          <w:tcPr>
            <w:tcW w:w="461" w:type="pct"/>
            <w:tcBorders>
              <w:top w:val="nil"/>
              <w:left w:val="nil"/>
              <w:bottom w:val="single" w:sz="4" w:space="0" w:color="auto"/>
              <w:right w:val="single" w:sz="4" w:space="0" w:color="auto"/>
            </w:tcBorders>
            <w:vAlign w:val="center"/>
            <w:hideMark/>
          </w:tcPr>
          <w:p w14:paraId="76AF498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0.00%</w:t>
            </w:r>
          </w:p>
        </w:tc>
        <w:tc>
          <w:tcPr>
            <w:tcW w:w="497" w:type="pct"/>
            <w:tcBorders>
              <w:top w:val="nil"/>
              <w:left w:val="nil"/>
              <w:bottom w:val="nil"/>
              <w:right w:val="nil"/>
            </w:tcBorders>
            <w:noWrap/>
            <w:vAlign w:val="bottom"/>
            <w:hideMark/>
          </w:tcPr>
          <w:p w14:paraId="3DA4F419"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7C3534A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7E0D5E73"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576E1E32"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C</w:t>
            </w:r>
          </w:p>
        </w:tc>
        <w:tc>
          <w:tcPr>
            <w:tcW w:w="577" w:type="pct"/>
            <w:tcBorders>
              <w:top w:val="nil"/>
              <w:left w:val="nil"/>
              <w:bottom w:val="single" w:sz="4" w:space="0" w:color="auto"/>
              <w:right w:val="single" w:sz="4" w:space="0" w:color="auto"/>
            </w:tcBorders>
            <w:vAlign w:val="center"/>
            <w:hideMark/>
          </w:tcPr>
          <w:p w14:paraId="368955E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50</w:t>
            </w:r>
          </w:p>
        </w:tc>
        <w:tc>
          <w:tcPr>
            <w:tcW w:w="531" w:type="pct"/>
            <w:tcBorders>
              <w:top w:val="nil"/>
              <w:left w:val="nil"/>
              <w:bottom w:val="single" w:sz="4" w:space="0" w:color="auto"/>
              <w:right w:val="single" w:sz="4" w:space="0" w:color="auto"/>
            </w:tcBorders>
            <w:vAlign w:val="center"/>
            <w:hideMark/>
          </w:tcPr>
          <w:p w14:paraId="4DB174C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10</w:t>
            </w:r>
          </w:p>
        </w:tc>
        <w:tc>
          <w:tcPr>
            <w:tcW w:w="461" w:type="pct"/>
            <w:tcBorders>
              <w:top w:val="nil"/>
              <w:left w:val="nil"/>
              <w:bottom w:val="single" w:sz="4" w:space="0" w:color="auto"/>
              <w:right w:val="single" w:sz="4" w:space="0" w:color="auto"/>
            </w:tcBorders>
            <w:vAlign w:val="center"/>
            <w:hideMark/>
          </w:tcPr>
          <w:p w14:paraId="2BD9EBC8"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−5, 0, 10, 15, 5</w:t>
            </w:r>
          </w:p>
        </w:tc>
        <w:tc>
          <w:tcPr>
            <w:tcW w:w="461" w:type="pct"/>
            <w:tcBorders>
              <w:top w:val="nil"/>
              <w:left w:val="nil"/>
              <w:bottom w:val="single" w:sz="4" w:space="0" w:color="auto"/>
              <w:right w:val="single" w:sz="4" w:space="0" w:color="auto"/>
            </w:tcBorders>
            <w:vAlign w:val="center"/>
            <w:hideMark/>
          </w:tcPr>
          <w:p w14:paraId="62372A4D"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5</w:t>
            </w:r>
          </w:p>
        </w:tc>
        <w:tc>
          <w:tcPr>
            <w:tcW w:w="478" w:type="pct"/>
            <w:tcBorders>
              <w:top w:val="nil"/>
              <w:left w:val="nil"/>
              <w:bottom w:val="single" w:sz="4" w:space="0" w:color="auto"/>
              <w:right w:val="single" w:sz="4" w:space="0" w:color="auto"/>
            </w:tcBorders>
            <w:vAlign w:val="center"/>
            <w:hideMark/>
          </w:tcPr>
          <w:p w14:paraId="795EB338" w14:textId="77777777" w:rsidR="00881F5C" w:rsidRPr="0074648E" w:rsidRDefault="00881F5C" w:rsidP="00881F5C">
            <w:pPr>
              <w:spacing w:after="0" w:line="240" w:lineRule="auto"/>
              <w:jc w:val="right"/>
              <w:rPr>
                <w:rFonts w:ascii="Arial" w:eastAsia="Times New Roman" w:hAnsi="Arial" w:cs="Arial"/>
                <w:kern w:val="0"/>
                <w:sz w:val="22"/>
                <w14:ligatures w14:val="none"/>
              </w:rPr>
            </w:pPr>
            <w:r w:rsidRPr="0074648E">
              <w:rPr>
                <w:rFonts w:ascii="Arial" w:eastAsia="Times New Roman" w:hAnsi="Arial" w:cs="Arial"/>
                <w:kern w:val="0"/>
                <w:sz w:val="22"/>
                <w14:ligatures w14:val="none"/>
              </w:rPr>
              <w:t>25</w:t>
            </w:r>
          </w:p>
        </w:tc>
        <w:tc>
          <w:tcPr>
            <w:tcW w:w="461" w:type="pct"/>
            <w:tcBorders>
              <w:top w:val="nil"/>
              <w:left w:val="nil"/>
              <w:bottom w:val="single" w:sz="4" w:space="0" w:color="auto"/>
              <w:right w:val="single" w:sz="4" w:space="0" w:color="auto"/>
            </w:tcBorders>
            <w:vAlign w:val="center"/>
            <w:hideMark/>
          </w:tcPr>
          <w:p w14:paraId="410E7716"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20.00%</w:t>
            </w:r>
          </w:p>
        </w:tc>
        <w:tc>
          <w:tcPr>
            <w:tcW w:w="497" w:type="pct"/>
            <w:tcBorders>
              <w:top w:val="nil"/>
              <w:left w:val="nil"/>
              <w:bottom w:val="nil"/>
              <w:right w:val="nil"/>
            </w:tcBorders>
            <w:noWrap/>
            <w:vAlign w:val="bottom"/>
            <w:hideMark/>
          </w:tcPr>
          <w:p w14:paraId="62FB57B0" w14:textId="77777777" w:rsidR="00881F5C" w:rsidRPr="0074648E" w:rsidRDefault="00881F5C" w:rsidP="00881F5C">
            <w:pPr>
              <w:spacing w:after="0" w:line="240" w:lineRule="auto"/>
              <w:jc w:val="right"/>
              <w:rPr>
                <w:rFonts w:ascii="Arial" w:eastAsia="Times New Roman" w:hAnsi="Arial" w:cs="Arial"/>
                <w:b/>
                <w:bCs/>
                <w:kern w:val="0"/>
                <w:sz w:val="22"/>
                <w14:ligatures w14:val="none"/>
              </w:rPr>
            </w:pPr>
          </w:p>
        </w:tc>
        <w:tc>
          <w:tcPr>
            <w:tcW w:w="421" w:type="pct"/>
            <w:tcBorders>
              <w:top w:val="nil"/>
              <w:left w:val="nil"/>
              <w:bottom w:val="nil"/>
              <w:right w:val="nil"/>
            </w:tcBorders>
            <w:noWrap/>
            <w:vAlign w:val="bottom"/>
            <w:hideMark/>
          </w:tcPr>
          <w:p w14:paraId="5F5FECD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3F625245" w14:textId="77777777" w:rsidTr="00396157">
        <w:trPr>
          <w:trHeight w:val="310"/>
        </w:trPr>
        <w:tc>
          <w:tcPr>
            <w:tcW w:w="1114" w:type="pct"/>
            <w:tcBorders>
              <w:top w:val="nil"/>
              <w:left w:val="nil"/>
              <w:bottom w:val="nil"/>
              <w:right w:val="nil"/>
            </w:tcBorders>
            <w:noWrap/>
            <w:vAlign w:val="bottom"/>
            <w:hideMark/>
          </w:tcPr>
          <w:p w14:paraId="61ED4F0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577" w:type="pct"/>
            <w:tcBorders>
              <w:top w:val="nil"/>
              <w:left w:val="nil"/>
              <w:bottom w:val="nil"/>
              <w:right w:val="nil"/>
            </w:tcBorders>
            <w:noWrap/>
            <w:vAlign w:val="bottom"/>
            <w:hideMark/>
          </w:tcPr>
          <w:p w14:paraId="67FD6CB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531" w:type="pct"/>
            <w:tcBorders>
              <w:top w:val="nil"/>
              <w:left w:val="nil"/>
              <w:bottom w:val="nil"/>
              <w:right w:val="nil"/>
            </w:tcBorders>
            <w:noWrap/>
            <w:vAlign w:val="bottom"/>
            <w:hideMark/>
          </w:tcPr>
          <w:p w14:paraId="0040E35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545ECDF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541111A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2DDF9C2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76770FA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50A0B1C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3FD0914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24BE39B0" w14:textId="77777777" w:rsidTr="00396157">
        <w:trPr>
          <w:trHeight w:val="310"/>
        </w:trPr>
        <w:tc>
          <w:tcPr>
            <w:tcW w:w="1114" w:type="pct"/>
            <w:tcBorders>
              <w:top w:val="single" w:sz="4" w:space="0" w:color="auto"/>
              <w:left w:val="single" w:sz="4" w:space="0" w:color="auto"/>
              <w:bottom w:val="single" w:sz="4" w:space="0" w:color="auto"/>
              <w:right w:val="single" w:sz="4" w:space="0" w:color="auto"/>
            </w:tcBorders>
            <w:noWrap/>
            <w:vAlign w:val="bottom"/>
            <w:hideMark/>
          </w:tcPr>
          <w:p w14:paraId="39FAF61C" w14:textId="77777777" w:rsidR="00881F5C" w:rsidRPr="0074648E" w:rsidRDefault="00881F5C" w:rsidP="00881F5C">
            <w:pPr>
              <w:spacing w:after="0" w:line="240" w:lineRule="auto"/>
              <w:jc w:val="left"/>
              <w:rPr>
                <w:rFonts w:ascii="Arial" w:eastAsia="Times New Roman" w:hAnsi="Arial" w:cs="Arial"/>
                <w:b/>
                <w:bCs/>
                <w:kern w:val="0"/>
                <w:szCs w:val="24"/>
                <w14:ligatures w14:val="none"/>
              </w:rPr>
            </w:pPr>
            <w:r w:rsidRPr="0074648E">
              <w:rPr>
                <w:rFonts w:ascii="Arial" w:eastAsia="Times New Roman" w:hAnsi="Arial" w:cs="Arial"/>
                <w:b/>
                <w:bCs/>
                <w:kern w:val="0"/>
                <w:szCs w:val="24"/>
                <w14:ligatures w14:val="none"/>
              </w:rPr>
              <w:t>IRR Calculation</w:t>
            </w:r>
          </w:p>
        </w:tc>
        <w:tc>
          <w:tcPr>
            <w:tcW w:w="577" w:type="pct"/>
            <w:tcBorders>
              <w:top w:val="single" w:sz="4" w:space="0" w:color="auto"/>
              <w:left w:val="nil"/>
              <w:bottom w:val="single" w:sz="4" w:space="0" w:color="auto"/>
              <w:right w:val="single" w:sz="4" w:space="0" w:color="auto"/>
            </w:tcBorders>
            <w:noWrap/>
            <w:vAlign w:val="bottom"/>
            <w:hideMark/>
          </w:tcPr>
          <w:p w14:paraId="6BC0703A"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531" w:type="pct"/>
            <w:tcBorders>
              <w:top w:val="single" w:sz="4" w:space="0" w:color="auto"/>
              <w:left w:val="nil"/>
              <w:bottom w:val="single" w:sz="4" w:space="0" w:color="auto"/>
              <w:right w:val="single" w:sz="4" w:space="0" w:color="auto"/>
            </w:tcBorders>
            <w:noWrap/>
            <w:vAlign w:val="bottom"/>
            <w:hideMark/>
          </w:tcPr>
          <w:p w14:paraId="509E5C07" w14:textId="77777777" w:rsidR="00881F5C" w:rsidRPr="0074648E" w:rsidRDefault="00881F5C" w:rsidP="00881F5C">
            <w:pPr>
              <w:spacing w:after="0" w:line="240" w:lineRule="auto"/>
              <w:jc w:val="left"/>
              <w:rPr>
                <w:rFonts w:ascii="Arial" w:eastAsia="Times New Roman" w:hAnsi="Arial" w:cs="Arial"/>
                <w:kern w:val="0"/>
                <w:szCs w:val="24"/>
                <w14:ligatures w14:val="none"/>
              </w:rPr>
            </w:pPr>
            <w:r w:rsidRPr="0074648E">
              <w:rPr>
                <w:rFonts w:ascii="Arial" w:eastAsia="Times New Roman" w:hAnsi="Arial" w:cs="Arial"/>
                <w:kern w:val="0"/>
                <w:szCs w:val="24"/>
                <w14:ligatures w14:val="none"/>
              </w:rPr>
              <w:t> </w:t>
            </w:r>
          </w:p>
        </w:tc>
        <w:tc>
          <w:tcPr>
            <w:tcW w:w="461" w:type="pct"/>
            <w:tcBorders>
              <w:top w:val="nil"/>
              <w:left w:val="nil"/>
              <w:bottom w:val="nil"/>
              <w:right w:val="nil"/>
            </w:tcBorders>
            <w:noWrap/>
            <w:vAlign w:val="bottom"/>
            <w:hideMark/>
          </w:tcPr>
          <w:p w14:paraId="663D553A" w14:textId="77777777" w:rsidR="00881F5C" w:rsidRPr="0074648E" w:rsidRDefault="00881F5C" w:rsidP="00881F5C">
            <w:pPr>
              <w:spacing w:after="0" w:line="240" w:lineRule="auto"/>
              <w:jc w:val="left"/>
              <w:rPr>
                <w:rFonts w:ascii="Arial" w:eastAsia="Times New Roman" w:hAnsi="Arial" w:cs="Arial"/>
                <w:kern w:val="0"/>
                <w:szCs w:val="24"/>
                <w14:ligatures w14:val="none"/>
              </w:rPr>
            </w:pPr>
          </w:p>
        </w:tc>
        <w:tc>
          <w:tcPr>
            <w:tcW w:w="461" w:type="pct"/>
            <w:tcBorders>
              <w:top w:val="nil"/>
              <w:left w:val="nil"/>
              <w:bottom w:val="nil"/>
              <w:right w:val="nil"/>
            </w:tcBorders>
            <w:noWrap/>
            <w:vAlign w:val="bottom"/>
            <w:hideMark/>
          </w:tcPr>
          <w:p w14:paraId="59FB865C"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215E4DAB"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39D64F38"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6DA9F6BA"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C6B202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02E71D8F"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30B7D886"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Project</w:t>
            </w:r>
          </w:p>
        </w:tc>
        <w:tc>
          <w:tcPr>
            <w:tcW w:w="577" w:type="pct"/>
            <w:tcBorders>
              <w:top w:val="nil"/>
              <w:left w:val="nil"/>
              <w:bottom w:val="single" w:sz="4" w:space="0" w:color="auto"/>
              <w:right w:val="single" w:sz="4" w:space="0" w:color="auto"/>
            </w:tcBorders>
            <w:vAlign w:val="center"/>
            <w:hideMark/>
          </w:tcPr>
          <w:p w14:paraId="17FA6061"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Cash Flow Series (Year 0–5)</w:t>
            </w:r>
          </w:p>
        </w:tc>
        <w:tc>
          <w:tcPr>
            <w:tcW w:w="531" w:type="pct"/>
            <w:tcBorders>
              <w:top w:val="nil"/>
              <w:left w:val="nil"/>
              <w:bottom w:val="single" w:sz="4" w:space="0" w:color="auto"/>
              <w:right w:val="single" w:sz="4" w:space="0" w:color="auto"/>
            </w:tcBorders>
            <w:vAlign w:val="center"/>
            <w:hideMark/>
          </w:tcPr>
          <w:p w14:paraId="7B501897"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IRR%</w:t>
            </w:r>
          </w:p>
        </w:tc>
        <w:tc>
          <w:tcPr>
            <w:tcW w:w="461" w:type="pct"/>
            <w:tcBorders>
              <w:top w:val="nil"/>
              <w:left w:val="nil"/>
              <w:bottom w:val="nil"/>
              <w:right w:val="nil"/>
            </w:tcBorders>
            <w:vAlign w:val="center"/>
            <w:hideMark/>
          </w:tcPr>
          <w:p w14:paraId="4ACC5144" w14:textId="77777777" w:rsidR="00881F5C" w:rsidRPr="0074648E" w:rsidRDefault="00881F5C" w:rsidP="00881F5C">
            <w:pPr>
              <w:spacing w:after="0" w:line="240" w:lineRule="auto"/>
              <w:jc w:val="center"/>
              <w:rPr>
                <w:rFonts w:ascii="Arial" w:eastAsia="Times New Roman" w:hAnsi="Arial" w:cs="Arial"/>
                <w:b/>
                <w:bCs/>
                <w:kern w:val="0"/>
                <w:sz w:val="22"/>
                <w14:ligatures w14:val="none"/>
              </w:rPr>
            </w:pPr>
          </w:p>
        </w:tc>
        <w:tc>
          <w:tcPr>
            <w:tcW w:w="461" w:type="pct"/>
            <w:tcBorders>
              <w:top w:val="nil"/>
              <w:left w:val="nil"/>
              <w:bottom w:val="nil"/>
              <w:right w:val="nil"/>
            </w:tcBorders>
            <w:noWrap/>
            <w:vAlign w:val="bottom"/>
            <w:hideMark/>
          </w:tcPr>
          <w:p w14:paraId="1B5673A6"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5E9F67E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246185B3"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4C52DEC5"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223914F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11FAF1C5"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77659CC9"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A</w:t>
            </w:r>
          </w:p>
        </w:tc>
        <w:tc>
          <w:tcPr>
            <w:tcW w:w="577" w:type="pct"/>
            <w:tcBorders>
              <w:top w:val="nil"/>
              <w:left w:val="nil"/>
              <w:bottom w:val="single" w:sz="4" w:space="0" w:color="auto"/>
              <w:right w:val="single" w:sz="4" w:space="0" w:color="auto"/>
            </w:tcBorders>
            <w:vAlign w:val="center"/>
            <w:hideMark/>
          </w:tcPr>
          <w:p w14:paraId="103CC0D0"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{-40, 10, 12, 14, 10, 8}</w:t>
            </w:r>
          </w:p>
        </w:tc>
        <w:tc>
          <w:tcPr>
            <w:tcW w:w="531" w:type="pct"/>
            <w:tcBorders>
              <w:top w:val="nil"/>
              <w:left w:val="nil"/>
              <w:bottom w:val="single" w:sz="4" w:space="0" w:color="auto"/>
              <w:right w:val="single" w:sz="4" w:space="0" w:color="auto"/>
            </w:tcBorders>
            <w:vAlign w:val="center"/>
            <w:hideMark/>
          </w:tcPr>
          <w:p w14:paraId="05BDA470"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r w:rsidRPr="0074648E">
              <w:rPr>
                <w:rFonts w:ascii="Arial" w:eastAsia="Times New Roman" w:hAnsi="Arial" w:cs="Arial"/>
                <w:kern w:val="0"/>
                <w:sz w:val="20"/>
                <w:szCs w:val="20"/>
                <w14:ligatures w14:val="none"/>
              </w:rPr>
              <w:t>11.33%</w:t>
            </w:r>
          </w:p>
        </w:tc>
        <w:tc>
          <w:tcPr>
            <w:tcW w:w="461" w:type="pct"/>
            <w:tcBorders>
              <w:top w:val="nil"/>
              <w:left w:val="nil"/>
              <w:bottom w:val="nil"/>
              <w:right w:val="nil"/>
            </w:tcBorders>
            <w:vAlign w:val="center"/>
            <w:hideMark/>
          </w:tcPr>
          <w:p w14:paraId="575A0AFE"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346495DB"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11D5B56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4E9CBE6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6E425A86"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0297BB59"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74648E" w:rsidRPr="0074648E" w14:paraId="70E56945" w14:textId="77777777" w:rsidTr="00396157">
        <w:trPr>
          <w:trHeight w:val="310"/>
        </w:trPr>
        <w:tc>
          <w:tcPr>
            <w:tcW w:w="1114" w:type="pct"/>
            <w:tcBorders>
              <w:top w:val="nil"/>
              <w:left w:val="single" w:sz="4" w:space="0" w:color="auto"/>
              <w:bottom w:val="single" w:sz="4" w:space="0" w:color="auto"/>
              <w:right w:val="single" w:sz="4" w:space="0" w:color="auto"/>
            </w:tcBorders>
            <w:vAlign w:val="center"/>
            <w:hideMark/>
          </w:tcPr>
          <w:p w14:paraId="6319BB07"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B</w:t>
            </w:r>
          </w:p>
        </w:tc>
        <w:tc>
          <w:tcPr>
            <w:tcW w:w="577" w:type="pct"/>
            <w:tcBorders>
              <w:top w:val="nil"/>
              <w:left w:val="nil"/>
              <w:bottom w:val="single" w:sz="4" w:space="0" w:color="auto"/>
              <w:right w:val="single" w:sz="4" w:space="0" w:color="auto"/>
            </w:tcBorders>
            <w:vAlign w:val="center"/>
            <w:hideMark/>
          </w:tcPr>
          <w:p w14:paraId="6D28EFAE"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{-30, 6, 6, 6, 6, 6}</w:t>
            </w:r>
          </w:p>
        </w:tc>
        <w:tc>
          <w:tcPr>
            <w:tcW w:w="531" w:type="pct"/>
            <w:tcBorders>
              <w:top w:val="nil"/>
              <w:left w:val="nil"/>
              <w:bottom w:val="single" w:sz="4" w:space="0" w:color="auto"/>
              <w:right w:val="single" w:sz="4" w:space="0" w:color="auto"/>
            </w:tcBorders>
            <w:vAlign w:val="center"/>
            <w:hideMark/>
          </w:tcPr>
          <w:p w14:paraId="567FD4E1"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r w:rsidRPr="0074648E">
              <w:rPr>
                <w:rFonts w:ascii="Arial" w:eastAsia="Times New Roman" w:hAnsi="Arial" w:cs="Arial"/>
                <w:kern w:val="0"/>
                <w:sz w:val="20"/>
                <w:szCs w:val="20"/>
                <w14:ligatures w14:val="none"/>
              </w:rPr>
              <w:t>0.00%</w:t>
            </w:r>
          </w:p>
        </w:tc>
        <w:tc>
          <w:tcPr>
            <w:tcW w:w="461" w:type="pct"/>
            <w:tcBorders>
              <w:top w:val="nil"/>
              <w:left w:val="nil"/>
              <w:bottom w:val="nil"/>
              <w:right w:val="nil"/>
            </w:tcBorders>
            <w:vAlign w:val="center"/>
            <w:hideMark/>
          </w:tcPr>
          <w:p w14:paraId="0116A085"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5C18CD8E"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3E92A61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1AFB9090"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FE5989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661C90A1"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r w:rsidR="00881F5C" w:rsidRPr="0074648E" w14:paraId="5384900D" w14:textId="77777777" w:rsidTr="00396157">
        <w:trPr>
          <w:trHeight w:val="560"/>
        </w:trPr>
        <w:tc>
          <w:tcPr>
            <w:tcW w:w="1114" w:type="pct"/>
            <w:tcBorders>
              <w:top w:val="nil"/>
              <w:left w:val="single" w:sz="4" w:space="0" w:color="auto"/>
              <w:bottom w:val="single" w:sz="4" w:space="0" w:color="auto"/>
              <w:right w:val="single" w:sz="4" w:space="0" w:color="auto"/>
            </w:tcBorders>
            <w:vAlign w:val="center"/>
            <w:hideMark/>
          </w:tcPr>
          <w:p w14:paraId="2C0474C7" w14:textId="77777777" w:rsidR="00881F5C" w:rsidRPr="0074648E" w:rsidRDefault="00881F5C" w:rsidP="00881F5C">
            <w:pPr>
              <w:spacing w:after="0" w:line="240" w:lineRule="auto"/>
              <w:jc w:val="left"/>
              <w:rPr>
                <w:rFonts w:ascii="Arial" w:eastAsia="Times New Roman" w:hAnsi="Arial" w:cs="Arial"/>
                <w:b/>
                <w:bCs/>
                <w:kern w:val="0"/>
                <w:sz w:val="22"/>
                <w14:ligatures w14:val="none"/>
              </w:rPr>
            </w:pPr>
            <w:r w:rsidRPr="0074648E">
              <w:rPr>
                <w:rFonts w:ascii="Arial" w:eastAsia="Times New Roman" w:hAnsi="Arial" w:cs="Arial"/>
                <w:b/>
                <w:bCs/>
                <w:kern w:val="0"/>
                <w:sz w:val="22"/>
                <w14:ligatures w14:val="none"/>
              </w:rPr>
              <w:t>C</w:t>
            </w:r>
          </w:p>
        </w:tc>
        <w:tc>
          <w:tcPr>
            <w:tcW w:w="577" w:type="pct"/>
            <w:tcBorders>
              <w:top w:val="nil"/>
              <w:left w:val="nil"/>
              <w:bottom w:val="single" w:sz="4" w:space="0" w:color="auto"/>
              <w:right w:val="single" w:sz="4" w:space="0" w:color="auto"/>
            </w:tcBorders>
            <w:vAlign w:val="center"/>
            <w:hideMark/>
          </w:tcPr>
          <w:p w14:paraId="4200C1BF" w14:textId="77777777" w:rsidR="00881F5C" w:rsidRPr="0074648E" w:rsidRDefault="00881F5C" w:rsidP="00881F5C">
            <w:pPr>
              <w:spacing w:after="0" w:line="240" w:lineRule="auto"/>
              <w:jc w:val="left"/>
              <w:rPr>
                <w:rFonts w:ascii="Arial" w:eastAsia="Times New Roman" w:hAnsi="Arial" w:cs="Arial"/>
                <w:kern w:val="0"/>
                <w:sz w:val="22"/>
                <w14:ligatures w14:val="none"/>
              </w:rPr>
            </w:pPr>
            <w:r w:rsidRPr="0074648E">
              <w:rPr>
                <w:rFonts w:ascii="Arial" w:eastAsia="Times New Roman" w:hAnsi="Arial" w:cs="Arial"/>
                <w:kern w:val="0"/>
                <w:sz w:val="22"/>
                <w14:ligatures w14:val="none"/>
              </w:rPr>
              <w:t>{-50, 5, 10, 20, 25, 15}</w:t>
            </w:r>
          </w:p>
        </w:tc>
        <w:tc>
          <w:tcPr>
            <w:tcW w:w="531" w:type="pct"/>
            <w:tcBorders>
              <w:top w:val="nil"/>
              <w:left w:val="nil"/>
              <w:bottom w:val="single" w:sz="4" w:space="0" w:color="auto"/>
              <w:right w:val="single" w:sz="4" w:space="0" w:color="auto"/>
            </w:tcBorders>
            <w:vAlign w:val="center"/>
            <w:hideMark/>
          </w:tcPr>
          <w:p w14:paraId="321592DB"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r w:rsidRPr="0074648E">
              <w:rPr>
                <w:rFonts w:ascii="Arial" w:eastAsia="Times New Roman" w:hAnsi="Arial" w:cs="Arial"/>
                <w:kern w:val="0"/>
                <w:sz w:val="20"/>
                <w:szCs w:val="20"/>
                <w14:ligatures w14:val="none"/>
              </w:rPr>
              <w:t>12.72%</w:t>
            </w:r>
          </w:p>
        </w:tc>
        <w:tc>
          <w:tcPr>
            <w:tcW w:w="461" w:type="pct"/>
            <w:tcBorders>
              <w:top w:val="nil"/>
              <w:left w:val="nil"/>
              <w:bottom w:val="nil"/>
              <w:right w:val="nil"/>
            </w:tcBorders>
            <w:vAlign w:val="center"/>
            <w:hideMark/>
          </w:tcPr>
          <w:p w14:paraId="00AFA691"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6D95B555" w14:textId="77777777" w:rsidR="00881F5C" w:rsidRPr="0074648E" w:rsidRDefault="00881F5C" w:rsidP="00881F5C">
            <w:pPr>
              <w:spacing w:after="0" w:line="240" w:lineRule="auto"/>
              <w:jc w:val="right"/>
              <w:rPr>
                <w:rFonts w:ascii="Arial" w:eastAsia="Times New Roman" w:hAnsi="Arial" w:cs="Arial"/>
                <w:kern w:val="0"/>
                <w:sz w:val="20"/>
                <w:szCs w:val="20"/>
                <w14:ligatures w14:val="none"/>
              </w:rPr>
            </w:pPr>
          </w:p>
        </w:tc>
        <w:tc>
          <w:tcPr>
            <w:tcW w:w="478" w:type="pct"/>
            <w:tcBorders>
              <w:top w:val="nil"/>
              <w:left w:val="nil"/>
              <w:bottom w:val="nil"/>
              <w:right w:val="nil"/>
            </w:tcBorders>
            <w:noWrap/>
            <w:vAlign w:val="bottom"/>
            <w:hideMark/>
          </w:tcPr>
          <w:p w14:paraId="235A619D"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61" w:type="pct"/>
            <w:tcBorders>
              <w:top w:val="nil"/>
              <w:left w:val="nil"/>
              <w:bottom w:val="nil"/>
              <w:right w:val="nil"/>
            </w:tcBorders>
            <w:noWrap/>
            <w:vAlign w:val="bottom"/>
            <w:hideMark/>
          </w:tcPr>
          <w:p w14:paraId="5D5F7A0F"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97" w:type="pct"/>
            <w:tcBorders>
              <w:top w:val="nil"/>
              <w:left w:val="nil"/>
              <w:bottom w:val="nil"/>
              <w:right w:val="nil"/>
            </w:tcBorders>
            <w:noWrap/>
            <w:vAlign w:val="bottom"/>
            <w:hideMark/>
          </w:tcPr>
          <w:p w14:paraId="32DA69DE"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c>
          <w:tcPr>
            <w:tcW w:w="421" w:type="pct"/>
            <w:tcBorders>
              <w:top w:val="nil"/>
              <w:left w:val="nil"/>
              <w:bottom w:val="nil"/>
              <w:right w:val="nil"/>
            </w:tcBorders>
            <w:noWrap/>
            <w:vAlign w:val="bottom"/>
            <w:hideMark/>
          </w:tcPr>
          <w:p w14:paraId="001C2A04" w14:textId="77777777" w:rsidR="00881F5C" w:rsidRPr="0074648E" w:rsidRDefault="00881F5C" w:rsidP="00881F5C">
            <w:pPr>
              <w:spacing w:after="0" w:line="240" w:lineRule="auto"/>
              <w:jc w:val="left"/>
              <w:rPr>
                <w:rFonts w:ascii="Arial" w:eastAsia="Times New Roman" w:hAnsi="Arial" w:cs="Arial"/>
                <w:kern w:val="0"/>
                <w:sz w:val="20"/>
                <w:szCs w:val="20"/>
                <w14:ligatures w14:val="none"/>
              </w:rPr>
            </w:pPr>
          </w:p>
        </w:tc>
      </w:tr>
    </w:tbl>
    <w:p w14:paraId="28AAA968" w14:textId="77777777" w:rsidR="00A25397" w:rsidRPr="0074648E" w:rsidRDefault="00A25397" w:rsidP="00934DB9">
      <w:pPr>
        <w:rPr>
          <w:rFonts w:ascii="Arial" w:hAnsi="Arial" w:cs="Arial"/>
          <w:szCs w:val="24"/>
        </w:rPr>
      </w:pPr>
    </w:p>
    <w:p w14:paraId="4A52D707" w14:textId="6F63A7A7" w:rsidR="007C38B7" w:rsidRPr="0074648E" w:rsidRDefault="007C38B7" w:rsidP="00CA7694">
      <w:pPr>
        <w:spacing w:line="259" w:lineRule="auto"/>
        <w:jc w:val="left"/>
        <w:rPr>
          <w:rFonts w:ascii="Arial" w:hAnsi="Arial" w:cs="Arial"/>
          <w:szCs w:val="24"/>
        </w:rPr>
      </w:pPr>
    </w:p>
    <w:sectPr w:rsidR="007C38B7" w:rsidRPr="0074648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DAADD" w14:textId="77777777" w:rsidR="00461C7A" w:rsidRDefault="00461C7A" w:rsidP="0015291D">
      <w:pPr>
        <w:spacing w:after="0" w:line="240" w:lineRule="auto"/>
      </w:pPr>
      <w:r>
        <w:separator/>
      </w:r>
    </w:p>
  </w:endnote>
  <w:endnote w:type="continuationSeparator" w:id="0">
    <w:p w14:paraId="6D6F6F71" w14:textId="77777777" w:rsidR="00461C7A" w:rsidRDefault="00461C7A" w:rsidP="00152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0298478"/>
      <w:docPartObj>
        <w:docPartGallery w:val="Page Numbers (Bottom of Page)"/>
        <w:docPartUnique/>
      </w:docPartObj>
    </w:sdtPr>
    <w:sdtEndPr>
      <w:rPr>
        <w:noProof/>
      </w:rPr>
    </w:sdtEndPr>
    <w:sdtContent>
      <w:p w14:paraId="0E5D977F" w14:textId="0736CDEE" w:rsidR="0015291D" w:rsidRDefault="001529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1AF015" w14:textId="77777777" w:rsidR="0015291D" w:rsidRDefault="001529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7A6CC" w14:textId="77777777" w:rsidR="00461C7A" w:rsidRDefault="00461C7A" w:rsidP="0015291D">
      <w:pPr>
        <w:spacing w:after="0" w:line="240" w:lineRule="auto"/>
      </w:pPr>
      <w:r>
        <w:separator/>
      </w:r>
    </w:p>
  </w:footnote>
  <w:footnote w:type="continuationSeparator" w:id="0">
    <w:p w14:paraId="7F338AC1" w14:textId="77777777" w:rsidR="00461C7A" w:rsidRDefault="00461C7A" w:rsidP="001529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C7331"/>
    <w:multiLevelType w:val="multilevel"/>
    <w:tmpl w:val="E70C6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B0FB5"/>
    <w:multiLevelType w:val="multilevel"/>
    <w:tmpl w:val="AA32C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511C8"/>
    <w:multiLevelType w:val="multilevel"/>
    <w:tmpl w:val="98E62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B46267"/>
    <w:multiLevelType w:val="multilevel"/>
    <w:tmpl w:val="892A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8F38E2"/>
    <w:multiLevelType w:val="multilevel"/>
    <w:tmpl w:val="CF462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440FF8"/>
    <w:multiLevelType w:val="hybridMultilevel"/>
    <w:tmpl w:val="C0C82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3855B0"/>
    <w:multiLevelType w:val="multilevel"/>
    <w:tmpl w:val="073E5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8D1E2B"/>
    <w:multiLevelType w:val="hybridMultilevel"/>
    <w:tmpl w:val="32961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C8224C"/>
    <w:multiLevelType w:val="multilevel"/>
    <w:tmpl w:val="F9168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DA4366"/>
    <w:multiLevelType w:val="multilevel"/>
    <w:tmpl w:val="DF6CD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00723"/>
    <w:multiLevelType w:val="multilevel"/>
    <w:tmpl w:val="F8240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36306C"/>
    <w:multiLevelType w:val="multilevel"/>
    <w:tmpl w:val="9866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927F7B"/>
    <w:multiLevelType w:val="multilevel"/>
    <w:tmpl w:val="DDD28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B65D28"/>
    <w:multiLevelType w:val="multilevel"/>
    <w:tmpl w:val="FE361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321F6C"/>
    <w:multiLevelType w:val="multilevel"/>
    <w:tmpl w:val="5BFE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AA74F9"/>
    <w:multiLevelType w:val="multilevel"/>
    <w:tmpl w:val="825C6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890037"/>
    <w:multiLevelType w:val="multilevel"/>
    <w:tmpl w:val="CDFA9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F75E7E"/>
    <w:multiLevelType w:val="multilevel"/>
    <w:tmpl w:val="9732C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AC2DBB"/>
    <w:multiLevelType w:val="multilevel"/>
    <w:tmpl w:val="405A2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8305645">
    <w:abstractNumId w:val="1"/>
  </w:num>
  <w:num w:numId="2" w16cid:durableId="1394310355">
    <w:abstractNumId w:val="0"/>
  </w:num>
  <w:num w:numId="3" w16cid:durableId="1975981382">
    <w:abstractNumId w:val="16"/>
  </w:num>
  <w:num w:numId="4" w16cid:durableId="415588396">
    <w:abstractNumId w:val="11"/>
  </w:num>
  <w:num w:numId="5" w16cid:durableId="2101292591">
    <w:abstractNumId w:val="9"/>
  </w:num>
  <w:num w:numId="6" w16cid:durableId="1624145583">
    <w:abstractNumId w:val="3"/>
  </w:num>
  <w:num w:numId="7" w16cid:durableId="801264251">
    <w:abstractNumId w:val="13"/>
  </w:num>
  <w:num w:numId="8" w16cid:durableId="703140401">
    <w:abstractNumId w:val="14"/>
  </w:num>
  <w:num w:numId="9" w16cid:durableId="72626216">
    <w:abstractNumId w:val="2"/>
  </w:num>
  <w:num w:numId="10" w16cid:durableId="51118372">
    <w:abstractNumId w:val="12"/>
  </w:num>
  <w:num w:numId="11" w16cid:durableId="652028053">
    <w:abstractNumId w:val="6"/>
  </w:num>
  <w:num w:numId="12" w16cid:durableId="43410788">
    <w:abstractNumId w:val="18"/>
  </w:num>
  <w:num w:numId="13" w16cid:durableId="961378802">
    <w:abstractNumId w:val="10"/>
  </w:num>
  <w:num w:numId="14" w16cid:durableId="538399860">
    <w:abstractNumId w:val="17"/>
  </w:num>
  <w:num w:numId="15" w16cid:durableId="679742467">
    <w:abstractNumId w:val="8"/>
  </w:num>
  <w:num w:numId="16" w16cid:durableId="1918006733">
    <w:abstractNumId w:val="15"/>
  </w:num>
  <w:num w:numId="17" w16cid:durableId="1013462172">
    <w:abstractNumId w:val="4"/>
  </w:num>
  <w:num w:numId="18" w16cid:durableId="881863456">
    <w:abstractNumId w:val="5"/>
  </w:num>
  <w:num w:numId="19" w16cid:durableId="20089424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G0NDcyNLQ0AAJjcyUdpeDU4uLM/DyQApNaAO5qCtMsAAAA"/>
  </w:docVars>
  <w:rsids>
    <w:rsidRoot w:val="00637F01"/>
    <w:rsid w:val="00024B5E"/>
    <w:rsid w:val="00026309"/>
    <w:rsid w:val="00053B89"/>
    <w:rsid w:val="00054052"/>
    <w:rsid w:val="00061113"/>
    <w:rsid w:val="000736A2"/>
    <w:rsid w:val="000B65D7"/>
    <w:rsid w:val="00134114"/>
    <w:rsid w:val="0015291D"/>
    <w:rsid w:val="00155D8F"/>
    <w:rsid w:val="0016220F"/>
    <w:rsid w:val="001709E2"/>
    <w:rsid w:val="001729A1"/>
    <w:rsid w:val="00176FA3"/>
    <w:rsid w:val="001A491B"/>
    <w:rsid w:val="001B3E73"/>
    <w:rsid w:val="001B4E66"/>
    <w:rsid w:val="002411D1"/>
    <w:rsid w:val="00256AB8"/>
    <w:rsid w:val="002608EC"/>
    <w:rsid w:val="00266AB7"/>
    <w:rsid w:val="002956CF"/>
    <w:rsid w:val="002A4B96"/>
    <w:rsid w:val="002C2BE7"/>
    <w:rsid w:val="002D45EB"/>
    <w:rsid w:val="00335EC1"/>
    <w:rsid w:val="00396157"/>
    <w:rsid w:val="003B3EE7"/>
    <w:rsid w:val="003D3768"/>
    <w:rsid w:val="004151E4"/>
    <w:rsid w:val="00461C7A"/>
    <w:rsid w:val="004B5698"/>
    <w:rsid w:val="0056598C"/>
    <w:rsid w:val="00572DDE"/>
    <w:rsid w:val="005947B9"/>
    <w:rsid w:val="005C4E85"/>
    <w:rsid w:val="005D6511"/>
    <w:rsid w:val="00623FD9"/>
    <w:rsid w:val="00637F01"/>
    <w:rsid w:val="006452C4"/>
    <w:rsid w:val="00696FA2"/>
    <w:rsid w:val="006F2423"/>
    <w:rsid w:val="00726017"/>
    <w:rsid w:val="007365FF"/>
    <w:rsid w:val="0074648E"/>
    <w:rsid w:val="0075649C"/>
    <w:rsid w:val="00775000"/>
    <w:rsid w:val="00793151"/>
    <w:rsid w:val="007A199B"/>
    <w:rsid w:val="007C38B7"/>
    <w:rsid w:val="007F29F3"/>
    <w:rsid w:val="00854405"/>
    <w:rsid w:val="00881F5C"/>
    <w:rsid w:val="00911717"/>
    <w:rsid w:val="009176DD"/>
    <w:rsid w:val="00934DB9"/>
    <w:rsid w:val="00982BA2"/>
    <w:rsid w:val="00983FA6"/>
    <w:rsid w:val="009B10D6"/>
    <w:rsid w:val="00A25397"/>
    <w:rsid w:val="00A44EA7"/>
    <w:rsid w:val="00A474F9"/>
    <w:rsid w:val="00C33571"/>
    <w:rsid w:val="00C338BD"/>
    <w:rsid w:val="00C42CAD"/>
    <w:rsid w:val="00C44CE2"/>
    <w:rsid w:val="00C62AA0"/>
    <w:rsid w:val="00C85D76"/>
    <w:rsid w:val="00CA65D3"/>
    <w:rsid w:val="00CA7694"/>
    <w:rsid w:val="00CE7E6C"/>
    <w:rsid w:val="00CF3B6C"/>
    <w:rsid w:val="00D51E4C"/>
    <w:rsid w:val="00D56374"/>
    <w:rsid w:val="00D752C4"/>
    <w:rsid w:val="00DF729E"/>
    <w:rsid w:val="00E04B56"/>
    <w:rsid w:val="00E2181F"/>
    <w:rsid w:val="00E25010"/>
    <w:rsid w:val="00E56108"/>
    <w:rsid w:val="00F058D7"/>
    <w:rsid w:val="00F66FD4"/>
    <w:rsid w:val="00F81F1E"/>
    <w:rsid w:val="00F9543B"/>
    <w:rsid w:val="00FB4E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70AB8"/>
  <w15:chartTrackingRefBased/>
  <w15:docId w15:val="{5EEF81EF-3303-435F-AF72-8F16BEF51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BA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82BA2"/>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775000"/>
    <w:pPr>
      <w:keepNext/>
      <w:keepLines/>
      <w:spacing w:before="40" w:after="0"/>
      <w:outlineLvl w:val="1"/>
    </w:pPr>
    <w:rPr>
      <w:rFonts w:eastAsiaTheme="majorEastAsia" w:cstheme="majorBidi"/>
      <w:b/>
      <w:color w:val="00B050"/>
      <w:sz w:val="26"/>
      <w:szCs w:val="26"/>
    </w:rPr>
  </w:style>
  <w:style w:type="paragraph" w:styleId="Heading3">
    <w:name w:val="heading 3"/>
    <w:basedOn w:val="Normal"/>
    <w:next w:val="Normal"/>
    <w:link w:val="Heading3Char"/>
    <w:autoRedefine/>
    <w:uiPriority w:val="9"/>
    <w:unhideWhenUsed/>
    <w:qFormat/>
    <w:rsid w:val="00982BA2"/>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637F0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37F0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37F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7F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7F0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7F0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BA2"/>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775000"/>
    <w:rPr>
      <w:rFonts w:ascii="Times New Roman" w:eastAsiaTheme="majorEastAsia" w:hAnsi="Times New Roman" w:cstheme="majorBidi"/>
      <w:b/>
      <w:color w:val="00B050"/>
      <w:sz w:val="26"/>
      <w:szCs w:val="26"/>
    </w:rPr>
  </w:style>
  <w:style w:type="character" w:customStyle="1" w:styleId="Heading3Char">
    <w:name w:val="Heading 3 Char"/>
    <w:basedOn w:val="DefaultParagraphFont"/>
    <w:link w:val="Heading3"/>
    <w:uiPriority w:val="9"/>
    <w:rsid w:val="00982BA2"/>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semiHidden/>
    <w:rsid w:val="00637F01"/>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637F01"/>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37F0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37F0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37F0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37F0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37F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F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F0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F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7F01"/>
    <w:pPr>
      <w:spacing w:before="160"/>
      <w:jc w:val="center"/>
    </w:pPr>
    <w:rPr>
      <w:i/>
      <w:iCs/>
      <w:color w:val="404040" w:themeColor="text1" w:themeTint="BF"/>
    </w:rPr>
  </w:style>
  <w:style w:type="character" w:customStyle="1" w:styleId="QuoteChar">
    <w:name w:val="Quote Char"/>
    <w:basedOn w:val="DefaultParagraphFont"/>
    <w:link w:val="Quote"/>
    <w:uiPriority w:val="29"/>
    <w:rsid w:val="00637F01"/>
    <w:rPr>
      <w:rFonts w:ascii="Times New Roman" w:hAnsi="Times New Roman"/>
      <w:i/>
      <w:iCs/>
      <w:color w:val="404040" w:themeColor="text1" w:themeTint="BF"/>
      <w:sz w:val="24"/>
    </w:rPr>
  </w:style>
  <w:style w:type="paragraph" w:styleId="ListParagraph">
    <w:name w:val="List Paragraph"/>
    <w:basedOn w:val="Normal"/>
    <w:uiPriority w:val="34"/>
    <w:qFormat/>
    <w:rsid w:val="00637F01"/>
    <w:pPr>
      <w:ind w:left="720"/>
      <w:contextualSpacing/>
    </w:pPr>
  </w:style>
  <w:style w:type="character" w:styleId="IntenseEmphasis">
    <w:name w:val="Intense Emphasis"/>
    <w:basedOn w:val="DefaultParagraphFont"/>
    <w:uiPriority w:val="21"/>
    <w:qFormat/>
    <w:rsid w:val="00637F01"/>
    <w:rPr>
      <w:i/>
      <w:iCs/>
      <w:color w:val="2F5496" w:themeColor="accent1" w:themeShade="BF"/>
    </w:rPr>
  </w:style>
  <w:style w:type="paragraph" w:styleId="IntenseQuote">
    <w:name w:val="Intense Quote"/>
    <w:basedOn w:val="Normal"/>
    <w:next w:val="Normal"/>
    <w:link w:val="IntenseQuoteChar"/>
    <w:uiPriority w:val="30"/>
    <w:qFormat/>
    <w:rsid w:val="00637F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7F01"/>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37F01"/>
    <w:rPr>
      <w:b/>
      <w:bCs/>
      <w:smallCaps/>
      <w:color w:val="2F5496" w:themeColor="accent1" w:themeShade="BF"/>
      <w:spacing w:val="5"/>
    </w:rPr>
  </w:style>
  <w:style w:type="paragraph" w:styleId="TOCHeading">
    <w:name w:val="TOC Heading"/>
    <w:basedOn w:val="Heading1"/>
    <w:next w:val="Normal"/>
    <w:uiPriority w:val="39"/>
    <w:unhideWhenUsed/>
    <w:qFormat/>
    <w:rsid w:val="00637F01"/>
    <w:pPr>
      <w:spacing w:line="259" w:lineRule="auto"/>
      <w:jc w:val="left"/>
      <w:outlineLvl w:val="9"/>
    </w:pPr>
    <w:rPr>
      <w:rFonts w:asciiTheme="majorHAnsi" w:hAnsiTheme="majorHAnsi"/>
      <w:b w:val="0"/>
      <w:kern w:val="0"/>
      <w:sz w:val="32"/>
      <w14:ligatures w14:val="none"/>
    </w:rPr>
  </w:style>
  <w:style w:type="character" w:styleId="Emphasis">
    <w:name w:val="Emphasis"/>
    <w:basedOn w:val="DefaultParagraphFont"/>
    <w:uiPriority w:val="20"/>
    <w:qFormat/>
    <w:rsid w:val="00054052"/>
    <w:rPr>
      <w:i/>
      <w:iCs/>
    </w:rPr>
  </w:style>
  <w:style w:type="character" w:styleId="Strong">
    <w:name w:val="Strong"/>
    <w:basedOn w:val="DefaultParagraphFont"/>
    <w:uiPriority w:val="22"/>
    <w:qFormat/>
    <w:rsid w:val="00054052"/>
    <w:rPr>
      <w:b/>
      <w:bCs/>
    </w:rPr>
  </w:style>
  <w:style w:type="paragraph" w:styleId="NormalWeb">
    <w:name w:val="Normal (Web)"/>
    <w:basedOn w:val="Normal"/>
    <w:uiPriority w:val="99"/>
    <w:unhideWhenUsed/>
    <w:rsid w:val="003B3EE7"/>
    <w:pPr>
      <w:spacing w:before="100" w:beforeAutospacing="1" w:after="100" w:afterAutospacing="1" w:line="240" w:lineRule="auto"/>
      <w:jc w:val="left"/>
    </w:pPr>
    <w:rPr>
      <w:rFonts w:eastAsia="Times New Roman" w:cs="Times New Roman"/>
      <w:kern w:val="0"/>
      <w:szCs w:val="24"/>
      <w14:ligatures w14:val="none"/>
    </w:rPr>
  </w:style>
  <w:style w:type="character" w:customStyle="1" w:styleId="katex-mathml">
    <w:name w:val="katex-mathml"/>
    <w:basedOn w:val="DefaultParagraphFont"/>
    <w:rsid w:val="009B10D6"/>
  </w:style>
  <w:style w:type="character" w:customStyle="1" w:styleId="mord">
    <w:name w:val="mord"/>
    <w:basedOn w:val="DefaultParagraphFont"/>
    <w:rsid w:val="009B10D6"/>
  </w:style>
  <w:style w:type="character" w:customStyle="1" w:styleId="mrel">
    <w:name w:val="mrel"/>
    <w:basedOn w:val="DefaultParagraphFont"/>
    <w:rsid w:val="009B10D6"/>
  </w:style>
  <w:style w:type="character" w:customStyle="1" w:styleId="vlist-s">
    <w:name w:val="vlist-s"/>
    <w:basedOn w:val="DefaultParagraphFont"/>
    <w:rsid w:val="009B10D6"/>
  </w:style>
  <w:style w:type="character" w:customStyle="1" w:styleId="mbin">
    <w:name w:val="mbin"/>
    <w:basedOn w:val="DefaultParagraphFont"/>
    <w:rsid w:val="009B10D6"/>
  </w:style>
  <w:style w:type="table" w:styleId="TableGrid">
    <w:name w:val="Table Grid"/>
    <w:basedOn w:val="TableNormal"/>
    <w:uiPriority w:val="39"/>
    <w:rsid w:val="00D51E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709E2"/>
    <w:pPr>
      <w:spacing w:after="100"/>
    </w:pPr>
  </w:style>
  <w:style w:type="paragraph" w:styleId="TOC2">
    <w:name w:val="toc 2"/>
    <w:basedOn w:val="Normal"/>
    <w:next w:val="Normal"/>
    <w:autoRedefine/>
    <w:uiPriority w:val="39"/>
    <w:unhideWhenUsed/>
    <w:rsid w:val="001709E2"/>
    <w:pPr>
      <w:spacing w:after="100"/>
      <w:ind w:left="240"/>
    </w:pPr>
  </w:style>
  <w:style w:type="paragraph" w:styleId="TOC3">
    <w:name w:val="toc 3"/>
    <w:basedOn w:val="Normal"/>
    <w:next w:val="Normal"/>
    <w:autoRedefine/>
    <w:uiPriority w:val="39"/>
    <w:unhideWhenUsed/>
    <w:rsid w:val="001709E2"/>
    <w:pPr>
      <w:spacing w:after="100"/>
      <w:ind w:left="480"/>
    </w:pPr>
  </w:style>
  <w:style w:type="character" w:styleId="Hyperlink">
    <w:name w:val="Hyperlink"/>
    <w:basedOn w:val="DefaultParagraphFont"/>
    <w:uiPriority w:val="99"/>
    <w:unhideWhenUsed/>
    <w:rsid w:val="001709E2"/>
    <w:rPr>
      <w:color w:val="0563C1" w:themeColor="hyperlink"/>
      <w:u w:val="single"/>
    </w:rPr>
  </w:style>
  <w:style w:type="paragraph" w:styleId="Header">
    <w:name w:val="header"/>
    <w:basedOn w:val="Normal"/>
    <w:link w:val="HeaderChar"/>
    <w:uiPriority w:val="99"/>
    <w:unhideWhenUsed/>
    <w:rsid w:val="001529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91D"/>
    <w:rPr>
      <w:rFonts w:ascii="Times New Roman" w:hAnsi="Times New Roman"/>
      <w:sz w:val="24"/>
    </w:rPr>
  </w:style>
  <w:style w:type="paragraph" w:styleId="Footer">
    <w:name w:val="footer"/>
    <w:basedOn w:val="Normal"/>
    <w:link w:val="FooterChar"/>
    <w:uiPriority w:val="99"/>
    <w:unhideWhenUsed/>
    <w:rsid w:val="001529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91D"/>
    <w:rPr>
      <w:rFonts w:ascii="Times New Roman" w:hAnsi="Times New Roman"/>
      <w:sz w:val="24"/>
    </w:rPr>
  </w:style>
  <w:style w:type="paragraph" w:styleId="Caption">
    <w:name w:val="caption"/>
    <w:basedOn w:val="Normal"/>
    <w:next w:val="Normal"/>
    <w:uiPriority w:val="35"/>
    <w:unhideWhenUsed/>
    <w:qFormat/>
    <w:rsid w:val="00572DD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52C4"/>
    <w:pPr>
      <w:spacing w:after="0"/>
    </w:pPr>
  </w:style>
  <w:style w:type="character" w:styleId="FollowedHyperlink">
    <w:name w:val="FollowedHyperlink"/>
    <w:basedOn w:val="DefaultParagraphFont"/>
    <w:uiPriority w:val="99"/>
    <w:semiHidden/>
    <w:unhideWhenUsed/>
    <w:rsid w:val="00881F5C"/>
    <w:rPr>
      <w:color w:val="954F72"/>
      <w:u w:val="single"/>
    </w:rPr>
  </w:style>
  <w:style w:type="paragraph" w:customStyle="1" w:styleId="msonormal0">
    <w:name w:val="msonormal"/>
    <w:basedOn w:val="Normal"/>
    <w:rsid w:val="00881F5C"/>
    <w:pPr>
      <w:spacing w:before="100" w:beforeAutospacing="1" w:after="100" w:afterAutospacing="1" w:line="240" w:lineRule="auto"/>
      <w:jc w:val="left"/>
    </w:pPr>
    <w:rPr>
      <w:rFonts w:eastAsia="Times New Roman" w:cs="Times New Roman"/>
      <w:kern w:val="0"/>
      <w:szCs w:val="24"/>
      <w14:ligatures w14:val="none"/>
    </w:rPr>
  </w:style>
  <w:style w:type="paragraph" w:customStyle="1" w:styleId="font5">
    <w:name w:val="font5"/>
    <w:basedOn w:val="Normal"/>
    <w:rsid w:val="00881F5C"/>
    <w:pPr>
      <w:spacing w:before="100" w:beforeAutospacing="1" w:after="100" w:afterAutospacing="1" w:line="240" w:lineRule="auto"/>
      <w:jc w:val="left"/>
    </w:pPr>
    <w:rPr>
      <w:rFonts w:eastAsia="Times New Roman" w:cs="Times New Roman"/>
      <w:b/>
      <w:bCs/>
      <w:color w:val="000000"/>
      <w:kern w:val="0"/>
      <w:sz w:val="22"/>
      <w14:ligatures w14:val="none"/>
    </w:rPr>
  </w:style>
  <w:style w:type="paragraph" w:customStyle="1" w:styleId="xl63">
    <w:name w:val="xl63"/>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64">
    <w:name w:val="xl64"/>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eastAsia="Times New Roman" w:cs="Times New Roman"/>
      <w:b/>
      <w:bCs/>
      <w:kern w:val="0"/>
      <w:szCs w:val="24"/>
      <w14:ligatures w14:val="none"/>
    </w:rPr>
  </w:style>
  <w:style w:type="paragraph" w:customStyle="1" w:styleId="xl65">
    <w:name w:val="xl65"/>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b/>
      <w:bCs/>
      <w:kern w:val="0"/>
      <w:szCs w:val="24"/>
      <w14:ligatures w14:val="none"/>
    </w:rPr>
  </w:style>
  <w:style w:type="paragraph" w:customStyle="1" w:styleId="xl66">
    <w:name w:val="xl66"/>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textAlignment w:val="center"/>
    </w:pPr>
    <w:rPr>
      <w:rFonts w:eastAsia="Times New Roman" w:cs="Times New Roman"/>
      <w:kern w:val="0"/>
      <w:szCs w:val="24"/>
      <w14:ligatures w14:val="none"/>
    </w:rPr>
  </w:style>
  <w:style w:type="paragraph" w:customStyle="1" w:styleId="xl67">
    <w:name w:val="xl67"/>
    <w:basedOn w:val="Normal"/>
    <w:rsid w:val="00881F5C"/>
    <w:pPr>
      <w:spacing w:before="100" w:beforeAutospacing="1" w:after="100" w:afterAutospacing="1" w:line="240" w:lineRule="auto"/>
      <w:jc w:val="left"/>
    </w:pPr>
    <w:rPr>
      <w:rFonts w:eastAsia="Times New Roman" w:cs="Times New Roman"/>
      <w:kern w:val="0"/>
      <w:szCs w:val="24"/>
      <w14:ligatures w14:val="none"/>
    </w:rPr>
  </w:style>
  <w:style w:type="paragraph" w:customStyle="1" w:styleId="xl68">
    <w:name w:val="xl68"/>
    <w:basedOn w:val="Normal"/>
    <w:rsid w:val="00881F5C"/>
    <w:pPr>
      <w:spacing w:before="100" w:beforeAutospacing="1" w:after="100" w:afterAutospacing="1" w:line="240" w:lineRule="auto"/>
      <w:jc w:val="left"/>
    </w:pPr>
    <w:rPr>
      <w:rFonts w:eastAsia="Times New Roman" w:cs="Times New Roman"/>
      <w:kern w:val="0"/>
      <w:szCs w:val="24"/>
      <w14:ligatures w14:val="none"/>
    </w:rPr>
  </w:style>
  <w:style w:type="paragraph" w:customStyle="1" w:styleId="xl69">
    <w:name w:val="xl69"/>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70">
    <w:name w:val="xl70"/>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71">
    <w:name w:val="xl71"/>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72">
    <w:name w:val="xl72"/>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73">
    <w:name w:val="xl73"/>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textAlignment w:val="center"/>
    </w:pPr>
    <w:rPr>
      <w:rFonts w:eastAsia="Times New Roman" w:cs="Times New Roman"/>
      <w:kern w:val="0"/>
      <w:szCs w:val="24"/>
      <w14:ligatures w14:val="none"/>
    </w:rPr>
  </w:style>
  <w:style w:type="paragraph" w:customStyle="1" w:styleId="xl74">
    <w:name w:val="xl74"/>
    <w:basedOn w:val="Normal"/>
    <w:rsid w:val="00881F5C"/>
    <w:pPr>
      <w:pBdr>
        <w:top w:val="single" w:sz="4" w:space="0" w:color="auto"/>
        <w:left w:val="single" w:sz="4" w:space="0" w:color="auto"/>
        <w:right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75">
    <w:name w:val="xl75"/>
    <w:basedOn w:val="Normal"/>
    <w:rsid w:val="00881F5C"/>
    <w:pPr>
      <w:pBdr>
        <w:top w:val="single" w:sz="4" w:space="0" w:color="auto"/>
        <w:left w:val="single" w:sz="4" w:space="0" w:color="auto"/>
        <w:right w:val="single" w:sz="4" w:space="0" w:color="auto"/>
      </w:pBdr>
      <w:spacing w:before="100" w:beforeAutospacing="1" w:after="100" w:afterAutospacing="1" w:line="240" w:lineRule="auto"/>
      <w:jc w:val="left"/>
      <w:textAlignment w:val="center"/>
    </w:pPr>
    <w:rPr>
      <w:rFonts w:eastAsia="Times New Roman" w:cs="Times New Roman"/>
      <w:kern w:val="0"/>
      <w:szCs w:val="24"/>
      <w14:ligatures w14:val="none"/>
    </w:rPr>
  </w:style>
  <w:style w:type="paragraph" w:customStyle="1" w:styleId="xl76">
    <w:name w:val="xl76"/>
    <w:basedOn w:val="Normal"/>
    <w:rsid w:val="00881F5C"/>
    <w:pPr>
      <w:pBdr>
        <w:top w:val="single" w:sz="4" w:space="0" w:color="auto"/>
        <w:left w:val="single" w:sz="4" w:space="0" w:color="auto"/>
        <w:right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77">
    <w:name w:val="xl77"/>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eastAsia="Times New Roman" w:cs="Times New Roman"/>
      <w:b/>
      <w:bCs/>
      <w:kern w:val="0"/>
      <w:szCs w:val="24"/>
      <w14:ligatures w14:val="none"/>
    </w:rPr>
  </w:style>
  <w:style w:type="paragraph" w:customStyle="1" w:styleId="xl78">
    <w:name w:val="xl78"/>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textAlignment w:val="center"/>
    </w:pPr>
    <w:rPr>
      <w:rFonts w:eastAsia="Times New Roman" w:cs="Times New Roman"/>
      <w:b/>
      <w:bCs/>
      <w:kern w:val="0"/>
      <w:szCs w:val="24"/>
      <w14:ligatures w14:val="none"/>
    </w:rPr>
  </w:style>
  <w:style w:type="paragraph" w:customStyle="1" w:styleId="xl79">
    <w:name w:val="xl79"/>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textAlignment w:val="center"/>
    </w:pPr>
    <w:rPr>
      <w:rFonts w:eastAsia="Times New Roman" w:cs="Times New Roman"/>
      <w:kern w:val="0"/>
      <w:szCs w:val="24"/>
      <w14:ligatures w14:val="none"/>
    </w:rPr>
  </w:style>
  <w:style w:type="paragraph" w:customStyle="1" w:styleId="xl80">
    <w:name w:val="xl80"/>
    <w:basedOn w:val="Normal"/>
    <w:rsid w:val="00881F5C"/>
    <w:pPr>
      <w:spacing w:before="100" w:beforeAutospacing="1" w:after="100" w:afterAutospacing="1" w:line="240" w:lineRule="auto"/>
      <w:jc w:val="right"/>
      <w:textAlignment w:val="center"/>
    </w:pPr>
    <w:rPr>
      <w:rFonts w:eastAsia="Times New Roman" w:cs="Times New Roman"/>
      <w:b/>
      <w:bCs/>
      <w:kern w:val="0"/>
      <w:szCs w:val="24"/>
      <w14:ligatures w14:val="none"/>
    </w:rPr>
  </w:style>
  <w:style w:type="paragraph" w:customStyle="1" w:styleId="xl81">
    <w:name w:val="xl81"/>
    <w:basedOn w:val="Normal"/>
    <w:rsid w:val="00881F5C"/>
    <w:pPr>
      <w:spacing w:before="100" w:beforeAutospacing="1" w:after="100" w:afterAutospacing="1" w:line="240" w:lineRule="auto"/>
      <w:jc w:val="right"/>
      <w:textAlignment w:val="center"/>
    </w:pPr>
    <w:rPr>
      <w:rFonts w:eastAsia="Times New Roman" w:cs="Times New Roman"/>
      <w:b/>
      <w:bCs/>
      <w:kern w:val="0"/>
      <w:szCs w:val="24"/>
      <w14:ligatures w14:val="none"/>
    </w:rPr>
  </w:style>
  <w:style w:type="paragraph" w:customStyle="1" w:styleId="xl82">
    <w:name w:val="xl82"/>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eastAsia="Times New Roman" w:cs="Times New Roman"/>
      <w:kern w:val="0"/>
      <w:szCs w:val="24"/>
      <w14:ligatures w14:val="none"/>
    </w:rPr>
  </w:style>
  <w:style w:type="paragraph" w:customStyle="1" w:styleId="xl83">
    <w:name w:val="xl83"/>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eastAsia="Times New Roman" w:cs="Times New Roman"/>
      <w:b/>
      <w:bCs/>
      <w:kern w:val="0"/>
      <w:szCs w:val="24"/>
      <w14:ligatures w14:val="none"/>
    </w:rPr>
  </w:style>
  <w:style w:type="paragraph" w:customStyle="1" w:styleId="xl84">
    <w:name w:val="xl84"/>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textAlignment w:val="center"/>
    </w:pPr>
    <w:rPr>
      <w:rFonts w:eastAsia="Times New Roman" w:cs="Times New Roman"/>
      <w:b/>
      <w:bCs/>
      <w:kern w:val="0"/>
      <w:szCs w:val="24"/>
      <w14:ligatures w14:val="none"/>
    </w:rPr>
  </w:style>
  <w:style w:type="paragraph" w:customStyle="1" w:styleId="xl85">
    <w:name w:val="xl85"/>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textAlignment w:val="center"/>
    </w:pPr>
    <w:rPr>
      <w:rFonts w:eastAsia="Times New Roman" w:cs="Times New Roman"/>
      <w:kern w:val="0"/>
      <w:szCs w:val="24"/>
      <w14:ligatures w14:val="none"/>
    </w:rPr>
  </w:style>
  <w:style w:type="paragraph" w:customStyle="1" w:styleId="xl86">
    <w:name w:val="xl86"/>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b/>
      <w:bCs/>
      <w:kern w:val="0"/>
      <w:szCs w:val="24"/>
      <w14:ligatures w14:val="none"/>
    </w:rPr>
  </w:style>
  <w:style w:type="paragraph" w:customStyle="1" w:styleId="xl87">
    <w:name w:val="xl87"/>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textAlignment w:val="center"/>
    </w:pPr>
    <w:rPr>
      <w:rFonts w:eastAsia="Times New Roman" w:cs="Times New Roman"/>
      <w:b/>
      <w:bCs/>
      <w:kern w:val="0"/>
      <w:szCs w:val="24"/>
      <w14:ligatures w14:val="none"/>
    </w:rPr>
  </w:style>
  <w:style w:type="paragraph" w:customStyle="1" w:styleId="xl88">
    <w:name w:val="xl88"/>
    <w:basedOn w:val="Normal"/>
    <w:rsid w:val="00881F5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textAlignment w:val="center"/>
    </w:pPr>
    <w:rPr>
      <w:rFonts w:eastAsia="Times New Roman" w:cs="Times New Roman"/>
      <w:kern w:val="0"/>
      <w:sz w:val="20"/>
      <w:szCs w:val="20"/>
      <w14:ligatures w14:val="none"/>
    </w:rPr>
  </w:style>
  <w:style w:type="paragraph" w:customStyle="1" w:styleId="xl89">
    <w:name w:val="xl89"/>
    <w:basedOn w:val="Normal"/>
    <w:rsid w:val="00881F5C"/>
    <w:pPr>
      <w:pBdr>
        <w:top w:val="single" w:sz="4" w:space="0" w:color="auto"/>
        <w:left w:val="single" w:sz="4" w:space="0" w:color="auto"/>
        <w:bottom w:val="single" w:sz="4" w:space="0" w:color="auto"/>
      </w:pBdr>
      <w:spacing w:before="100" w:beforeAutospacing="1" w:after="100" w:afterAutospacing="1" w:line="240" w:lineRule="auto"/>
      <w:jc w:val="left"/>
    </w:pPr>
    <w:rPr>
      <w:rFonts w:eastAsia="Times New Roman" w:cs="Times New Roman"/>
      <w:kern w:val="0"/>
      <w:szCs w:val="24"/>
      <w14:ligatures w14:val="none"/>
    </w:rPr>
  </w:style>
  <w:style w:type="paragraph" w:customStyle="1" w:styleId="xl90">
    <w:name w:val="xl90"/>
    <w:basedOn w:val="Normal"/>
    <w:rsid w:val="00881F5C"/>
    <w:pPr>
      <w:spacing w:before="100" w:beforeAutospacing="1" w:after="100" w:afterAutospacing="1" w:line="240" w:lineRule="auto"/>
      <w:jc w:val="right"/>
      <w:textAlignment w:val="center"/>
    </w:pPr>
    <w:rPr>
      <w:rFonts w:eastAsia="Times New Roman" w:cs="Times New Roman"/>
      <w:kern w:val="0"/>
      <w:szCs w:val="24"/>
      <w14:ligatures w14:val="none"/>
    </w:rPr>
  </w:style>
  <w:style w:type="character" w:styleId="UnresolvedMention">
    <w:name w:val="Unresolved Mention"/>
    <w:basedOn w:val="DefaultParagraphFont"/>
    <w:uiPriority w:val="99"/>
    <w:semiHidden/>
    <w:unhideWhenUsed/>
    <w:rsid w:val="001B3E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package" Target="embeddings/Microsoft_Excel_Worksheet.xlsx"/><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'Rony Task'!$I$5</c:f>
              <c:strCache>
                <c:ptCount val="1"/>
                <c:pt idx="0">
                  <c:v>Gross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Task'!$J$4:$N$4</c:f>
              <c:numCache>
                <c:formatCode>General</c:formatCode>
                <c:ptCount val="5"/>
                <c:pt idx="0">
                  <c:v>2024</c:v>
                </c:pt>
                <c:pt idx="1">
                  <c:v>2023</c:v>
                </c:pt>
                <c:pt idx="2">
                  <c:v>2022</c:v>
                </c:pt>
                <c:pt idx="3">
                  <c:v>2021</c:v>
                </c:pt>
                <c:pt idx="4">
                  <c:v>2020</c:v>
                </c:pt>
              </c:numCache>
            </c:numRef>
          </c:cat>
          <c:val>
            <c:numRef>
              <c:f>'Rony Task'!$J$5:$N$5</c:f>
              <c:numCache>
                <c:formatCode>0.00%</c:formatCode>
                <c:ptCount val="5"/>
                <c:pt idx="0">
                  <c:v>0.28868083640811487</c:v>
                </c:pt>
                <c:pt idx="1">
                  <c:v>0.23203324002216635</c:v>
                </c:pt>
                <c:pt idx="2">
                  <c:v>0.28059275800505207</c:v>
                </c:pt>
                <c:pt idx="3">
                  <c:v>0.28759212901552855</c:v>
                </c:pt>
                <c:pt idx="4">
                  <c:v>0.28674432224897506</c:v>
                </c:pt>
              </c:numCache>
            </c:numRef>
          </c:val>
          <c:extLst>
            <c:ext xmlns:c16="http://schemas.microsoft.com/office/drawing/2014/chart" uri="{C3380CC4-5D6E-409C-BE32-E72D297353CC}">
              <c16:uniqueId val="{00000000-65B6-4EC7-8BEF-83CE6953E0CC}"/>
            </c:ext>
          </c:extLst>
        </c:ser>
        <c:ser>
          <c:idx val="1"/>
          <c:order val="1"/>
          <c:tx>
            <c:strRef>
              <c:f>'Rony Task'!$I$6</c:f>
              <c:strCache>
                <c:ptCount val="1"/>
                <c:pt idx="0">
                  <c:v>Return On Asset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Task'!$J$4:$N$4</c:f>
              <c:numCache>
                <c:formatCode>General</c:formatCode>
                <c:ptCount val="5"/>
                <c:pt idx="0">
                  <c:v>2024</c:v>
                </c:pt>
                <c:pt idx="1">
                  <c:v>2023</c:v>
                </c:pt>
                <c:pt idx="2">
                  <c:v>2022</c:v>
                </c:pt>
                <c:pt idx="3">
                  <c:v>2021</c:v>
                </c:pt>
                <c:pt idx="4">
                  <c:v>2020</c:v>
                </c:pt>
              </c:numCache>
            </c:numRef>
          </c:cat>
          <c:val>
            <c:numRef>
              <c:f>'Rony Task'!$J$6:$N$6</c:f>
              <c:numCache>
                <c:formatCode>0.00%</c:formatCode>
                <c:ptCount val="5"/>
                <c:pt idx="0">
                  <c:v>-7.4311745022483097E-2</c:v>
                </c:pt>
                <c:pt idx="1">
                  <c:v>-0.27604869166441864</c:v>
                </c:pt>
                <c:pt idx="2">
                  <c:v>8.0727859838980649E-4</c:v>
                </c:pt>
                <c:pt idx="3">
                  <c:v>1.0387030026570106E-2</c:v>
                </c:pt>
                <c:pt idx="4">
                  <c:v>7.5588390914969925E-2</c:v>
                </c:pt>
              </c:numCache>
            </c:numRef>
          </c:val>
          <c:extLst>
            <c:ext xmlns:c16="http://schemas.microsoft.com/office/drawing/2014/chart" uri="{C3380CC4-5D6E-409C-BE32-E72D297353CC}">
              <c16:uniqueId val="{00000001-65B6-4EC7-8BEF-83CE6953E0CC}"/>
            </c:ext>
          </c:extLst>
        </c:ser>
        <c:dLbls>
          <c:dLblPos val="ctr"/>
          <c:showLegendKey val="0"/>
          <c:showVal val="1"/>
          <c:showCatName val="0"/>
          <c:showSerName val="0"/>
          <c:showPercent val="0"/>
          <c:showBubbleSize val="0"/>
        </c:dLbls>
        <c:gapWidth val="150"/>
        <c:overlap val="100"/>
        <c:axId val="383412047"/>
        <c:axId val="383393807"/>
      </c:barChart>
      <c:catAx>
        <c:axId val="383412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393807"/>
        <c:crosses val="autoZero"/>
        <c:auto val="1"/>
        <c:lblAlgn val="ctr"/>
        <c:lblOffset val="100"/>
        <c:noMultiLvlLbl val="0"/>
      </c:catAx>
      <c:valAx>
        <c:axId val="38339380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120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'Rony Task'!$I$9</c:f>
              <c:strCache>
                <c:ptCount val="1"/>
                <c:pt idx="0">
                  <c:v>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Task'!$J$8:$N$8</c:f>
              <c:numCache>
                <c:formatCode>General</c:formatCode>
                <c:ptCount val="5"/>
                <c:pt idx="0">
                  <c:v>2024</c:v>
                </c:pt>
                <c:pt idx="1">
                  <c:v>2023</c:v>
                </c:pt>
                <c:pt idx="2">
                  <c:v>2022</c:v>
                </c:pt>
                <c:pt idx="3">
                  <c:v>2021</c:v>
                </c:pt>
                <c:pt idx="4">
                  <c:v>2020</c:v>
                </c:pt>
              </c:numCache>
            </c:numRef>
          </c:cat>
          <c:val>
            <c:numRef>
              <c:f>'Rony Task'!$J$9:$N$9</c:f>
              <c:numCache>
                <c:formatCode>0.00</c:formatCode>
                <c:ptCount val="5"/>
                <c:pt idx="0">
                  <c:v>1.5319506478574272</c:v>
                </c:pt>
                <c:pt idx="1">
                  <c:v>1.6062935934668752</c:v>
                </c:pt>
                <c:pt idx="2">
                  <c:v>1.5615804280441441</c:v>
                </c:pt>
                <c:pt idx="3">
                  <c:v>1.5551947303113194</c:v>
                </c:pt>
                <c:pt idx="4">
                  <c:v>1.8207509330956493</c:v>
                </c:pt>
              </c:numCache>
            </c:numRef>
          </c:val>
          <c:extLst>
            <c:ext xmlns:c16="http://schemas.microsoft.com/office/drawing/2014/chart" uri="{C3380CC4-5D6E-409C-BE32-E72D297353CC}">
              <c16:uniqueId val="{00000000-BD08-4842-8A77-687DBD89E8CC}"/>
            </c:ext>
          </c:extLst>
        </c:ser>
        <c:ser>
          <c:idx val="1"/>
          <c:order val="1"/>
          <c:tx>
            <c:strRef>
              <c:f>'Rony Task'!$I$10</c:f>
              <c:strCache>
                <c:ptCount val="1"/>
                <c:pt idx="0">
                  <c:v>Quick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Task'!$J$8:$N$8</c:f>
              <c:numCache>
                <c:formatCode>General</c:formatCode>
                <c:ptCount val="5"/>
                <c:pt idx="0">
                  <c:v>2024</c:v>
                </c:pt>
                <c:pt idx="1">
                  <c:v>2023</c:v>
                </c:pt>
                <c:pt idx="2">
                  <c:v>2022</c:v>
                </c:pt>
                <c:pt idx="3">
                  <c:v>2021</c:v>
                </c:pt>
                <c:pt idx="4">
                  <c:v>2020</c:v>
                </c:pt>
              </c:numCache>
            </c:numRef>
          </c:cat>
          <c:val>
            <c:numRef>
              <c:f>'Rony Task'!$J$10:$N$10</c:f>
              <c:numCache>
                <c:formatCode>0.00</c:formatCode>
                <c:ptCount val="5"/>
                <c:pt idx="0">
                  <c:v>1.0306271360974408</c:v>
                </c:pt>
                <c:pt idx="1">
                  <c:v>1.0585176359619728</c:v>
                </c:pt>
                <c:pt idx="2">
                  <c:v>0.9140123710578224</c:v>
                </c:pt>
                <c:pt idx="3">
                  <c:v>0.93491307135575474</c:v>
                </c:pt>
                <c:pt idx="4">
                  <c:v>1.1498690880730877</c:v>
                </c:pt>
              </c:numCache>
            </c:numRef>
          </c:val>
          <c:extLst>
            <c:ext xmlns:c16="http://schemas.microsoft.com/office/drawing/2014/chart" uri="{C3380CC4-5D6E-409C-BE32-E72D297353CC}">
              <c16:uniqueId val="{00000001-BD08-4842-8A77-687DBD89E8CC}"/>
            </c:ext>
          </c:extLst>
        </c:ser>
        <c:dLbls>
          <c:dLblPos val="inEnd"/>
          <c:showLegendKey val="0"/>
          <c:showVal val="1"/>
          <c:showCatName val="0"/>
          <c:showSerName val="0"/>
          <c:showPercent val="0"/>
          <c:showBubbleSize val="0"/>
        </c:dLbls>
        <c:gapWidth val="219"/>
        <c:overlap val="-27"/>
        <c:axId val="383413487"/>
        <c:axId val="383397167"/>
      </c:barChart>
      <c:catAx>
        <c:axId val="383413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397167"/>
        <c:crosses val="autoZero"/>
        <c:auto val="1"/>
        <c:lblAlgn val="ctr"/>
        <c:lblOffset val="100"/>
        <c:noMultiLvlLbl val="0"/>
      </c:catAx>
      <c:valAx>
        <c:axId val="3833971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134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'Rony Task'!$I$30</c:f>
              <c:strCache>
                <c:ptCount val="1"/>
                <c:pt idx="0">
                  <c:v>Inventory turnover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Task'!$J$29:$N$29</c:f>
              <c:numCache>
                <c:formatCode>General</c:formatCode>
                <c:ptCount val="5"/>
                <c:pt idx="0">
                  <c:v>2024</c:v>
                </c:pt>
                <c:pt idx="1">
                  <c:v>2023</c:v>
                </c:pt>
                <c:pt idx="2">
                  <c:v>2022</c:v>
                </c:pt>
                <c:pt idx="3">
                  <c:v>2021</c:v>
                </c:pt>
                <c:pt idx="4">
                  <c:v>2020</c:v>
                </c:pt>
              </c:numCache>
            </c:numRef>
          </c:cat>
          <c:val>
            <c:numRef>
              <c:f>'Rony Task'!$J$30:$N$30</c:f>
              <c:numCache>
                <c:formatCode>0.00</c:formatCode>
                <c:ptCount val="5"/>
                <c:pt idx="0">
                  <c:v>3.3512897606605101</c:v>
                </c:pt>
                <c:pt idx="1">
                  <c:v>2.8268010190235233</c:v>
                </c:pt>
                <c:pt idx="2">
                  <c:v>2.8433205898416167</c:v>
                </c:pt>
                <c:pt idx="3">
                  <c:v>3.3627907524156626</c:v>
                </c:pt>
                <c:pt idx="4">
                  <c:v>3.6404882504359377</c:v>
                </c:pt>
              </c:numCache>
            </c:numRef>
          </c:val>
          <c:extLst>
            <c:ext xmlns:c16="http://schemas.microsoft.com/office/drawing/2014/chart" uri="{C3380CC4-5D6E-409C-BE32-E72D297353CC}">
              <c16:uniqueId val="{00000000-5099-4EFB-9862-ECA682D144E1}"/>
            </c:ext>
          </c:extLst>
        </c:ser>
        <c:ser>
          <c:idx val="1"/>
          <c:order val="1"/>
          <c:tx>
            <c:strRef>
              <c:f>'Rony Task'!$I$31</c:f>
              <c:strCache>
                <c:ptCount val="1"/>
                <c:pt idx="0">
                  <c:v>Receivable turnover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Task'!$J$29:$N$29</c:f>
              <c:numCache>
                <c:formatCode>General</c:formatCode>
                <c:ptCount val="5"/>
                <c:pt idx="0">
                  <c:v>2024</c:v>
                </c:pt>
                <c:pt idx="1">
                  <c:v>2023</c:v>
                </c:pt>
                <c:pt idx="2">
                  <c:v>2022</c:v>
                </c:pt>
                <c:pt idx="3">
                  <c:v>2021</c:v>
                </c:pt>
                <c:pt idx="4">
                  <c:v>2020</c:v>
                </c:pt>
              </c:numCache>
            </c:numRef>
          </c:cat>
          <c:val>
            <c:numRef>
              <c:f>'Rony Task'!$J$31:$N$31</c:f>
              <c:numCache>
                <c:formatCode>0.00</c:formatCode>
                <c:ptCount val="5"/>
                <c:pt idx="0">
                  <c:v>3.4825159406997153</c:v>
                </c:pt>
                <c:pt idx="1">
                  <c:v>3.738359221488206</c:v>
                </c:pt>
                <c:pt idx="2">
                  <c:v>4.4936972441743492</c:v>
                </c:pt>
                <c:pt idx="3">
                  <c:v>4.6518975596177041</c:v>
                </c:pt>
                <c:pt idx="4">
                  <c:v>4.749020728871308</c:v>
                </c:pt>
              </c:numCache>
            </c:numRef>
          </c:val>
          <c:extLst>
            <c:ext xmlns:c16="http://schemas.microsoft.com/office/drawing/2014/chart" uri="{C3380CC4-5D6E-409C-BE32-E72D297353CC}">
              <c16:uniqueId val="{00000001-5099-4EFB-9862-ECA682D144E1}"/>
            </c:ext>
          </c:extLst>
        </c:ser>
        <c:dLbls>
          <c:dLblPos val="ctr"/>
          <c:showLegendKey val="0"/>
          <c:showVal val="1"/>
          <c:showCatName val="0"/>
          <c:showSerName val="0"/>
          <c:showPercent val="0"/>
          <c:showBubbleSize val="0"/>
        </c:dLbls>
        <c:gapWidth val="150"/>
        <c:overlap val="100"/>
        <c:axId val="383430287"/>
        <c:axId val="383441327"/>
      </c:barChart>
      <c:catAx>
        <c:axId val="383430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41327"/>
        <c:crosses val="autoZero"/>
        <c:auto val="1"/>
        <c:lblAlgn val="ctr"/>
        <c:lblOffset val="100"/>
        <c:noMultiLvlLbl val="0"/>
      </c:catAx>
      <c:valAx>
        <c:axId val="38344132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30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Gearing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'Rony Task'!$I$41</c:f>
              <c:strCache>
                <c:ptCount val="1"/>
                <c:pt idx="0">
                  <c:v>Debt-Equity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Task'!$J$40:$N$40</c:f>
              <c:numCache>
                <c:formatCode>General</c:formatCode>
                <c:ptCount val="5"/>
                <c:pt idx="0">
                  <c:v>2024</c:v>
                </c:pt>
                <c:pt idx="1">
                  <c:v>2023</c:v>
                </c:pt>
                <c:pt idx="2">
                  <c:v>2022</c:v>
                </c:pt>
                <c:pt idx="3">
                  <c:v>2021</c:v>
                </c:pt>
                <c:pt idx="4">
                  <c:v>2020</c:v>
                </c:pt>
              </c:numCache>
            </c:numRef>
          </c:cat>
          <c:val>
            <c:numRef>
              <c:f>'Rony Task'!$J$41:$N$41</c:f>
              <c:numCache>
                <c:formatCode>0.00</c:formatCode>
                <c:ptCount val="5"/>
                <c:pt idx="0">
                  <c:v>1.1119754416903431</c:v>
                </c:pt>
                <c:pt idx="1">
                  <c:v>0.98900067069081155</c:v>
                </c:pt>
                <c:pt idx="2">
                  <c:v>0.87835964918817011</c:v>
                </c:pt>
                <c:pt idx="3">
                  <c:v>0.84942869878129657</c:v>
                </c:pt>
                <c:pt idx="4">
                  <c:v>0.62875317984941004</c:v>
                </c:pt>
              </c:numCache>
            </c:numRef>
          </c:val>
          <c:extLst>
            <c:ext xmlns:c16="http://schemas.microsoft.com/office/drawing/2014/chart" uri="{C3380CC4-5D6E-409C-BE32-E72D297353CC}">
              <c16:uniqueId val="{00000000-3125-4582-8ACF-EEB289C36262}"/>
            </c:ext>
          </c:extLst>
        </c:ser>
        <c:ser>
          <c:idx val="1"/>
          <c:order val="1"/>
          <c:tx>
            <c:strRef>
              <c:f>'Rony Task'!$I$42</c:f>
              <c:strCache>
                <c:ptCount val="1"/>
                <c:pt idx="0">
                  <c:v>Interest Coverage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Task'!$J$40:$N$40</c:f>
              <c:numCache>
                <c:formatCode>General</c:formatCode>
                <c:ptCount val="5"/>
                <c:pt idx="0">
                  <c:v>2024</c:v>
                </c:pt>
                <c:pt idx="1">
                  <c:v>2023</c:v>
                </c:pt>
                <c:pt idx="2">
                  <c:v>2022</c:v>
                </c:pt>
                <c:pt idx="3">
                  <c:v>2021</c:v>
                </c:pt>
                <c:pt idx="4">
                  <c:v>2020</c:v>
                </c:pt>
              </c:numCache>
            </c:numRef>
          </c:cat>
          <c:val>
            <c:numRef>
              <c:f>'Rony Task'!$J$42:$N$42</c:f>
              <c:numCache>
                <c:formatCode>0.00</c:formatCode>
                <c:ptCount val="5"/>
                <c:pt idx="0">
                  <c:v>-4.5513240107110979</c:v>
                </c:pt>
                <c:pt idx="1">
                  <c:v>-19.690904893813482</c:v>
                </c:pt>
                <c:pt idx="2">
                  <c:v>6.6127272727272723</c:v>
                </c:pt>
                <c:pt idx="3">
                  <c:v>41.083038869257948</c:v>
                </c:pt>
                <c:pt idx="4">
                  <c:v>26.20745428973277</c:v>
                </c:pt>
              </c:numCache>
            </c:numRef>
          </c:val>
          <c:extLst>
            <c:ext xmlns:c16="http://schemas.microsoft.com/office/drawing/2014/chart" uri="{C3380CC4-5D6E-409C-BE32-E72D297353CC}">
              <c16:uniqueId val="{00000001-3125-4582-8ACF-EEB289C36262}"/>
            </c:ext>
          </c:extLst>
        </c:ser>
        <c:dLbls>
          <c:dLblPos val="outEnd"/>
          <c:showLegendKey val="0"/>
          <c:showVal val="1"/>
          <c:showCatName val="0"/>
          <c:showSerName val="0"/>
          <c:showPercent val="0"/>
          <c:showBubbleSize val="0"/>
        </c:dLbls>
        <c:gapWidth val="182"/>
        <c:axId val="383435567"/>
        <c:axId val="383431727"/>
      </c:barChart>
      <c:catAx>
        <c:axId val="3834355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31727"/>
        <c:crosses val="autoZero"/>
        <c:auto val="1"/>
        <c:lblAlgn val="ctr"/>
        <c:lblOffset val="100"/>
        <c:noMultiLvlLbl val="0"/>
      </c:catAx>
      <c:valAx>
        <c:axId val="383431727"/>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35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Investment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'Rony Task'!$I$53</c:f>
              <c:strCache>
                <c:ptCount val="1"/>
                <c:pt idx="0">
                  <c:v>Earnings Per Share</c:v>
                </c:pt>
              </c:strCache>
            </c:strRef>
          </c:tx>
          <c:spPr>
            <a:solidFill>
              <a:schemeClr val="accent1"/>
            </a:solidFill>
            <a:ln>
              <a:noFill/>
            </a:ln>
            <a:effectLst/>
            <a:sp3d/>
          </c:spPr>
          <c:invertIfNegative val="0"/>
          <c:cat>
            <c:numRef>
              <c:f>'Rony Task'!$J$52:$N$52</c:f>
              <c:numCache>
                <c:formatCode>General</c:formatCode>
                <c:ptCount val="5"/>
                <c:pt idx="0">
                  <c:v>2024</c:v>
                </c:pt>
                <c:pt idx="1">
                  <c:v>2023</c:v>
                </c:pt>
                <c:pt idx="2">
                  <c:v>2022</c:v>
                </c:pt>
                <c:pt idx="3">
                  <c:v>2021</c:v>
                </c:pt>
                <c:pt idx="4">
                  <c:v>2020</c:v>
                </c:pt>
              </c:numCache>
            </c:numRef>
          </c:cat>
          <c:val>
            <c:numRef>
              <c:f>'Rony Task'!$J$53:$N$53</c:f>
              <c:numCache>
                <c:formatCode>0.00</c:formatCode>
                <c:ptCount val="5"/>
                <c:pt idx="0">
                  <c:v>-1.8542325796743575</c:v>
                </c:pt>
                <c:pt idx="1">
                  <c:v>-7.6420070011668608</c:v>
                </c:pt>
                <c:pt idx="2">
                  <c:v>3.2039675667165236E-2</c:v>
                </c:pt>
                <c:pt idx="3">
                  <c:v>0.39368733754177498</c:v>
                </c:pt>
                <c:pt idx="4">
                  <c:v>2.77636219678975</c:v>
                </c:pt>
              </c:numCache>
            </c:numRef>
          </c:val>
          <c:extLst>
            <c:ext xmlns:c16="http://schemas.microsoft.com/office/drawing/2014/chart" uri="{C3380CC4-5D6E-409C-BE32-E72D297353CC}">
              <c16:uniqueId val="{00000000-4079-4804-B226-139C48E3DA7E}"/>
            </c:ext>
          </c:extLst>
        </c:ser>
        <c:ser>
          <c:idx val="1"/>
          <c:order val="1"/>
          <c:tx>
            <c:strRef>
              <c:f>'Rony Task'!$I$54</c:f>
              <c:strCache>
                <c:ptCount val="1"/>
                <c:pt idx="0">
                  <c:v>Return On Equity</c:v>
                </c:pt>
              </c:strCache>
            </c:strRef>
          </c:tx>
          <c:spPr>
            <a:solidFill>
              <a:schemeClr val="accent2"/>
            </a:solidFill>
            <a:ln>
              <a:noFill/>
            </a:ln>
            <a:effectLst/>
            <a:sp3d/>
          </c:spPr>
          <c:invertIfNegative val="0"/>
          <c:cat>
            <c:numRef>
              <c:f>'Rony Task'!$J$52:$N$52</c:f>
              <c:numCache>
                <c:formatCode>General</c:formatCode>
                <c:ptCount val="5"/>
                <c:pt idx="0">
                  <c:v>2024</c:v>
                </c:pt>
                <c:pt idx="1">
                  <c:v>2023</c:v>
                </c:pt>
                <c:pt idx="2">
                  <c:v>2022</c:v>
                </c:pt>
                <c:pt idx="3">
                  <c:v>2021</c:v>
                </c:pt>
                <c:pt idx="4">
                  <c:v>2020</c:v>
                </c:pt>
              </c:numCache>
            </c:numRef>
          </c:cat>
          <c:val>
            <c:numRef>
              <c:f>'Rony Task'!$J$54:$N$54</c:f>
              <c:numCache>
                <c:formatCode>0.00%</c:formatCode>
                <c:ptCount val="5"/>
                <c:pt idx="0">
                  <c:v>-0.1569445805166389</c:v>
                </c:pt>
                <c:pt idx="1">
                  <c:v>-0.54906103286384977</c:v>
                </c:pt>
                <c:pt idx="2">
                  <c:v>1.5163595448685946E-3</c:v>
                </c:pt>
                <c:pt idx="3">
                  <c:v>1.9210071426241804E-2</c:v>
                </c:pt>
                <c:pt idx="4">
                  <c:v>0.1231148320624575</c:v>
                </c:pt>
              </c:numCache>
            </c:numRef>
          </c:val>
          <c:extLst>
            <c:ext xmlns:c16="http://schemas.microsoft.com/office/drawing/2014/chart" uri="{C3380CC4-5D6E-409C-BE32-E72D297353CC}">
              <c16:uniqueId val="{00000001-4079-4804-B226-139C48E3DA7E}"/>
            </c:ext>
          </c:extLst>
        </c:ser>
        <c:dLbls>
          <c:showLegendKey val="0"/>
          <c:showVal val="0"/>
          <c:showCatName val="0"/>
          <c:showSerName val="0"/>
          <c:showPercent val="0"/>
          <c:showBubbleSize val="0"/>
        </c:dLbls>
        <c:gapWidth val="150"/>
        <c:shape val="box"/>
        <c:axId val="383407247"/>
        <c:axId val="383408687"/>
        <c:axId val="0"/>
      </c:bar3DChart>
      <c:catAx>
        <c:axId val="3834072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08687"/>
        <c:crosses val="autoZero"/>
        <c:auto val="1"/>
        <c:lblAlgn val="ctr"/>
        <c:lblOffset val="100"/>
        <c:noMultiLvlLbl val="0"/>
      </c:catAx>
      <c:valAx>
        <c:axId val="3834086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072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'Rony Task'!$I$65</c:f>
              <c:strCache>
                <c:ptCount val="1"/>
                <c:pt idx="0">
                  <c:v>Operating Cash Flow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Task'!$J$64:$N$64</c:f>
              <c:numCache>
                <c:formatCode>General</c:formatCode>
                <c:ptCount val="5"/>
                <c:pt idx="0">
                  <c:v>2024</c:v>
                </c:pt>
                <c:pt idx="1">
                  <c:v>2023</c:v>
                </c:pt>
                <c:pt idx="2">
                  <c:v>2022</c:v>
                </c:pt>
                <c:pt idx="3">
                  <c:v>2021</c:v>
                </c:pt>
                <c:pt idx="4">
                  <c:v>2020</c:v>
                </c:pt>
              </c:numCache>
            </c:numRef>
          </c:cat>
          <c:val>
            <c:numRef>
              <c:f>'Rony Task'!$J$65:$N$65</c:f>
              <c:numCache>
                <c:formatCode>0.00</c:formatCode>
                <c:ptCount val="5"/>
                <c:pt idx="0">
                  <c:v>9.3637667334213567E-2</c:v>
                </c:pt>
                <c:pt idx="1">
                  <c:v>0.15631593317943754</c:v>
                </c:pt>
                <c:pt idx="2">
                  <c:v>5.0472807232310728E-2</c:v>
                </c:pt>
                <c:pt idx="3">
                  <c:v>0.18581833781545942</c:v>
                </c:pt>
                <c:pt idx="4">
                  <c:v>0.40884630382708487</c:v>
                </c:pt>
              </c:numCache>
            </c:numRef>
          </c:val>
          <c:extLst>
            <c:ext xmlns:c16="http://schemas.microsoft.com/office/drawing/2014/chart" uri="{C3380CC4-5D6E-409C-BE32-E72D297353CC}">
              <c16:uniqueId val="{00000000-473C-47C5-8937-1128F41AD420}"/>
            </c:ext>
          </c:extLst>
        </c:ser>
        <c:ser>
          <c:idx val="1"/>
          <c:order val="1"/>
          <c:tx>
            <c:strRef>
              <c:f>'Rony Task'!$I$66</c:f>
              <c:strCache>
                <c:ptCount val="1"/>
                <c:pt idx="0">
                  <c:v>Cash Flow to Debt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'Rony Task'!$J$64:$N$64</c:f>
              <c:numCache>
                <c:formatCode>General</c:formatCode>
                <c:ptCount val="5"/>
                <c:pt idx="0">
                  <c:v>2024</c:v>
                </c:pt>
                <c:pt idx="1">
                  <c:v>2023</c:v>
                </c:pt>
                <c:pt idx="2">
                  <c:v>2022</c:v>
                </c:pt>
                <c:pt idx="3">
                  <c:v>2021</c:v>
                </c:pt>
                <c:pt idx="4">
                  <c:v>2020</c:v>
                </c:pt>
              </c:numCache>
            </c:numRef>
          </c:cat>
          <c:val>
            <c:numRef>
              <c:f>'Rony Task'!$J$66:$N$66</c:f>
              <c:numCache>
                <c:formatCode>0.00</c:formatCode>
                <c:ptCount val="5"/>
                <c:pt idx="0">
                  <c:v>8.7060716949879297E-2</c:v>
                </c:pt>
                <c:pt idx="1">
                  <c:v>0.14235498892354989</c:v>
                </c:pt>
                <c:pt idx="2">
                  <c:v>4.6344329118541548E-2</c:v>
                </c:pt>
                <c:pt idx="3">
                  <c:v>0.17185653522412639</c:v>
                </c:pt>
                <c:pt idx="4">
                  <c:v>0.37256902669692216</c:v>
                </c:pt>
              </c:numCache>
            </c:numRef>
          </c:val>
          <c:extLst>
            <c:ext xmlns:c16="http://schemas.microsoft.com/office/drawing/2014/chart" uri="{C3380CC4-5D6E-409C-BE32-E72D297353CC}">
              <c16:uniqueId val="{00000001-473C-47C5-8937-1128F41AD420}"/>
            </c:ext>
          </c:extLst>
        </c:ser>
        <c:dLbls>
          <c:dLblPos val="outEnd"/>
          <c:showLegendKey val="0"/>
          <c:showVal val="1"/>
          <c:showCatName val="0"/>
          <c:showSerName val="0"/>
          <c:showPercent val="0"/>
          <c:showBubbleSize val="0"/>
        </c:dLbls>
        <c:gapWidth val="219"/>
        <c:overlap val="-27"/>
        <c:axId val="383430767"/>
        <c:axId val="383428847"/>
      </c:barChart>
      <c:catAx>
        <c:axId val="383430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28847"/>
        <c:crosses val="autoZero"/>
        <c:auto val="1"/>
        <c:lblAlgn val="ctr"/>
        <c:lblOffset val="100"/>
        <c:noMultiLvlLbl val="0"/>
      </c:catAx>
      <c:valAx>
        <c:axId val="3834288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43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7452A-90AE-4B5C-A084-9FFC5E2FE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34</Pages>
  <Words>7257</Words>
  <Characters>41367</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SAIFUDDIN</cp:lastModifiedBy>
  <cp:revision>70</cp:revision>
  <dcterms:created xsi:type="dcterms:W3CDTF">2025-10-05T14:35:00Z</dcterms:created>
  <dcterms:modified xsi:type="dcterms:W3CDTF">2025-11-22T14:55:00Z</dcterms:modified>
</cp:coreProperties>
</file>