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5BF0E" w14:textId="62106A0B" w:rsidR="00DC14D9" w:rsidRPr="003830CF" w:rsidRDefault="0015165C" w:rsidP="004E224F">
      <w:pPr>
        <w:spacing w:line="360" w:lineRule="auto"/>
        <w:rPr>
          <w:rFonts w:ascii="Arial" w:hAnsi="Arial" w:cs="Arial"/>
          <w:sz w:val="22"/>
          <w:szCs w:val="22"/>
          <w:u w:val="single"/>
        </w:rPr>
      </w:pPr>
      <w:r>
        <w:rPr>
          <w:rFonts w:ascii="Arial" w:hAnsi="Arial" w:cs="Arial"/>
          <w:sz w:val="22"/>
          <w:szCs w:val="22"/>
          <w:u w:val="single"/>
        </w:rPr>
        <w:t xml:space="preserve"> </w:t>
      </w:r>
      <w:r w:rsidR="0084787D" w:rsidRPr="003830CF">
        <w:rPr>
          <w:rFonts w:ascii="Arial" w:hAnsi="Arial" w:cs="Arial"/>
          <w:sz w:val="22"/>
          <w:szCs w:val="22"/>
          <w:u w:val="single"/>
        </w:rPr>
        <w:t>Sarah-May Dobinso</w:t>
      </w:r>
      <w:r w:rsidR="009C437B">
        <w:rPr>
          <w:rFonts w:ascii="Arial" w:hAnsi="Arial" w:cs="Arial"/>
          <w:sz w:val="22"/>
          <w:szCs w:val="22"/>
          <w:u w:val="single"/>
        </w:rPr>
        <w:t>n</w:t>
      </w:r>
    </w:p>
    <w:p w14:paraId="43E3522E" w14:textId="77777777" w:rsidR="0084787D" w:rsidRPr="003830CF" w:rsidRDefault="0084787D" w:rsidP="0075607F">
      <w:pPr>
        <w:spacing w:line="360" w:lineRule="auto"/>
        <w:rPr>
          <w:rFonts w:ascii="Arial" w:hAnsi="Arial" w:cs="Arial"/>
          <w:sz w:val="22"/>
          <w:szCs w:val="22"/>
          <w:u w:val="single"/>
        </w:rPr>
      </w:pPr>
      <w:r w:rsidRPr="003830CF">
        <w:rPr>
          <w:rFonts w:ascii="Arial" w:hAnsi="Arial" w:cs="Arial"/>
          <w:sz w:val="22"/>
          <w:szCs w:val="22"/>
          <w:u w:val="single"/>
        </w:rPr>
        <w:t>2441437</w:t>
      </w:r>
    </w:p>
    <w:p w14:paraId="023D4CA1" w14:textId="46C6637B" w:rsidR="0084787D" w:rsidRPr="003830CF" w:rsidRDefault="0084787D" w:rsidP="004E224F">
      <w:pPr>
        <w:spacing w:line="360" w:lineRule="auto"/>
        <w:rPr>
          <w:rFonts w:ascii="Arial" w:hAnsi="Arial" w:cs="Arial"/>
          <w:sz w:val="22"/>
          <w:szCs w:val="22"/>
          <w:u w:val="single"/>
        </w:rPr>
      </w:pPr>
      <w:r w:rsidRPr="003830CF">
        <w:rPr>
          <w:rFonts w:ascii="Arial" w:hAnsi="Arial" w:cs="Arial"/>
          <w:sz w:val="22"/>
          <w:szCs w:val="22"/>
          <w:u w:val="single"/>
        </w:rPr>
        <w:t>LCHS4010</w:t>
      </w:r>
    </w:p>
    <w:p w14:paraId="2E9E59DC" w14:textId="100FEA5D" w:rsidR="0084787D" w:rsidRPr="003830CF" w:rsidRDefault="0084787D" w:rsidP="004E224F">
      <w:pPr>
        <w:spacing w:line="360" w:lineRule="auto"/>
        <w:rPr>
          <w:rFonts w:ascii="Arial" w:hAnsi="Arial" w:cs="Arial"/>
          <w:sz w:val="22"/>
          <w:szCs w:val="22"/>
          <w:u w:val="single"/>
        </w:rPr>
      </w:pPr>
      <w:r w:rsidRPr="003830CF">
        <w:rPr>
          <w:rFonts w:ascii="Arial" w:hAnsi="Arial" w:cs="Arial"/>
          <w:sz w:val="22"/>
          <w:szCs w:val="22"/>
          <w:u w:val="single"/>
        </w:rPr>
        <w:t xml:space="preserve">Farah Wiita </w:t>
      </w:r>
    </w:p>
    <w:p w14:paraId="5A5C2B54" w14:textId="3E3656BD" w:rsidR="0084787D" w:rsidRPr="003830CF" w:rsidRDefault="0084787D" w:rsidP="004E224F">
      <w:pPr>
        <w:spacing w:line="360" w:lineRule="auto"/>
        <w:rPr>
          <w:rFonts w:ascii="Arial" w:hAnsi="Arial" w:cs="Arial"/>
          <w:sz w:val="22"/>
          <w:szCs w:val="22"/>
          <w:u w:val="single"/>
        </w:rPr>
      </w:pPr>
      <w:r w:rsidRPr="003830CF">
        <w:rPr>
          <w:rFonts w:ascii="Arial" w:hAnsi="Arial" w:cs="Arial"/>
          <w:sz w:val="22"/>
          <w:szCs w:val="22"/>
          <w:u w:val="single"/>
        </w:rPr>
        <w:t>Assessment 2: Bibliography &amp; Report</w:t>
      </w:r>
    </w:p>
    <w:p w14:paraId="3773AEC6" w14:textId="77777777" w:rsidR="0084787D" w:rsidRDefault="0084787D" w:rsidP="004E224F">
      <w:pPr>
        <w:spacing w:line="360" w:lineRule="auto"/>
        <w:rPr>
          <w:rFonts w:ascii="Arial" w:hAnsi="Arial" w:cs="Arial"/>
          <w:sz w:val="22"/>
          <w:szCs w:val="22"/>
        </w:rPr>
      </w:pPr>
    </w:p>
    <w:p w14:paraId="0BEC4E85" w14:textId="3D8BA2F0" w:rsidR="0084787D" w:rsidRDefault="0084787D" w:rsidP="004E224F">
      <w:pPr>
        <w:spacing w:line="360" w:lineRule="auto"/>
        <w:rPr>
          <w:rFonts w:ascii="Arial" w:hAnsi="Arial" w:cs="Arial"/>
          <w:sz w:val="22"/>
          <w:szCs w:val="22"/>
          <w:u w:val="single"/>
        </w:rPr>
      </w:pPr>
      <w:r w:rsidRPr="0084787D">
        <w:rPr>
          <w:rFonts w:ascii="Arial" w:hAnsi="Arial" w:cs="Arial"/>
          <w:sz w:val="22"/>
          <w:szCs w:val="22"/>
          <w:u w:val="single"/>
        </w:rPr>
        <w:t xml:space="preserve">Annotated bibliography </w:t>
      </w:r>
    </w:p>
    <w:p w14:paraId="27FFBD1F" w14:textId="6136C3B7" w:rsidR="00323BFC" w:rsidRPr="00DC3EB8" w:rsidRDefault="00323BFC" w:rsidP="004E224F">
      <w:pPr>
        <w:spacing w:line="360" w:lineRule="auto"/>
        <w:rPr>
          <w:rFonts w:ascii="Arial" w:hAnsi="Arial" w:cs="Arial"/>
          <w:sz w:val="22"/>
          <w:szCs w:val="22"/>
          <w:u w:val="single"/>
        </w:rPr>
      </w:pPr>
      <w:r w:rsidRPr="00DC3EB8">
        <w:rPr>
          <w:rFonts w:ascii="Arial" w:hAnsi="Arial" w:cs="Arial"/>
          <w:sz w:val="22"/>
          <w:szCs w:val="22"/>
          <w:u w:val="single"/>
        </w:rPr>
        <w:t>Erikson’s Psychosocial Theory</w:t>
      </w:r>
    </w:p>
    <w:p w14:paraId="00992DE7" w14:textId="53494DB9" w:rsidR="0084787D" w:rsidRPr="0084787D" w:rsidRDefault="0084787D" w:rsidP="00623E1B">
      <w:pPr>
        <w:spacing w:line="360" w:lineRule="auto"/>
        <w:rPr>
          <w:rFonts w:ascii="Arial" w:hAnsi="Arial" w:cs="Arial"/>
          <w:sz w:val="22"/>
          <w:szCs w:val="22"/>
        </w:rPr>
      </w:pPr>
      <w:r>
        <w:rPr>
          <w:rFonts w:ascii="Arial" w:hAnsi="Arial" w:cs="Arial"/>
          <w:sz w:val="22"/>
          <w:szCs w:val="22"/>
        </w:rPr>
        <w:t>Erikson’s Psychosocial theory explains human development across eight stages of life; each stage is classified by a psychological conflict that influences identity and wellbeing (</w:t>
      </w:r>
      <w:r w:rsidR="00507485">
        <w:rPr>
          <w:rFonts w:ascii="Arial" w:hAnsi="Arial" w:cs="Arial"/>
          <w:sz w:val="22"/>
          <w:szCs w:val="22"/>
        </w:rPr>
        <w:t>Ber</w:t>
      </w:r>
      <w:r w:rsidR="00BC0ECA">
        <w:rPr>
          <w:rFonts w:ascii="Arial" w:hAnsi="Arial" w:cs="Arial"/>
          <w:sz w:val="22"/>
          <w:szCs w:val="22"/>
        </w:rPr>
        <w:t>k, 2007</w:t>
      </w:r>
      <w:r>
        <w:rPr>
          <w:rFonts w:ascii="Arial" w:hAnsi="Arial" w:cs="Arial"/>
          <w:sz w:val="22"/>
          <w:szCs w:val="22"/>
        </w:rPr>
        <w:t xml:space="preserve">). </w:t>
      </w:r>
      <w:r w:rsidR="007D7DF6">
        <w:rPr>
          <w:rFonts w:ascii="Arial" w:hAnsi="Arial" w:cs="Arial"/>
          <w:sz w:val="22"/>
          <w:szCs w:val="22"/>
        </w:rPr>
        <w:t>Erikson’s</w:t>
      </w:r>
      <w:r w:rsidR="00D30168">
        <w:rPr>
          <w:rFonts w:ascii="Arial" w:hAnsi="Arial" w:cs="Arial"/>
          <w:sz w:val="22"/>
          <w:szCs w:val="22"/>
        </w:rPr>
        <w:t xml:space="preserve"> theory also provides a structured way of understanding development across the entire lifespan</w:t>
      </w:r>
      <w:r w:rsidR="0049764D">
        <w:rPr>
          <w:rFonts w:ascii="Arial" w:hAnsi="Arial" w:cs="Arial"/>
          <w:sz w:val="22"/>
          <w:szCs w:val="22"/>
        </w:rPr>
        <w:t xml:space="preserve">, with each stage representing a key psychological challenge that influences </w:t>
      </w:r>
      <w:r w:rsidR="007D7DF6">
        <w:rPr>
          <w:rFonts w:ascii="Arial" w:hAnsi="Arial" w:cs="Arial"/>
          <w:sz w:val="22"/>
          <w:szCs w:val="22"/>
        </w:rPr>
        <w:t xml:space="preserve">overall wellbeing (Corradi, 2024). </w:t>
      </w:r>
      <w:r>
        <w:rPr>
          <w:rFonts w:ascii="Arial" w:hAnsi="Arial" w:cs="Arial"/>
          <w:sz w:val="22"/>
          <w:szCs w:val="22"/>
        </w:rPr>
        <w:t>In older Adulthood, the final stage is ego int</w:t>
      </w:r>
      <w:r w:rsidR="000E0BF7">
        <w:rPr>
          <w:rFonts w:ascii="Arial" w:hAnsi="Arial" w:cs="Arial"/>
          <w:sz w:val="22"/>
          <w:szCs w:val="22"/>
        </w:rPr>
        <w:t xml:space="preserve">egrity versus despair, this is where individuals may reflect on their life experiences. According to Erikson, successful resolution leads to a fulfilment and acceptance in life whereas failure may result in regret, dissatisfaction and reduced psychological wellbeing. </w:t>
      </w:r>
      <w:r w:rsidR="00FF18A9">
        <w:rPr>
          <w:rFonts w:ascii="Arial" w:hAnsi="Arial" w:cs="Arial"/>
          <w:sz w:val="22"/>
          <w:szCs w:val="22"/>
        </w:rPr>
        <w:t xml:space="preserve"> </w:t>
      </w:r>
    </w:p>
    <w:p w14:paraId="19FE91DB" w14:textId="435AEE5E" w:rsidR="0084787D" w:rsidRDefault="000E0BF7" w:rsidP="004E224F">
      <w:pPr>
        <w:spacing w:line="360" w:lineRule="auto"/>
        <w:rPr>
          <w:rFonts w:ascii="Arial" w:hAnsi="Arial" w:cs="Arial"/>
          <w:sz w:val="22"/>
          <w:szCs w:val="22"/>
        </w:rPr>
      </w:pPr>
      <w:r>
        <w:rPr>
          <w:rFonts w:ascii="Arial" w:hAnsi="Arial" w:cs="Arial"/>
          <w:sz w:val="22"/>
          <w:szCs w:val="22"/>
        </w:rPr>
        <w:t xml:space="preserve">This theory is </w:t>
      </w:r>
      <w:r w:rsidR="00133B64">
        <w:rPr>
          <w:rFonts w:ascii="Arial" w:hAnsi="Arial" w:cs="Arial"/>
          <w:sz w:val="22"/>
          <w:szCs w:val="22"/>
        </w:rPr>
        <w:t>relevant</w:t>
      </w:r>
      <w:r>
        <w:rPr>
          <w:rFonts w:ascii="Arial" w:hAnsi="Arial" w:cs="Arial"/>
          <w:sz w:val="22"/>
          <w:szCs w:val="22"/>
        </w:rPr>
        <w:t xml:space="preserve"> </w:t>
      </w:r>
      <w:r w:rsidR="00133B64">
        <w:rPr>
          <w:rFonts w:ascii="Arial" w:hAnsi="Arial" w:cs="Arial"/>
          <w:sz w:val="22"/>
          <w:szCs w:val="22"/>
        </w:rPr>
        <w:t xml:space="preserve">to </w:t>
      </w:r>
      <w:r>
        <w:rPr>
          <w:rFonts w:ascii="Arial" w:hAnsi="Arial" w:cs="Arial"/>
          <w:sz w:val="22"/>
          <w:szCs w:val="22"/>
        </w:rPr>
        <w:t xml:space="preserve">adult development within </w:t>
      </w:r>
      <w:r w:rsidR="00133B64">
        <w:rPr>
          <w:rFonts w:ascii="Arial" w:hAnsi="Arial" w:cs="Arial"/>
          <w:sz w:val="22"/>
          <w:szCs w:val="22"/>
        </w:rPr>
        <w:t xml:space="preserve">a </w:t>
      </w:r>
      <w:r>
        <w:rPr>
          <w:rFonts w:ascii="Arial" w:hAnsi="Arial" w:cs="Arial"/>
          <w:sz w:val="22"/>
          <w:szCs w:val="22"/>
        </w:rPr>
        <w:t xml:space="preserve">health and social care </w:t>
      </w:r>
      <w:r w:rsidR="00133B64">
        <w:rPr>
          <w:rFonts w:ascii="Arial" w:hAnsi="Arial" w:cs="Arial"/>
          <w:sz w:val="22"/>
          <w:szCs w:val="22"/>
        </w:rPr>
        <w:t>environment, as it highlights the importance of supporting individuals emotional and psychological needs as they age. Adults accessing care services may face certain challenges as they can feel as if they have lost independence, changes in rol</w:t>
      </w:r>
      <w:r w:rsidR="00D4673A">
        <w:rPr>
          <w:rFonts w:ascii="Arial" w:hAnsi="Arial" w:cs="Arial"/>
          <w:sz w:val="22"/>
          <w:szCs w:val="22"/>
        </w:rPr>
        <w:t>e</w:t>
      </w:r>
      <w:r w:rsidR="00133B64">
        <w:rPr>
          <w:rFonts w:ascii="Arial" w:hAnsi="Arial" w:cs="Arial"/>
          <w:sz w:val="22"/>
          <w:szCs w:val="22"/>
        </w:rPr>
        <w:t>s as they are now being cared for which can reduce their ability to reach ego integrity</w:t>
      </w:r>
      <w:r w:rsidR="00794C52">
        <w:rPr>
          <w:rFonts w:ascii="Arial" w:hAnsi="Arial" w:cs="Arial"/>
          <w:sz w:val="22"/>
          <w:szCs w:val="22"/>
        </w:rPr>
        <w:t xml:space="preserve"> </w:t>
      </w:r>
      <w:r w:rsidR="00D4673A">
        <w:rPr>
          <w:rFonts w:ascii="Arial" w:hAnsi="Arial" w:cs="Arial"/>
          <w:sz w:val="22"/>
          <w:szCs w:val="22"/>
        </w:rPr>
        <w:t>(</w:t>
      </w:r>
      <w:r w:rsidR="0028036B">
        <w:rPr>
          <w:rFonts w:ascii="Arial" w:hAnsi="Arial" w:cs="Arial"/>
          <w:sz w:val="22"/>
          <w:szCs w:val="22"/>
        </w:rPr>
        <w:t>Torges et al</w:t>
      </w:r>
      <w:r w:rsidR="008E1465">
        <w:rPr>
          <w:rFonts w:ascii="Arial" w:hAnsi="Arial" w:cs="Arial"/>
          <w:sz w:val="22"/>
          <w:szCs w:val="22"/>
        </w:rPr>
        <w:t>., 2008</w:t>
      </w:r>
      <w:r w:rsidR="00D4673A">
        <w:rPr>
          <w:rFonts w:ascii="Arial" w:hAnsi="Arial" w:cs="Arial"/>
          <w:sz w:val="22"/>
          <w:szCs w:val="22"/>
        </w:rPr>
        <w:t>)</w:t>
      </w:r>
      <w:r w:rsidR="00133B64">
        <w:rPr>
          <w:rFonts w:ascii="Arial" w:hAnsi="Arial" w:cs="Arial"/>
          <w:sz w:val="22"/>
          <w:szCs w:val="22"/>
        </w:rPr>
        <w:t xml:space="preserve">. Applying Eriksons theory, professionals can support an individual’s wellbeing by ensuring they are promoting person centred approaches such as opportunities for an individual to reflect on meaningful life experiences. Erikson (1950) highlights that the correct support during this stage can enhance emotional stability. </w:t>
      </w:r>
    </w:p>
    <w:p w14:paraId="6E228842" w14:textId="0680D5DA" w:rsidR="00510D1B" w:rsidRDefault="0055246A" w:rsidP="004E224F">
      <w:pPr>
        <w:spacing w:line="360" w:lineRule="auto"/>
        <w:rPr>
          <w:rFonts w:ascii="Arial" w:hAnsi="Arial" w:cs="Arial"/>
          <w:sz w:val="22"/>
          <w:szCs w:val="22"/>
        </w:rPr>
      </w:pPr>
      <w:r>
        <w:rPr>
          <w:rFonts w:ascii="Arial" w:hAnsi="Arial" w:cs="Arial"/>
          <w:sz w:val="22"/>
          <w:szCs w:val="22"/>
        </w:rPr>
        <w:t>Eriks</w:t>
      </w:r>
      <w:r w:rsidR="00167CD0">
        <w:rPr>
          <w:rFonts w:ascii="Arial" w:hAnsi="Arial" w:cs="Arial"/>
          <w:sz w:val="22"/>
          <w:szCs w:val="22"/>
        </w:rPr>
        <w:t>on’s</w:t>
      </w:r>
      <w:r w:rsidR="006B3774">
        <w:rPr>
          <w:rFonts w:ascii="Arial" w:hAnsi="Arial" w:cs="Arial"/>
          <w:sz w:val="22"/>
          <w:szCs w:val="22"/>
        </w:rPr>
        <w:t xml:space="preserve"> theory can also be a</w:t>
      </w:r>
      <w:r w:rsidR="006F5319">
        <w:rPr>
          <w:rFonts w:ascii="Arial" w:hAnsi="Arial" w:cs="Arial"/>
          <w:sz w:val="22"/>
          <w:szCs w:val="22"/>
        </w:rPr>
        <w:t>pplied</w:t>
      </w:r>
      <w:r w:rsidR="002776A0">
        <w:rPr>
          <w:rFonts w:ascii="Arial" w:hAnsi="Arial" w:cs="Arial"/>
          <w:sz w:val="22"/>
          <w:szCs w:val="22"/>
        </w:rPr>
        <w:t xml:space="preserve"> in a more practical way within health and social care by recognising that older adults are not only reflecting on their </w:t>
      </w:r>
      <w:r w:rsidR="00EA593C">
        <w:rPr>
          <w:rFonts w:ascii="Arial" w:hAnsi="Arial" w:cs="Arial"/>
          <w:sz w:val="22"/>
          <w:szCs w:val="22"/>
        </w:rPr>
        <w:t>past but</w:t>
      </w:r>
      <w:r w:rsidR="002776A0">
        <w:rPr>
          <w:rFonts w:ascii="Arial" w:hAnsi="Arial" w:cs="Arial"/>
          <w:sz w:val="22"/>
          <w:szCs w:val="22"/>
        </w:rPr>
        <w:t xml:space="preserve"> are actively using their life experiences to manage current challenges</w:t>
      </w:r>
      <w:r w:rsidR="00086251">
        <w:rPr>
          <w:rFonts w:ascii="Arial" w:hAnsi="Arial" w:cs="Arial"/>
          <w:sz w:val="22"/>
          <w:szCs w:val="22"/>
        </w:rPr>
        <w:t>. Pe</w:t>
      </w:r>
      <w:r w:rsidR="00EA593C">
        <w:rPr>
          <w:rFonts w:ascii="Arial" w:hAnsi="Arial" w:cs="Arial"/>
          <w:sz w:val="22"/>
          <w:szCs w:val="22"/>
        </w:rPr>
        <w:t>rry et al. (2015)</w:t>
      </w:r>
      <w:r w:rsidR="00991550">
        <w:rPr>
          <w:rFonts w:ascii="Arial" w:hAnsi="Arial" w:cs="Arial"/>
          <w:sz w:val="22"/>
          <w:szCs w:val="22"/>
        </w:rPr>
        <w:t xml:space="preserve"> found that older adults often demonstrate </w:t>
      </w:r>
      <w:r w:rsidR="00622EB6">
        <w:rPr>
          <w:rFonts w:ascii="Arial" w:hAnsi="Arial" w:cs="Arial"/>
          <w:sz w:val="22"/>
          <w:szCs w:val="22"/>
        </w:rPr>
        <w:t xml:space="preserve">independence by applying </w:t>
      </w:r>
      <w:r w:rsidR="00254D33">
        <w:rPr>
          <w:rFonts w:ascii="Arial" w:hAnsi="Arial" w:cs="Arial"/>
          <w:sz w:val="22"/>
          <w:szCs w:val="22"/>
        </w:rPr>
        <w:t xml:space="preserve">skills and knowledge </w:t>
      </w:r>
      <w:r w:rsidR="00F71D55">
        <w:rPr>
          <w:rFonts w:ascii="Arial" w:hAnsi="Arial" w:cs="Arial"/>
          <w:sz w:val="22"/>
          <w:szCs w:val="22"/>
        </w:rPr>
        <w:t xml:space="preserve">developed </w:t>
      </w:r>
      <w:r w:rsidR="00BB134D">
        <w:rPr>
          <w:rFonts w:ascii="Arial" w:hAnsi="Arial" w:cs="Arial"/>
          <w:sz w:val="22"/>
          <w:szCs w:val="22"/>
        </w:rPr>
        <w:t xml:space="preserve">throughout their lives to cope with </w:t>
      </w:r>
      <w:r w:rsidR="008A337B">
        <w:rPr>
          <w:rFonts w:ascii="Arial" w:hAnsi="Arial" w:cs="Arial"/>
          <w:sz w:val="22"/>
          <w:szCs w:val="22"/>
        </w:rPr>
        <w:t>change</w:t>
      </w:r>
      <w:r w:rsidR="00BB134D">
        <w:rPr>
          <w:rFonts w:ascii="Arial" w:hAnsi="Arial" w:cs="Arial"/>
          <w:sz w:val="22"/>
          <w:szCs w:val="22"/>
        </w:rPr>
        <w:t xml:space="preserve"> in health and wellbeing</w:t>
      </w:r>
      <w:r w:rsidR="00255F25">
        <w:rPr>
          <w:rFonts w:ascii="Arial" w:hAnsi="Arial" w:cs="Arial"/>
          <w:sz w:val="22"/>
          <w:szCs w:val="22"/>
        </w:rPr>
        <w:t>. For example, individual</w:t>
      </w:r>
      <w:r w:rsidR="00500949">
        <w:rPr>
          <w:rFonts w:ascii="Arial" w:hAnsi="Arial" w:cs="Arial"/>
          <w:sz w:val="22"/>
          <w:szCs w:val="22"/>
        </w:rPr>
        <w:t xml:space="preserve">s may use problem solving skills or coping strategies </w:t>
      </w:r>
      <w:r w:rsidR="00E4055B">
        <w:rPr>
          <w:rFonts w:ascii="Arial" w:hAnsi="Arial" w:cs="Arial"/>
          <w:sz w:val="22"/>
          <w:szCs w:val="22"/>
        </w:rPr>
        <w:t xml:space="preserve">developed over time to manage long term conditions </w:t>
      </w:r>
      <w:r w:rsidR="00BF2264">
        <w:rPr>
          <w:rFonts w:ascii="Arial" w:hAnsi="Arial" w:cs="Arial"/>
          <w:sz w:val="22"/>
          <w:szCs w:val="22"/>
        </w:rPr>
        <w:t>or adapt to reduce</w:t>
      </w:r>
      <w:r w:rsidR="000E7B82">
        <w:rPr>
          <w:rFonts w:ascii="Arial" w:hAnsi="Arial" w:cs="Arial"/>
          <w:sz w:val="22"/>
          <w:szCs w:val="22"/>
        </w:rPr>
        <w:t xml:space="preserve">d </w:t>
      </w:r>
      <w:r w:rsidR="00DC5AF1">
        <w:rPr>
          <w:rFonts w:ascii="Arial" w:hAnsi="Arial" w:cs="Arial"/>
          <w:sz w:val="22"/>
          <w:szCs w:val="22"/>
        </w:rPr>
        <w:t>mobility</w:t>
      </w:r>
      <w:r w:rsidR="00660F5D">
        <w:rPr>
          <w:rFonts w:ascii="Arial" w:hAnsi="Arial" w:cs="Arial"/>
          <w:sz w:val="22"/>
          <w:szCs w:val="22"/>
        </w:rPr>
        <w:t xml:space="preserve"> </w:t>
      </w:r>
      <w:r w:rsidR="00B71D48">
        <w:rPr>
          <w:rFonts w:ascii="Arial" w:hAnsi="Arial" w:cs="Arial"/>
          <w:sz w:val="22"/>
          <w:szCs w:val="22"/>
        </w:rPr>
        <w:t>(Zhu et al., 2025</w:t>
      </w:r>
      <w:r w:rsidR="00660F5D">
        <w:rPr>
          <w:rFonts w:ascii="Arial" w:hAnsi="Arial" w:cs="Arial"/>
          <w:sz w:val="22"/>
          <w:szCs w:val="22"/>
        </w:rPr>
        <w:t>)</w:t>
      </w:r>
      <w:r w:rsidR="00DC5AF1">
        <w:rPr>
          <w:rFonts w:ascii="Arial" w:hAnsi="Arial" w:cs="Arial"/>
          <w:sz w:val="22"/>
          <w:szCs w:val="22"/>
        </w:rPr>
        <w:t>. This highlights the importance of</w:t>
      </w:r>
      <w:r w:rsidR="009878E2">
        <w:rPr>
          <w:rFonts w:ascii="Arial" w:hAnsi="Arial" w:cs="Arial"/>
          <w:sz w:val="22"/>
          <w:szCs w:val="22"/>
        </w:rPr>
        <w:t xml:space="preserve"> </w:t>
      </w:r>
      <w:r w:rsidR="00625A05">
        <w:rPr>
          <w:rFonts w:ascii="Arial" w:hAnsi="Arial" w:cs="Arial"/>
          <w:sz w:val="22"/>
          <w:szCs w:val="22"/>
        </w:rPr>
        <w:lastRenderedPageBreak/>
        <w:t>professionals</w:t>
      </w:r>
      <w:r w:rsidR="00DC5AF1">
        <w:rPr>
          <w:rFonts w:ascii="Arial" w:hAnsi="Arial" w:cs="Arial"/>
          <w:sz w:val="22"/>
          <w:szCs w:val="22"/>
        </w:rPr>
        <w:t xml:space="preserve"> supporting individuals to remain </w:t>
      </w:r>
      <w:r w:rsidR="00625A05">
        <w:rPr>
          <w:rFonts w:ascii="Arial" w:hAnsi="Arial" w:cs="Arial"/>
          <w:sz w:val="22"/>
          <w:szCs w:val="22"/>
        </w:rPr>
        <w:t>involved in their own care, rather than taking over comple</w:t>
      </w:r>
      <w:r w:rsidR="00165D23">
        <w:rPr>
          <w:rFonts w:ascii="Arial" w:hAnsi="Arial" w:cs="Arial"/>
          <w:sz w:val="22"/>
          <w:szCs w:val="22"/>
        </w:rPr>
        <w:t xml:space="preserve">tely. </w:t>
      </w:r>
    </w:p>
    <w:p w14:paraId="03D6790D" w14:textId="3B18A3FB" w:rsidR="00323BFC" w:rsidRDefault="00323BFC" w:rsidP="004E224F">
      <w:pPr>
        <w:spacing w:line="360" w:lineRule="auto"/>
        <w:rPr>
          <w:rFonts w:ascii="Arial" w:hAnsi="Arial" w:cs="Arial"/>
          <w:sz w:val="22"/>
          <w:szCs w:val="22"/>
        </w:rPr>
      </w:pPr>
    </w:p>
    <w:p w14:paraId="0CD458AE" w14:textId="77777777" w:rsidR="007B72A9" w:rsidRDefault="007B72A9" w:rsidP="004E224F">
      <w:pPr>
        <w:spacing w:line="360" w:lineRule="auto"/>
        <w:rPr>
          <w:rFonts w:ascii="Arial" w:hAnsi="Arial" w:cs="Arial"/>
          <w:sz w:val="22"/>
          <w:szCs w:val="22"/>
        </w:rPr>
      </w:pPr>
    </w:p>
    <w:p w14:paraId="3523D777" w14:textId="77777777" w:rsidR="0089412F" w:rsidRPr="00DC3EB8" w:rsidRDefault="0089412F" w:rsidP="004E224F">
      <w:pPr>
        <w:spacing w:line="360" w:lineRule="auto"/>
        <w:rPr>
          <w:rFonts w:ascii="Arial" w:hAnsi="Arial" w:cs="Arial"/>
          <w:sz w:val="22"/>
          <w:szCs w:val="22"/>
          <w:u w:val="single"/>
        </w:rPr>
      </w:pPr>
      <w:r w:rsidRPr="00DC3EB8">
        <w:rPr>
          <w:rFonts w:ascii="Arial" w:hAnsi="Arial" w:cs="Arial"/>
          <w:sz w:val="22"/>
          <w:szCs w:val="22"/>
          <w:u w:val="single"/>
        </w:rPr>
        <w:t>Bandura’s Social Cognitive theory</w:t>
      </w:r>
    </w:p>
    <w:p w14:paraId="647A3508" w14:textId="77777777" w:rsidR="009D11DB" w:rsidRDefault="00831A81" w:rsidP="004E224F">
      <w:pPr>
        <w:spacing w:line="360" w:lineRule="auto"/>
        <w:rPr>
          <w:rFonts w:ascii="Arial" w:hAnsi="Arial" w:cs="Arial"/>
          <w:sz w:val="22"/>
          <w:szCs w:val="22"/>
        </w:rPr>
      </w:pPr>
      <w:r>
        <w:rPr>
          <w:rFonts w:ascii="Arial" w:hAnsi="Arial" w:cs="Arial"/>
          <w:sz w:val="22"/>
          <w:szCs w:val="22"/>
        </w:rPr>
        <w:t xml:space="preserve">Bandura’s Social Cognitive theory explains that behaviour </w:t>
      </w:r>
      <w:r w:rsidR="00D04FF3">
        <w:rPr>
          <w:rFonts w:ascii="Arial" w:hAnsi="Arial" w:cs="Arial"/>
          <w:sz w:val="22"/>
          <w:szCs w:val="22"/>
        </w:rPr>
        <w:t>is shaped</w:t>
      </w:r>
      <w:r w:rsidR="001074FE">
        <w:rPr>
          <w:rFonts w:ascii="Arial" w:hAnsi="Arial" w:cs="Arial"/>
          <w:sz w:val="22"/>
          <w:szCs w:val="22"/>
        </w:rPr>
        <w:t xml:space="preserve"> by interaction between a </w:t>
      </w:r>
      <w:r w:rsidR="00D04FF3">
        <w:rPr>
          <w:rFonts w:ascii="Arial" w:hAnsi="Arial" w:cs="Arial"/>
          <w:sz w:val="22"/>
          <w:szCs w:val="22"/>
        </w:rPr>
        <w:t>person’s</w:t>
      </w:r>
      <w:r w:rsidR="001074FE">
        <w:rPr>
          <w:rFonts w:ascii="Arial" w:hAnsi="Arial" w:cs="Arial"/>
          <w:sz w:val="22"/>
          <w:szCs w:val="22"/>
        </w:rPr>
        <w:t xml:space="preserve"> thoughts, their actions and their environment. A </w:t>
      </w:r>
      <w:r w:rsidR="00D04FF3">
        <w:rPr>
          <w:rFonts w:ascii="Arial" w:hAnsi="Arial" w:cs="Arial"/>
          <w:sz w:val="22"/>
          <w:szCs w:val="22"/>
        </w:rPr>
        <w:t>key part of this theory is self-</w:t>
      </w:r>
      <w:r w:rsidR="00CA5CCF">
        <w:rPr>
          <w:rFonts w:ascii="Arial" w:hAnsi="Arial" w:cs="Arial"/>
          <w:sz w:val="22"/>
          <w:szCs w:val="22"/>
        </w:rPr>
        <w:t>efficiency;</w:t>
      </w:r>
      <w:r w:rsidR="002B61BA">
        <w:rPr>
          <w:rFonts w:ascii="Arial" w:hAnsi="Arial" w:cs="Arial"/>
          <w:sz w:val="22"/>
          <w:szCs w:val="22"/>
        </w:rPr>
        <w:t xml:space="preserve"> this is a </w:t>
      </w:r>
      <w:r w:rsidR="006C36D9">
        <w:rPr>
          <w:rFonts w:ascii="Arial" w:hAnsi="Arial" w:cs="Arial"/>
          <w:sz w:val="22"/>
          <w:szCs w:val="22"/>
        </w:rPr>
        <w:t>person’s</w:t>
      </w:r>
      <w:r w:rsidR="002B61BA">
        <w:rPr>
          <w:rFonts w:ascii="Arial" w:hAnsi="Arial" w:cs="Arial"/>
          <w:sz w:val="22"/>
          <w:szCs w:val="22"/>
        </w:rPr>
        <w:t xml:space="preserve"> belief in </w:t>
      </w:r>
      <w:r w:rsidR="006C36D9">
        <w:rPr>
          <w:rFonts w:ascii="Arial" w:hAnsi="Arial" w:cs="Arial"/>
          <w:sz w:val="22"/>
          <w:szCs w:val="22"/>
        </w:rPr>
        <w:t>their</w:t>
      </w:r>
      <w:r w:rsidR="002B61BA">
        <w:rPr>
          <w:rFonts w:ascii="Arial" w:hAnsi="Arial" w:cs="Arial"/>
          <w:sz w:val="22"/>
          <w:szCs w:val="22"/>
        </w:rPr>
        <w:t xml:space="preserve"> ability to cope with</w:t>
      </w:r>
      <w:r w:rsidR="006C36D9">
        <w:rPr>
          <w:rFonts w:ascii="Arial" w:hAnsi="Arial" w:cs="Arial"/>
          <w:sz w:val="22"/>
          <w:szCs w:val="22"/>
        </w:rPr>
        <w:t xml:space="preserve"> situations and achieve their goals. Bandura (19</w:t>
      </w:r>
      <w:r w:rsidR="00CA5CCF">
        <w:rPr>
          <w:rFonts w:ascii="Arial" w:hAnsi="Arial" w:cs="Arial"/>
          <w:sz w:val="22"/>
          <w:szCs w:val="22"/>
        </w:rPr>
        <w:t xml:space="preserve">86) suggests that individuals with higher self-efficacy are more likely to continue to be motivated and adapt to situations to feel </w:t>
      </w:r>
      <w:r w:rsidR="009D11DB">
        <w:rPr>
          <w:rFonts w:ascii="Arial" w:hAnsi="Arial" w:cs="Arial"/>
          <w:sz w:val="22"/>
          <w:szCs w:val="22"/>
        </w:rPr>
        <w:t>in control of their lives.</w:t>
      </w:r>
    </w:p>
    <w:p w14:paraId="15CBF812" w14:textId="437673D4" w:rsidR="0089412F" w:rsidRDefault="009D11DB" w:rsidP="004E224F">
      <w:pPr>
        <w:spacing w:line="360" w:lineRule="auto"/>
        <w:rPr>
          <w:rFonts w:ascii="Arial" w:hAnsi="Arial" w:cs="Arial"/>
          <w:sz w:val="22"/>
          <w:szCs w:val="22"/>
        </w:rPr>
      </w:pPr>
      <w:r>
        <w:rPr>
          <w:rFonts w:ascii="Arial" w:hAnsi="Arial" w:cs="Arial"/>
          <w:sz w:val="22"/>
          <w:szCs w:val="22"/>
        </w:rPr>
        <w:t>This is important in health and social care</w:t>
      </w:r>
      <w:r w:rsidR="00554DF1">
        <w:rPr>
          <w:rFonts w:ascii="Arial" w:hAnsi="Arial" w:cs="Arial"/>
          <w:sz w:val="22"/>
          <w:szCs w:val="22"/>
        </w:rPr>
        <w:t xml:space="preserve">, particularly for older adults as many may face feelings of loss of </w:t>
      </w:r>
      <w:r w:rsidR="002A6994">
        <w:rPr>
          <w:rFonts w:ascii="Arial" w:hAnsi="Arial" w:cs="Arial"/>
          <w:sz w:val="22"/>
          <w:szCs w:val="22"/>
        </w:rPr>
        <w:t>independence</w:t>
      </w:r>
      <w:r w:rsidR="00554DF1">
        <w:rPr>
          <w:rFonts w:ascii="Arial" w:hAnsi="Arial" w:cs="Arial"/>
          <w:sz w:val="22"/>
          <w:szCs w:val="22"/>
        </w:rPr>
        <w:t xml:space="preserve">, or changes in </w:t>
      </w:r>
      <w:r w:rsidR="002A6994">
        <w:rPr>
          <w:rFonts w:ascii="Arial" w:hAnsi="Arial" w:cs="Arial"/>
          <w:sz w:val="22"/>
          <w:szCs w:val="22"/>
        </w:rPr>
        <w:t>their</w:t>
      </w:r>
      <w:r w:rsidR="00554DF1">
        <w:rPr>
          <w:rFonts w:ascii="Arial" w:hAnsi="Arial" w:cs="Arial"/>
          <w:sz w:val="22"/>
          <w:szCs w:val="22"/>
        </w:rPr>
        <w:t xml:space="preserve"> living environment</w:t>
      </w:r>
      <w:r w:rsidR="002A6994">
        <w:rPr>
          <w:rFonts w:ascii="Arial" w:hAnsi="Arial" w:cs="Arial"/>
          <w:sz w:val="22"/>
          <w:szCs w:val="22"/>
        </w:rPr>
        <w:t xml:space="preserve">. Self-efficacy can affect </w:t>
      </w:r>
      <w:r w:rsidR="00AC37FB">
        <w:rPr>
          <w:rFonts w:ascii="Arial" w:hAnsi="Arial" w:cs="Arial"/>
          <w:sz w:val="22"/>
          <w:szCs w:val="22"/>
        </w:rPr>
        <w:t xml:space="preserve">how an individual </w:t>
      </w:r>
      <w:r w:rsidR="00845FA1">
        <w:rPr>
          <w:rFonts w:ascii="Arial" w:hAnsi="Arial" w:cs="Arial"/>
          <w:sz w:val="22"/>
          <w:szCs w:val="22"/>
        </w:rPr>
        <w:t>can manage their emotional wellbeing and daily living tasks</w:t>
      </w:r>
      <w:r w:rsidR="00D333FC">
        <w:rPr>
          <w:rFonts w:ascii="Arial" w:hAnsi="Arial" w:cs="Arial"/>
          <w:sz w:val="22"/>
          <w:szCs w:val="22"/>
        </w:rPr>
        <w:t xml:space="preserve">. For example, older adults with a higher confidence are more likely </w:t>
      </w:r>
      <w:r w:rsidR="007563C2">
        <w:rPr>
          <w:rFonts w:ascii="Arial" w:hAnsi="Arial" w:cs="Arial"/>
          <w:sz w:val="22"/>
          <w:szCs w:val="22"/>
        </w:rPr>
        <w:t xml:space="preserve">to remain independent and engage with care. Therefore, </w:t>
      </w:r>
      <w:r w:rsidR="0096455F">
        <w:rPr>
          <w:rFonts w:ascii="Arial" w:hAnsi="Arial" w:cs="Arial"/>
          <w:sz w:val="22"/>
          <w:szCs w:val="22"/>
        </w:rPr>
        <w:t>professionals</w:t>
      </w:r>
      <w:r w:rsidR="007563C2">
        <w:rPr>
          <w:rFonts w:ascii="Arial" w:hAnsi="Arial" w:cs="Arial"/>
          <w:sz w:val="22"/>
          <w:szCs w:val="22"/>
        </w:rPr>
        <w:t xml:space="preserve"> </w:t>
      </w:r>
      <w:r w:rsidR="009E32A3">
        <w:rPr>
          <w:rFonts w:ascii="Arial" w:hAnsi="Arial" w:cs="Arial"/>
          <w:sz w:val="22"/>
          <w:szCs w:val="22"/>
        </w:rPr>
        <w:t xml:space="preserve">can support wellbeing by providing reassurance and </w:t>
      </w:r>
      <w:r w:rsidR="0096455F">
        <w:rPr>
          <w:rFonts w:ascii="Arial" w:hAnsi="Arial" w:cs="Arial"/>
          <w:sz w:val="22"/>
          <w:szCs w:val="22"/>
        </w:rPr>
        <w:t>encouraging</w:t>
      </w:r>
      <w:r w:rsidR="009E32A3">
        <w:rPr>
          <w:rFonts w:ascii="Arial" w:hAnsi="Arial" w:cs="Arial"/>
          <w:sz w:val="22"/>
          <w:szCs w:val="22"/>
        </w:rPr>
        <w:t xml:space="preserve"> </w:t>
      </w:r>
      <w:r w:rsidR="008342FB">
        <w:rPr>
          <w:rFonts w:ascii="Arial" w:hAnsi="Arial" w:cs="Arial"/>
          <w:sz w:val="22"/>
          <w:szCs w:val="22"/>
        </w:rPr>
        <w:t xml:space="preserve">their </w:t>
      </w:r>
      <w:r w:rsidR="009E32A3">
        <w:rPr>
          <w:rFonts w:ascii="Arial" w:hAnsi="Arial" w:cs="Arial"/>
          <w:sz w:val="22"/>
          <w:szCs w:val="22"/>
        </w:rPr>
        <w:t>independence</w:t>
      </w:r>
      <w:r w:rsidR="007D4D7A">
        <w:rPr>
          <w:rFonts w:ascii="Arial" w:hAnsi="Arial" w:cs="Arial"/>
          <w:sz w:val="22"/>
          <w:szCs w:val="22"/>
        </w:rPr>
        <w:t xml:space="preserve"> and strengthening </w:t>
      </w:r>
      <w:r w:rsidR="00AC5AF6">
        <w:rPr>
          <w:rFonts w:ascii="Arial" w:hAnsi="Arial" w:cs="Arial"/>
          <w:sz w:val="22"/>
          <w:szCs w:val="22"/>
        </w:rPr>
        <w:t xml:space="preserve">their self- </w:t>
      </w:r>
      <w:r w:rsidR="00273B35">
        <w:rPr>
          <w:rFonts w:ascii="Arial" w:hAnsi="Arial" w:cs="Arial"/>
          <w:sz w:val="22"/>
          <w:szCs w:val="22"/>
        </w:rPr>
        <w:t>efficacy</w:t>
      </w:r>
      <w:r w:rsidR="00AC5AF6">
        <w:rPr>
          <w:rFonts w:ascii="Arial" w:hAnsi="Arial" w:cs="Arial"/>
          <w:sz w:val="22"/>
          <w:szCs w:val="22"/>
        </w:rPr>
        <w:t xml:space="preserve"> to support overall psychological wellbeing. </w:t>
      </w:r>
    </w:p>
    <w:p w14:paraId="62EE570F" w14:textId="3A301D34" w:rsidR="00CB54AD" w:rsidRDefault="002F7F1A" w:rsidP="004E224F">
      <w:pPr>
        <w:spacing w:line="360" w:lineRule="auto"/>
        <w:rPr>
          <w:rFonts w:ascii="Arial" w:hAnsi="Arial" w:cs="Arial"/>
          <w:sz w:val="22"/>
          <w:szCs w:val="22"/>
        </w:rPr>
      </w:pPr>
      <w:r>
        <w:rPr>
          <w:rFonts w:ascii="Arial" w:hAnsi="Arial" w:cs="Arial"/>
          <w:sz w:val="22"/>
          <w:szCs w:val="22"/>
        </w:rPr>
        <w:t xml:space="preserve">Building on this, </w:t>
      </w:r>
      <w:r w:rsidR="00136886">
        <w:rPr>
          <w:rFonts w:ascii="Arial" w:hAnsi="Arial" w:cs="Arial"/>
          <w:sz w:val="22"/>
          <w:szCs w:val="22"/>
        </w:rPr>
        <w:t>self-efficacy</w:t>
      </w:r>
      <w:r>
        <w:rPr>
          <w:rFonts w:ascii="Arial" w:hAnsi="Arial" w:cs="Arial"/>
          <w:sz w:val="22"/>
          <w:szCs w:val="22"/>
        </w:rPr>
        <w:t xml:space="preserve"> is not only influenced</w:t>
      </w:r>
      <w:r w:rsidR="00136886">
        <w:rPr>
          <w:rFonts w:ascii="Arial" w:hAnsi="Arial" w:cs="Arial"/>
          <w:sz w:val="22"/>
          <w:szCs w:val="22"/>
        </w:rPr>
        <w:t xml:space="preserve"> by a person’s albitites but also how they</w:t>
      </w:r>
      <w:r w:rsidR="007163AD">
        <w:rPr>
          <w:rFonts w:ascii="Arial" w:hAnsi="Arial" w:cs="Arial"/>
          <w:sz w:val="22"/>
          <w:szCs w:val="22"/>
        </w:rPr>
        <w:t xml:space="preserve"> view challenges in their everyday life. </w:t>
      </w:r>
      <w:r w:rsidR="007B05D3">
        <w:rPr>
          <w:rFonts w:ascii="Arial" w:hAnsi="Arial" w:cs="Arial"/>
          <w:sz w:val="22"/>
          <w:szCs w:val="22"/>
        </w:rPr>
        <w:t>W</w:t>
      </w:r>
      <w:r w:rsidR="0065017D">
        <w:rPr>
          <w:rFonts w:ascii="Arial" w:hAnsi="Arial" w:cs="Arial"/>
          <w:sz w:val="22"/>
          <w:szCs w:val="22"/>
        </w:rPr>
        <w:t>arner et</w:t>
      </w:r>
      <w:r w:rsidR="00C6732F">
        <w:rPr>
          <w:rFonts w:ascii="Arial" w:hAnsi="Arial" w:cs="Arial"/>
          <w:sz w:val="22"/>
          <w:szCs w:val="22"/>
        </w:rPr>
        <w:t xml:space="preserve"> </w:t>
      </w:r>
      <w:r w:rsidR="0065017D">
        <w:rPr>
          <w:rFonts w:ascii="Arial" w:hAnsi="Arial" w:cs="Arial"/>
          <w:sz w:val="22"/>
          <w:szCs w:val="22"/>
        </w:rPr>
        <w:t>al</w:t>
      </w:r>
      <w:r w:rsidR="006029EA">
        <w:rPr>
          <w:rFonts w:ascii="Arial" w:hAnsi="Arial" w:cs="Arial"/>
          <w:sz w:val="22"/>
          <w:szCs w:val="22"/>
        </w:rPr>
        <w:t xml:space="preserve">. </w:t>
      </w:r>
      <w:r w:rsidR="0065017D">
        <w:rPr>
          <w:rFonts w:ascii="Arial" w:hAnsi="Arial" w:cs="Arial"/>
          <w:sz w:val="22"/>
          <w:szCs w:val="22"/>
        </w:rPr>
        <w:t xml:space="preserve">(2017) </w:t>
      </w:r>
      <w:r w:rsidR="006029EA">
        <w:rPr>
          <w:rFonts w:ascii="Arial" w:hAnsi="Arial" w:cs="Arial"/>
          <w:sz w:val="22"/>
          <w:szCs w:val="22"/>
        </w:rPr>
        <w:t xml:space="preserve">fount that older adults views on physical </w:t>
      </w:r>
      <w:r w:rsidR="0008343E">
        <w:rPr>
          <w:rFonts w:ascii="Arial" w:hAnsi="Arial" w:cs="Arial"/>
          <w:sz w:val="22"/>
          <w:szCs w:val="22"/>
        </w:rPr>
        <w:t xml:space="preserve">and </w:t>
      </w:r>
      <w:r w:rsidR="00AC1011">
        <w:rPr>
          <w:rFonts w:ascii="Arial" w:hAnsi="Arial" w:cs="Arial"/>
          <w:sz w:val="22"/>
          <w:szCs w:val="22"/>
        </w:rPr>
        <w:t>emotional barriers</w:t>
      </w:r>
      <w:r w:rsidR="0008343E">
        <w:rPr>
          <w:rFonts w:ascii="Arial" w:hAnsi="Arial" w:cs="Arial"/>
          <w:sz w:val="22"/>
          <w:szCs w:val="22"/>
        </w:rPr>
        <w:t xml:space="preserve"> can directly affect their confidence and willingness to stay active</w:t>
      </w:r>
      <w:r w:rsidR="00AC1011">
        <w:rPr>
          <w:rFonts w:ascii="Arial" w:hAnsi="Arial" w:cs="Arial"/>
          <w:sz w:val="22"/>
          <w:szCs w:val="22"/>
        </w:rPr>
        <w:t xml:space="preserve">. This shows </w:t>
      </w:r>
      <w:r w:rsidR="00163807">
        <w:rPr>
          <w:rFonts w:ascii="Arial" w:hAnsi="Arial" w:cs="Arial"/>
          <w:sz w:val="22"/>
          <w:szCs w:val="22"/>
        </w:rPr>
        <w:t>that its not</w:t>
      </w:r>
      <w:r w:rsidR="006F1125">
        <w:rPr>
          <w:rFonts w:ascii="Arial" w:hAnsi="Arial" w:cs="Arial"/>
          <w:sz w:val="22"/>
          <w:szCs w:val="22"/>
        </w:rPr>
        <w:t xml:space="preserve"> just the health itself that matters, but its about </w:t>
      </w:r>
      <w:r w:rsidR="00475B20">
        <w:rPr>
          <w:rFonts w:ascii="Arial" w:hAnsi="Arial" w:cs="Arial"/>
          <w:sz w:val="22"/>
          <w:szCs w:val="22"/>
        </w:rPr>
        <w:t>how the person feels and thinks about it</w:t>
      </w:r>
      <w:r w:rsidR="00BC33D8">
        <w:rPr>
          <w:rFonts w:ascii="Arial" w:hAnsi="Arial" w:cs="Arial"/>
          <w:sz w:val="22"/>
          <w:szCs w:val="22"/>
        </w:rPr>
        <w:t xml:space="preserve">. If someone feels </w:t>
      </w:r>
      <w:r w:rsidR="001013D8">
        <w:rPr>
          <w:rFonts w:ascii="Arial" w:hAnsi="Arial" w:cs="Arial"/>
          <w:sz w:val="22"/>
          <w:szCs w:val="22"/>
        </w:rPr>
        <w:t>their</w:t>
      </w:r>
      <w:r w:rsidR="00BC33D8">
        <w:rPr>
          <w:rFonts w:ascii="Arial" w:hAnsi="Arial" w:cs="Arial"/>
          <w:sz w:val="22"/>
          <w:szCs w:val="22"/>
        </w:rPr>
        <w:t xml:space="preserve"> health circumstances are overwhelming</w:t>
      </w:r>
      <w:r w:rsidR="00675777">
        <w:rPr>
          <w:rFonts w:ascii="Arial" w:hAnsi="Arial" w:cs="Arial"/>
          <w:sz w:val="22"/>
          <w:szCs w:val="22"/>
        </w:rPr>
        <w:t xml:space="preserve">, </w:t>
      </w:r>
      <w:r w:rsidR="00B27A00">
        <w:rPr>
          <w:rFonts w:ascii="Arial" w:hAnsi="Arial" w:cs="Arial"/>
          <w:sz w:val="22"/>
          <w:szCs w:val="22"/>
        </w:rPr>
        <w:t>they’re</w:t>
      </w:r>
      <w:r w:rsidR="00675777">
        <w:rPr>
          <w:rFonts w:ascii="Arial" w:hAnsi="Arial" w:cs="Arial"/>
          <w:sz w:val="22"/>
          <w:szCs w:val="22"/>
        </w:rPr>
        <w:t xml:space="preserve"> less likely to believe they can manage it</w:t>
      </w:r>
      <w:r w:rsidR="00B27A00">
        <w:rPr>
          <w:rFonts w:ascii="Arial" w:hAnsi="Arial" w:cs="Arial"/>
          <w:sz w:val="22"/>
          <w:szCs w:val="22"/>
        </w:rPr>
        <w:t xml:space="preserve"> which can reduce the </w:t>
      </w:r>
      <w:r w:rsidR="007268AF">
        <w:rPr>
          <w:rFonts w:ascii="Arial" w:hAnsi="Arial" w:cs="Arial"/>
          <w:sz w:val="22"/>
          <w:szCs w:val="22"/>
        </w:rPr>
        <w:t>individual’s</w:t>
      </w:r>
      <w:r w:rsidR="0013695D">
        <w:rPr>
          <w:rFonts w:ascii="Arial" w:hAnsi="Arial" w:cs="Arial"/>
          <w:sz w:val="22"/>
          <w:szCs w:val="22"/>
        </w:rPr>
        <w:t xml:space="preserve"> independence. </w:t>
      </w:r>
    </w:p>
    <w:p w14:paraId="08FA84B4" w14:textId="577FC12F" w:rsidR="00B54DD5" w:rsidRDefault="00CD192F" w:rsidP="004E224F">
      <w:pPr>
        <w:spacing w:line="360" w:lineRule="auto"/>
        <w:rPr>
          <w:rFonts w:ascii="Arial" w:hAnsi="Arial" w:cs="Arial"/>
          <w:sz w:val="22"/>
          <w:szCs w:val="22"/>
        </w:rPr>
      </w:pPr>
      <w:r>
        <w:rPr>
          <w:rFonts w:ascii="Arial" w:hAnsi="Arial" w:cs="Arial"/>
          <w:sz w:val="22"/>
          <w:szCs w:val="22"/>
        </w:rPr>
        <w:t xml:space="preserve">This is especially </w:t>
      </w:r>
      <w:r w:rsidR="00CF0531">
        <w:rPr>
          <w:rFonts w:ascii="Arial" w:hAnsi="Arial" w:cs="Arial"/>
          <w:sz w:val="22"/>
          <w:szCs w:val="22"/>
        </w:rPr>
        <w:t xml:space="preserve">important </w:t>
      </w:r>
      <w:r w:rsidR="002374CD">
        <w:rPr>
          <w:rFonts w:ascii="Arial" w:hAnsi="Arial" w:cs="Arial"/>
          <w:sz w:val="22"/>
          <w:szCs w:val="22"/>
        </w:rPr>
        <w:t xml:space="preserve">when </w:t>
      </w:r>
      <w:r w:rsidR="001013D8">
        <w:rPr>
          <w:rFonts w:ascii="Arial" w:hAnsi="Arial" w:cs="Arial"/>
          <w:sz w:val="22"/>
          <w:szCs w:val="22"/>
        </w:rPr>
        <w:t xml:space="preserve">working with older adults as they often face more than one challenge at once </w:t>
      </w:r>
      <w:r w:rsidR="006E2769">
        <w:rPr>
          <w:rFonts w:ascii="Arial" w:hAnsi="Arial" w:cs="Arial"/>
          <w:sz w:val="22"/>
          <w:szCs w:val="22"/>
        </w:rPr>
        <w:t xml:space="preserve">for example, if someone has reduced mobility and </w:t>
      </w:r>
      <w:r w:rsidR="002E0C60">
        <w:rPr>
          <w:rFonts w:ascii="Arial" w:hAnsi="Arial" w:cs="Arial"/>
          <w:sz w:val="22"/>
          <w:szCs w:val="22"/>
        </w:rPr>
        <w:t>long-term</w:t>
      </w:r>
      <w:r w:rsidR="006E2769">
        <w:rPr>
          <w:rFonts w:ascii="Arial" w:hAnsi="Arial" w:cs="Arial"/>
          <w:sz w:val="22"/>
          <w:szCs w:val="22"/>
        </w:rPr>
        <w:t xml:space="preserve"> conditions it may cause them to feel lonely</w:t>
      </w:r>
      <w:r w:rsidR="002E0C60">
        <w:rPr>
          <w:rFonts w:ascii="Arial" w:hAnsi="Arial" w:cs="Arial"/>
          <w:sz w:val="22"/>
          <w:szCs w:val="22"/>
        </w:rPr>
        <w:t>.</w:t>
      </w:r>
      <w:r w:rsidR="00BC43E1">
        <w:rPr>
          <w:rFonts w:ascii="Arial" w:hAnsi="Arial" w:cs="Arial"/>
          <w:sz w:val="22"/>
          <w:szCs w:val="22"/>
        </w:rPr>
        <w:t xml:space="preserve"> As a result</w:t>
      </w:r>
      <w:r w:rsidR="00BA74CC">
        <w:rPr>
          <w:rFonts w:ascii="Arial" w:hAnsi="Arial" w:cs="Arial"/>
          <w:sz w:val="22"/>
          <w:szCs w:val="22"/>
        </w:rPr>
        <w:t>, motivation can decrease, which may make individuals feel less in control of themselves and their Environment</w:t>
      </w:r>
      <w:r w:rsidR="00DA2AD4">
        <w:rPr>
          <w:rFonts w:ascii="Arial" w:hAnsi="Arial" w:cs="Arial"/>
          <w:sz w:val="22"/>
          <w:szCs w:val="22"/>
        </w:rPr>
        <w:t xml:space="preserve">. </w:t>
      </w:r>
      <w:r w:rsidR="009419E4">
        <w:rPr>
          <w:rFonts w:ascii="Arial" w:hAnsi="Arial" w:cs="Arial"/>
          <w:sz w:val="22"/>
          <w:szCs w:val="22"/>
        </w:rPr>
        <w:t>Balki et al. (2023)</w:t>
      </w:r>
      <w:r w:rsidR="00F85F3B">
        <w:rPr>
          <w:rFonts w:ascii="Arial" w:hAnsi="Arial" w:cs="Arial"/>
          <w:sz w:val="22"/>
          <w:szCs w:val="22"/>
        </w:rPr>
        <w:t xml:space="preserve"> suggests that increased social isolation can have a negative decline on </w:t>
      </w:r>
      <w:r w:rsidR="00431A37">
        <w:rPr>
          <w:rFonts w:ascii="Arial" w:hAnsi="Arial" w:cs="Arial"/>
          <w:sz w:val="22"/>
          <w:szCs w:val="22"/>
        </w:rPr>
        <w:t>someone’s</w:t>
      </w:r>
      <w:r w:rsidR="00F85F3B">
        <w:rPr>
          <w:rFonts w:ascii="Arial" w:hAnsi="Arial" w:cs="Arial"/>
          <w:sz w:val="22"/>
          <w:szCs w:val="22"/>
        </w:rPr>
        <w:t xml:space="preserve"> emotional wellbeing </w:t>
      </w:r>
      <w:r w:rsidR="00E16E7C">
        <w:rPr>
          <w:rFonts w:ascii="Arial" w:hAnsi="Arial" w:cs="Arial"/>
          <w:sz w:val="22"/>
          <w:szCs w:val="22"/>
        </w:rPr>
        <w:t xml:space="preserve">and reduce their ability to cope later in life. </w:t>
      </w:r>
    </w:p>
    <w:p w14:paraId="77ECAFE3" w14:textId="21A6384F" w:rsidR="005E4A09" w:rsidRDefault="005E4A09" w:rsidP="004E224F">
      <w:pPr>
        <w:spacing w:line="360" w:lineRule="auto"/>
        <w:rPr>
          <w:rFonts w:ascii="Arial" w:hAnsi="Arial" w:cs="Arial"/>
          <w:sz w:val="22"/>
          <w:szCs w:val="22"/>
        </w:rPr>
      </w:pPr>
      <w:r>
        <w:rPr>
          <w:rFonts w:ascii="Arial" w:hAnsi="Arial" w:cs="Arial"/>
          <w:sz w:val="22"/>
          <w:szCs w:val="22"/>
        </w:rPr>
        <w:t xml:space="preserve">This can be understood through Bandura’s theory, as a lack of social interaction </w:t>
      </w:r>
      <w:r w:rsidR="00E51C4D">
        <w:rPr>
          <w:rFonts w:ascii="Arial" w:hAnsi="Arial" w:cs="Arial"/>
          <w:sz w:val="22"/>
          <w:szCs w:val="22"/>
        </w:rPr>
        <w:t xml:space="preserve">and increased loneliness can gradually affect a </w:t>
      </w:r>
      <w:r w:rsidR="00910965">
        <w:rPr>
          <w:rFonts w:ascii="Arial" w:hAnsi="Arial" w:cs="Arial"/>
          <w:sz w:val="22"/>
          <w:szCs w:val="22"/>
        </w:rPr>
        <w:t>person’s</w:t>
      </w:r>
      <w:r w:rsidR="00E51C4D">
        <w:rPr>
          <w:rFonts w:ascii="Arial" w:hAnsi="Arial" w:cs="Arial"/>
          <w:sz w:val="22"/>
          <w:szCs w:val="22"/>
        </w:rPr>
        <w:t xml:space="preserve"> ability</w:t>
      </w:r>
      <w:r w:rsidR="00424FB1">
        <w:rPr>
          <w:rFonts w:ascii="Arial" w:hAnsi="Arial" w:cs="Arial"/>
          <w:sz w:val="22"/>
          <w:szCs w:val="22"/>
        </w:rPr>
        <w:t xml:space="preserve"> to cope. When individuals fell as if they have no support or feel isolated, they may be less </w:t>
      </w:r>
      <w:r w:rsidR="002501B5">
        <w:rPr>
          <w:rFonts w:ascii="Arial" w:hAnsi="Arial" w:cs="Arial"/>
          <w:sz w:val="22"/>
          <w:szCs w:val="22"/>
        </w:rPr>
        <w:t>motivated to take</w:t>
      </w:r>
      <w:r w:rsidR="00910965">
        <w:rPr>
          <w:rFonts w:ascii="Arial" w:hAnsi="Arial" w:cs="Arial"/>
          <w:sz w:val="22"/>
          <w:szCs w:val="22"/>
        </w:rPr>
        <w:t xml:space="preserve"> p</w:t>
      </w:r>
      <w:r w:rsidR="002501B5">
        <w:rPr>
          <w:rFonts w:ascii="Arial" w:hAnsi="Arial" w:cs="Arial"/>
          <w:sz w:val="22"/>
          <w:szCs w:val="22"/>
        </w:rPr>
        <w:t xml:space="preserve">art in daily </w:t>
      </w:r>
      <w:r w:rsidR="002501B5">
        <w:rPr>
          <w:rFonts w:ascii="Arial" w:hAnsi="Arial" w:cs="Arial"/>
          <w:sz w:val="22"/>
          <w:szCs w:val="22"/>
        </w:rPr>
        <w:lastRenderedPageBreak/>
        <w:t xml:space="preserve">activities or manage </w:t>
      </w:r>
      <w:r w:rsidR="00910965">
        <w:rPr>
          <w:rFonts w:ascii="Arial" w:hAnsi="Arial" w:cs="Arial"/>
          <w:sz w:val="22"/>
          <w:szCs w:val="22"/>
        </w:rPr>
        <w:t>their</w:t>
      </w:r>
      <w:r w:rsidR="002501B5">
        <w:rPr>
          <w:rFonts w:ascii="Arial" w:hAnsi="Arial" w:cs="Arial"/>
          <w:sz w:val="22"/>
          <w:szCs w:val="22"/>
        </w:rPr>
        <w:t xml:space="preserve"> basic care </w:t>
      </w:r>
      <w:r w:rsidR="00DC03C6">
        <w:rPr>
          <w:rFonts w:ascii="Arial" w:hAnsi="Arial" w:cs="Arial"/>
          <w:sz w:val="22"/>
          <w:szCs w:val="22"/>
        </w:rPr>
        <w:t>needs,</w:t>
      </w:r>
      <w:r w:rsidR="00910965">
        <w:rPr>
          <w:rFonts w:ascii="Arial" w:hAnsi="Arial" w:cs="Arial"/>
          <w:sz w:val="22"/>
          <w:szCs w:val="22"/>
        </w:rPr>
        <w:t xml:space="preserve"> which affects independence</w:t>
      </w:r>
      <w:r w:rsidR="00DC03C6">
        <w:rPr>
          <w:rFonts w:ascii="Arial" w:hAnsi="Arial" w:cs="Arial"/>
          <w:sz w:val="22"/>
          <w:szCs w:val="22"/>
        </w:rPr>
        <w:t>. On the other hand</w:t>
      </w:r>
      <w:r w:rsidR="005636A1">
        <w:rPr>
          <w:rFonts w:ascii="Arial" w:hAnsi="Arial" w:cs="Arial"/>
          <w:sz w:val="22"/>
          <w:szCs w:val="22"/>
        </w:rPr>
        <w:t xml:space="preserve">, </w:t>
      </w:r>
      <w:r w:rsidR="001652A8">
        <w:rPr>
          <w:rFonts w:ascii="Arial" w:hAnsi="Arial" w:cs="Arial"/>
          <w:sz w:val="22"/>
          <w:szCs w:val="22"/>
        </w:rPr>
        <w:t>it</w:t>
      </w:r>
      <w:r w:rsidR="005636A1">
        <w:rPr>
          <w:rFonts w:ascii="Arial" w:hAnsi="Arial" w:cs="Arial"/>
          <w:sz w:val="22"/>
          <w:szCs w:val="22"/>
        </w:rPr>
        <w:t xml:space="preserve"> is important t</w:t>
      </w:r>
      <w:r w:rsidR="00284DA3">
        <w:rPr>
          <w:rFonts w:ascii="Arial" w:hAnsi="Arial" w:cs="Arial"/>
          <w:sz w:val="22"/>
          <w:szCs w:val="22"/>
        </w:rPr>
        <w:t xml:space="preserve">o identify that Bandura’s social cognitive theory does have </w:t>
      </w:r>
      <w:r w:rsidR="001652A8">
        <w:rPr>
          <w:rFonts w:ascii="Arial" w:hAnsi="Arial" w:cs="Arial"/>
          <w:sz w:val="22"/>
          <w:szCs w:val="22"/>
        </w:rPr>
        <w:t>limitations. Egele et al.</w:t>
      </w:r>
      <w:r w:rsidR="00284DA3">
        <w:rPr>
          <w:rFonts w:ascii="Arial" w:hAnsi="Arial" w:cs="Arial"/>
          <w:sz w:val="22"/>
          <w:szCs w:val="22"/>
        </w:rPr>
        <w:t xml:space="preserve"> (</w:t>
      </w:r>
      <w:r w:rsidR="003F5E33">
        <w:rPr>
          <w:rFonts w:ascii="Arial" w:hAnsi="Arial" w:cs="Arial"/>
          <w:sz w:val="22"/>
          <w:szCs w:val="22"/>
        </w:rPr>
        <w:t xml:space="preserve">2025) argues that majority of this </w:t>
      </w:r>
      <w:r w:rsidR="00D45B19">
        <w:rPr>
          <w:rFonts w:ascii="Arial" w:hAnsi="Arial" w:cs="Arial"/>
          <w:sz w:val="22"/>
          <w:szCs w:val="22"/>
        </w:rPr>
        <w:t xml:space="preserve">research focuses mainly on self-efficacy rather than testing </w:t>
      </w:r>
      <w:r w:rsidR="00692F2D">
        <w:rPr>
          <w:rFonts w:ascii="Arial" w:hAnsi="Arial" w:cs="Arial"/>
          <w:sz w:val="22"/>
          <w:szCs w:val="22"/>
        </w:rPr>
        <w:t>it, meaning</w:t>
      </w:r>
      <w:r w:rsidR="00807A73">
        <w:rPr>
          <w:rFonts w:ascii="Arial" w:hAnsi="Arial" w:cs="Arial"/>
          <w:sz w:val="22"/>
          <w:szCs w:val="22"/>
        </w:rPr>
        <w:t xml:space="preserve"> it cannot explain behaviour in </w:t>
      </w:r>
      <w:r w:rsidR="004F39D9">
        <w:rPr>
          <w:rFonts w:ascii="Arial" w:hAnsi="Arial" w:cs="Arial"/>
          <w:sz w:val="22"/>
          <w:szCs w:val="22"/>
        </w:rPr>
        <w:t xml:space="preserve">some different situations. </w:t>
      </w:r>
    </w:p>
    <w:p w14:paraId="53A1065D" w14:textId="77777777" w:rsidR="004A6F8F" w:rsidRDefault="004A6F8F" w:rsidP="004E224F">
      <w:pPr>
        <w:spacing w:line="360" w:lineRule="auto"/>
        <w:rPr>
          <w:rFonts w:ascii="Arial" w:hAnsi="Arial" w:cs="Arial"/>
          <w:sz w:val="22"/>
          <w:szCs w:val="22"/>
        </w:rPr>
      </w:pPr>
    </w:p>
    <w:p w14:paraId="1DE64A52" w14:textId="77777777" w:rsidR="00CB6B01" w:rsidRDefault="00CB6B01" w:rsidP="004E224F">
      <w:pPr>
        <w:spacing w:line="360" w:lineRule="auto"/>
        <w:rPr>
          <w:rFonts w:ascii="Arial" w:hAnsi="Arial" w:cs="Arial"/>
          <w:sz w:val="22"/>
          <w:szCs w:val="22"/>
        </w:rPr>
      </w:pPr>
    </w:p>
    <w:p w14:paraId="27B8F48D" w14:textId="77777777" w:rsidR="00206685" w:rsidRDefault="00206685" w:rsidP="004E224F">
      <w:pPr>
        <w:spacing w:line="360" w:lineRule="auto"/>
        <w:rPr>
          <w:rFonts w:ascii="Arial" w:hAnsi="Arial" w:cs="Arial"/>
          <w:sz w:val="22"/>
          <w:szCs w:val="22"/>
        </w:rPr>
      </w:pPr>
    </w:p>
    <w:p w14:paraId="61585544" w14:textId="505D55FF" w:rsidR="00CB6B01" w:rsidRPr="00206685" w:rsidRDefault="00CB6B01" w:rsidP="004E224F">
      <w:pPr>
        <w:spacing w:line="360" w:lineRule="auto"/>
        <w:rPr>
          <w:rFonts w:ascii="Arial" w:hAnsi="Arial" w:cs="Arial"/>
          <w:sz w:val="22"/>
          <w:szCs w:val="22"/>
          <w:u w:val="single"/>
        </w:rPr>
      </w:pPr>
      <w:r w:rsidRPr="00206685">
        <w:rPr>
          <w:rFonts w:ascii="Arial" w:hAnsi="Arial" w:cs="Arial"/>
          <w:sz w:val="22"/>
          <w:szCs w:val="22"/>
          <w:u w:val="single"/>
        </w:rPr>
        <w:t>Part B</w:t>
      </w:r>
      <w:r w:rsidR="0067370C" w:rsidRPr="00206685">
        <w:rPr>
          <w:rFonts w:ascii="Arial" w:hAnsi="Arial" w:cs="Arial"/>
          <w:sz w:val="22"/>
          <w:szCs w:val="22"/>
          <w:u w:val="single"/>
        </w:rPr>
        <w:t xml:space="preserve">: Short Report </w:t>
      </w:r>
    </w:p>
    <w:p w14:paraId="21A54930" w14:textId="3DB1C3BA" w:rsidR="00EF6662" w:rsidRDefault="00106ECA" w:rsidP="004E224F">
      <w:pPr>
        <w:spacing w:line="360" w:lineRule="auto"/>
        <w:rPr>
          <w:rFonts w:ascii="Arial" w:hAnsi="Arial" w:cs="Arial"/>
          <w:sz w:val="22"/>
          <w:szCs w:val="22"/>
        </w:rPr>
      </w:pPr>
      <w:r>
        <w:rPr>
          <w:rFonts w:ascii="Arial" w:hAnsi="Arial" w:cs="Arial"/>
          <w:sz w:val="22"/>
          <w:szCs w:val="22"/>
        </w:rPr>
        <w:t>This repor</w:t>
      </w:r>
      <w:r w:rsidR="00D90AEC">
        <w:rPr>
          <w:rFonts w:ascii="Arial" w:hAnsi="Arial" w:cs="Arial"/>
          <w:sz w:val="22"/>
          <w:szCs w:val="22"/>
        </w:rPr>
        <w:t>t examines</w:t>
      </w:r>
      <w:r>
        <w:rPr>
          <w:rFonts w:ascii="Arial" w:hAnsi="Arial" w:cs="Arial"/>
          <w:sz w:val="22"/>
          <w:szCs w:val="22"/>
        </w:rPr>
        <w:t xml:space="preserve"> how Bandura’s Social Cognitive Theory can be used to improve the psychological wellbeing </w:t>
      </w:r>
      <w:r w:rsidR="004D49B1">
        <w:rPr>
          <w:rFonts w:ascii="Arial" w:hAnsi="Arial" w:cs="Arial"/>
          <w:sz w:val="22"/>
          <w:szCs w:val="22"/>
        </w:rPr>
        <w:t>of older adults living in residential care</w:t>
      </w:r>
      <w:r w:rsidR="00206685">
        <w:rPr>
          <w:rFonts w:ascii="Arial" w:hAnsi="Arial" w:cs="Arial"/>
          <w:sz w:val="22"/>
          <w:szCs w:val="22"/>
        </w:rPr>
        <w:t>. A key part of this theory is self-Efficacy,</w:t>
      </w:r>
      <w:r w:rsidR="006754FB">
        <w:rPr>
          <w:rFonts w:ascii="Arial" w:hAnsi="Arial" w:cs="Arial"/>
          <w:sz w:val="22"/>
          <w:szCs w:val="22"/>
        </w:rPr>
        <w:t xml:space="preserve"> which refers to a </w:t>
      </w:r>
      <w:r w:rsidR="00F6786B">
        <w:rPr>
          <w:rFonts w:ascii="Arial" w:hAnsi="Arial" w:cs="Arial"/>
          <w:sz w:val="22"/>
          <w:szCs w:val="22"/>
        </w:rPr>
        <w:t>person’s</w:t>
      </w:r>
      <w:r w:rsidR="006754FB">
        <w:rPr>
          <w:rFonts w:ascii="Arial" w:hAnsi="Arial" w:cs="Arial"/>
          <w:sz w:val="22"/>
          <w:szCs w:val="22"/>
        </w:rPr>
        <w:t xml:space="preserve"> belief in their ability to manage situations and maintain </w:t>
      </w:r>
      <w:r w:rsidR="00F6786B">
        <w:rPr>
          <w:rFonts w:ascii="Arial" w:hAnsi="Arial" w:cs="Arial"/>
          <w:sz w:val="22"/>
          <w:szCs w:val="22"/>
        </w:rPr>
        <w:t>a level of control over their life (Bandura, 1986).</w:t>
      </w:r>
      <w:r w:rsidR="00EE379D">
        <w:rPr>
          <w:rFonts w:ascii="Arial" w:hAnsi="Arial" w:cs="Arial"/>
          <w:sz w:val="22"/>
          <w:szCs w:val="22"/>
        </w:rPr>
        <w:t xml:space="preserve"> </w:t>
      </w:r>
      <w:r w:rsidR="00EB7106">
        <w:rPr>
          <w:rFonts w:ascii="Arial" w:hAnsi="Arial" w:cs="Arial"/>
          <w:sz w:val="22"/>
          <w:szCs w:val="22"/>
        </w:rPr>
        <w:t>Bandura’s</w:t>
      </w:r>
      <w:r w:rsidR="00EE379D">
        <w:rPr>
          <w:rFonts w:ascii="Arial" w:hAnsi="Arial" w:cs="Arial"/>
          <w:sz w:val="22"/>
          <w:szCs w:val="22"/>
        </w:rPr>
        <w:t xml:space="preserve"> work has had major influence on how </w:t>
      </w:r>
      <w:r w:rsidR="003F3821">
        <w:rPr>
          <w:rFonts w:ascii="Arial" w:hAnsi="Arial" w:cs="Arial"/>
          <w:sz w:val="22"/>
          <w:szCs w:val="22"/>
        </w:rPr>
        <w:t xml:space="preserve">behaviour and learning </w:t>
      </w:r>
      <w:r w:rsidR="00AF421A">
        <w:rPr>
          <w:rFonts w:ascii="Arial" w:hAnsi="Arial" w:cs="Arial"/>
          <w:sz w:val="22"/>
          <w:szCs w:val="22"/>
        </w:rPr>
        <w:t>is</w:t>
      </w:r>
      <w:r w:rsidR="003F3821">
        <w:rPr>
          <w:rFonts w:ascii="Arial" w:hAnsi="Arial" w:cs="Arial"/>
          <w:sz w:val="22"/>
          <w:szCs w:val="22"/>
        </w:rPr>
        <w:t xml:space="preserve"> understood, especially through ideas</w:t>
      </w:r>
      <w:r w:rsidR="00B00740">
        <w:rPr>
          <w:rFonts w:ascii="Arial" w:hAnsi="Arial" w:cs="Arial"/>
          <w:sz w:val="22"/>
          <w:szCs w:val="22"/>
        </w:rPr>
        <w:t xml:space="preserve"> like social learning and self-efficacy </w:t>
      </w:r>
      <w:r w:rsidR="00EB7106">
        <w:rPr>
          <w:rFonts w:ascii="Arial" w:hAnsi="Arial" w:cs="Arial"/>
          <w:sz w:val="22"/>
          <w:szCs w:val="22"/>
        </w:rPr>
        <w:t xml:space="preserve">(Stewart and Krivan, 2021). This is particularly </w:t>
      </w:r>
      <w:r w:rsidR="00AD7874">
        <w:rPr>
          <w:rFonts w:ascii="Arial" w:hAnsi="Arial" w:cs="Arial"/>
          <w:sz w:val="22"/>
          <w:szCs w:val="22"/>
        </w:rPr>
        <w:t>important in health and social care, where older adults may fac</w:t>
      </w:r>
      <w:r w:rsidR="00035962">
        <w:rPr>
          <w:rFonts w:ascii="Arial" w:hAnsi="Arial" w:cs="Arial"/>
          <w:sz w:val="22"/>
          <w:szCs w:val="22"/>
        </w:rPr>
        <w:t>e changes such as reduced independence, new environments and relying more on support from others.</w:t>
      </w:r>
      <w:r w:rsidR="00C273B5">
        <w:rPr>
          <w:rFonts w:ascii="Arial" w:hAnsi="Arial" w:cs="Arial"/>
          <w:sz w:val="22"/>
          <w:szCs w:val="22"/>
        </w:rPr>
        <w:t xml:space="preserve"> </w:t>
      </w:r>
    </w:p>
    <w:p w14:paraId="30738BF8" w14:textId="62FEDFB3" w:rsidR="00AF421A" w:rsidRDefault="00AD18A0" w:rsidP="004E224F">
      <w:pPr>
        <w:spacing w:line="360" w:lineRule="auto"/>
        <w:rPr>
          <w:rFonts w:ascii="Arial" w:hAnsi="Arial" w:cs="Arial"/>
          <w:sz w:val="22"/>
          <w:szCs w:val="22"/>
        </w:rPr>
      </w:pPr>
      <w:r>
        <w:rPr>
          <w:rFonts w:ascii="Arial" w:hAnsi="Arial" w:cs="Arial"/>
          <w:sz w:val="22"/>
          <w:szCs w:val="22"/>
        </w:rPr>
        <w:t xml:space="preserve">Using this theory </w:t>
      </w:r>
      <w:r w:rsidR="001E50E0">
        <w:rPr>
          <w:rFonts w:ascii="Arial" w:hAnsi="Arial" w:cs="Arial"/>
          <w:sz w:val="22"/>
          <w:szCs w:val="22"/>
        </w:rPr>
        <w:t>in</w:t>
      </w:r>
      <w:r w:rsidR="00B22E44">
        <w:rPr>
          <w:rFonts w:ascii="Arial" w:hAnsi="Arial" w:cs="Arial"/>
          <w:sz w:val="22"/>
          <w:szCs w:val="22"/>
        </w:rPr>
        <w:t xml:space="preserve"> </w:t>
      </w:r>
      <w:r w:rsidR="001E50E0">
        <w:rPr>
          <w:rFonts w:ascii="Arial" w:hAnsi="Arial" w:cs="Arial"/>
          <w:sz w:val="22"/>
          <w:szCs w:val="22"/>
        </w:rPr>
        <w:t xml:space="preserve">practice can help individuals feel more confident, maintain some independence </w:t>
      </w:r>
      <w:r w:rsidR="001E2807">
        <w:rPr>
          <w:rFonts w:ascii="Arial" w:hAnsi="Arial" w:cs="Arial"/>
          <w:sz w:val="22"/>
          <w:szCs w:val="22"/>
        </w:rPr>
        <w:t xml:space="preserve">and improve there overall wellbeing. </w:t>
      </w:r>
      <w:r w:rsidR="00692F58">
        <w:rPr>
          <w:rFonts w:ascii="Arial" w:hAnsi="Arial" w:cs="Arial"/>
          <w:sz w:val="22"/>
          <w:szCs w:val="22"/>
        </w:rPr>
        <w:t xml:space="preserve">When </w:t>
      </w:r>
      <w:r w:rsidR="00BE4064">
        <w:rPr>
          <w:rFonts w:ascii="Arial" w:hAnsi="Arial" w:cs="Arial"/>
          <w:sz w:val="22"/>
          <w:szCs w:val="22"/>
        </w:rPr>
        <w:t xml:space="preserve">care </w:t>
      </w:r>
      <w:r w:rsidR="00B22E44">
        <w:rPr>
          <w:rFonts w:ascii="Arial" w:hAnsi="Arial" w:cs="Arial"/>
          <w:sz w:val="22"/>
          <w:szCs w:val="22"/>
        </w:rPr>
        <w:t>professionals</w:t>
      </w:r>
      <w:r w:rsidR="00BE4064">
        <w:rPr>
          <w:rFonts w:ascii="Arial" w:hAnsi="Arial" w:cs="Arial"/>
          <w:sz w:val="22"/>
          <w:szCs w:val="22"/>
        </w:rPr>
        <w:t xml:space="preserve"> support self-</w:t>
      </w:r>
      <w:r w:rsidR="00B22E44">
        <w:rPr>
          <w:rFonts w:ascii="Arial" w:hAnsi="Arial" w:cs="Arial"/>
          <w:sz w:val="22"/>
          <w:szCs w:val="22"/>
        </w:rPr>
        <w:t xml:space="preserve">efficacy, </w:t>
      </w:r>
      <w:r w:rsidR="00805E67">
        <w:rPr>
          <w:rFonts w:ascii="Arial" w:hAnsi="Arial" w:cs="Arial"/>
          <w:sz w:val="22"/>
          <w:szCs w:val="22"/>
        </w:rPr>
        <w:t>it encourages older adults</w:t>
      </w:r>
      <w:r w:rsidR="00C97378">
        <w:rPr>
          <w:rFonts w:ascii="Arial" w:hAnsi="Arial" w:cs="Arial"/>
          <w:sz w:val="22"/>
          <w:szCs w:val="22"/>
        </w:rPr>
        <w:t xml:space="preserve"> to stay involved in their own care instead of becoming fully dependent </w:t>
      </w:r>
      <w:r w:rsidR="00DA2600">
        <w:rPr>
          <w:rFonts w:ascii="Arial" w:hAnsi="Arial" w:cs="Arial"/>
          <w:sz w:val="22"/>
          <w:szCs w:val="22"/>
        </w:rPr>
        <w:t xml:space="preserve">on the caregiver. </w:t>
      </w:r>
      <w:r w:rsidR="00862A4E">
        <w:rPr>
          <w:rFonts w:ascii="Arial" w:hAnsi="Arial" w:cs="Arial"/>
          <w:sz w:val="22"/>
          <w:szCs w:val="22"/>
        </w:rPr>
        <w:t>T</w:t>
      </w:r>
      <w:r w:rsidR="00F51360">
        <w:rPr>
          <w:rFonts w:ascii="Arial" w:hAnsi="Arial" w:cs="Arial"/>
          <w:sz w:val="22"/>
          <w:szCs w:val="22"/>
        </w:rPr>
        <w:t xml:space="preserve">his is particularly important as some individuals in residential care can experience a loss of identity when they are no longer able to carry out activities they have </w:t>
      </w:r>
      <w:r w:rsidR="009D0FA2">
        <w:rPr>
          <w:rFonts w:ascii="Arial" w:hAnsi="Arial" w:cs="Arial"/>
          <w:sz w:val="22"/>
          <w:szCs w:val="22"/>
        </w:rPr>
        <w:t>always done previously (S</w:t>
      </w:r>
      <w:r w:rsidR="00A03F45">
        <w:rPr>
          <w:rFonts w:ascii="Arial" w:hAnsi="Arial" w:cs="Arial"/>
          <w:sz w:val="22"/>
          <w:szCs w:val="22"/>
        </w:rPr>
        <w:t xml:space="preserve">eipke, 2008). Alongside this, </w:t>
      </w:r>
      <w:r w:rsidR="00E30AA2">
        <w:rPr>
          <w:rFonts w:ascii="Arial" w:hAnsi="Arial" w:cs="Arial"/>
          <w:sz w:val="22"/>
          <w:szCs w:val="22"/>
        </w:rPr>
        <w:t>there are also many environmental factors which play a role in wellbeing</w:t>
      </w:r>
      <w:r w:rsidR="00D06AAA">
        <w:rPr>
          <w:rFonts w:ascii="Arial" w:hAnsi="Arial" w:cs="Arial"/>
          <w:sz w:val="22"/>
          <w:szCs w:val="22"/>
        </w:rPr>
        <w:t>. Kolster et al. (2025) fo</w:t>
      </w:r>
      <w:r w:rsidR="003D099C">
        <w:rPr>
          <w:rFonts w:ascii="Arial" w:hAnsi="Arial" w:cs="Arial"/>
          <w:sz w:val="22"/>
          <w:szCs w:val="22"/>
        </w:rPr>
        <w:t xml:space="preserve">und that being connected to nature can improve psychological wellbeing in older adults, this </w:t>
      </w:r>
      <w:r w:rsidR="007C4634">
        <w:rPr>
          <w:rFonts w:ascii="Arial" w:hAnsi="Arial" w:cs="Arial"/>
          <w:sz w:val="22"/>
          <w:szCs w:val="22"/>
        </w:rPr>
        <w:t xml:space="preserve">shows that both social and environmental influences are important within a care setting. </w:t>
      </w:r>
    </w:p>
    <w:p w14:paraId="57F7FF92" w14:textId="32DB9B27" w:rsidR="00337336" w:rsidRDefault="004331E0" w:rsidP="004E224F">
      <w:pPr>
        <w:spacing w:line="360" w:lineRule="auto"/>
        <w:rPr>
          <w:rFonts w:ascii="Arial" w:hAnsi="Arial" w:cs="Arial"/>
          <w:sz w:val="22"/>
          <w:szCs w:val="22"/>
        </w:rPr>
      </w:pPr>
      <w:r>
        <w:rPr>
          <w:rFonts w:ascii="Arial" w:hAnsi="Arial" w:cs="Arial"/>
          <w:sz w:val="22"/>
          <w:szCs w:val="22"/>
        </w:rPr>
        <w:t xml:space="preserve">A </w:t>
      </w:r>
      <w:r w:rsidR="001F2243">
        <w:rPr>
          <w:rFonts w:ascii="Arial" w:hAnsi="Arial" w:cs="Arial"/>
          <w:sz w:val="22"/>
          <w:szCs w:val="22"/>
        </w:rPr>
        <w:t>Keyway</w:t>
      </w:r>
      <w:r w:rsidR="00D74BDC">
        <w:rPr>
          <w:rFonts w:ascii="Arial" w:hAnsi="Arial" w:cs="Arial"/>
          <w:sz w:val="22"/>
          <w:szCs w:val="22"/>
        </w:rPr>
        <w:t xml:space="preserve"> </w:t>
      </w:r>
      <w:r>
        <w:rPr>
          <w:rFonts w:ascii="Arial" w:hAnsi="Arial" w:cs="Arial"/>
          <w:sz w:val="22"/>
          <w:szCs w:val="22"/>
        </w:rPr>
        <w:t xml:space="preserve">this theory can be </w:t>
      </w:r>
      <w:r w:rsidR="007A77B4">
        <w:rPr>
          <w:rFonts w:ascii="Arial" w:hAnsi="Arial" w:cs="Arial"/>
          <w:sz w:val="22"/>
          <w:szCs w:val="22"/>
        </w:rPr>
        <w:t xml:space="preserve">applied in practice </w:t>
      </w:r>
      <w:r w:rsidR="00261737">
        <w:rPr>
          <w:rFonts w:ascii="Arial" w:hAnsi="Arial" w:cs="Arial"/>
          <w:sz w:val="22"/>
          <w:szCs w:val="22"/>
        </w:rPr>
        <w:t>is through role modelling. Within a residential care setting</w:t>
      </w:r>
      <w:r w:rsidR="0022663D">
        <w:rPr>
          <w:rFonts w:ascii="Arial" w:hAnsi="Arial" w:cs="Arial"/>
          <w:sz w:val="22"/>
          <w:szCs w:val="22"/>
        </w:rPr>
        <w:t xml:space="preserve">, care professionals play an important role in demonstrating positive </w:t>
      </w:r>
      <w:r w:rsidR="00674727">
        <w:rPr>
          <w:rFonts w:ascii="Arial" w:hAnsi="Arial" w:cs="Arial"/>
          <w:sz w:val="22"/>
          <w:szCs w:val="22"/>
        </w:rPr>
        <w:t xml:space="preserve">behaviours that older adults can observe and learn from. </w:t>
      </w:r>
      <w:r w:rsidR="001F2243">
        <w:rPr>
          <w:rFonts w:ascii="Arial" w:hAnsi="Arial" w:cs="Arial"/>
          <w:sz w:val="22"/>
          <w:szCs w:val="22"/>
        </w:rPr>
        <w:t>According to</w:t>
      </w:r>
      <w:r w:rsidR="00674727">
        <w:rPr>
          <w:rFonts w:ascii="Arial" w:hAnsi="Arial" w:cs="Arial"/>
          <w:sz w:val="22"/>
          <w:szCs w:val="22"/>
        </w:rPr>
        <w:t xml:space="preserve"> Albert Bandura</w:t>
      </w:r>
      <w:r w:rsidR="00A676A3">
        <w:rPr>
          <w:rFonts w:ascii="Arial" w:hAnsi="Arial" w:cs="Arial"/>
          <w:sz w:val="22"/>
          <w:szCs w:val="22"/>
        </w:rPr>
        <w:t xml:space="preserve">, individuals are likely to </w:t>
      </w:r>
      <w:r w:rsidR="00A021A3">
        <w:rPr>
          <w:rFonts w:ascii="Arial" w:hAnsi="Arial" w:cs="Arial"/>
          <w:sz w:val="22"/>
          <w:szCs w:val="22"/>
        </w:rPr>
        <w:t>copy beh</w:t>
      </w:r>
      <w:r w:rsidR="007458AD">
        <w:rPr>
          <w:rFonts w:ascii="Arial" w:hAnsi="Arial" w:cs="Arial"/>
          <w:sz w:val="22"/>
          <w:szCs w:val="22"/>
        </w:rPr>
        <w:t>aviours</w:t>
      </w:r>
      <w:r w:rsidR="001F2243">
        <w:rPr>
          <w:rFonts w:ascii="Arial" w:hAnsi="Arial" w:cs="Arial"/>
          <w:sz w:val="22"/>
          <w:szCs w:val="22"/>
        </w:rPr>
        <w:t xml:space="preserve"> they see being modelled, particularly when those behaviours are associated with positive outcomes (Bandura, 1988)</w:t>
      </w:r>
      <w:r w:rsidR="00D74BDC">
        <w:rPr>
          <w:rFonts w:ascii="Arial" w:hAnsi="Arial" w:cs="Arial"/>
          <w:sz w:val="22"/>
          <w:szCs w:val="22"/>
        </w:rPr>
        <w:t>. For example</w:t>
      </w:r>
      <w:r w:rsidR="00E80C06">
        <w:rPr>
          <w:rFonts w:ascii="Arial" w:hAnsi="Arial" w:cs="Arial"/>
          <w:sz w:val="22"/>
          <w:szCs w:val="22"/>
        </w:rPr>
        <w:t xml:space="preserve">, if staff in the residential home are demonstrating respectful communication </w:t>
      </w:r>
      <w:r w:rsidR="00870D1B">
        <w:rPr>
          <w:rFonts w:ascii="Arial" w:hAnsi="Arial" w:cs="Arial"/>
          <w:sz w:val="22"/>
          <w:szCs w:val="22"/>
        </w:rPr>
        <w:t xml:space="preserve">and encouragement, residents may begin to mirror similar behaviours in their own interactions. This can help to create </w:t>
      </w:r>
      <w:proofErr w:type="spellStart"/>
      <w:r w:rsidR="00870D1B">
        <w:rPr>
          <w:rFonts w:ascii="Arial" w:hAnsi="Arial" w:cs="Arial"/>
          <w:sz w:val="22"/>
          <w:szCs w:val="22"/>
        </w:rPr>
        <w:t>s</w:t>
      </w:r>
      <w:proofErr w:type="spellEnd"/>
      <w:r w:rsidR="00870D1B">
        <w:rPr>
          <w:rFonts w:ascii="Arial" w:hAnsi="Arial" w:cs="Arial"/>
          <w:sz w:val="22"/>
          <w:szCs w:val="22"/>
        </w:rPr>
        <w:t xml:space="preserve"> more positive and supportive environment within the care home. </w:t>
      </w:r>
    </w:p>
    <w:p w14:paraId="33A9520A" w14:textId="2574B380" w:rsidR="002B1DFB" w:rsidRDefault="002B1DFB" w:rsidP="004E224F">
      <w:pPr>
        <w:spacing w:line="360" w:lineRule="auto"/>
        <w:rPr>
          <w:rFonts w:ascii="Arial" w:hAnsi="Arial" w:cs="Arial"/>
          <w:sz w:val="22"/>
          <w:szCs w:val="22"/>
        </w:rPr>
      </w:pPr>
      <w:r>
        <w:rPr>
          <w:rFonts w:ascii="Arial" w:hAnsi="Arial" w:cs="Arial"/>
          <w:sz w:val="22"/>
          <w:szCs w:val="22"/>
        </w:rPr>
        <w:lastRenderedPageBreak/>
        <w:t>One challenge when apply</w:t>
      </w:r>
      <w:r w:rsidR="003A33C5">
        <w:rPr>
          <w:rFonts w:ascii="Arial" w:hAnsi="Arial" w:cs="Arial"/>
          <w:sz w:val="22"/>
          <w:szCs w:val="22"/>
        </w:rPr>
        <w:t>ing Bandura’s</w:t>
      </w:r>
      <w:r w:rsidR="00144738">
        <w:rPr>
          <w:rFonts w:ascii="Arial" w:hAnsi="Arial" w:cs="Arial"/>
          <w:sz w:val="22"/>
          <w:szCs w:val="22"/>
        </w:rPr>
        <w:t xml:space="preserve"> </w:t>
      </w:r>
      <w:r w:rsidR="003A33C5">
        <w:rPr>
          <w:rFonts w:ascii="Arial" w:hAnsi="Arial" w:cs="Arial"/>
          <w:sz w:val="22"/>
          <w:szCs w:val="22"/>
        </w:rPr>
        <w:t xml:space="preserve">theory in a residential care setting is that </w:t>
      </w:r>
      <w:r w:rsidR="00144738">
        <w:rPr>
          <w:rFonts w:ascii="Arial" w:hAnsi="Arial" w:cs="Arial"/>
          <w:sz w:val="22"/>
          <w:szCs w:val="22"/>
        </w:rPr>
        <w:t>not all individuals will respond in the same w</w:t>
      </w:r>
      <w:r w:rsidR="00E13E1F">
        <w:rPr>
          <w:rFonts w:ascii="Arial" w:hAnsi="Arial" w:cs="Arial"/>
          <w:sz w:val="22"/>
          <w:szCs w:val="22"/>
        </w:rPr>
        <w:t xml:space="preserve">ay to role modelling. For example, some older adults may have cognitive conditions </w:t>
      </w:r>
      <w:r w:rsidR="000A6EF9">
        <w:rPr>
          <w:rFonts w:ascii="Arial" w:hAnsi="Arial" w:cs="Arial"/>
          <w:sz w:val="22"/>
          <w:szCs w:val="22"/>
        </w:rPr>
        <w:t xml:space="preserve">such as dementia, which can affect their ability to understand or remembering </w:t>
      </w:r>
      <w:r w:rsidR="009941EE">
        <w:rPr>
          <w:rFonts w:ascii="Arial" w:hAnsi="Arial" w:cs="Arial"/>
          <w:sz w:val="22"/>
          <w:szCs w:val="22"/>
        </w:rPr>
        <w:t>behaviours they have observed</w:t>
      </w:r>
      <w:r w:rsidR="003D39A6">
        <w:rPr>
          <w:rFonts w:ascii="Arial" w:hAnsi="Arial" w:cs="Arial"/>
          <w:sz w:val="22"/>
          <w:szCs w:val="22"/>
        </w:rPr>
        <w:t>. Maylor et al. (2002) explain that memor</w:t>
      </w:r>
      <w:r w:rsidR="00D51719">
        <w:rPr>
          <w:rFonts w:ascii="Arial" w:hAnsi="Arial" w:cs="Arial"/>
          <w:sz w:val="22"/>
          <w:szCs w:val="22"/>
        </w:rPr>
        <w:t>y and cognitive function can decline in older adults, especially those with dementia</w:t>
      </w:r>
      <w:r w:rsidR="00962801">
        <w:rPr>
          <w:rFonts w:ascii="Arial" w:hAnsi="Arial" w:cs="Arial"/>
          <w:sz w:val="22"/>
          <w:szCs w:val="22"/>
        </w:rPr>
        <w:t>, which can make it harder for them to remember and use new information. Because of this, some individuals</w:t>
      </w:r>
      <w:r w:rsidR="00B4451B">
        <w:rPr>
          <w:rFonts w:ascii="Arial" w:hAnsi="Arial" w:cs="Arial"/>
          <w:sz w:val="22"/>
          <w:szCs w:val="22"/>
        </w:rPr>
        <w:t xml:space="preserve"> may find it difficult to take part in activities or build confidence just by </w:t>
      </w:r>
      <w:r w:rsidR="00011AAA">
        <w:rPr>
          <w:rFonts w:ascii="Arial" w:hAnsi="Arial" w:cs="Arial"/>
          <w:sz w:val="22"/>
          <w:szCs w:val="22"/>
        </w:rPr>
        <w:t xml:space="preserve">watching others. </w:t>
      </w:r>
      <w:r w:rsidR="00AB1DF3">
        <w:rPr>
          <w:rFonts w:ascii="Arial" w:hAnsi="Arial" w:cs="Arial"/>
          <w:sz w:val="22"/>
          <w:szCs w:val="22"/>
        </w:rPr>
        <w:t xml:space="preserve"> </w:t>
      </w:r>
    </w:p>
    <w:p w14:paraId="00A3342B" w14:textId="5E6B4CD4" w:rsidR="00D62A2F" w:rsidRDefault="00557702" w:rsidP="004E224F">
      <w:pPr>
        <w:spacing w:line="360" w:lineRule="auto"/>
        <w:rPr>
          <w:rFonts w:ascii="Arial" w:hAnsi="Arial" w:cs="Arial"/>
          <w:sz w:val="22"/>
          <w:szCs w:val="22"/>
        </w:rPr>
      </w:pPr>
      <w:r>
        <w:rPr>
          <w:rFonts w:ascii="Arial" w:hAnsi="Arial" w:cs="Arial"/>
          <w:sz w:val="22"/>
          <w:szCs w:val="22"/>
        </w:rPr>
        <w:t xml:space="preserve">In addition to this, it is important </w:t>
      </w:r>
      <w:r w:rsidR="008F2676">
        <w:rPr>
          <w:rFonts w:ascii="Arial" w:hAnsi="Arial" w:cs="Arial"/>
          <w:sz w:val="22"/>
          <w:szCs w:val="22"/>
        </w:rPr>
        <w:t xml:space="preserve">that caregivers are consistent in how they support residents, as this helps reinforce </w:t>
      </w:r>
      <w:r w:rsidR="00490EDC">
        <w:rPr>
          <w:rFonts w:ascii="Arial" w:hAnsi="Arial" w:cs="Arial"/>
          <w:sz w:val="22"/>
          <w:szCs w:val="22"/>
        </w:rPr>
        <w:t xml:space="preserve">positive behaviours overtime. When older Adults </w:t>
      </w:r>
      <w:r w:rsidR="0098073E">
        <w:rPr>
          <w:rFonts w:ascii="Arial" w:hAnsi="Arial" w:cs="Arial"/>
          <w:sz w:val="22"/>
          <w:szCs w:val="22"/>
        </w:rPr>
        <w:t>regularly</w:t>
      </w:r>
      <w:r w:rsidR="00490EDC">
        <w:rPr>
          <w:rFonts w:ascii="Arial" w:hAnsi="Arial" w:cs="Arial"/>
          <w:sz w:val="22"/>
          <w:szCs w:val="22"/>
        </w:rPr>
        <w:t xml:space="preserve"> see the same encouragement and </w:t>
      </w:r>
      <w:r w:rsidR="00681A60">
        <w:rPr>
          <w:rFonts w:ascii="Arial" w:hAnsi="Arial" w:cs="Arial"/>
          <w:sz w:val="22"/>
          <w:szCs w:val="22"/>
        </w:rPr>
        <w:t>support,</w:t>
      </w:r>
      <w:r w:rsidR="00490EDC">
        <w:rPr>
          <w:rFonts w:ascii="Arial" w:hAnsi="Arial" w:cs="Arial"/>
          <w:sz w:val="22"/>
          <w:szCs w:val="22"/>
        </w:rPr>
        <w:t xml:space="preserve"> they </w:t>
      </w:r>
      <w:r w:rsidR="0098073E">
        <w:rPr>
          <w:rFonts w:ascii="Arial" w:hAnsi="Arial" w:cs="Arial"/>
          <w:sz w:val="22"/>
          <w:szCs w:val="22"/>
        </w:rPr>
        <w:t xml:space="preserve">are more likely to feel </w:t>
      </w:r>
      <w:r w:rsidR="00201FAE">
        <w:rPr>
          <w:rFonts w:ascii="Arial" w:hAnsi="Arial" w:cs="Arial"/>
          <w:sz w:val="22"/>
          <w:szCs w:val="22"/>
        </w:rPr>
        <w:t>comfortable taking</w:t>
      </w:r>
      <w:r w:rsidR="0098073E">
        <w:rPr>
          <w:rFonts w:ascii="Arial" w:hAnsi="Arial" w:cs="Arial"/>
          <w:sz w:val="22"/>
          <w:szCs w:val="22"/>
        </w:rPr>
        <w:t xml:space="preserve"> part in activ</w:t>
      </w:r>
      <w:r w:rsidR="00681A60">
        <w:rPr>
          <w:rFonts w:ascii="Arial" w:hAnsi="Arial" w:cs="Arial"/>
          <w:sz w:val="22"/>
          <w:szCs w:val="22"/>
        </w:rPr>
        <w:t xml:space="preserve">ities. Building trust is also </w:t>
      </w:r>
      <w:r w:rsidR="006C067F">
        <w:rPr>
          <w:rFonts w:ascii="Arial" w:hAnsi="Arial" w:cs="Arial"/>
          <w:sz w:val="22"/>
          <w:szCs w:val="22"/>
        </w:rPr>
        <w:t>necessary as</w:t>
      </w:r>
      <w:r w:rsidR="0065398B">
        <w:rPr>
          <w:rFonts w:ascii="Arial" w:hAnsi="Arial" w:cs="Arial"/>
          <w:sz w:val="22"/>
          <w:szCs w:val="22"/>
        </w:rPr>
        <w:t xml:space="preserve"> people are more likely to learn from those who they are familiar with. This links back to </w:t>
      </w:r>
      <w:r w:rsidR="00201FAE">
        <w:rPr>
          <w:rFonts w:ascii="Arial" w:hAnsi="Arial" w:cs="Arial"/>
          <w:sz w:val="22"/>
          <w:szCs w:val="22"/>
        </w:rPr>
        <w:t>Bandura’s</w:t>
      </w:r>
      <w:r w:rsidR="0065398B">
        <w:rPr>
          <w:rFonts w:ascii="Arial" w:hAnsi="Arial" w:cs="Arial"/>
          <w:sz w:val="22"/>
          <w:szCs w:val="22"/>
        </w:rPr>
        <w:t xml:space="preserve"> idea that behaviour is influenced by social interaction</w:t>
      </w:r>
      <w:r w:rsidR="00201FAE">
        <w:rPr>
          <w:rFonts w:ascii="Arial" w:hAnsi="Arial" w:cs="Arial"/>
          <w:sz w:val="22"/>
          <w:szCs w:val="22"/>
        </w:rPr>
        <w:t xml:space="preserve">, meaning the relationships and environment </w:t>
      </w:r>
      <w:r w:rsidR="006C067F">
        <w:rPr>
          <w:rFonts w:ascii="Arial" w:hAnsi="Arial" w:cs="Arial"/>
          <w:sz w:val="22"/>
          <w:szCs w:val="22"/>
        </w:rPr>
        <w:t xml:space="preserve">within </w:t>
      </w:r>
      <w:r w:rsidR="00E628D5">
        <w:rPr>
          <w:rFonts w:ascii="Arial" w:hAnsi="Arial" w:cs="Arial"/>
          <w:sz w:val="22"/>
          <w:szCs w:val="22"/>
        </w:rPr>
        <w:t xml:space="preserve">a care home can have a big impact on how an individual </w:t>
      </w:r>
      <w:r w:rsidR="00264649">
        <w:rPr>
          <w:rFonts w:ascii="Arial" w:hAnsi="Arial" w:cs="Arial"/>
          <w:sz w:val="22"/>
          <w:szCs w:val="22"/>
        </w:rPr>
        <w:t xml:space="preserve">may respond. By creating a positive atmosphere and </w:t>
      </w:r>
      <w:r w:rsidR="008669E1">
        <w:rPr>
          <w:rFonts w:ascii="Arial" w:hAnsi="Arial" w:cs="Arial"/>
          <w:sz w:val="22"/>
          <w:szCs w:val="22"/>
        </w:rPr>
        <w:t xml:space="preserve">a supportive environment staff can help residents feel included which can improve their confidence and overall wellbeing. </w:t>
      </w:r>
    </w:p>
    <w:p w14:paraId="06AABDD4" w14:textId="034CD6E5" w:rsidR="00097FA1" w:rsidRPr="00097FA1" w:rsidRDefault="00097FA1" w:rsidP="004F35C7">
      <w:pPr>
        <w:spacing w:after="0" w:line="360" w:lineRule="auto"/>
        <w:rPr>
          <w:rFonts w:ascii="Arial" w:eastAsia="Times New Roman" w:hAnsi="Arial" w:cs="Arial"/>
          <w:kern w:val="0"/>
          <w:sz w:val="22"/>
          <w:szCs w:val="22"/>
          <w:lang w:eastAsia="en-GB"/>
          <w14:ligatures w14:val="none"/>
        </w:rPr>
      </w:pPr>
      <w:r w:rsidRPr="00097FA1">
        <w:rPr>
          <w:rFonts w:ascii="Arial" w:eastAsia="Times New Roman" w:hAnsi="Arial" w:cs="Arial"/>
          <w:kern w:val="0"/>
          <w:sz w:val="22"/>
          <w:szCs w:val="22"/>
          <w:lang w:eastAsia="en-GB"/>
          <w14:ligatures w14:val="none"/>
        </w:rPr>
        <w:t xml:space="preserve">In conclusion, Bandura’s Social Cognitive Theory can be useful in supporting the psychological wellbeing of older adults in residential care. By focusing on self-efficacy and role modelling, care professionals can help individuals feel more confident, independent and willing to take part in daily activities. Using approaches such as encouragement, consistent support and meaningful activities can make a positive difference to how individuals feel within a care setting. However, it is important to recognise that not everyone will respond in the same way, particularly those with cognitive conditions such as dementia. Because of this, care needs to be adapted to suit </w:t>
      </w:r>
      <w:r w:rsidRPr="00097FA1">
        <w:rPr>
          <w:rFonts w:ascii="Arial" w:eastAsia="Times New Roman" w:hAnsi="Arial" w:cs="Arial"/>
          <w:kern w:val="0"/>
          <w:sz w:val="22"/>
          <w:szCs w:val="22"/>
          <w:lang w:eastAsia="en-GB"/>
          <w14:ligatures w14:val="none"/>
        </w:rPr>
        <w:t>everyone</w:t>
      </w:r>
      <w:r w:rsidRPr="00097FA1">
        <w:rPr>
          <w:rFonts w:ascii="Arial" w:eastAsia="Times New Roman" w:hAnsi="Arial" w:cs="Arial"/>
          <w:kern w:val="0"/>
          <w:sz w:val="22"/>
          <w:szCs w:val="22"/>
          <w:lang w:eastAsia="en-GB"/>
          <w14:ligatures w14:val="none"/>
        </w:rPr>
        <w:t>. Overall, when applied in a person-centred way, Bandura’s theory can support both confidence and emotional wellbeing in older adults.</w:t>
      </w:r>
    </w:p>
    <w:p w14:paraId="36EE7746" w14:textId="77777777" w:rsidR="00097FA1" w:rsidRDefault="00097FA1" w:rsidP="004E224F">
      <w:pPr>
        <w:spacing w:line="360" w:lineRule="auto"/>
        <w:rPr>
          <w:rFonts w:ascii="Arial" w:hAnsi="Arial" w:cs="Arial"/>
          <w:sz w:val="22"/>
          <w:szCs w:val="22"/>
        </w:rPr>
      </w:pPr>
    </w:p>
    <w:p w14:paraId="1D4090ED" w14:textId="77777777" w:rsidR="00097FA1" w:rsidRDefault="00097FA1" w:rsidP="004E224F">
      <w:pPr>
        <w:spacing w:line="360" w:lineRule="auto"/>
        <w:rPr>
          <w:rFonts w:ascii="Arial" w:hAnsi="Arial" w:cs="Arial"/>
          <w:sz w:val="22"/>
          <w:szCs w:val="22"/>
        </w:rPr>
      </w:pPr>
    </w:p>
    <w:p w14:paraId="256EB775" w14:textId="77777777" w:rsidR="00EF6662" w:rsidRDefault="00EF6662" w:rsidP="004E224F">
      <w:pPr>
        <w:spacing w:line="360" w:lineRule="auto"/>
        <w:rPr>
          <w:rFonts w:ascii="Arial" w:hAnsi="Arial" w:cs="Arial"/>
          <w:sz w:val="22"/>
          <w:szCs w:val="22"/>
        </w:rPr>
      </w:pPr>
    </w:p>
    <w:p w14:paraId="05F5BD65" w14:textId="77777777" w:rsidR="004F35C7" w:rsidRDefault="004F35C7" w:rsidP="004E224F">
      <w:pPr>
        <w:spacing w:line="360" w:lineRule="auto"/>
        <w:rPr>
          <w:rFonts w:ascii="Arial" w:hAnsi="Arial" w:cs="Arial"/>
          <w:sz w:val="22"/>
          <w:szCs w:val="22"/>
        </w:rPr>
      </w:pPr>
    </w:p>
    <w:p w14:paraId="3503B40F" w14:textId="77777777" w:rsidR="004F35C7" w:rsidRDefault="004F35C7" w:rsidP="004E224F">
      <w:pPr>
        <w:spacing w:line="360" w:lineRule="auto"/>
        <w:rPr>
          <w:rFonts w:ascii="Arial" w:hAnsi="Arial" w:cs="Arial"/>
          <w:sz w:val="22"/>
          <w:szCs w:val="22"/>
        </w:rPr>
      </w:pPr>
    </w:p>
    <w:p w14:paraId="295B9235" w14:textId="77777777" w:rsidR="004F35C7" w:rsidRDefault="004F35C7" w:rsidP="004E224F">
      <w:pPr>
        <w:spacing w:line="360" w:lineRule="auto"/>
        <w:rPr>
          <w:rFonts w:ascii="Arial" w:hAnsi="Arial" w:cs="Arial"/>
          <w:sz w:val="22"/>
          <w:szCs w:val="22"/>
        </w:rPr>
      </w:pPr>
    </w:p>
    <w:p w14:paraId="3CA94F45" w14:textId="77777777" w:rsidR="004F35C7" w:rsidRDefault="004F35C7" w:rsidP="004E224F">
      <w:pPr>
        <w:spacing w:line="360" w:lineRule="auto"/>
        <w:rPr>
          <w:rFonts w:ascii="Arial" w:hAnsi="Arial" w:cs="Arial"/>
          <w:sz w:val="22"/>
          <w:szCs w:val="22"/>
        </w:rPr>
      </w:pPr>
    </w:p>
    <w:p w14:paraId="42174D75" w14:textId="7028FE57" w:rsidR="004F35C7" w:rsidRDefault="004F35C7" w:rsidP="004E224F">
      <w:pPr>
        <w:spacing w:line="360" w:lineRule="auto"/>
        <w:rPr>
          <w:rFonts w:ascii="Arial" w:hAnsi="Arial" w:cs="Arial"/>
          <w:b/>
          <w:bCs/>
          <w:sz w:val="22"/>
          <w:szCs w:val="22"/>
          <w:u w:val="single"/>
        </w:rPr>
      </w:pPr>
      <w:r w:rsidRPr="004F35C7">
        <w:rPr>
          <w:rFonts w:ascii="Arial" w:hAnsi="Arial" w:cs="Arial"/>
          <w:b/>
          <w:bCs/>
          <w:sz w:val="22"/>
          <w:szCs w:val="22"/>
          <w:u w:val="single"/>
        </w:rPr>
        <w:lastRenderedPageBreak/>
        <w:t>Reference List</w:t>
      </w:r>
    </w:p>
    <w:p w14:paraId="4F358950" w14:textId="0E23D28E"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Balki, E., Hayes, N. and Holland, C. (2023) ‘The indirect impact of educational attainment as a distal resource for older adults on loneliness’, </w:t>
      </w:r>
      <w:r w:rsidRPr="00FC3C98">
        <w:rPr>
          <w:rFonts w:ascii="Arial" w:eastAsia="Times New Roman" w:hAnsi="Arial" w:cs="Arial"/>
          <w:i/>
          <w:iCs/>
          <w:color w:val="242424"/>
          <w:kern w:val="0"/>
          <w:sz w:val="23"/>
          <w:szCs w:val="23"/>
          <w:lang w:eastAsia="en-GB"/>
          <w14:ligatures w14:val="none"/>
        </w:rPr>
        <w:t>JMIR Aging</w:t>
      </w:r>
      <w:r w:rsidRPr="00FC3C98">
        <w:rPr>
          <w:rFonts w:ascii="Arial" w:eastAsia="Times New Roman" w:hAnsi="Arial" w:cs="Arial"/>
          <w:color w:val="242424"/>
          <w:kern w:val="0"/>
          <w:sz w:val="23"/>
          <w:szCs w:val="23"/>
          <w:lang w:eastAsia="en-GB"/>
          <w14:ligatures w14:val="none"/>
        </w:rPr>
        <w:t>, 6, e47729. doi:</w:t>
      </w:r>
      <w:hyperlink r:id="rId6" w:history="1">
        <w:r w:rsidRPr="00FC3C98">
          <w:rPr>
            <w:rStyle w:val="Hyperlink"/>
            <w:rFonts w:ascii="Arial" w:eastAsia="Times New Roman" w:hAnsi="Arial" w:cs="Arial"/>
            <w:kern w:val="0"/>
            <w:sz w:val="23"/>
            <w:szCs w:val="23"/>
            <w:lang w:eastAsia="en-GB"/>
            <w14:ligatures w14:val="none"/>
          </w:rPr>
          <w:t>10.2196/47729</w:t>
        </w:r>
      </w:hyperlink>
      <w:r w:rsidRPr="00FC3C98">
        <w:rPr>
          <w:rFonts w:ascii="Arial" w:eastAsia="Times New Roman" w:hAnsi="Arial" w:cs="Arial"/>
          <w:color w:val="242424"/>
          <w:kern w:val="0"/>
          <w:sz w:val="23"/>
          <w:szCs w:val="23"/>
          <w:lang w:eastAsia="en-GB"/>
          <w14:ligatures w14:val="none"/>
        </w:rPr>
        <w:t>.</w:t>
      </w:r>
    </w:p>
    <w:p w14:paraId="53E1983B"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1099E4EE"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Bandura, A. (1982) ‘Self-efficacy mechanism in human agency’, </w:t>
      </w:r>
      <w:r w:rsidRPr="00FC3C98">
        <w:rPr>
          <w:rFonts w:ascii="Arial" w:eastAsia="Times New Roman" w:hAnsi="Arial" w:cs="Arial"/>
          <w:i/>
          <w:iCs/>
          <w:color w:val="242424"/>
          <w:kern w:val="0"/>
          <w:sz w:val="23"/>
          <w:szCs w:val="23"/>
          <w:lang w:eastAsia="en-GB"/>
          <w14:ligatures w14:val="none"/>
        </w:rPr>
        <w:t>American Psychologist</w:t>
      </w:r>
      <w:r w:rsidRPr="00FC3C98">
        <w:rPr>
          <w:rFonts w:ascii="Arial" w:eastAsia="Times New Roman" w:hAnsi="Arial" w:cs="Arial"/>
          <w:color w:val="242424"/>
          <w:kern w:val="0"/>
          <w:sz w:val="23"/>
          <w:szCs w:val="23"/>
          <w:lang w:eastAsia="en-GB"/>
          <w14:ligatures w14:val="none"/>
        </w:rPr>
        <w:t>, 37(2), pp. 122–147.</w:t>
      </w:r>
    </w:p>
    <w:p w14:paraId="7AF03B99"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6D2B652D"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Bandura, A. (1986) </w:t>
      </w:r>
      <w:r w:rsidRPr="00FC3C98">
        <w:rPr>
          <w:rFonts w:ascii="Arial" w:eastAsia="Times New Roman" w:hAnsi="Arial" w:cs="Arial"/>
          <w:i/>
          <w:iCs/>
          <w:color w:val="242424"/>
          <w:kern w:val="0"/>
          <w:sz w:val="23"/>
          <w:szCs w:val="23"/>
          <w:lang w:eastAsia="en-GB"/>
          <w14:ligatures w14:val="none"/>
        </w:rPr>
        <w:t>Social foundations of thought and action: A social cognitive theory</w:t>
      </w:r>
      <w:r w:rsidRPr="00FC3C98">
        <w:rPr>
          <w:rFonts w:ascii="Arial" w:eastAsia="Times New Roman" w:hAnsi="Arial" w:cs="Arial"/>
          <w:color w:val="242424"/>
          <w:kern w:val="0"/>
          <w:sz w:val="23"/>
          <w:szCs w:val="23"/>
          <w:lang w:eastAsia="en-GB"/>
          <w14:ligatures w14:val="none"/>
        </w:rPr>
        <w:t>. Englewood Cliffs, NJ: Prentice-Hall.</w:t>
      </w:r>
    </w:p>
    <w:p w14:paraId="34D54E48"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7628FF63" w14:textId="0C543D1F"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Bandura, A. (1988) </w:t>
      </w:r>
      <w:r w:rsidRPr="00FC3C98">
        <w:rPr>
          <w:rFonts w:ascii="Arial" w:eastAsia="Times New Roman" w:hAnsi="Arial" w:cs="Arial"/>
          <w:i/>
          <w:iCs/>
          <w:color w:val="242424"/>
          <w:kern w:val="0"/>
          <w:sz w:val="23"/>
          <w:szCs w:val="23"/>
          <w:lang w:eastAsia="en-GB"/>
          <w14:ligatures w14:val="none"/>
        </w:rPr>
        <w:t>Albert Bandura, Part 1</w:t>
      </w:r>
      <w:r w:rsidRPr="00FC3C98">
        <w:rPr>
          <w:rFonts w:ascii="Arial" w:eastAsia="Times New Roman" w:hAnsi="Arial" w:cs="Arial"/>
          <w:color w:val="242424"/>
          <w:kern w:val="0"/>
          <w:sz w:val="23"/>
          <w:szCs w:val="23"/>
          <w:lang w:eastAsia="en-GB"/>
          <w14:ligatures w14:val="none"/>
        </w:rPr>
        <w:t xml:space="preserve"> [Video]. Akron, OH: University of Akron, Cummings </w:t>
      </w:r>
      <w:r w:rsidRPr="00FC3C98">
        <w:rPr>
          <w:rFonts w:ascii="Arial" w:eastAsia="Times New Roman" w:hAnsi="Arial" w:cs="Arial"/>
          <w:color w:val="242424"/>
          <w:kern w:val="0"/>
          <w:sz w:val="23"/>
          <w:szCs w:val="23"/>
          <w:lang w:eastAsia="en-GB"/>
          <w14:ligatures w14:val="none"/>
        </w:rPr>
        <w:t>Centre</w:t>
      </w:r>
      <w:r w:rsidRPr="00FC3C98">
        <w:rPr>
          <w:rFonts w:ascii="Arial" w:eastAsia="Times New Roman" w:hAnsi="Arial" w:cs="Arial"/>
          <w:color w:val="242424"/>
          <w:kern w:val="0"/>
          <w:sz w:val="23"/>
          <w:szCs w:val="23"/>
          <w:lang w:eastAsia="en-GB"/>
          <w14:ligatures w14:val="none"/>
        </w:rPr>
        <w:t xml:space="preserve"> for the History of Psychology. Available at: </w:t>
      </w:r>
      <w:hyperlink r:id="rId7" w:history="1">
        <w:r w:rsidRPr="00FC3C98">
          <w:rPr>
            <w:rStyle w:val="Hyperlink"/>
            <w:rFonts w:ascii="Arial" w:eastAsia="Times New Roman" w:hAnsi="Arial" w:cs="Arial"/>
            <w:kern w:val="0"/>
            <w:sz w:val="23"/>
            <w:szCs w:val="23"/>
            <w:lang w:eastAsia="en-GB"/>
            <w14:ligatures w14:val="none"/>
          </w:rPr>
          <w:t>https://video.alexanderstreet.com/watch/albert-bandura-part-1</w:t>
        </w:r>
      </w:hyperlink>
      <w:r w:rsidRPr="00FC3C98">
        <w:rPr>
          <w:rFonts w:ascii="Arial" w:eastAsia="Times New Roman" w:hAnsi="Arial" w:cs="Arial"/>
          <w:color w:val="242424"/>
          <w:kern w:val="0"/>
          <w:sz w:val="23"/>
          <w:szCs w:val="23"/>
          <w:lang w:eastAsia="en-GB"/>
          <w14:ligatures w14:val="none"/>
        </w:rPr>
        <w:t xml:space="preserve"> (Accessed: 20 April 2026).</w:t>
      </w:r>
    </w:p>
    <w:p w14:paraId="1DDA7400"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60A0E15D"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Berk, L.E. (2007) </w:t>
      </w:r>
      <w:r w:rsidRPr="00FC3C98">
        <w:rPr>
          <w:rFonts w:ascii="Arial" w:eastAsia="Times New Roman" w:hAnsi="Arial" w:cs="Arial"/>
          <w:i/>
          <w:iCs/>
          <w:color w:val="242424"/>
          <w:kern w:val="0"/>
          <w:sz w:val="23"/>
          <w:szCs w:val="23"/>
          <w:lang w:eastAsia="en-GB"/>
          <w14:ligatures w14:val="none"/>
        </w:rPr>
        <w:t>Development through the lifespan</w:t>
      </w:r>
      <w:r w:rsidRPr="00FC3C98">
        <w:rPr>
          <w:rFonts w:ascii="Arial" w:eastAsia="Times New Roman" w:hAnsi="Arial" w:cs="Arial"/>
          <w:color w:val="242424"/>
          <w:kern w:val="0"/>
          <w:sz w:val="23"/>
          <w:szCs w:val="23"/>
          <w:lang w:eastAsia="en-GB"/>
          <w14:ligatures w14:val="none"/>
        </w:rPr>
        <w:t xml:space="preserve">. 4th </w:t>
      </w:r>
      <w:proofErr w:type="spellStart"/>
      <w:r w:rsidRPr="00FC3C98">
        <w:rPr>
          <w:rFonts w:ascii="Arial" w:eastAsia="Times New Roman" w:hAnsi="Arial" w:cs="Arial"/>
          <w:color w:val="242424"/>
          <w:kern w:val="0"/>
          <w:sz w:val="23"/>
          <w:szCs w:val="23"/>
          <w:lang w:eastAsia="en-GB"/>
          <w14:ligatures w14:val="none"/>
        </w:rPr>
        <w:t>edn</w:t>
      </w:r>
      <w:proofErr w:type="spellEnd"/>
      <w:r w:rsidRPr="00FC3C98">
        <w:rPr>
          <w:rFonts w:ascii="Arial" w:eastAsia="Times New Roman" w:hAnsi="Arial" w:cs="Arial"/>
          <w:color w:val="242424"/>
          <w:kern w:val="0"/>
          <w:sz w:val="23"/>
          <w:szCs w:val="23"/>
          <w:lang w:eastAsia="en-GB"/>
          <w14:ligatures w14:val="none"/>
        </w:rPr>
        <w:t>. Boston: Pearson Education.</w:t>
      </w:r>
    </w:p>
    <w:p w14:paraId="16F2A3ED"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7587673A"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Corradi, R.B. (2024) ‘Psychoanalytic contributions to psychodynamic psychiatry and psychotherapy: Erik Erikson’s psychosocial developmental theory’, </w:t>
      </w:r>
      <w:r w:rsidRPr="00FC3C98">
        <w:rPr>
          <w:rFonts w:ascii="Arial" w:eastAsia="Times New Roman" w:hAnsi="Arial" w:cs="Arial"/>
          <w:i/>
          <w:iCs/>
          <w:color w:val="242424"/>
          <w:kern w:val="0"/>
          <w:sz w:val="23"/>
          <w:szCs w:val="23"/>
          <w:lang w:eastAsia="en-GB"/>
          <w14:ligatures w14:val="none"/>
        </w:rPr>
        <w:t>Psychodynamic Psychiatry</w:t>
      </w:r>
      <w:r w:rsidRPr="00FC3C98">
        <w:rPr>
          <w:rFonts w:ascii="Arial" w:eastAsia="Times New Roman" w:hAnsi="Arial" w:cs="Arial"/>
          <w:color w:val="242424"/>
          <w:kern w:val="0"/>
          <w:sz w:val="23"/>
          <w:szCs w:val="23"/>
          <w:lang w:eastAsia="en-GB"/>
          <w14:ligatures w14:val="none"/>
        </w:rPr>
        <w:t>.</w:t>
      </w:r>
    </w:p>
    <w:p w14:paraId="66901BBF"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41855C02"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Erikson, E.H. (1950) </w:t>
      </w:r>
      <w:r w:rsidRPr="00FC3C98">
        <w:rPr>
          <w:rFonts w:ascii="Arial" w:eastAsia="Times New Roman" w:hAnsi="Arial" w:cs="Arial"/>
          <w:i/>
          <w:iCs/>
          <w:color w:val="242424"/>
          <w:kern w:val="0"/>
          <w:sz w:val="23"/>
          <w:szCs w:val="23"/>
          <w:lang w:eastAsia="en-GB"/>
          <w14:ligatures w14:val="none"/>
        </w:rPr>
        <w:t>Childhood and society</w:t>
      </w:r>
      <w:r w:rsidRPr="00FC3C98">
        <w:rPr>
          <w:rFonts w:ascii="Arial" w:eastAsia="Times New Roman" w:hAnsi="Arial" w:cs="Arial"/>
          <w:color w:val="242424"/>
          <w:kern w:val="0"/>
          <w:sz w:val="23"/>
          <w:szCs w:val="23"/>
          <w:lang w:eastAsia="en-GB"/>
          <w14:ligatures w14:val="none"/>
        </w:rPr>
        <w:t>. New York: Norton.</w:t>
      </w:r>
    </w:p>
    <w:p w14:paraId="3427889A"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6BB0478C" w14:textId="1E4F63B8"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Kolster, A., Aalto, U., Partonen, T., Kautiainen, H. and Rautiainen, L. </w:t>
      </w:r>
      <w:r w:rsidRPr="00FC3C98">
        <w:rPr>
          <w:rFonts w:ascii="Arial" w:eastAsia="Times New Roman" w:hAnsi="Arial" w:cs="Arial"/>
          <w:i/>
          <w:iCs/>
          <w:color w:val="242424"/>
          <w:kern w:val="0"/>
          <w:sz w:val="23"/>
          <w:szCs w:val="23"/>
          <w:lang w:eastAsia="en-GB"/>
          <w14:ligatures w14:val="none"/>
        </w:rPr>
        <w:t>et al.</w:t>
      </w:r>
      <w:r w:rsidRPr="00FC3C98">
        <w:rPr>
          <w:rFonts w:ascii="Arial" w:eastAsia="Times New Roman" w:hAnsi="Arial" w:cs="Arial"/>
          <w:color w:val="242424"/>
          <w:kern w:val="0"/>
          <w:sz w:val="23"/>
          <w:szCs w:val="23"/>
          <w:lang w:eastAsia="en-GB"/>
          <w14:ligatures w14:val="none"/>
        </w:rPr>
        <w:t> (2025) ‘Nature connection supports psychological wellbeing among older adults in assisted living facilities’, </w:t>
      </w:r>
      <w:r w:rsidRPr="00FC3C98">
        <w:rPr>
          <w:rFonts w:ascii="Arial" w:eastAsia="Times New Roman" w:hAnsi="Arial" w:cs="Arial"/>
          <w:i/>
          <w:iCs/>
          <w:color w:val="242424"/>
          <w:kern w:val="0"/>
          <w:sz w:val="23"/>
          <w:szCs w:val="23"/>
          <w:lang w:eastAsia="en-GB"/>
          <w14:ligatures w14:val="none"/>
        </w:rPr>
        <w:t>European Journal of Public Health</w:t>
      </w:r>
      <w:r w:rsidRPr="00FC3C98">
        <w:rPr>
          <w:rFonts w:ascii="Arial" w:eastAsia="Times New Roman" w:hAnsi="Arial" w:cs="Arial"/>
          <w:color w:val="242424"/>
          <w:kern w:val="0"/>
          <w:sz w:val="23"/>
          <w:szCs w:val="23"/>
          <w:lang w:eastAsia="en-GB"/>
          <w14:ligatures w14:val="none"/>
        </w:rPr>
        <w:t>, 35(Supplement 4). doi:</w:t>
      </w:r>
      <w:hyperlink r:id="rId8" w:history="1">
        <w:r w:rsidRPr="00FC3C98">
          <w:rPr>
            <w:rStyle w:val="Hyperlink"/>
            <w:rFonts w:ascii="Arial" w:eastAsia="Times New Roman" w:hAnsi="Arial" w:cs="Arial"/>
            <w:kern w:val="0"/>
            <w:sz w:val="23"/>
            <w:szCs w:val="23"/>
            <w:lang w:eastAsia="en-GB"/>
            <w14:ligatures w14:val="none"/>
          </w:rPr>
          <w:t>10.1093/eurpub/ckaf161.1313.</w:t>
        </w:r>
      </w:hyperlink>
    </w:p>
    <w:p w14:paraId="64B5AA43"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2851B577" w14:textId="0B71AE93"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Maylor, E.A., Smith, G., Della Sala, S. and Logie, R.H. (2002) ‘Prospective and retrospective memory in normal aging and dementia: An experimental study’, </w:t>
      </w:r>
      <w:r w:rsidRPr="00FC3C98">
        <w:rPr>
          <w:rFonts w:ascii="Arial" w:eastAsia="Times New Roman" w:hAnsi="Arial" w:cs="Arial"/>
          <w:i/>
          <w:iCs/>
          <w:color w:val="242424"/>
          <w:kern w:val="0"/>
          <w:sz w:val="23"/>
          <w:szCs w:val="23"/>
          <w:lang w:eastAsia="en-GB"/>
          <w14:ligatures w14:val="none"/>
        </w:rPr>
        <w:t>Memory &amp; Cognition</w:t>
      </w:r>
      <w:r w:rsidRPr="00FC3C98">
        <w:rPr>
          <w:rFonts w:ascii="Arial" w:eastAsia="Times New Roman" w:hAnsi="Arial" w:cs="Arial"/>
          <w:color w:val="242424"/>
          <w:kern w:val="0"/>
          <w:sz w:val="23"/>
          <w:szCs w:val="23"/>
          <w:lang w:eastAsia="en-GB"/>
          <w14:ligatures w14:val="none"/>
        </w:rPr>
        <w:t>, 30(6), pp. 871–884. doi</w:t>
      </w:r>
      <w:hyperlink r:id="rId9" w:history="1">
        <w:r w:rsidRPr="00FC3C98">
          <w:rPr>
            <w:rStyle w:val="Hyperlink"/>
            <w:rFonts w:ascii="Arial" w:eastAsia="Times New Roman" w:hAnsi="Arial" w:cs="Arial"/>
            <w:kern w:val="0"/>
            <w:sz w:val="23"/>
            <w:szCs w:val="23"/>
            <w:lang w:eastAsia="en-GB"/>
            <w14:ligatures w14:val="none"/>
          </w:rPr>
          <w:t>:10.3758/BF03195773</w:t>
        </w:r>
      </w:hyperlink>
      <w:r w:rsidRPr="00FC3C98">
        <w:rPr>
          <w:rFonts w:ascii="Arial" w:eastAsia="Times New Roman" w:hAnsi="Arial" w:cs="Arial"/>
          <w:color w:val="242424"/>
          <w:kern w:val="0"/>
          <w:sz w:val="23"/>
          <w:szCs w:val="23"/>
          <w:lang w:eastAsia="en-GB"/>
          <w14:ligatures w14:val="none"/>
        </w:rPr>
        <w:t>.</w:t>
      </w:r>
    </w:p>
    <w:p w14:paraId="61AB6A00"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080E5EB1"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lastRenderedPageBreak/>
        <w:t>Perry, T.E., Andersen, T.C. and Kaplan, D.B. (2015) ‘Applying Erikson’s wisdom to self-management practices of older adults: findings from two qualitative studies’, </w:t>
      </w:r>
      <w:r w:rsidRPr="00FC3C98">
        <w:rPr>
          <w:rFonts w:ascii="Arial" w:eastAsia="Times New Roman" w:hAnsi="Arial" w:cs="Arial"/>
          <w:i/>
          <w:iCs/>
          <w:color w:val="242424"/>
          <w:kern w:val="0"/>
          <w:sz w:val="23"/>
          <w:szCs w:val="23"/>
          <w:lang w:eastAsia="en-GB"/>
          <w14:ligatures w14:val="none"/>
        </w:rPr>
        <w:t>Journal of Applied Gerontology</w:t>
      </w:r>
      <w:r w:rsidRPr="00FC3C98">
        <w:rPr>
          <w:rFonts w:ascii="Arial" w:eastAsia="Times New Roman" w:hAnsi="Arial" w:cs="Arial"/>
          <w:color w:val="242424"/>
          <w:kern w:val="0"/>
          <w:sz w:val="23"/>
          <w:szCs w:val="23"/>
          <w:lang w:eastAsia="en-GB"/>
          <w14:ligatures w14:val="none"/>
        </w:rPr>
        <w:t>, 34(6), pp. 1–17.</w:t>
      </w:r>
    </w:p>
    <w:p w14:paraId="2A5353DD"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59C51B87"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Seipke, H.L. (2008) ‘Assisted living, elderly women and sense of self: Communicating the impact of reduction of long-standing activities’, </w:t>
      </w:r>
      <w:r w:rsidRPr="00FC3C98">
        <w:rPr>
          <w:rFonts w:ascii="Arial" w:eastAsia="Times New Roman" w:hAnsi="Arial" w:cs="Arial"/>
          <w:i/>
          <w:iCs/>
          <w:color w:val="242424"/>
          <w:kern w:val="0"/>
          <w:sz w:val="23"/>
          <w:szCs w:val="23"/>
          <w:lang w:eastAsia="en-GB"/>
          <w14:ligatures w14:val="none"/>
        </w:rPr>
        <w:t>Journal of Women &amp; Aging</w:t>
      </w:r>
      <w:r w:rsidRPr="00FC3C98">
        <w:rPr>
          <w:rFonts w:ascii="Arial" w:eastAsia="Times New Roman" w:hAnsi="Arial" w:cs="Arial"/>
          <w:color w:val="242424"/>
          <w:kern w:val="0"/>
          <w:sz w:val="23"/>
          <w:szCs w:val="23"/>
          <w:lang w:eastAsia="en-GB"/>
          <w14:ligatures w14:val="none"/>
        </w:rPr>
        <w:t>, 20(1–2), pp. 131–148.</w:t>
      </w:r>
    </w:p>
    <w:p w14:paraId="79BDE680"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0540C240" w14:textId="513CF5A9"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Stewart, R.A.C. and Krivan, S.L. (2021) ‘Albert Bandura: December 4, 1925–July 26, 2021’, </w:t>
      </w:r>
      <w:r w:rsidRPr="00FC3C98">
        <w:rPr>
          <w:rFonts w:ascii="Arial" w:eastAsia="Times New Roman" w:hAnsi="Arial" w:cs="Arial"/>
          <w:i/>
          <w:iCs/>
          <w:color w:val="242424"/>
          <w:kern w:val="0"/>
          <w:sz w:val="23"/>
          <w:szCs w:val="23"/>
          <w:lang w:eastAsia="en-GB"/>
          <w14:ligatures w14:val="none"/>
        </w:rPr>
        <w:t>Social Behavior and Personality</w:t>
      </w:r>
      <w:r w:rsidRPr="00FC3C98">
        <w:rPr>
          <w:rFonts w:ascii="Arial" w:eastAsia="Times New Roman" w:hAnsi="Arial" w:cs="Arial"/>
          <w:color w:val="242424"/>
          <w:kern w:val="0"/>
          <w:sz w:val="23"/>
          <w:szCs w:val="23"/>
          <w:lang w:eastAsia="en-GB"/>
          <w14:ligatures w14:val="none"/>
        </w:rPr>
        <w:t>, 49(9), pp. 1–2. doi:</w:t>
      </w:r>
      <w:hyperlink r:id="rId10" w:history="1">
        <w:r w:rsidRPr="00FC3C98">
          <w:rPr>
            <w:rStyle w:val="Hyperlink"/>
            <w:rFonts w:ascii="Arial" w:eastAsia="Times New Roman" w:hAnsi="Arial" w:cs="Arial"/>
            <w:kern w:val="0"/>
            <w:sz w:val="23"/>
            <w:szCs w:val="23"/>
            <w:lang w:eastAsia="en-GB"/>
            <w14:ligatures w14:val="none"/>
          </w:rPr>
          <w:t>10.2224/sbp.11082</w:t>
        </w:r>
      </w:hyperlink>
      <w:r w:rsidRPr="00FC3C98">
        <w:rPr>
          <w:rFonts w:ascii="Arial" w:eastAsia="Times New Roman" w:hAnsi="Arial" w:cs="Arial"/>
          <w:color w:val="242424"/>
          <w:kern w:val="0"/>
          <w:sz w:val="23"/>
          <w:szCs w:val="23"/>
          <w:lang w:eastAsia="en-GB"/>
          <w14:ligatures w14:val="none"/>
        </w:rPr>
        <w:t>.</w:t>
      </w:r>
    </w:p>
    <w:p w14:paraId="2068CD92"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6FA315FB"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Torges, C.M., Stewart, A.J. and Duncan, L.E. (2008) ‘Achieving ego integrity: Personality development in late midlife’, </w:t>
      </w:r>
      <w:r w:rsidRPr="00FC3C98">
        <w:rPr>
          <w:rFonts w:ascii="Arial" w:eastAsia="Times New Roman" w:hAnsi="Arial" w:cs="Arial"/>
          <w:i/>
          <w:iCs/>
          <w:color w:val="242424"/>
          <w:kern w:val="0"/>
          <w:sz w:val="23"/>
          <w:szCs w:val="23"/>
          <w:lang w:eastAsia="en-GB"/>
          <w14:ligatures w14:val="none"/>
        </w:rPr>
        <w:t>Journal of Research in Personality</w:t>
      </w:r>
      <w:r w:rsidRPr="00FC3C98">
        <w:rPr>
          <w:rFonts w:ascii="Arial" w:eastAsia="Times New Roman" w:hAnsi="Arial" w:cs="Arial"/>
          <w:color w:val="242424"/>
          <w:kern w:val="0"/>
          <w:sz w:val="23"/>
          <w:szCs w:val="23"/>
          <w:lang w:eastAsia="en-GB"/>
          <w14:ligatures w14:val="none"/>
        </w:rPr>
        <w:t>, 42(4), pp. 1004–1019.</w:t>
      </w:r>
    </w:p>
    <w:p w14:paraId="5E8F2402" w14:textId="77777777"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p>
    <w:p w14:paraId="34655B3C" w14:textId="712C20BF" w:rsidR="00FC3C98" w:rsidRPr="00FC3C98" w:rsidRDefault="00FC3C98" w:rsidP="00FC3C98">
      <w:pPr>
        <w:shd w:val="clear" w:color="auto" w:fill="FFFFFF"/>
        <w:spacing w:after="0" w:line="36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Warner, L.M., Wolff, J.K., Schüz, B. and Wurm, S. (2017) ‘Perceived somatic and affective barriers for self-efficacy and physical activity’, </w:t>
      </w:r>
      <w:r w:rsidRPr="00FC3C98">
        <w:rPr>
          <w:rFonts w:ascii="Arial" w:eastAsia="Times New Roman" w:hAnsi="Arial" w:cs="Arial"/>
          <w:i/>
          <w:iCs/>
          <w:color w:val="242424"/>
          <w:kern w:val="0"/>
          <w:sz w:val="23"/>
          <w:szCs w:val="23"/>
          <w:lang w:eastAsia="en-GB"/>
          <w14:ligatures w14:val="none"/>
        </w:rPr>
        <w:t>Journal of Health Psychology</w:t>
      </w:r>
      <w:r w:rsidRPr="00FC3C98">
        <w:rPr>
          <w:rFonts w:ascii="Arial" w:eastAsia="Times New Roman" w:hAnsi="Arial" w:cs="Arial"/>
          <w:color w:val="242424"/>
          <w:kern w:val="0"/>
          <w:sz w:val="23"/>
          <w:szCs w:val="23"/>
          <w:lang w:eastAsia="en-GB"/>
          <w14:ligatures w14:val="none"/>
        </w:rPr>
        <w:t>, 24(13), pp. 1828–1839. doi:</w:t>
      </w:r>
      <w:hyperlink r:id="rId11" w:history="1">
        <w:r w:rsidRPr="00FC3C98">
          <w:rPr>
            <w:rStyle w:val="Hyperlink"/>
            <w:rFonts w:ascii="Arial" w:eastAsia="Times New Roman" w:hAnsi="Arial" w:cs="Arial"/>
            <w:kern w:val="0"/>
            <w:sz w:val="23"/>
            <w:szCs w:val="23"/>
            <w:lang w:eastAsia="en-GB"/>
            <w14:ligatures w14:val="none"/>
          </w:rPr>
          <w:t>10.1177/1359105317705979</w:t>
        </w:r>
      </w:hyperlink>
      <w:r w:rsidRPr="00FC3C98">
        <w:rPr>
          <w:rFonts w:ascii="Arial" w:eastAsia="Times New Roman" w:hAnsi="Arial" w:cs="Arial"/>
          <w:color w:val="242424"/>
          <w:kern w:val="0"/>
          <w:sz w:val="23"/>
          <w:szCs w:val="23"/>
          <w:lang w:eastAsia="en-GB"/>
          <w14:ligatures w14:val="none"/>
        </w:rPr>
        <w:t>.</w:t>
      </w:r>
    </w:p>
    <w:p w14:paraId="2F69E5F6" w14:textId="77777777" w:rsidR="00FC3C98" w:rsidRPr="00FC3C98" w:rsidRDefault="00FC3C98" w:rsidP="00FC3C98">
      <w:pPr>
        <w:shd w:val="clear" w:color="auto" w:fill="FFFFFF"/>
        <w:spacing w:after="0" w:line="240" w:lineRule="auto"/>
        <w:textAlignment w:val="baseline"/>
        <w:rPr>
          <w:rFonts w:ascii="Arial" w:eastAsia="Times New Roman" w:hAnsi="Arial" w:cs="Arial"/>
          <w:color w:val="242424"/>
          <w:kern w:val="0"/>
          <w:sz w:val="23"/>
          <w:szCs w:val="23"/>
          <w:lang w:eastAsia="en-GB"/>
          <w14:ligatures w14:val="none"/>
        </w:rPr>
      </w:pPr>
    </w:p>
    <w:p w14:paraId="0CA7EE0E" w14:textId="77777777" w:rsidR="00FC3C98" w:rsidRPr="00FC3C98" w:rsidRDefault="00FC3C98" w:rsidP="00FC3C98">
      <w:pPr>
        <w:shd w:val="clear" w:color="auto" w:fill="FFFFFF"/>
        <w:spacing w:after="0" w:line="240" w:lineRule="auto"/>
        <w:textAlignment w:val="baseline"/>
        <w:rPr>
          <w:rFonts w:ascii="Arial" w:eastAsia="Times New Roman" w:hAnsi="Arial" w:cs="Arial"/>
          <w:color w:val="242424"/>
          <w:kern w:val="0"/>
          <w:sz w:val="23"/>
          <w:szCs w:val="23"/>
          <w:lang w:eastAsia="en-GB"/>
          <w14:ligatures w14:val="none"/>
        </w:rPr>
      </w:pPr>
      <w:r w:rsidRPr="00FC3C98">
        <w:rPr>
          <w:rFonts w:ascii="Arial" w:eastAsia="Times New Roman" w:hAnsi="Arial" w:cs="Arial"/>
          <w:color w:val="242424"/>
          <w:kern w:val="0"/>
          <w:sz w:val="23"/>
          <w:szCs w:val="23"/>
          <w:lang w:eastAsia="en-GB"/>
          <w14:ligatures w14:val="none"/>
        </w:rPr>
        <w:t>Zhu, M., Ding, X., Gu, J. </w:t>
      </w:r>
      <w:r w:rsidRPr="00FC3C98">
        <w:rPr>
          <w:rFonts w:ascii="Arial" w:eastAsia="Times New Roman" w:hAnsi="Arial" w:cs="Arial"/>
          <w:i/>
          <w:iCs/>
          <w:color w:val="242424"/>
          <w:kern w:val="0"/>
          <w:sz w:val="23"/>
          <w:szCs w:val="23"/>
          <w:lang w:eastAsia="en-GB"/>
          <w14:ligatures w14:val="none"/>
        </w:rPr>
        <w:t>et al.</w:t>
      </w:r>
      <w:r w:rsidRPr="00FC3C98">
        <w:rPr>
          <w:rFonts w:ascii="Arial" w:eastAsia="Times New Roman" w:hAnsi="Arial" w:cs="Arial"/>
          <w:color w:val="242424"/>
          <w:kern w:val="0"/>
          <w:sz w:val="23"/>
          <w:szCs w:val="23"/>
          <w:lang w:eastAsia="en-GB"/>
          <w14:ligatures w14:val="none"/>
        </w:rPr>
        <w:t> (2025) ‘Interventions for improving coping strategies in older adults: A systematic review and meta-analysis’, </w:t>
      </w:r>
      <w:r w:rsidRPr="00FC3C98">
        <w:rPr>
          <w:rFonts w:ascii="Arial" w:eastAsia="Times New Roman" w:hAnsi="Arial" w:cs="Arial"/>
          <w:i/>
          <w:iCs/>
          <w:color w:val="242424"/>
          <w:kern w:val="0"/>
          <w:sz w:val="23"/>
          <w:szCs w:val="23"/>
          <w:lang w:eastAsia="en-GB"/>
          <w14:ligatures w14:val="none"/>
        </w:rPr>
        <w:t>Worldviews on Evidence-Based Nursing</w:t>
      </w:r>
      <w:r w:rsidRPr="00FC3C98">
        <w:rPr>
          <w:rFonts w:ascii="Arial" w:eastAsia="Times New Roman" w:hAnsi="Arial" w:cs="Arial"/>
          <w:color w:val="242424"/>
          <w:kern w:val="0"/>
          <w:sz w:val="23"/>
          <w:szCs w:val="23"/>
          <w:lang w:eastAsia="en-GB"/>
          <w14:ligatures w14:val="none"/>
        </w:rPr>
        <w:t>.</w:t>
      </w:r>
    </w:p>
    <w:p w14:paraId="479BD6AC" w14:textId="77777777" w:rsidR="00A874AA" w:rsidRPr="004F35C7" w:rsidRDefault="00A874AA" w:rsidP="004E224F">
      <w:pPr>
        <w:spacing w:line="360" w:lineRule="auto"/>
        <w:rPr>
          <w:rFonts w:ascii="Arial" w:hAnsi="Arial" w:cs="Arial"/>
          <w:b/>
          <w:bCs/>
          <w:sz w:val="22"/>
          <w:szCs w:val="22"/>
          <w:u w:val="single"/>
        </w:rPr>
      </w:pPr>
    </w:p>
    <w:p w14:paraId="11E5F125" w14:textId="6B2B8097" w:rsidR="008B2BD4" w:rsidRPr="009E18A4" w:rsidRDefault="008B2BD4" w:rsidP="008B2BD4">
      <w:pPr>
        <w:rPr>
          <w:rFonts w:ascii="Arial" w:hAnsi="Arial" w:cs="Arial"/>
          <w:sz w:val="22"/>
          <w:szCs w:val="22"/>
        </w:rPr>
      </w:pPr>
    </w:p>
    <w:sectPr w:rsidR="008B2BD4" w:rsidRPr="009E18A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5CF19" w14:textId="77777777" w:rsidR="00803909" w:rsidRDefault="00803909" w:rsidP="00665951">
      <w:pPr>
        <w:spacing w:after="0" w:line="240" w:lineRule="auto"/>
      </w:pPr>
      <w:r>
        <w:separator/>
      </w:r>
    </w:p>
  </w:endnote>
  <w:endnote w:type="continuationSeparator" w:id="0">
    <w:p w14:paraId="798D4C8D" w14:textId="77777777" w:rsidR="00803909" w:rsidRDefault="00803909" w:rsidP="00665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85342" w14:textId="77777777" w:rsidR="00803909" w:rsidRDefault="00803909" w:rsidP="00665951">
      <w:pPr>
        <w:spacing w:after="0" w:line="240" w:lineRule="auto"/>
      </w:pPr>
      <w:r>
        <w:separator/>
      </w:r>
    </w:p>
  </w:footnote>
  <w:footnote w:type="continuationSeparator" w:id="0">
    <w:p w14:paraId="4A77A9D5" w14:textId="77777777" w:rsidR="00803909" w:rsidRDefault="00803909" w:rsidP="00665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88CF" w14:textId="3BF65F2F" w:rsidR="002E325F" w:rsidRDefault="00803909">
    <w:pPr>
      <w:pStyle w:val="Header"/>
    </w:pPr>
    <w:sdt>
      <w:sdtPr>
        <w:id w:val="-1352255252"/>
        <w:docPartObj>
          <w:docPartGallery w:val="Page Numbers (Margins)"/>
          <w:docPartUnique/>
        </w:docPartObj>
      </w:sdtPr>
      <w:sdtEndPr/>
      <w:sdtContent>
        <w:r w:rsidR="002E325F">
          <w:rPr>
            <w:noProof/>
          </w:rPr>
          <mc:AlternateContent>
            <mc:Choice Requires="wps">
              <w:drawing>
                <wp:anchor distT="0" distB="0" distL="114300" distR="114300" simplePos="0" relativeHeight="251659264" behindDoc="0" locked="0" layoutInCell="0" allowOverlap="1" wp14:anchorId="0DA947CA" wp14:editId="3A4A15DD">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22960" cy="427355"/>
                  <wp:effectExtent l="0" t="0" r="0" b="4445"/>
                  <wp:wrapNone/>
                  <wp:docPr id="158453340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27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33C56F" w14:textId="77777777" w:rsidR="002E325F" w:rsidRDefault="002E325F">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0DA947CA" id="Rectangle 1" o:spid="_x0000_s1026" style="position:absolute;margin-left:0;margin-top:0;width:64.8pt;height:33.6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" o:allowincell="f" stroked="f">
                  <v:textbox style="mso-fit-shape-to-text:t" inset="0,,0">
                    <w:txbxContent>
                      <w:p w14:paraId="3233C56F" w14:textId="77777777" w:rsidR="002E325F" w:rsidRDefault="002E325F">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p>
  <w:p w14:paraId="64E559CC" w14:textId="77777777" w:rsidR="00665951" w:rsidRDefault="006659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87D"/>
    <w:rsid w:val="00011AAA"/>
    <w:rsid w:val="00035962"/>
    <w:rsid w:val="00061E24"/>
    <w:rsid w:val="0008343E"/>
    <w:rsid w:val="00083E0E"/>
    <w:rsid w:val="00086251"/>
    <w:rsid w:val="00097FA1"/>
    <w:rsid w:val="000A6EF9"/>
    <w:rsid w:val="000B05B7"/>
    <w:rsid w:val="000B3645"/>
    <w:rsid w:val="000E0BF7"/>
    <w:rsid w:val="000E7B82"/>
    <w:rsid w:val="001013D8"/>
    <w:rsid w:val="00106ECA"/>
    <w:rsid w:val="001074FE"/>
    <w:rsid w:val="00121FF1"/>
    <w:rsid w:val="00133B64"/>
    <w:rsid w:val="001353DE"/>
    <w:rsid w:val="00136886"/>
    <w:rsid w:val="0013695D"/>
    <w:rsid w:val="00144312"/>
    <w:rsid w:val="00144738"/>
    <w:rsid w:val="0015165C"/>
    <w:rsid w:val="00163807"/>
    <w:rsid w:val="001652A8"/>
    <w:rsid w:val="00165D23"/>
    <w:rsid w:val="00167CD0"/>
    <w:rsid w:val="00191A56"/>
    <w:rsid w:val="001C3904"/>
    <w:rsid w:val="001E2807"/>
    <w:rsid w:val="001E50E0"/>
    <w:rsid w:val="001F2243"/>
    <w:rsid w:val="00201EA4"/>
    <w:rsid w:val="00201FAE"/>
    <w:rsid w:val="00206685"/>
    <w:rsid w:val="00224186"/>
    <w:rsid w:val="0022663D"/>
    <w:rsid w:val="002374CD"/>
    <w:rsid w:val="0024410C"/>
    <w:rsid w:val="002501B5"/>
    <w:rsid w:val="00254D33"/>
    <w:rsid w:val="00255F25"/>
    <w:rsid w:val="00261737"/>
    <w:rsid w:val="00264649"/>
    <w:rsid w:val="00273B35"/>
    <w:rsid w:val="002776A0"/>
    <w:rsid w:val="0028036B"/>
    <w:rsid w:val="00284DA3"/>
    <w:rsid w:val="002929F9"/>
    <w:rsid w:val="002A121D"/>
    <w:rsid w:val="002A6994"/>
    <w:rsid w:val="002B1DFB"/>
    <w:rsid w:val="002B570D"/>
    <w:rsid w:val="002B61BA"/>
    <w:rsid w:val="002E0C60"/>
    <w:rsid w:val="002E325F"/>
    <w:rsid w:val="002F7F1A"/>
    <w:rsid w:val="003126C5"/>
    <w:rsid w:val="00323BFC"/>
    <w:rsid w:val="00337336"/>
    <w:rsid w:val="00372A7F"/>
    <w:rsid w:val="003830CF"/>
    <w:rsid w:val="00397CDF"/>
    <w:rsid w:val="003A33C5"/>
    <w:rsid w:val="003D099C"/>
    <w:rsid w:val="003D39A6"/>
    <w:rsid w:val="003D63D1"/>
    <w:rsid w:val="003F3821"/>
    <w:rsid w:val="003F5E33"/>
    <w:rsid w:val="00412BC5"/>
    <w:rsid w:val="00424FB1"/>
    <w:rsid w:val="00431A37"/>
    <w:rsid w:val="004331E0"/>
    <w:rsid w:val="0045794D"/>
    <w:rsid w:val="00462DE4"/>
    <w:rsid w:val="00475B20"/>
    <w:rsid w:val="00486C42"/>
    <w:rsid w:val="00490EDC"/>
    <w:rsid w:val="0049764D"/>
    <w:rsid w:val="004A4BE9"/>
    <w:rsid w:val="004A6F8F"/>
    <w:rsid w:val="004D49B1"/>
    <w:rsid w:val="004E1D7D"/>
    <w:rsid w:val="004E224F"/>
    <w:rsid w:val="004F35C7"/>
    <w:rsid w:val="004F39D9"/>
    <w:rsid w:val="00500949"/>
    <w:rsid w:val="00501C20"/>
    <w:rsid w:val="00507485"/>
    <w:rsid w:val="00510D1B"/>
    <w:rsid w:val="005237D0"/>
    <w:rsid w:val="0055246A"/>
    <w:rsid w:val="00554DF1"/>
    <w:rsid w:val="00557702"/>
    <w:rsid w:val="00561799"/>
    <w:rsid w:val="005636A1"/>
    <w:rsid w:val="0059127D"/>
    <w:rsid w:val="005937AE"/>
    <w:rsid w:val="005C358F"/>
    <w:rsid w:val="005E4A09"/>
    <w:rsid w:val="006029EA"/>
    <w:rsid w:val="00606448"/>
    <w:rsid w:val="00622EB6"/>
    <w:rsid w:val="00623E1B"/>
    <w:rsid w:val="00625A05"/>
    <w:rsid w:val="0065017D"/>
    <w:rsid w:val="0065398B"/>
    <w:rsid w:val="00660F5D"/>
    <w:rsid w:val="00665951"/>
    <w:rsid w:val="0067370C"/>
    <w:rsid w:val="00674727"/>
    <w:rsid w:val="006754FB"/>
    <w:rsid w:val="00675777"/>
    <w:rsid w:val="00676928"/>
    <w:rsid w:val="00681A60"/>
    <w:rsid w:val="00692F2D"/>
    <w:rsid w:val="00692F58"/>
    <w:rsid w:val="006B3774"/>
    <w:rsid w:val="006C067F"/>
    <w:rsid w:val="006C36D9"/>
    <w:rsid w:val="006E2769"/>
    <w:rsid w:val="006F1125"/>
    <w:rsid w:val="006F5319"/>
    <w:rsid w:val="00702644"/>
    <w:rsid w:val="007163AD"/>
    <w:rsid w:val="007268AF"/>
    <w:rsid w:val="007458AD"/>
    <w:rsid w:val="0075607F"/>
    <w:rsid w:val="007563C2"/>
    <w:rsid w:val="00780E8D"/>
    <w:rsid w:val="00794C52"/>
    <w:rsid w:val="007A77B4"/>
    <w:rsid w:val="007B05D3"/>
    <w:rsid w:val="007B26DA"/>
    <w:rsid w:val="007B72A9"/>
    <w:rsid w:val="007C4634"/>
    <w:rsid w:val="007D4D7A"/>
    <w:rsid w:val="007D7DF6"/>
    <w:rsid w:val="00803909"/>
    <w:rsid w:val="00805E67"/>
    <w:rsid w:val="00807A73"/>
    <w:rsid w:val="00831A81"/>
    <w:rsid w:val="008342FB"/>
    <w:rsid w:val="00845FA1"/>
    <w:rsid w:val="0084787D"/>
    <w:rsid w:val="00862A4E"/>
    <w:rsid w:val="008669E1"/>
    <w:rsid w:val="00870D1B"/>
    <w:rsid w:val="00881ABC"/>
    <w:rsid w:val="0089412F"/>
    <w:rsid w:val="008A337B"/>
    <w:rsid w:val="008B0FAC"/>
    <w:rsid w:val="008B2BD4"/>
    <w:rsid w:val="008C4B55"/>
    <w:rsid w:val="008D379B"/>
    <w:rsid w:val="008E1465"/>
    <w:rsid w:val="008F2676"/>
    <w:rsid w:val="00910965"/>
    <w:rsid w:val="009419E4"/>
    <w:rsid w:val="00962801"/>
    <w:rsid w:val="0096455F"/>
    <w:rsid w:val="0098073E"/>
    <w:rsid w:val="009878E2"/>
    <w:rsid w:val="00991550"/>
    <w:rsid w:val="009941EE"/>
    <w:rsid w:val="009A16AD"/>
    <w:rsid w:val="009A1B85"/>
    <w:rsid w:val="009C437B"/>
    <w:rsid w:val="009D0FA2"/>
    <w:rsid w:val="009D11DB"/>
    <w:rsid w:val="009D14D3"/>
    <w:rsid w:val="009E18A4"/>
    <w:rsid w:val="009E32A3"/>
    <w:rsid w:val="00A021A3"/>
    <w:rsid w:val="00A02C5C"/>
    <w:rsid w:val="00A03F45"/>
    <w:rsid w:val="00A12E78"/>
    <w:rsid w:val="00A53644"/>
    <w:rsid w:val="00A676A3"/>
    <w:rsid w:val="00A874AA"/>
    <w:rsid w:val="00AB1DF3"/>
    <w:rsid w:val="00AC1011"/>
    <w:rsid w:val="00AC37FB"/>
    <w:rsid w:val="00AC5AF6"/>
    <w:rsid w:val="00AD18A0"/>
    <w:rsid w:val="00AD4C85"/>
    <w:rsid w:val="00AD7874"/>
    <w:rsid w:val="00AF0746"/>
    <w:rsid w:val="00AF421A"/>
    <w:rsid w:val="00B00740"/>
    <w:rsid w:val="00B1299F"/>
    <w:rsid w:val="00B22E44"/>
    <w:rsid w:val="00B27A00"/>
    <w:rsid w:val="00B4451B"/>
    <w:rsid w:val="00B54DD5"/>
    <w:rsid w:val="00B71D48"/>
    <w:rsid w:val="00B7263A"/>
    <w:rsid w:val="00B80DAA"/>
    <w:rsid w:val="00BA74CC"/>
    <w:rsid w:val="00BB134D"/>
    <w:rsid w:val="00BB417F"/>
    <w:rsid w:val="00BC0ECA"/>
    <w:rsid w:val="00BC33D8"/>
    <w:rsid w:val="00BC43E1"/>
    <w:rsid w:val="00BE25A0"/>
    <w:rsid w:val="00BE4064"/>
    <w:rsid w:val="00BF2264"/>
    <w:rsid w:val="00C273B5"/>
    <w:rsid w:val="00C370C4"/>
    <w:rsid w:val="00C55C8C"/>
    <w:rsid w:val="00C6732F"/>
    <w:rsid w:val="00C97378"/>
    <w:rsid w:val="00CA35CC"/>
    <w:rsid w:val="00CA5CCF"/>
    <w:rsid w:val="00CA667F"/>
    <w:rsid w:val="00CB54AD"/>
    <w:rsid w:val="00CB6B01"/>
    <w:rsid w:val="00CC2558"/>
    <w:rsid w:val="00CC281E"/>
    <w:rsid w:val="00CC6439"/>
    <w:rsid w:val="00CC6C5F"/>
    <w:rsid w:val="00CD192F"/>
    <w:rsid w:val="00CE7A5B"/>
    <w:rsid w:val="00CF0531"/>
    <w:rsid w:val="00D04FF3"/>
    <w:rsid w:val="00D06AAA"/>
    <w:rsid w:val="00D14B09"/>
    <w:rsid w:val="00D30168"/>
    <w:rsid w:val="00D333FC"/>
    <w:rsid w:val="00D437F3"/>
    <w:rsid w:val="00D45B19"/>
    <w:rsid w:val="00D4673A"/>
    <w:rsid w:val="00D51719"/>
    <w:rsid w:val="00D53911"/>
    <w:rsid w:val="00D60038"/>
    <w:rsid w:val="00D62A2F"/>
    <w:rsid w:val="00D74BDC"/>
    <w:rsid w:val="00D761AB"/>
    <w:rsid w:val="00D90AEC"/>
    <w:rsid w:val="00DA2600"/>
    <w:rsid w:val="00DA2AD4"/>
    <w:rsid w:val="00DC03C6"/>
    <w:rsid w:val="00DC14D9"/>
    <w:rsid w:val="00DC3EB8"/>
    <w:rsid w:val="00DC5AF1"/>
    <w:rsid w:val="00E13E1F"/>
    <w:rsid w:val="00E16E7C"/>
    <w:rsid w:val="00E30AA2"/>
    <w:rsid w:val="00E3184D"/>
    <w:rsid w:val="00E4055B"/>
    <w:rsid w:val="00E51C4D"/>
    <w:rsid w:val="00E628D5"/>
    <w:rsid w:val="00E80C06"/>
    <w:rsid w:val="00E96F75"/>
    <w:rsid w:val="00EA593C"/>
    <w:rsid w:val="00EB3EA1"/>
    <w:rsid w:val="00EB7106"/>
    <w:rsid w:val="00ED381B"/>
    <w:rsid w:val="00EE379D"/>
    <w:rsid w:val="00EF6662"/>
    <w:rsid w:val="00F05721"/>
    <w:rsid w:val="00F51360"/>
    <w:rsid w:val="00F6786B"/>
    <w:rsid w:val="00F71D55"/>
    <w:rsid w:val="00F85F3B"/>
    <w:rsid w:val="00FC3C98"/>
    <w:rsid w:val="00FF1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4D3B7"/>
  <w15:chartTrackingRefBased/>
  <w15:docId w15:val="{1A7FF27B-F087-471D-A61F-1CCF896F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8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7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78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78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78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7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8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78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78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78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78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7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87D"/>
    <w:rPr>
      <w:rFonts w:eastAsiaTheme="majorEastAsia" w:cstheme="majorBidi"/>
      <w:color w:val="272727" w:themeColor="text1" w:themeTint="D8"/>
    </w:rPr>
  </w:style>
  <w:style w:type="paragraph" w:styleId="Title">
    <w:name w:val="Title"/>
    <w:basedOn w:val="Normal"/>
    <w:next w:val="Normal"/>
    <w:link w:val="TitleChar"/>
    <w:uiPriority w:val="10"/>
    <w:qFormat/>
    <w:rsid w:val="00847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87D"/>
    <w:pPr>
      <w:spacing w:before="160"/>
      <w:jc w:val="center"/>
    </w:pPr>
    <w:rPr>
      <w:i/>
      <w:iCs/>
      <w:color w:val="404040" w:themeColor="text1" w:themeTint="BF"/>
    </w:rPr>
  </w:style>
  <w:style w:type="character" w:customStyle="1" w:styleId="QuoteChar">
    <w:name w:val="Quote Char"/>
    <w:basedOn w:val="DefaultParagraphFont"/>
    <w:link w:val="Quote"/>
    <w:uiPriority w:val="29"/>
    <w:rsid w:val="0084787D"/>
    <w:rPr>
      <w:i/>
      <w:iCs/>
      <w:color w:val="404040" w:themeColor="text1" w:themeTint="BF"/>
    </w:rPr>
  </w:style>
  <w:style w:type="paragraph" w:styleId="ListParagraph">
    <w:name w:val="List Paragraph"/>
    <w:basedOn w:val="Normal"/>
    <w:uiPriority w:val="34"/>
    <w:qFormat/>
    <w:rsid w:val="0084787D"/>
    <w:pPr>
      <w:ind w:left="720"/>
      <w:contextualSpacing/>
    </w:pPr>
  </w:style>
  <w:style w:type="character" w:styleId="IntenseEmphasis">
    <w:name w:val="Intense Emphasis"/>
    <w:basedOn w:val="DefaultParagraphFont"/>
    <w:uiPriority w:val="21"/>
    <w:qFormat/>
    <w:rsid w:val="0084787D"/>
    <w:rPr>
      <w:i/>
      <w:iCs/>
      <w:color w:val="0F4761" w:themeColor="accent1" w:themeShade="BF"/>
    </w:rPr>
  </w:style>
  <w:style w:type="paragraph" w:styleId="IntenseQuote">
    <w:name w:val="Intense Quote"/>
    <w:basedOn w:val="Normal"/>
    <w:next w:val="Normal"/>
    <w:link w:val="IntenseQuoteChar"/>
    <w:uiPriority w:val="30"/>
    <w:qFormat/>
    <w:rsid w:val="00847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787D"/>
    <w:rPr>
      <w:i/>
      <w:iCs/>
      <w:color w:val="0F4761" w:themeColor="accent1" w:themeShade="BF"/>
    </w:rPr>
  </w:style>
  <w:style w:type="character" w:styleId="IntenseReference">
    <w:name w:val="Intense Reference"/>
    <w:basedOn w:val="DefaultParagraphFont"/>
    <w:uiPriority w:val="32"/>
    <w:qFormat/>
    <w:rsid w:val="0084787D"/>
    <w:rPr>
      <w:b/>
      <w:bCs/>
      <w:smallCaps/>
      <w:color w:val="0F4761" w:themeColor="accent1" w:themeShade="BF"/>
      <w:spacing w:val="5"/>
    </w:rPr>
  </w:style>
  <w:style w:type="paragraph" w:styleId="Header">
    <w:name w:val="header"/>
    <w:basedOn w:val="Normal"/>
    <w:link w:val="HeaderChar"/>
    <w:uiPriority w:val="99"/>
    <w:unhideWhenUsed/>
    <w:rsid w:val="00665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951"/>
  </w:style>
  <w:style w:type="paragraph" w:styleId="Footer">
    <w:name w:val="footer"/>
    <w:basedOn w:val="Normal"/>
    <w:link w:val="FooterChar"/>
    <w:uiPriority w:val="99"/>
    <w:unhideWhenUsed/>
    <w:rsid w:val="00665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951"/>
  </w:style>
  <w:style w:type="character" w:styleId="Hyperlink">
    <w:name w:val="Hyperlink"/>
    <w:basedOn w:val="DefaultParagraphFont"/>
    <w:uiPriority w:val="99"/>
    <w:unhideWhenUsed/>
    <w:rsid w:val="00C55C8C"/>
    <w:rPr>
      <w:color w:val="467886" w:themeColor="hyperlink"/>
      <w:u w:val="single"/>
    </w:rPr>
  </w:style>
  <w:style w:type="character" w:styleId="UnresolvedMention">
    <w:name w:val="Unresolved Mention"/>
    <w:basedOn w:val="DefaultParagraphFont"/>
    <w:uiPriority w:val="99"/>
    <w:semiHidden/>
    <w:unhideWhenUsed/>
    <w:rsid w:val="00C55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5f3b0524e35e3aba/Documents/Balki,%20E.,%20Hayes,%20N.%20and%20Holland,%20C.%20(2023)%20&#8216;The%20indirect%20impact%20of%20educational%20attainment%20as%20a%20distal%20resource%20for%20older%20adults%20on%20loneliness&#8217;,%20JMIR%20Aging,%206,%20e47729.%20doi:10.2196/4772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ideo.alexanderstreet.com/watch/albert-bandura-part-1%20"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docs.live.net/5f3b0524e35e3aba/Documents/Balki,%20E.,%20Hayes,%20N.%20and%20Holland,%20C.%20(2023)%20&#8216;The%20indirect%20impact%20of%20educational%20attainment%20as%20a%20distal%20resource%20for%20older%20adults%20on%20loneliness&#8217;,%20JMIR%20Aging,%206,%20e47729.%20doi:10.2196/47729." TargetMode="External"/><Relationship Id="rId11" Type="http://schemas.openxmlformats.org/officeDocument/2006/relationships/hyperlink" Target="https://d.docs.live.net/5f3b0524e35e3aba/Documents/Balki,%20E.,%20Hayes,%20N.%20and%20Holland,%20C.%20(2023)%20&#8216;The%20indirect%20impact%20of%20educational%20attainment%20as%20a%20distal%20resource%20for%20older%20adults%20on%20loneliness&#8217;,%20JMIR%20Aging,%206,%20e47729.%20doi:10.2196/47729." TargetMode="External"/><Relationship Id="rId5" Type="http://schemas.openxmlformats.org/officeDocument/2006/relationships/endnotes" Target="endnotes.xml"/><Relationship Id="rId10" Type="http://schemas.openxmlformats.org/officeDocument/2006/relationships/hyperlink" Target="https://d.docs.live.net/5f3b0524e35e3aba/Documents/Balki,%20E.,%20Hayes,%20N.%20and%20Holland,%20C.%20(2023)%20&#8216;The%20indirect%20impact%20of%20educational%20attainment%20as%20a%20distal%20resource%20for%20older%20adults%20on%20loneliness&#8217;,%20JMIR%20Aging,%206,%20e47729.%20doi:10.2196/47729." TargetMode="External"/><Relationship Id="rId4" Type="http://schemas.openxmlformats.org/officeDocument/2006/relationships/footnotes" Target="footnotes.xml"/><Relationship Id="rId9" Type="http://schemas.openxmlformats.org/officeDocument/2006/relationships/hyperlink" Target="https://d.docs.live.net/5f3b0524e35e3aba/Documents/Balki,%20E.,%20Hayes,%20N.%20and%20Holland,%20C.%20(2023)%20&#8216;The%20indirect%20impact%20of%20educational%20attainment%20as%20a%20distal%20resource%20for%20older%20adults%20on%20loneliness&#8217;,%20JMIR%20Aging,%206,%20e47729.%20doi:10.2196/4772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2029</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sarahdobinson23@icloud.com</dc:creator>
  <cp:keywords/>
  <dc:description/>
  <cp:lastModifiedBy>sarahdobinson23@icloud.com</cp:lastModifiedBy>
  <cp:revision>2</cp:revision>
  <dcterms:created xsi:type="dcterms:W3CDTF">2026-04-20T16:35:00Z</dcterms:created>
  <dcterms:modified xsi:type="dcterms:W3CDTF">2026-04-20T16:35:00Z</dcterms:modified>
</cp:coreProperties>
</file>