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5756491" w14:textId="77777777" w:rsidR="001B35EE" w:rsidRDefault="00C86AA1">
      <w:pPr>
        <w:spacing w:after="83" w:line="259" w:lineRule="auto"/>
        <w:ind w:left="923" w:firstLine="0"/>
      </w:pPr>
      <w:r>
        <w:rPr>
          <w:b/>
          <w:sz w:val="32"/>
        </w:rPr>
        <w:t>University of Wales Trinity Saint David (UWTSD)</w:t>
      </w:r>
    </w:p>
    <w:p w14:paraId="6AF5271C" w14:textId="688D3429" w:rsidR="001B35EE" w:rsidRDefault="00C86AA1" w:rsidP="00D532BA">
      <w:pPr>
        <w:spacing w:after="201" w:line="265" w:lineRule="auto"/>
        <w:jc w:val="center"/>
      </w:pPr>
      <w:r>
        <w:t>LCHS4003</w:t>
      </w:r>
    </w:p>
    <w:p w14:paraId="59EA5C19" w14:textId="77777777" w:rsidR="001B35EE" w:rsidRDefault="00C86AA1">
      <w:pPr>
        <w:spacing w:after="201" w:line="265" w:lineRule="auto"/>
        <w:jc w:val="center"/>
      </w:pPr>
      <w:r>
        <w:t>Student Name: Mamata KC</w:t>
      </w:r>
    </w:p>
    <w:p w14:paraId="0EDC1FC0" w14:textId="5FEA5DB8" w:rsidR="001B35EE" w:rsidRDefault="00C86AA1">
      <w:pPr>
        <w:spacing w:after="201" w:line="265" w:lineRule="auto"/>
        <w:jc w:val="center"/>
      </w:pPr>
      <w:r>
        <w:t xml:space="preserve">Student Number: </w:t>
      </w:r>
      <w:r w:rsidR="00A42131">
        <w:t>2522</w:t>
      </w:r>
      <w:r w:rsidR="00240457">
        <w:t>180</w:t>
      </w:r>
    </w:p>
    <w:p w14:paraId="2DBAB51C" w14:textId="1C17E26D" w:rsidR="001B35EE" w:rsidRDefault="00C86AA1">
      <w:pPr>
        <w:spacing w:after="201" w:line="265" w:lineRule="auto"/>
        <w:jc w:val="center"/>
      </w:pPr>
      <w:r>
        <w:t xml:space="preserve">Module Code and Title: </w:t>
      </w:r>
      <w:r w:rsidR="00ED423C">
        <w:t>In</w:t>
      </w:r>
      <w:r w:rsidR="00D6080D">
        <w:t>tro</w:t>
      </w:r>
      <w:r w:rsidR="00EB4F37">
        <w:t>du</w:t>
      </w:r>
      <w:r w:rsidR="0085340D">
        <w:t xml:space="preserve">ction to Health and social care </w:t>
      </w:r>
    </w:p>
    <w:p w14:paraId="6EC2BB07" w14:textId="3AAA6219" w:rsidR="001B35EE" w:rsidRDefault="00C86AA1">
      <w:pPr>
        <w:spacing w:after="201" w:line="265" w:lineRule="auto"/>
        <w:jc w:val="center"/>
      </w:pPr>
      <w:r>
        <w:t xml:space="preserve">Lecturer’s Name: </w:t>
      </w:r>
      <w:r w:rsidR="00B910BB">
        <w:t>Za</w:t>
      </w:r>
      <w:r w:rsidR="00997DDF">
        <w:t>rah Ahmed</w:t>
      </w:r>
    </w:p>
    <w:p w14:paraId="3F8DDCCD" w14:textId="364F2EC8" w:rsidR="001B35EE" w:rsidRDefault="00C86AA1">
      <w:pPr>
        <w:spacing w:after="201" w:line="265" w:lineRule="auto"/>
        <w:jc w:val="center"/>
      </w:pPr>
      <w:r>
        <w:t>Assignment Title:  Task 1 Mini Report and Task 2 Essay</w:t>
      </w:r>
    </w:p>
    <w:p w14:paraId="405C7578" w14:textId="77777777" w:rsidR="001B35EE" w:rsidRDefault="00C86AA1">
      <w:pPr>
        <w:spacing w:after="201" w:line="265" w:lineRule="auto"/>
        <w:jc w:val="center"/>
      </w:pPr>
      <w:r>
        <w:t>Submission deadline: Monday, 19 October 2026, 10 am</w:t>
      </w:r>
      <w:r>
        <w:br w:type="page"/>
      </w:r>
    </w:p>
    <w:p w14:paraId="361363FF" w14:textId="77777777" w:rsidR="001B35EE" w:rsidRDefault="00C86AA1">
      <w:pPr>
        <w:pStyle w:val="Heading1"/>
        <w:ind w:left="-5"/>
      </w:pPr>
      <w:r>
        <w:lastRenderedPageBreak/>
        <w:t>Task 1: Guided Scenario – Mini Report</w:t>
      </w:r>
    </w:p>
    <w:p w14:paraId="20EFFA97" w14:textId="77777777" w:rsidR="001B35EE" w:rsidRDefault="00C86AA1">
      <w:pPr>
        <w:ind w:left="-5"/>
      </w:pPr>
      <w:r>
        <w:rPr>
          <w:b/>
        </w:rPr>
        <w:t>To:</w:t>
      </w:r>
      <w:r>
        <w:t xml:space="preserve"> Councillor Michael Savage, Nottingham City Council</w:t>
      </w:r>
    </w:p>
    <w:p w14:paraId="316D3B3D" w14:textId="77777777" w:rsidR="001B35EE" w:rsidRDefault="00C86AA1">
      <w:pPr>
        <w:ind w:left="-5"/>
      </w:pPr>
      <w:r>
        <w:rPr>
          <w:b/>
        </w:rPr>
        <w:t>Address:</w:t>
      </w:r>
      <w:r>
        <w:t xml:space="preserve"> Box 28, </w:t>
      </w:r>
      <w:proofErr w:type="spellStart"/>
      <w:r>
        <w:t>Loxley</w:t>
      </w:r>
      <w:proofErr w:type="spellEnd"/>
      <w:r>
        <w:t xml:space="preserve"> House, Station Street, Nottingham, NG2 3NG</w:t>
      </w:r>
    </w:p>
    <w:p w14:paraId="46865878" w14:textId="77777777" w:rsidR="001B35EE" w:rsidRDefault="00C86AA1">
      <w:pPr>
        <w:ind w:left="-5"/>
      </w:pPr>
      <w:r>
        <w:rPr>
          <w:b/>
        </w:rPr>
        <w:t>Subject:</w:t>
      </w:r>
      <w:r>
        <w:t xml:space="preserve"> Addressing a shortage of domiciliary care services in Nottingham</w:t>
      </w:r>
    </w:p>
    <w:p w14:paraId="2AFCCE1C" w14:textId="77777777" w:rsidR="001B35EE" w:rsidRDefault="00C86AA1">
      <w:pPr>
        <w:spacing w:after="197" w:line="259" w:lineRule="auto"/>
        <w:ind w:left="0" w:firstLine="0"/>
      </w:pPr>
      <w:r>
        <w:rPr>
          <w:b/>
        </w:rPr>
        <w:t>Prepared by:</w:t>
      </w:r>
      <w:r>
        <w:t xml:space="preserve"> Mamata KC</w:t>
      </w:r>
    </w:p>
    <w:p w14:paraId="3F7BCBD5" w14:textId="0503C268" w:rsidR="001B35EE" w:rsidRDefault="00C86AA1">
      <w:pPr>
        <w:spacing w:after="207"/>
        <w:ind w:left="-5"/>
      </w:pPr>
      <w:r>
        <w:rPr>
          <w:b/>
        </w:rPr>
        <w:t>Date:</w:t>
      </w:r>
      <w:r>
        <w:t xml:space="preserve"> </w:t>
      </w:r>
      <w:r w:rsidR="0040228E">
        <w:t>1</w:t>
      </w:r>
      <w:r w:rsidR="00E84DC4">
        <w:t xml:space="preserve">8 </w:t>
      </w:r>
      <w:r w:rsidR="0040228E">
        <w:t>October 2026</w:t>
      </w:r>
    </w:p>
    <w:p w14:paraId="0B47850C" w14:textId="77777777" w:rsidR="001B35EE" w:rsidRDefault="00C86AA1">
      <w:pPr>
        <w:pStyle w:val="Heading1"/>
        <w:ind w:left="-5"/>
      </w:pPr>
      <w:r>
        <w:t>Introduction</w:t>
      </w:r>
    </w:p>
    <w:p w14:paraId="51C7C898" w14:textId="77777777" w:rsidR="001B35EE" w:rsidRDefault="00C86AA1">
      <w:pPr>
        <w:spacing w:after="200"/>
        <w:ind w:left="-5"/>
      </w:pPr>
      <w:r>
        <w:t>Domiciliary care services provide care and support to people in their own homes. Support can include personal care, preparing food, medication support and help with everyday activities. This report considers a situation where there is a shortage of domiciliary care services in the local community. The service is important because it can help adults remain safe, independent and connected to their families and communities. The Care Act 2014 places wellbeing, prevention and meeting care and support needs at the centre of adult social care. It also requires local authorities to develop a sustainable care and support system and to consider the needs of their local population (Care Act 2014; Department of Health and Social Care, 2024).</w:t>
      </w:r>
    </w:p>
    <w:p w14:paraId="786741A3" w14:textId="77777777" w:rsidR="001B35EE" w:rsidRDefault="00C86AA1">
      <w:pPr>
        <w:pStyle w:val="Heading1"/>
        <w:ind w:left="-5"/>
      </w:pPr>
      <w:r>
        <w:t>Impact on the Community</w:t>
      </w:r>
    </w:p>
    <w:p w14:paraId="2C4E02ED" w14:textId="77777777" w:rsidR="001B35EE" w:rsidRDefault="00C86AA1">
      <w:pPr>
        <w:spacing w:after="330"/>
        <w:ind w:left="-5"/>
      </w:pPr>
      <w:r>
        <w:t>A shortage of domiciliary care can have a direct effect on older adults, disabled people and adults with other care and support needs. If there are not enough care workers, people may experience delays in receiving support, fewer choices or changes to the timing of visits. This can make personal care and daily activities more difficult and can reduce a person's independence.</w:t>
      </w:r>
    </w:p>
    <w:p w14:paraId="47D3098D" w14:textId="77777777" w:rsidR="001B35EE" w:rsidRDefault="00C86AA1">
      <w:pPr>
        <w:spacing w:after="330"/>
        <w:ind w:left="-5"/>
      </w:pPr>
      <w:r>
        <w:t>The Care Act 2014 states that local authorities must promote individual wellbeing when carrying out care and support functions. Wellbeing includes dignity, physical and mental health, control over daily life, relationships and participation in society (Care Act 2014). Therefore, a shortage of home care is not only a staffing problem; it can affect several important parts of a person's life.</w:t>
      </w:r>
    </w:p>
    <w:p w14:paraId="06223CB2" w14:textId="77777777" w:rsidR="001B35EE" w:rsidRDefault="00C86AA1">
      <w:pPr>
        <w:spacing w:after="330"/>
        <w:ind w:left="-5"/>
      </w:pPr>
      <w:r>
        <w:t>The shortage can also increase pressure on unpaid carers. Family members may have to provide more care when formal support is unavailable. This can affect their employment, rest, relationships and own wellbeing. The Care Act recognises the importance of carers and requires local authorities to consider support for them (Department of Health and Social Care, 2024).</w:t>
      </w:r>
    </w:p>
    <w:p w14:paraId="6A7F1D4D" w14:textId="77777777" w:rsidR="001B35EE" w:rsidRDefault="00C86AA1">
      <w:pPr>
        <w:spacing w:after="0"/>
        <w:ind w:left="-5"/>
      </w:pPr>
      <w:r>
        <w:t>Workforce pressures are also important. Skills for Care reported that domiciliary services represented around 46% of filled adult social care posts in England in 2024/25 (Skills for Care,</w:t>
      </w:r>
    </w:p>
    <w:p w14:paraId="29940C5C" w14:textId="77777777" w:rsidR="001B35EE" w:rsidRDefault="00C86AA1">
      <w:pPr>
        <w:ind w:left="-5"/>
      </w:pPr>
      <w:r>
        <w:lastRenderedPageBreak/>
        <w:t>2025). Research involving older people receiving home care found that better care experiences were associated with better social care-related quality of life (Towers et al., 2019).</w:t>
      </w:r>
    </w:p>
    <w:p w14:paraId="2FAAE2CA" w14:textId="77777777" w:rsidR="001B35EE" w:rsidRDefault="00C86AA1">
      <w:pPr>
        <w:spacing w:after="200"/>
        <w:ind w:left="-5"/>
      </w:pPr>
      <w:r>
        <w:t>This suggests that increasing the number of visits is not enough; the quality, reliability and person-centred nature of care also matter.</w:t>
      </w:r>
    </w:p>
    <w:p w14:paraId="5BA821D5" w14:textId="77777777" w:rsidR="0056004D" w:rsidRDefault="0056004D" w:rsidP="0056004D">
      <w:pPr>
        <w:spacing w:after="200"/>
        <w:ind w:left="0" w:firstLine="0"/>
      </w:pPr>
    </w:p>
    <w:p w14:paraId="49CB3028" w14:textId="77777777" w:rsidR="001B35EE" w:rsidRDefault="00C86AA1">
      <w:pPr>
        <w:pStyle w:val="Heading1"/>
        <w:ind w:left="-5"/>
      </w:pPr>
      <w:r>
        <w:t>Recommendations</w:t>
      </w:r>
    </w:p>
    <w:p w14:paraId="13034108" w14:textId="77777777" w:rsidR="001B35EE" w:rsidRDefault="00C86AA1">
      <w:pPr>
        <w:spacing w:after="330"/>
        <w:ind w:left="-5"/>
      </w:pPr>
      <w:r>
        <w:t>Nottingham City Council should first assess unmet demand for domiciliary care across local communities. The assessment should consider waiting times, unmet needs, hospital discharge information, workforce vacancies, provider capacity, complaints and feedback from residents and carers. This would help the council identify where shortages are greatest and plan services according to local need.</w:t>
      </w:r>
    </w:p>
    <w:p w14:paraId="7EE282DB" w14:textId="77777777" w:rsidR="001B35EE" w:rsidRDefault="00C86AA1">
      <w:pPr>
        <w:spacing w:after="330"/>
        <w:ind w:left="-5"/>
      </w:pPr>
      <w:r>
        <w:t>Second, the council should work with care providers to improve recruitment and retention. Fair commissioning arrangements, appropriate training, career development and support for new care workers could help providers maintain a stable workforce. Skills for Care identifies recruitment and retention as important issues for the adult social care workforce (Skills for Care, 2025). Continuity of care can also help people develop trust with care workers.</w:t>
      </w:r>
    </w:p>
    <w:p w14:paraId="52C2F92E" w14:textId="77777777" w:rsidR="001B35EE" w:rsidRDefault="00C86AA1">
      <w:pPr>
        <w:spacing w:after="330"/>
        <w:ind w:left="-5"/>
      </w:pPr>
      <w:r>
        <w:t xml:space="preserve">Third, the council should strengthen prevention and early intervention. Care Act guidance explains that local authorities should prevent, reduce or delay care and support needs and support people to remain independent for as long as possible (Department of Health and Social Care, 2024). </w:t>
      </w:r>
      <w:proofErr w:type="spellStart"/>
      <w:r>
        <w:t>Reablement</w:t>
      </w:r>
      <w:proofErr w:type="spellEnd"/>
      <w:r>
        <w:t>, home adaptations, equipment, information and advice, and links to community services could help people maintain independence.</w:t>
      </w:r>
    </w:p>
    <w:p w14:paraId="1CDE29A9" w14:textId="77777777" w:rsidR="001B35EE" w:rsidRDefault="00C86AA1">
      <w:pPr>
        <w:spacing w:after="200"/>
        <w:ind w:left="-5"/>
      </w:pPr>
      <w:r>
        <w:t>Finally, the council should involve service users, unpaid carers, care providers and health partners when planning services. This would support a person-centred approach and help reduce inequalities. Local planning should focus on outcomes for people rather than simply the number of care visits provided.</w:t>
      </w:r>
    </w:p>
    <w:p w14:paraId="11F10AF8" w14:textId="77777777" w:rsidR="001B35EE" w:rsidRDefault="00C86AA1">
      <w:pPr>
        <w:pStyle w:val="Heading1"/>
        <w:ind w:left="-5"/>
      </w:pPr>
      <w:r>
        <w:t>Conclusion</w:t>
      </w:r>
    </w:p>
    <w:p w14:paraId="673E8603" w14:textId="77777777" w:rsidR="001B35EE" w:rsidRDefault="00C86AA1">
      <w:pPr>
        <w:ind w:left="-5"/>
      </w:pPr>
      <w:r>
        <w:t>A shortage of domiciliary care can affect independence, dignity, safety and quality of life. It can also increase pressure on families and other health and social care services. The Care Act 2014 provides a strong basis for improving the situation through its focus on wellbeing, prevention, independence and meeting individual needs. Nottingham City Council should use local evidence, support the care workforce, strengthen preventative services and involve local people in planning. These actions could help create a more reliable and person-centred domiciliary care service.</w:t>
      </w:r>
    </w:p>
    <w:p w14:paraId="01846A5B" w14:textId="77777777" w:rsidR="00274184" w:rsidRDefault="00274184">
      <w:pPr>
        <w:spacing w:after="197" w:line="259" w:lineRule="auto"/>
        <w:ind w:left="-5"/>
        <w:rPr>
          <w:b/>
          <w:sz w:val="26"/>
        </w:rPr>
      </w:pPr>
    </w:p>
    <w:p w14:paraId="672580A1" w14:textId="77777777" w:rsidR="00274184" w:rsidRDefault="00274184">
      <w:pPr>
        <w:spacing w:after="197" w:line="259" w:lineRule="auto"/>
        <w:ind w:left="-5"/>
        <w:rPr>
          <w:b/>
          <w:sz w:val="26"/>
        </w:rPr>
      </w:pPr>
    </w:p>
    <w:p w14:paraId="64A80A96" w14:textId="4FF0E246" w:rsidR="001B35EE" w:rsidRDefault="00C86AA1">
      <w:pPr>
        <w:spacing w:after="197" w:line="259" w:lineRule="auto"/>
        <w:ind w:left="-5"/>
      </w:pPr>
      <w:r>
        <w:rPr>
          <w:b/>
          <w:sz w:val="26"/>
        </w:rPr>
        <w:lastRenderedPageBreak/>
        <w:t>Task 2: Essay – Dentistry Services</w:t>
      </w:r>
    </w:p>
    <w:p w14:paraId="1DAB131B" w14:textId="77777777" w:rsidR="001B35EE" w:rsidRDefault="00C86AA1">
      <w:pPr>
        <w:pStyle w:val="Heading1"/>
        <w:ind w:left="-5"/>
      </w:pPr>
      <w:r>
        <w:t>Introduction</w:t>
      </w:r>
    </w:p>
    <w:p w14:paraId="4708BAE4" w14:textId="77777777" w:rsidR="001B35EE" w:rsidRDefault="00C86AA1">
      <w:pPr>
        <w:spacing w:after="200"/>
        <w:ind w:left="-5"/>
      </w:pPr>
      <w:r>
        <w:t>Dentistry services provide assessment, prevention and treatment of oral health problems. Services include examinations, preventive advice, fillings, extractions, periodontal care and urgent treatment. In England, dental care is provided through NHS and private services, with NHS dentistry commissioned through the NHS system. Oral health is important because pain, infection and untreated dental problems can affect eating, speaking, sleep, confidence and general wellbeing. This essay examines the origins and historical development of dentistry services, explains how the service operates today, and critically evaluates its strengths, limitations and importance for quality of life.</w:t>
      </w:r>
    </w:p>
    <w:p w14:paraId="34F68CA1" w14:textId="77777777" w:rsidR="001B35EE" w:rsidRDefault="00C86AA1">
      <w:pPr>
        <w:pStyle w:val="Heading1"/>
        <w:ind w:left="-5"/>
      </w:pPr>
      <w:r>
        <w:t>Historical Context and Current Function</w:t>
      </w:r>
    </w:p>
    <w:p w14:paraId="717DC11F" w14:textId="77777777" w:rsidR="001B35EE" w:rsidRDefault="00C86AA1">
      <w:pPr>
        <w:spacing w:after="330"/>
        <w:ind w:left="-5"/>
      </w:pPr>
      <w:r>
        <w:t>Modern NHS dentistry developed with the creation of the National Health Service in 1948. The NHS introduced a national system of healthcare that included dental services. Over time, dentistry developed through changes in professional regulation, prevention, public health policy and NHS commissioning. Dental services became an important part of primary healthcare, while private dentistry continued alongside NHS provision.</w:t>
      </w:r>
    </w:p>
    <w:p w14:paraId="0066AACA" w14:textId="77777777" w:rsidR="001B35EE" w:rsidRDefault="00C86AA1">
      <w:pPr>
        <w:spacing w:after="330"/>
        <w:ind w:left="-5"/>
      </w:pPr>
      <w:r>
        <w:t>Today, dental services are delivered by dental teams that can include dentists, dental nurses, dental hygienists, therapists and other professionals. NHS primary dental services provide routine and urgent care, while specialist services are available for people with more complex needs. Patients may also use private dental care. NHS England uses contracts and commissioning arrangements to organise NHS dental provision.</w:t>
      </w:r>
    </w:p>
    <w:p w14:paraId="7DB2C9D7" w14:textId="77777777" w:rsidR="001B35EE" w:rsidRDefault="00C86AA1">
      <w:pPr>
        <w:spacing w:after="200"/>
        <w:ind w:left="-5"/>
      </w:pPr>
      <w:r>
        <w:t>Recent policy has focused strongly on improving access. NHS England's 2024 plan for recovering and reforming NHS dentistry identified access, prevention and workforce development as important priorities (NHS England, 2024). In 2026, NHS England also introduced further quality and payment reforms, including a new urgent-care safety net and increased support for preventative care (NHS England, 2026). These changes show that dentistry continues to develop in response to access and workforce problems.</w:t>
      </w:r>
    </w:p>
    <w:p w14:paraId="4EF641BB" w14:textId="77777777" w:rsidR="001B35EE" w:rsidRDefault="00C86AA1">
      <w:pPr>
        <w:pStyle w:val="Heading1"/>
        <w:ind w:left="-5"/>
      </w:pPr>
      <w:r>
        <w:t>Critical Evaluation and Significance for Service Users</w:t>
      </w:r>
    </w:p>
    <w:p w14:paraId="58447820" w14:textId="77777777" w:rsidR="001B35EE" w:rsidRDefault="00C86AA1">
      <w:pPr>
        <w:spacing w:after="330"/>
        <w:ind w:left="-5"/>
      </w:pPr>
      <w:r>
        <w:t>One strength of dentistry services is their focus on prevention as well as treatment. Regular examinations and advice can identify problems earlier and help people maintain oral health. NHS England's clinical guidance also emphasises timely, safe and effective urgent dental care and equitable access (NHS England, 2025). Good dental care can prevent pain and infection and support a person's ability to eat, communicate and participate confidently in everyday life.</w:t>
      </w:r>
    </w:p>
    <w:p w14:paraId="55C1519E" w14:textId="77777777" w:rsidR="001B35EE" w:rsidRDefault="00C86AA1">
      <w:pPr>
        <w:spacing w:after="330"/>
        <w:ind w:left="-5"/>
      </w:pPr>
      <w:r>
        <w:t xml:space="preserve">However, access remains a significant limitation. NHS England has continued to identify dentistry as an area where access needs improvement. The 2025 GP Patient Survey dental statistics provide information about people's reported experiences of dental access and are used to understand local demand (NHS England, 2025a). Workforce recruitment and retention </w:t>
      </w:r>
      <w:r>
        <w:lastRenderedPageBreak/>
        <w:t>are also important issues. NHS England's dental workforce data collects information on staffing and recruitment across dental providers, showing why workforce planning is relevant to service capacity (NHS England, 2025b).</w:t>
      </w:r>
    </w:p>
    <w:p w14:paraId="74650D1C" w14:textId="77777777" w:rsidR="001B35EE" w:rsidRDefault="00C86AA1">
      <w:pPr>
        <w:spacing w:after="330"/>
        <w:ind w:left="-5"/>
      </w:pPr>
      <w:r>
        <w:t>Another limitation is that people may experience difficulty finding an NHS dentist or obtaining an appointment at a convenient time. This can particularly affect people who are on low incomes, have additional needs or live in areas with fewer services. The 2026 reforms attempt to improve access and prevention, but their effectiveness depends on implementation, workforce capacity and local commissioning.</w:t>
      </w:r>
    </w:p>
    <w:p w14:paraId="63B4EEE5" w14:textId="77777777" w:rsidR="001B35EE" w:rsidRDefault="00C86AA1">
      <w:pPr>
        <w:spacing w:after="200"/>
        <w:ind w:left="-5"/>
      </w:pPr>
      <w:r>
        <w:t>Overall, dentistry has an important role in quality of life, but access and workforce pressures can limit its benefits. A strong service therefore needs prevention, sufficient staff, timely appointments and attention to groups who experience greater barriers to care.</w:t>
      </w:r>
    </w:p>
    <w:p w14:paraId="2F3DAD78" w14:textId="77777777" w:rsidR="001B35EE" w:rsidRDefault="00C86AA1">
      <w:pPr>
        <w:pStyle w:val="Heading1"/>
        <w:ind w:left="-5"/>
      </w:pPr>
      <w:r>
        <w:t>Conclusion</w:t>
      </w:r>
    </w:p>
    <w:p w14:paraId="6C34AC1C" w14:textId="77777777" w:rsidR="001B35EE" w:rsidRDefault="00C86AA1">
      <w:pPr>
        <w:ind w:left="-5"/>
      </w:pPr>
      <w:r>
        <w:t>Dentistry services have developed significantly since the creation of the NHS in 1948 and are now an important part of primary healthcare. The service provides prevention, routine treatment and urgent care, and it can have a major effect on comfort, health and quality of life. Its main strengths include prevention and early treatment, while important limitations include access and workforce pressures. Current NHS reforms aim to improve these areas. Continued attention to prevention, workforce development and equitable access is important so that dental services can meet the needs of different groups in the population.</w:t>
      </w:r>
    </w:p>
    <w:p w14:paraId="02EC16DC" w14:textId="77777777" w:rsidR="00464293" w:rsidRDefault="00464293">
      <w:pPr>
        <w:pStyle w:val="Heading1"/>
        <w:ind w:left="-5"/>
      </w:pPr>
    </w:p>
    <w:p w14:paraId="41325C71" w14:textId="77777777" w:rsidR="00464293" w:rsidRDefault="00464293">
      <w:pPr>
        <w:pStyle w:val="Heading1"/>
        <w:ind w:left="-5"/>
      </w:pPr>
    </w:p>
    <w:p w14:paraId="5FE825E0" w14:textId="77777777" w:rsidR="00464293" w:rsidRDefault="00464293">
      <w:pPr>
        <w:pStyle w:val="Heading1"/>
        <w:ind w:left="-5"/>
      </w:pPr>
    </w:p>
    <w:p w14:paraId="2A9AD975" w14:textId="77777777" w:rsidR="00464293" w:rsidRDefault="00464293">
      <w:pPr>
        <w:pStyle w:val="Heading1"/>
        <w:ind w:left="-5"/>
      </w:pPr>
    </w:p>
    <w:p w14:paraId="1FA7D420" w14:textId="77777777" w:rsidR="00464293" w:rsidRDefault="00464293">
      <w:pPr>
        <w:pStyle w:val="Heading1"/>
        <w:ind w:left="-5"/>
      </w:pPr>
    </w:p>
    <w:p w14:paraId="77F9A954" w14:textId="77777777" w:rsidR="00464293" w:rsidRDefault="00464293">
      <w:pPr>
        <w:pStyle w:val="Heading1"/>
        <w:ind w:left="-5"/>
      </w:pPr>
    </w:p>
    <w:p w14:paraId="5B96B29C" w14:textId="77777777" w:rsidR="00464293" w:rsidRDefault="00464293">
      <w:pPr>
        <w:pStyle w:val="Heading1"/>
        <w:ind w:left="-5"/>
      </w:pPr>
    </w:p>
    <w:p w14:paraId="51FD179D" w14:textId="77777777" w:rsidR="00464293" w:rsidRDefault="00464293">
      <w:pPr>
        <w:pStyle w:val="Heading1"/>
        <w:ind w:left="-5"/>
      </w:pPr>
    </w:p>
    <w:p w14:paraId="4048F2B2" w14:textId="77777777" w:rsidR="00464293" w:rsidRDefault="00464293">
      <w:pPr>
        <w:pStyle w:val="Heading1"/>
        <w:ind w:left="-5"/>
      </w:pPr>
    </w:p>
    <w:p w14:paraId="359835D5" w14:textId="77777777" w:rsidR="00464293" w:rsidRDefault="00464293">
      <w:pPr>
        <w:pStyle w:val="Heading1"/>
        <w:ind w:left="-5"/>
      </w:pPr>
    </w:p>
    <w:p w14:paraId="1E22650D" w14:textId="77777777" w:rsidR="00464293" w:rsidRDefault="00464293">
      <w:pPr>
        <w:pStyle w:val="Heading1"/>
        <w:ind w:left="-5"/>
      </w:pPr>
    </w:p>
    <w:p w14:paraId="097C9913" w14:textId="77777777" w:rsidR="00464293" w:rsidRDefault="00464293">
      <w:pPr>
        <w:pStyle w:val="Heading1"/>
        <w:ind w:left="-5"/>
      </w:pPr>
    </w:p>
    <w:p w14:paraId="576EBF99" w14:textId="77777777" w:rsidR="00464293" w:rsidRDefault="00464293">
      <w:pPr>
        <w:pStyle w:val="Heading1"/>
        <w:ind w:left="-5"/>
      </w:pPr>
    </w:p>
    <w:p w14:paraId="2F6C909E" w14:textId="77777777" w:rsidR="00464293" w:rsidRDefault="00464293">
      <w:pPr>
        <w:pStyle w:val="Heading1"/>
        <w:ind w:left="-5"/>
      </w:pPr>
    </w:p>
    <w:p w14:paraId="3BBB8E01" w14:textId="4EB9227A" w:rsidR="001B35EE" w:rsidRDefault="00C86AA1">
      <w:pPr>
        <w:pStyle w:val="Heading1"/>
        <w:ind w:left="-5"/>
      </w:pPr>
      <w:r>
        <w:t>Combined Reference List</w:t>
      </w:r>
    </w:p>
    <w:p w14:paraId="00493467" w14:textId="49215D37" w:rsidR="001A5191" w:rsidRPr="00D454C5" w:rsidRDefault="001A5191">
      <w:pPr>
        <w:pStyle w:val="p1"/>
        <w:rPr>
          <w:rFonts w:ascii="Arial" w:hAnsi="Arial" w:cs="Arial"/>
          <w:sz w:val="22"/>
          <w:szCs w:val="22"/>
        </w:rPr>
      </w:pPr>
      <w:r w:rsidRPr="00D454C5">
        <w:rPr>
          <w:rStyle w:val="s1"/>
          <w:rFonts w:ascii="Arial" w:hAnsi="Arial" w:cs="Arial"/>
          <w:sz w:val="22"/>
          <w:szCs w:val="22"/>
        </w:rPr>
        <w:t xml:space="preserve">Department of Health and Social Care (2021) </w:t>
      </w:r>
      <w:r w:rsidRPr="00D454C5">
        <w:rPr>
          <w:rStyle w:val="s2"/>
          <w:rFonts w:ascii="Arial" w:hAnsi="Arial" w:cs="Arial"/>
          <w:sz w:val="22"/>
          <w:szCs w:val="22"/>
        </w:rPr>
        <w:t>People at the Heart of Care: Adult Social Care</w:t>
      </w:r>
    </w:p>
    <w:p w14:paraId="3BDBC5CD" w14:textId="66DF1791" w:rsidR="001A5191" w:rsidRDefault="001A5191">
      <w:pPr>
        <w:pStyle w:val="p1"/>
        <w:rPr>
          <w:rStyle w:val="s1"/>
          <w:rFonts w:ascii="Arial" w:hAnsi="Arial" w:cs="Arial"/>
          <w:sz w:val="22"/>
          <w:szCs w:val="22"/>
        </w:rPr>
      </w:pPr>
      <w:r w:rsidRPr="00D454C5">
        <w:rPr>
          <w:rStyle w:val="s2"/>
          <w:rFonts w:ascii="Arial" w:hAnsi="Arial" w:cs="Arial"/>
          <w:sz w:val="22"/>
          <w:szCs w:val="22"/>
        </w:rPr>
        <w:t>Reform White Paper</w:t>
      </w:r>
      <w:r w:rsidRPr="00D454C5">
        <w:rPr>
          <w:rStyle w:val="s1"/>
          <w:rFonts w:ascii="Arial" w:hAnsi="Arial" w:cs="Arial"/>
          <w:sz w:val="22"/>
          <w:szCs w:val="22"/>
        </w:rPr>
        <w:t>. London: Department of Health and Social Care. Available at: https://www.go</w:t>
      </w:r>
      <w:r w:rsidR="00EB2BB6">
        <w:rPr>
          <w:rFonts w:ascii="Arial" w:hAnsi="Arial" w:cs="Arial"/>
          <w:sz w:val="22"/>
          <w:szCs w:val="22"/>
        </w:rPr>
        <w:t>v</w:t>
      </w:r>
      <w:r w:rsidRPr="00D454C5">
        <w:rPr>
          <w:rStyle w:val="s1"/>
          <w:rFonts w:ascii="Arial" w:hAnsi="Arial" w:cs="Arial"/>
          <w:sz w:val="22"/>
          <w:szCs w:val="22"/>
        </w:rPr>
        <w:t>.uk/government/publications/people-at-the-heart-of-care-adult-social-care-reform-white-paper</w:t>
      </w:r>
      <w:r w:rsidR="00923660">
        <w:rPr>
          <w:rFonts w:ascii="Arial" w:hAnsi="Arial" w:cs="Arial"/>
          <w:sz w:val="22"/>
          <w:szCs w:val="22"/>
        </w:rPr>
        <w:t>(</w:t>
      </w:r>
      <w:r w:rsidRPr="00D454C5">
        <w:rPr>
          <w:rStyle w:val="s1"/>
          <w:rFonts w:ascii="Arial" w:hAnsi="Arial" w:cs="Arial"/>
          <w:sz w:val="22"/>
          <w:szCs w:val="22"/>
        </w:rPr>
        <w:t>Accessed: 18 October 2026).</w:t>
      </w:r>
    </w:p>
    <w:p w14:paraId="772EBC78" w14:textId="77777777" w:rsidR="00FB2B0B" w:rsidRDefault="00FB2B0B">
      <w:pPr>
        <w:pStyle w:val="p1"/>
        <w:rPr>
          <w:rStyle w:val="s1"/>
          <w:rFonts w:ascii="Arial" w:hAnsi="Arial" w:cs="Arial"/>
          <w:sz w:val="22"/>
          <w:szCs w:val="22"/>
        </w:rPr>
      </w:pPr>
    </w:p>
    <w:p w14:paraId="5B7EA559" w14:textId="0347DE7B" w:rsidR="00567DA3" w:rsidRDefault="00567DA3">
      <w:pPr>
        <w:pStyle w:val="p1"/>
        <w:rPr>
          <w:rStyle w:val="s1"/>
          <w:rFonts w:ascii="Arial" w:hAnsi="Arial" w:cs="Arial"/>
          <w:sz w:val="22"/>
          <w:szCs w:val="22"/>
        </w:rPr>
      </w:pPr>
      <w:r w:rsidRPr="0058756C">
        <w:rPr>
          <w:rStyle w:val="s1"/>
          <w:rFonts w:ascii="Arial" w:hAnsi="Arial" w:cs="Arial"/>
          <w:sz w:val="22"/>
          <w:szCs w:val="22"/>
        </w:rPr>
        <w:t xml:space="preserve">Department of Health and Social Care (2023) </w:t>
      </w:r>
      <w:r w:rsidRPr="0058756C">
        <w:rPr>
          <w:rStyle w:val="s2"/>
          <w:rFonts w:ascii="Arial" w:hAnsi="Arial" w:cs="Arial"/>
          <w:sz w:val="22"/>
          <w:szCs w:val="22"/>
        </w:rPr>
        <w:t>Adult social care system reform: next steps to putPeople at the Heart of Care</w:t>
      </w:r>
      <w:r w:rsidRPr="0058756C">
        <w:rPr>
          <w:rStyle w:val="s1"/>
          <w:rFonts w:ascii="Arial" w:hAnsi="Arial" w:cs="Arial"/>
          <w:sz w:val="22"/>
          <w:szCs w:val="22"/>
        </w:rPr>
        <w:t>. London: Department of Health and Social Care. Available at: https://www.gov.uk/government/publications/adult-social-care-system-reform-next-steps-to-put-people-at-the-heart-of-care (Accessed: 18 October 2026).</w:t>
      </w:r>
    </w:p>
    <w:p w14:paraId="57D893CC" w14:textId="77777777" w:rsidR="008E783F" w:rsidRDefault="008E783F">
      <w:pPr>
        <w:pStyle w:val="p1"/>
        <w:rPr>
          <w:rStyle w:val="s1"/>
          <w:rFonts w:ascii="Arial" w:hAnsi="Arial" w:cs="Arial"/>
          <w:sz w:val="22"/>
          <w:szCs w:val="22"/>
        </w:rPr>
      </w:pPr>
    </w:p>
    <w:p w14:paraId="3BF0692A" w14:textId="2923A1F5" w:rsidR="002A750F" w:rsidRPr="00CF3D03" w:rsidRDefault="002A750F">
      <w:pPr>
        <w:pStyle w:val="p1"/>
        <w:rPr>
          <w:rFonts w:ascii="Arial" w:hAnsi="Arial" w:cs="Arial"/>
          <w:sz w:val="22"/>
          <w:szCs w:val="22"/>
        </w:rPr>
      </w:pPr>
      <w:r w:rsidRPr="00CF3D03">
        <w:rPr>
          <w:rStyle w:val="s1"/>
          <w:rFonts w:ascii="Arial" w:hAnsi="Arial" w:cs="Arial"/>
          <w:sz w:val="22"/>
          <w:szCs w:val="22"/>
        </w:rPr>
        <w:t xml:space="preserve">The King’s Fund (2018) </w:t>
      </w:r>
      <w:r w:rsidRPr="00CF3D03">
        <w:rPr>
          <w:rStyle w:val="s2"/>
          <w:rFonts w:ascii="Arial" w:hAnsi="Arial" w:cs="Arial"/>
          <w:sz w:val="22"/>
          <w:szCs w:val="22"/>
        </w:rPr>
        <w:t>Home care in England: views from commissioners and providers</w:t>
      </w:r>
      <w:r w:rsidRPr="00CF3D03">
        <w:rPr>
          <w:rStyle w:val="s1"/>
          <w:rFonts w:ascii="Arial" w:hAnsi="Arial" w:cs="Arial"/>
          <w:sz w:val="22"/>
          <w:szCs w:val="22"/>
        </w:rPr>
        <w:t xml:space="preserve">. </w:t>
      </w:r>
      <w:r w:rsidR="00312BEF" w:rsidRPr="00CF3D03">
        <w:rPr>
          <w:rStyle w:val="s1"/>
          <w:rFonts w:ascii="Arial" w:hAnsi="Arial" w:cs="Arial"/>
          <w:sz w:val="22"/>
          <w:szCs w:val="22"/>
        </w:rPr>
        <w:t>London: The</w:t>
      </w:r>
      <w:r w:rsidRPr="00CF3D03">
        <w:rPr>
          <w:rStyle w:val="s1"/>
          <w:rFonts w:ascii="Arial" w:hAnsi="Arial" w:cs="Arial"/>
          <w:sz w:val="22"/>
          <w:szCs w:val="22"/>
        </w:rPr>
        <w:t xml:space="preserve"> King’s Fund. Available </w:t>
      </w:r>
      <w:r w:rsidR="00312BEF" w:rsidRPr="00CF3D03">
        <w:rPr>
          <w:rStyle w:val="s1"/>
          <w:rFonts w:ascii="Arial" w:hAnsi="Arial" w:cs="Arial"/>
          <w:sz w:val="22"/>
          <w:szCs w:val="22"/>
        </w:rPr>
        <w:t>at: https://www.kingsfund.org.uk/insight-and-analysis/reports/home-care-england</w:t>
      </w:r>
      <w:r w:rsidRPr="00CF3D03">
        <w:rPr>
          <w:rStyle w:val="s1"/>
          <w:rFonts w:ascii="Arial" w:hAnsi="Arial" w:cs="Arial"/>
          <w:sz w:val="22"/>
          <w:szCs w:val="22"/>
        </w:rPr>
        <w:t xml:space="preserve"> (Accessed: 18October 2026).</w:t>
      </w:r>
    </w:p>
    <w:p w14:paraId="0549DD68" w14:textId="77777777" w:rsidR="003A5156" w:rsidRDefault="003A5156">
      <w:pPr>
        <w:pStyle w:val="p1"/>
        <w:rPr>
          <w:rFonts w:ascii="Arial" w:hAnsi="Arial" w:cs="Arial"/>
          <w:sz w:val="22"/>
          <w:szCs w:val="22"/>
        </w:rPr>
      </w:pPr>
    </w:p>
    <w:p w14:paraId="5837D6A9" w14:textId="309A4C61" w:rsidR="00237DD3" w:rsidRPr="003B33A9" w:rsidRDefault="00237DD3">
      <w:pPr>
        <w:pStyle w:val="p1"/>
        <w:rPr>
          <w:rFonts w:ascii="Arial" w:hAnsi="Arial" w:cs="Arial"/>
          <w:sz w:val="22"/>
          <w:szCs w:val="22"/>
        </w:rPr>
      </w:pPr>
      <w:r w:rsidRPr="003B33A9">
        <w:rPr>
          <w:rStyle w:val="s1"/>
          <w:rFonts w:ascii="Arial" w:hAnsi="Arial" w:cs="Arial"/>
          <w:sz w:val="22"/>
          <w:szCs w:val="22"/>
        </w:rPr>
        <w:t xml:space="preserve">Murray, A., </w:t>
      </w:r>
      <w:proofErr w:type="spellStart"/>
      <w:r w:rsidRPr="003B33A9">
        <w:rPr>
          <w:rStyle w:val="s1"/>
          <w:rFonts w:ascii="Arial" w:hAnsi="Arial" w:cs="Arial"/>
          <w:sz w:val="22"/>
          <w:szCs w:val="22"/>
        </w:rPr>
        <w:t>Gajjar</w:t>
      </w:r>
      <w:proofErr w:type="spellEnd"/>
      <w:r w:rsidRPr="003B33A9">
        <w:rPr>
          <w:rStyle w:val="s1"/>
          <w:rFonts w:ascii="Arial" w:hAnsi="Arial" w:cs="Arial"/>
          <w:sz w:val="22"/>
          <w:szCs w:val="22"/>
        </w:rPr>
        <w:t xml:space="preserve">, D., </w:t>
      </w:r>
      <w:r w:rsidR="00EC35F1" w:rsidRPr="003B33A9">
        <w:rPr>
          <w:rStyle w:val="s1"/>
          <w:rFonts w:ascii="Arial" w:hAnsi="Arial" w:cs="Arial"/>
          <w:sz w:val="22"/>
          <w:szCs w:val="22"/>
        </w:rPr>
        <w:t>Garret</w:t>
      </w:r>
      <w:r w:rsidRPr="003B33A9">
        <w:rPr>
          <w:rStyle w:val="s1"/>
          <w:rFonts w:ascii="Arial" w:hAnsi="Arial" w:cs="Arial"/>
          <w:sz w:val="22"/>
          <w:szCs w:val="22"/>
        </w:rPr>
        <w:t xml:space="preserve">, K. and </w:t>
      </w:r>
      <w:r w:rsidR="00A0258A" w:rsidRPr="003B33A9">
        <w:rPr>
          <w:rStyle w:val="s1"/>
          <w:rFonts w:ascii="Arial" w:hAnsi="Arial" w:cs="Arial"/>
          <w:sz w:val="22"/>
          <w:szCs w:val="22"/>
        </w:rPr>
        <w:t>Dane chi</w:t>
      </w:r>
      <w:r w:rsidRPr="003B33A9">
        <w:rPr>
          <w:rStyle w:val="s1"/>
          <w:rFonts w:ascii="Arial" w:hAnsi="Arial" w:cs="Arial"/>
          <w:sz w:val="22"/>
          <w:szCs w:val="22"/>
        </w:rPr>
        <w:t xml:space="preserve">, S. (2026) </w:t>
      </w:r>
      <w:r w:rsidRPr="003B33A9">
        <w:rPr>
          <w:rStyle w:val="s2"/>
          <w:rFonts w:ascii="Arial" w:hAnsi="Arial" w:cs="Arial"/>
          <w:sz w:val="22"/>
          <w:szCs w:val="22"/>
        </w:rPr>
        <w:t>NHS dentistry in England</w:t>
      </w:r>
      <w:r w:rsidRPr="003B33A9">
        <w:rPr>
          <w:rStyle w:val="s1"/>
          <w:rFonts w:ascii="Arial" w:hAnsi="Arial" w:cs="Arial"/>
          <w:sz w:val="22"/>
          <w:szCs w:val="22"/>
        </w:rPr>
        <w:t>. House of</w:t>
      </w:r>
    </w:p>
    <w:p w14:paraId="4B6B57F7" w14:textId="2BC8AAF8" w:rsidR="00237DD3" w:rsidRDefault="00237DD3">
      <w:pPr>
        <w:pStyle w:val="p1"/>
        <w:rPr>
          <w:rStyle w:val="s1"/>
          <w:rFonts w:ascii="Arial" w:hAnsi="Arial" w:cs="Arial"/>
          <w:sz w:val="22"/>
          <w:szCs w:val="22"/>
        </w:rPr>
      </w:pPr>
      <w:r w:rsidRPr="003B33A9">
        <w:rPr>
          <w:rStyle w:val="s1"/>
          <w:rFonts w:ascii="Arial" w:hAnsi="Arial" w:cs="Arial"/>
          <w:sz w:val="22"/>
          <w:szCs w:val="22"/>
        </w:rPr>
        <w:t>Commons Library. Available at: https://commonslibrary.parliament.uk/research-briefings/cbp-9597/</w:t>
      </w:r>
      <w:r w:rsidR="00F23A74">
        <w:rPr>
          <w:rFonts w:ascii="Arial" w:hAnsi="Arial" w:cs="Arial"/>
          <w:sz w:val="22"/>
          <w:szCs w:val="22"/>
        </w:rPr>
        <w:t>(</w:t>
      </w:r>
      <w:r w:rsidRPr="003B33A9">
        <w:rPr>
          <w:rStyle w:val="s1"/>
          <w:rFonts w:ascii="Arial" w:hAnsi="Arial" w:cs="Arial"/>
          <w:sz w:val="22"/>
          <w:szCs w:val="22"/>
        </w:rPr>
        <w:t>Accessed: 18 October 2026).</w:t>
      </w:r>
    </w:p>
    <w:p w14:paraId="44F43276" w14:textId="77777777" w:rsidR="00F23A74" w:rsidRDefault="00F23A74">
      <w:pPr>
        <w:pStyle w:val="p1"/>
        <w:rPr>
          <w:rStyle w:val="s1"/>
          <w:rFonts w:ascii="Arial" w:hAnsi="Arial" w:cs="Arial"/>
          <w:sz w:val="22"/>
          <w:szCs w:val="22"/>
        </w:rPr>
      </w:pPr>
    </w:p>
    <w:p w14:paraId="79E7E2B1" w14:textId="2A591A99" w:rsidR="00156C32" w:rsidRPr="00654693" w:rsidRDefault="00E85033">
      <w:pPr>
        <w:pStyle w:val="p1"/>
        <w:rPr>
          <w:rFonts w:ascii="Arial" w:hAnsi="Arial" w:cs="Arial"/>
          <w:sz w:val="22"/>
          <w:szCs w:val="22"/>
        </w:rPr>
      </w:pPr>
      <w:r w:rsidRPr="00654693">
        <w:rPr>
          <w:rStyle w:val="s1"/>
          <w:rFonts w:ascii="Arial" w:hAnsi="Arial" w:cs="Arial"/>
          <w:sz w:val="22"/>
          <w:szCs w:val="22"/>
        </w:rPr>
        <w:t>Health watch</w:t>
      </w:r>
      <w:r w:rsidR="00156C32" w:rsidRPr="00654693">
        <w:rPr>
          <w:rStyle w:val="s1"/>
          <w:rFonts w:ascii="Arial" w:hAnsi="Arial" w:cs="Arial"/>
          <w:sz w:val="22"/>
          <w:szCs w:val="22"/>
        </w:rPr>
        <w:t xml:space="preserve"> England (2024) </w:t>
      </w:r>
      <w:r w:rsidR="00156C32" w:rsidRPr="00654693">
        <w:rPr>
          <w:rStyle w:val="s2"/>
          <w:rFonts w:ascii="Arial" w:hAnsi="Arial" w:cs="Arial"/>
          <w:sz w:val="22"/>
          <w:szCs w:val="22"/>
        </w:rPr>
        <w:t>Access to NHS dentistry 2024: findings</w:t>
      </w:r>
      <w:r w:rsidR="00156C32" w:rsidRPr="00654693">
        <w:rPr>
          <w:rStyle w:val="s1"/>
          <w:rFonts w:ascii="Arial" w:hAnsi="Arial" w:cs="Arial"/>
          <w:sz w:val="22"/>
          <w:szCs w:val="22"/>
        </w:rPr>
        <w:t>. Available at:</w:t>
      </w:r>
    </w:p>
    <w:p w14:paraId="5ABAE418" w14:textId="731C804C" w:rsidR="00156C32" w:rsidRDefault="00156C32">
      <w:pPr>
        <w:pStyle w:val="p1"/>
        <w:rPr>
          <w:rStyle w:val="s1"/>
          <w:rFonts w:ascii="Arial" w:hAnsi="Arial" w:cs="Arial"/>
          <w:sz w:val="22"/>
          <w:szCs w:val="22"/>
        </w:rPr>
      </w:pPr>
      <w:r w:rsidRPr="00654693">
        <w:rPr>
          <w:rStyle w:val="s1"/>
          <w:rFonts w:ascii="Arial" w:hAnsi="Arial" w:cs="Arial"/>
          <w:sz w:val="22"/>
          <w:szCs w:val="22"/>
        </w:rPr>
        <w:t>https://www.healthwatch.co.uk/report/2024-11-20/access-nhs-dentistry-2024-findings (Accessed:18 October 2026).</w:t>
      </w:r>
    </w:p>
    <w:p w14:paraId="485E9D52" w14:textId="77777777" w:rsidR="00EC35F1" w:rsidRDefault="00EC35F1">
      <w:pPr>
        <w:pStyle w:val="p1"/>
        <w:rPr>
          <w:rStyle w:val="s1"/>
          <w:rFonts w:ascii="Arial" w:hAnsi="Arial" w:cs="Arial"/>
          <w:sz w:val="22"/>
          <w:szCs w:val="22"/>
        </w:rPr>
      </w:pPr>
    </w:p>
    <w:p w14:paraId="3859CB7E" w14:textId="48E29757" w:rsidR="00EF32C8" w:rsidRPr="00EF32C8" w:rsidRDefault="00EF32C8">
      <w:pPr>
        <w:pStyle w:val="p1"/>
        <w:rPr>
          <w:rFonts w:ascii="Arial" w:hAnsi="Arial" w:cs="Arial"/>
          <w:sz w:val="22"/>
          <w:szCs w:val="22"/>
        </w:rPr>
      </w:pPr>
      <w:proofErr w:type="spellStart"/>
      <w:r w:rsidRPr="00EF32C8">
        <w:rPr>
          <w:rStyle w:val="s1"/>
          <w:rFonts w:ascii="Arial" w:hAnsi="Arial" w:cs="Arial"/>
          <w:sz w:val="22"/>
          <w:szCs w:val="22"/>
        </w:rPr>
        <w:t>Garratt</w:t>
      </w:r>
      <w:proofErr w:type="spellEnd"/>
      <w:r w:rsidRPr="00EF32C8">
        <w:rPr>
          <w:rStyle w:val="s1"/>
          <w:rFonts w:ascii="Arial" w:hAnsi="Arial" w:cs="Arial"/>
          <w:sz w:val="22"/>
          <w:szCs w:val="22"/>
        </w:rPr>
        <w:t xml:space="preserve">, K. (2026) </w:t>
      </w:r>
      <w:r w:rsidRPr="00EF32C8">
        <w:rPr>
          <w:rStyle w:val="s2"/>
          <w:rFonts w:ascii="Arial" w:hAnsi="Arial" w:cs="Arial"/>
          <w:sz w:val="22"/>
          <w:szCs w:val="22"/>
        </w:rPr>
        <w:t>Finding an NHS dentist in England</w:t>
      </w:r>
      <w:r w:rsidRPr="00EF32C8">
        <w:rPr>
          <w:rStyle w:val="s1"/>
          <w:rFonts w:ascii="Arial" w:hAnsi="Arial" w:cs="Arial"/>
          <w:sz w:val="22"/>
          <w:szCs w:val="22"/>
        </w:rPr>
        <w:t xml:space="preserve">. House of Commons Library. Available </w:t>
      </w:r>
      <w:r w:rsidR="00B85D5F" w:rsidRPr="00EF32C8">
        <w:rPr>
          <w:rStyle w:val="s1"/>
          <w:rFonts w:ascii="Arial" w:hAnsi="Arial" w:cs="Arial"/>
          <w:sz w:val="22"/>
          <w:szCs w:val="22"/>
        </w:rPr>
        <w:t>at: https://commonslibrary.parliament.uk/research-briefings/cbp-10700/</w:t>
      </w:r>
      <w:r w:rsidRPr="00EF32C8">
        <w:rPr>
          <w:rStyle w:val="s1"/>
          <w:rFonts w:ascii="Arial" w:hAnsi="Arial" w:cs="Arial"/>
          <w:sz w:val="22"/>
          <w:szCs w:val="22"/>
        </w:rPr>
        <w:t xml:space="preserve"> (Accessed: 18 October 2026)</w:t>
      </w:r>
      <w:r w:rsidR="00464293">
        <w:rPr>
          <w:rStyle w:val="s1"/>
          <w:rFonts w:ascii="Arial" w:hAnsi="Arial" w:cs="Arial"/>
          <w:sz w:val="22"/>
          <w:szCs w:val="22"/>
        </w:rPr>
        <w:t>.</w:t>
      </w:r>
    </w:p>
    <w:p w14:paraId="698D4287" w14:textId="77777777" w:rsidR="00345C7E" w:rsidRPr="00EF32C8" w:rsidRDefault="00345C7E">
      <w:pPr>
        <w:pStyle w:val="p1"/>
        <w:rPr>
          <w:rFonts w:ascii="Arial" w:hAnsi="Arial" w:cs="Arial"/>
          <w:sz w:val="22"/>
          <w:szCs w:val="22"/>
        </w:rPr>
      </w:pPr>
    </w:p>
    <w:p w14:paraId="38D252E4" w14:textId="77777777" w:rsidR="00F23A74" w:rsidRPr="00EF32C8" w:rsidRDefault="00F23A74">
      <w:pPr>
        <w:pStyle w:val="p1"/>
        <w:rPr>
          <w:rFonts w:ascii="Arial" w:hAnsi="Arial" w:cs="Arial"/>
          <w:sz w:val="22"/>
          <w:szCs w:val="22"/>
        </w:rPr>
      </w:pPr>
    </w:p>
    <w:p w14:paraId="3993FE83" w14:textId="77777777" w:rsidR="00312BEF" w:rsidRPr="003B33A9" w:rsidRDefault="00312BEF">
      <w:pPr>
        <w:pStyle w:val="p1"/>
        <w:rPr>
          <w:rFonts w:ascii="Arial" w:hAnsi="Arial" w:cs="Arial"/>
          <w:sz w:val="22"/>
          <w:szCs w:val="22"/>
        </w:rPr>
      </w:pPr>
    </w:p>
    <w:p w14:paraId="516B6104" w14:textId="51C9F3D2" w:rsidR="008870CA" w:rsidRPr="003B33A9" w:rsidRDefault="008870CA" w:rsidP="008870CA">
      <w:pPr>
        <w:ind w:left="-5"/>
        <w:rPr>
          <w:szCs w:val="22"/>
        </w:rPr>
      </w:pPr>
    </w:p>
    <w:sectPr w:rsidR="008870CA" w:rsidRPr="003B33A9">
      <w:footerReference w:type="even" r:id="rId6"/>
      <w:footerReference w:type="default" r:id="rId7"/>
      <w:footerReference w:type="first" r:id="rId8"/>
      <w:pgSz w:w="11906" w:h="16838"/>
      <w:pgMar w:top="1316" w:right="1367" w:bottom="1388" w:left="1367" w:header="720" w:footer="5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F28C6B7" w14:textId="77777777" w:rsidR="00E360B9" w:rsidRDefault="00E360B9">
      <w:pPr>
        <w:spacing w:after="0" w:line="240" w:lineRule="auto"/>
      </w:pPr>
      <w:r>
        <w:separator/>
      </w:r>
    </w:p>
  </w:endnote>
  <w:endnote w:type="continuationSeparator" w:id="0">
    <w:p w14:paraId="70190AE5" w14:textId="77777777" w:rsidR="00E360B9" w:rsidRDefault="00E36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PS-ItalicMT">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8F21B12" w14:textId="77777777" w:rsidR="001B35EE" w:rsidRDefault="00C86AA1">
    <w:pPr>
      <w:spacing w:after="0" w:line="259" w:lineRule="auto"/>
      <w:ind w:left="0" w:firstLine="0"/>
      <w:jc w:val="center"/>
    </w:pPr>
    <w:r>
      <w:rPr>
        <w:sz w:val="18"/>
      </w:rPr>
      <w:t xml:space="preserve">Page </w:t>
    </w:r>
    <w:r>
      <w:fldChar w:fldCharType="begin"/>
    </w:r>
    <w:r>
      <w:instrText xml:space="preserve"> PAGE   \* MERGEFORMAT </w:instrText>
    </w:r>
    <w:r>
      <w:fldChar w:fldCharType="separate"/>
    </w:r>
    <w:r>
      <w:rPr>
        <w:sz w:val="18"/>
      </w:rPr>
      <w:t>1</w:t>
    </w:r>
    <w:r>
      <w:rP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37BF8DB" w14:textId="77777777" w:rsidR="001B35EE" w:rsidRDefault="00C86AA1">
    <w:pPr>
      <w:spacing w:after="0" w:line="259" w:lineRule="auto"/>
      <w:ind w:left="0" w:firstLine="0"/>
      <w:jc w:val="center"/>
    </w:pPr>
    <w:r>
      <w:rPr>
        <w:sz w:val="18"/>
      </w:rPr>
      <w:t xml:space="preserve">Page </w:t>
    </w:r>
    <w:r>
      <w:fldChar w:fldCharType="begin"/>
    </w:r>
    <w:r>
      <w:instrText xml:space="preserve"> PAGE   \* MERGEFORMAT </w:instrText>
    </w:r>
    <w:r>
      <w:fldChar w:fldCharType="separate"/>
    </w:r>
    <w:r>
      <w:rPr>
        <w:sz w:val="18"/>
      </w:rPr>
      <w:t>1</w:t>
    </w:r>
    <w:r>
      <w:rPr>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6BF2C3" w14:textId="77777777" w:rsidR="001B35EE" w:rsidRDefault="00C86AA1">
    <w:pPr>
      <w:spacing w:after="0" w:line="259" w:lineRule="auto"/>
      <w:ind w:left="0" w:firstLine="0"/>
      <w:jc w:val="center"/>
    </w:pPr>
    <w:r>
      <w:rPr>
        <w:sz w:val="18"/>
      </w:rPr>
      <w:t xml:space="preserve">Page </w:t>
    </w:r>
    <w:r>
      <w:fldChar w:fldCharType="begin"/>
    </w:r>
    <w:r>
      <w:instrText xml:space="preserve"> PAGE   \* MERGEFORMAT </w:instrText>
    </w:r>
    <w: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95E7750" w14:textId="77777777" w:rsidR="00E360B9" w:rsidRDefault="00E360B9">
      <w:pPr>
        <w:spacing w:after="0" w:line="240" w:lineRule="auto"/>
      </w:pPr>
      <w:r>
        <w:separator/>
      </w:r>
    </w:p>
  </w:footnote>
  <w:footnote w:type="continuationSeparator" w:id="0">
    <w:p w14:paraId="69130DA4" w14:textId="77777777" w:rsidR="00E360B9" w:rsidRDefault="00E360B9">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5EE"/>
    <w:rsid w:val="000F2FAE"/>
    <w:rsid w:val="001345B1"/>
    <w:rsid w:val="00156C32"/>
    <w:rsid w:val="001A5191"/>
    <w:rsid w:val="001B35EE"/>
    <w:rsid w:val="00237DD3"/>
    <w:rsid w:val="00240457"/>
    <w:rsid w:val="00274184"/>
    <w:rsid w:val="002A750F"/>
    <w:rsid w:val="00312BEF"/>
    <w:rsid w:val="00327009"/>
    <w:rsid w:val="00345C7E"/>
    <w:rsid w:val="0035635C"/>
    <w:rsid w:val="003A5156"/>
    <w:rsid w:val="003A5C68"/>
    <w:rsid w:val="003B33A9"/>
    <w:rsid w:val="003D474F"/>
    <w:rsid w:val="0040228E"/>
    <w:rsid w:val="00464293"/>
    <w:rsid w:val="0056004D"/>
    <w:rsid w:val="00567DA3"/>
    <w:rsid w:val="0058756C"/>
    <w:rsid w:val="00654693"/>
    <w:rsid w:val="00685543"/>
    <w:rsid w:val="00714857"/>
    <w:rsid w:val="00765138"/>
    <w:rsid w:val="0077013F"/>
    <w:rsid w:val="007B4B36"/>
    <w:rsid w:val="007C2681"/>
    <w:rsid w:val="007D6387"/>
    <w:rsid w:val="00833573"/>
    <w:rsid w:val="0085340D"/>
    <w:rsid w:val="008870CA"/>
    <w:rsid w:val="00895E4F"/>
    <w:rsid w:val="008E783F"/>
    <w:rsid w:val="009100B9"/>
    <w:rsid w:val="00923660"/>
    <w:rsid w:val="00943247"/>
    <w:rsid w:val="00951C81"/>
    <w:rsid w:val="00997DDF"/>
    <w:rsid w:val="00A0258A"/>
    <w:rsid w:val="00A42131"/>
    <w:rsid w:val="00A5014E"/>
    <w:rsid w:val="00B30DF9"/>
    <w:rsid w:val="00B64D49"/>
    <w:rsid w:val="00B85D5F"/>
    <w:rsid w:val="00B910BB"/>
    <w:rsid w:val="00B9276A"/>
    <w:rsid w:val="00C86AA1"/>
    <w:rsid w:val="00CB6095"/>
    <w:rsid w:val="00CC55AC"/>
    <w:rsid w:val="00CF3D03"/>
    <w:rsid w:val="00D454C5"/>
    <w:rsid w:val="00D532BA"/>
    <w:rsid w:val="00D6080D"/>
    <w:rsid w:val="00D90CFA"/>
    <w:rsid w:val="00E360B9"/>
    <w:rsid w:val="00E84DC4"/>
    <w:rsid w:val="00E85033"/>
    <w:rsid w:val="00E862A1"/>
    <w:rsid w:val="00EB2BB6"/>
    <w:rsid w:val="00EB4F37"/>
    <w:rsid w:val="00EC35F1"/>
    <w:rsid w:val="00ED423C"/>
    <w:rsid w:val="00EF32C8"/>
    <w:rsid w:val="00F23A74"/>
    <w:rsid w:val="00FB2B0B"/>
    <w:rsid w:val="00FC2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93B148"/>
  <w15:docId w15:val="{5C25A1A9-2DA5-774F-9758-104EB8F69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7" w:line="313" w:lineRule="auto"/>
      <w:ind w:left="10"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137" w:line="259" w:lineRule="auto"/>
      <w:ind w:left="10" w:hanging="10"/>
      <w:outlineLvl w:val="0"/>
    </w:pPr>
    <w:rPr>
      <w:rFonts w:ascii="Arial" w:eastAsia="Arial" w:hAnsi="Arial" w:cs="Arial"/>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6"/>
    </w:rPr>
  </w:style>
  <w:style w:type="paragraph" w:customStyle="1" w:styleId="p1">
    <w:name w:val="p1"/>
    <w:basedOn w:val="Normal"/>
    <w:rsid w:val="001A5191"/>
    <w:pPr>
      <w:spacing w:after="0" w:line="240" w:lineRule="auto"/>
      <w:ind w:left="0" w:firstLine="0"/>
    </w:pPr>
    <w:rPr>
      <w:rFonts w:ascii="Times New Roman" w:eastAsiaTheme="minorEastAsia" w:hAnsi="Times New Roman" w:cs="Times New Roman"/>
      <w:kern w:val="0"/>
      <w:sz w:val="17"/>
      <w:szCs w:val="17"/>
      <w14:ligatures w14:val="none"/>
    </w:rPr>
  </w:style>
  <w:style w:type="character" w:customStyle="1" w:styleId="s1">
    <w:name w:val="s1"/>
    <w:basedOn w:val="DefaultParagraphFont"/>
    <w:rsid w:val="001A5191"/>
    <w:rPr>
      <w:rFonts w:ascii="Times New Roman" w:hAnsi="Times New Roman" w:cs="Times New Roman" w:hint="default"/>
      <w:b w:val="0"/>
      <w:bCs w:val="0"/>
      <w:i w:val="0"/>
      <w:iCs w:val="0"/>
      <w:sz w:val="17"/>
      <w:szCs w:val="17"/>
    </w:rPr>
  </w:style>
  <w:style w:type="character" w:customStyle="1" w:styleId="s2">
    <w:name w:val="s2"/>
    <w:basedOn w:val="DefaultParagraphFont"/>
    <w:rsid w:val="001A5191"/>
    <w:rPr>
      <w:rFonts w:ascii="TimesNewRomanPS-ItalicMT" w:hAnsi="TimesNewRomanPS-ItalicMT" w:hint="default"/>
      <w:b w:val="0"/>
      <w:bCs w:val="0"/>
      <w:i/>
      <w:iCs/>
      <w:sz w:val="17"/>
      <w:szCs w:val="17"/>
    </w:rPr>
  </w:style>
  <w:style w:type="character" w:styleId="Hyperlink">
    <w:name w:val="Hyperlink"/>
    <w:basedOn w:val="DefaultParagraphFont"/>
    <w:uiPriority w:val="99"/>
    <w:unhideWhenUsed/>
    <w:rsid w:val="00CC55AC"/>
    <w:rPr>
      <w:color w:val="467886" w:themeColor="hyperlink"/>
      <w:u w:val="single"/>
    </w:rPr>
  </w:style>
  <w:style w:type="character" w:styleId="UnresolvedMention">
    <w:name w:val="Unresolved Mention"/>
    <w:basedOn w:val="DefaultParagraphFont"/>
    <w:uiPriority w:val="99"/>
    <w:semiHidden/>
    <w:unhideWhenUsed/>
    <w:rsid w:val="00CC55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1679</Words>
  <Characters>9572</Characters>
  <Application>Microsoft Office Word</Application>
  <DocSecurity>0</DocSecurity>
  <Lines>79</Lines>
  <Paragraphs>22</Paragraphs>
  <ScaleCrop>false</ScaleCrop>
  <Company/>
  <LinksUpToDate>false</LinksUpToDate>
  <CharactersWithSpaces>11229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Mamata Kc (2522180)</cp:lastModifiedBy>
  <cp:revision>2</cp:revision>
  <dcterms:created xsi:type="dcterms:W3CDTF">2026-10-18T21:41:00Z</dcterms:created>
  <dcterms:modified xsi:type="dcterms:W3CDTF">2026-10-18T21:41:00Z</dcterms:modified>
</cp:coreProperties>
</file>