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333CD" w14:textId="77777777" w:rsidR="001C4764" w:rsidRDefault="001C4764" w:rsidP="001C4764">
      <w:pPr>
        <w:jc w:val="center"/>
        <w:rPr>
          <w:rFonts w:ascii="Arial" w:eastAsia="Arial" w:hAnsi="Arial" w:cs="Arial"/>
          <w:b/>
          <w:sz w:val="40"/>
          <w:szCs w:val="40"/>
        </w:rPr>
      </w:pPr>
    </w:p>
    <w:p w14:paraId="3D183BFA" w14:textId="77777777" w:rsidR="001C4764" w:rsidRDefault="001C4764" w:rsidP="001C4764">
      <w:pPr>
        <w:jc w:val="center"/>
        <w:rPr>
          <w:rFonts w:ascii="Arial" w:eastAsia="Arial" w:hAnsi="Arial" w:cs="Arial"/>
          <w:b/>
          <w:sz w:val="40"/>
          <w:szCs w:val="40"/>
        </w:rPr>
      </w:pPr>
    </w:p>
    <w:p w14:paraId="1F82149C" w14:textId="77777777" w:rsidR="00491E06" w:rsidRDefault="00491E06" w:rsidP="001C4764">
      <w:pPr>
        <w:jc w:val="center"/>
        <w:rPr>
          <w:rFonts w:ascii="Arial" w:eastAsia="Arial" w:hAnsi="Arial" w:cs="Arial"/>
          <w:b/>
          <w:sz w:val="40"/>
          <w:szCs w:val="40"/>
        </w:rPr>
      </w:pPr>
    </w:p>
    <w:p w14:paraId="314CF52F" w14:textId="7FE21665" w:rsidR="00DA37E9" w:rsidRPr="00D061C0" w:rsidRDefault="00DA37E9" w:rsidP="001C4764">
      <w:pPr>
        <w:jc w:val="center"/>
        <w:rPr>
          <w:rFonts w:ascii="Arial" w:eastAsia="Arial" w:hAnsi="Arial" w:cs="Arial"/>
          <w:b/>
          <w:sz w:val="28"/>
          <w:szCs w:val="28"/>
        </w:rPr>
      </w:pPr>
      <w:r w:rsidRPr="00D061C0">
        <w:rPr>
          <w:rFonts w:ascii="Arial" w:eastAsia="Arial" w:hAnsi="Arial" w:cs="Arial"/>
          <w:b/>
          <w:sz w:val="28"/>
          <w:szCs w:val="28"/>
        </w:rPr>
        <w:t>Accounting Fundamentals</w:t>
      </w:r>
    </w:p>
    <w:p w14:paraId="15A80BE3" w14:textId="0C8443ED" w:rsidR="008F0F20" w:rsidRPr="00D061C0" w:rsidRDefault="00D061C0" w:rsidP="00DA37E9">
      <w:pPr>
        <w:jc w:val="center"/>
        <w:rPr>
          <w:rFonts w:ascii="Arial" w:eastAsia="Arial" w:hAnsi="Arial" w:cs="Arial"/>
          <w:b/>
          <w:sz w:val="28"/>
          <w:szCs w:val="28"/>
        </w:rPr>
      </w:pPr>
      <w:r w:rsidRPr="00D061C0">
        <w:rPr>
          <w:rFonts w:ascii="Arial" w:eastAsia="Arial" w:hAnsi="Arial" w:cs="Arial"/>
          <w:b/>
          <w:sz w:val="28"/>
          <w:szCs w:val="28"/>
        </w:rPr>
        <w:t>Ass</w:t>
      </w:r>
      <w:r w:rsidR="009F02A2">
        <w:rPr>
          <w:rFonts w:ascii="Arial" w:eastAsia="Arial" w:hAnsi="Arial" w:cs="Arial"/>
          <w:b/>
          <w:sz w:val="28"/>
          <w:szCs w:val="28"/>
        </w:rPr>
        <w:t>igmen</w:t>
      </w:r>
      <w:r w:rsidRPr="00D061C0">
        <w:rPr>
          <w:rFonts w:ascii="Arial" w:eastAsia="Arial" w:hAnsi="Arial" w:cs="Arial"/>
          <w:b/>
          <w:sz w:val="28"/>
          <w:szCs w:val="28"/>
        </w:rPr>
        <w:t xml:space="preserve">t </w:t>
      </w:r>
      <w:r w:rsidR="009F02A2">
        <w:rPr>
          <w:rFonts w:ascii="Arial" w:eastAsia="Arial" w:hAnsi="Arial" w:cs="Arial"/>
          <w:b/>
          <w:sz w:val="28"/>
          <w:szCs w:val="28"/>
        </w:rPr>
        <w:t>A</w:t>
      </w:r>
      <w:r w:rsidRPr="00D061C0">
        <w:rPr>
          <w:rFonts w:ascii="Arial" w:eastAsia="Arial" w:hAnsi="Arial" w:cs="Arial"/>
          <w:b/>
          <w:sz w:val="28"/>
          <w:szCs w:val="28"/>
        </w:rPr>
        <w:t>1</w:t>
      </w:r>
    </w:p>
    <w:p w14:paraId="32099A37" w14:textId="77777777" w:rsidR="008F0F20" w:rsidRDefault="008F0F20" w:rsidP="00DA37E9">
      <w:pPr>
        <w:jc w:val="center"/>
        <w:rPr>
          <w:rFonts w:eastAsia="Arial" w:cs="Arial"/>
          <w:b/>
          <w:sz w:val="48"/>
          <w:szCs w:val="44"/>
        </w:rPr>
      </w:pPr>
    </w:p>
    <w:p w14:paraId="21CC65D3" w14:textId="77777777" w:rsidR="008F0F20" w:rsidRPr="007B5EE3" w:rsidRDefault="008F0F20" w:rsidP="007B5EE3">
      <w:pPr>
        <w:jc w:val="left"/>
        <w:rPr>
          <w:rFonts w:ascii="Arial" w:eastAsia="Times New Roman" w:hAnsi="Arial" w:cs="Arial"/>
          <w:b/>
          <w:bCs/>
          <w:color w:val="000000" w:themeColor="text1"/>
          <w:szCs w:val="24"/>
        </w:rPr>
      </w:pPr>
      <w:r w:rsidRPr="007B5EE3">
        <w:rPr>
          <w:rFonts w:ascii="Arial" w:eastAsia="Times New Roman" w:hAnsi="Arial" w:cs="Arial"/>
          <w:b/>
          <w:bCs/>
          <w:color w:val="000000" w:themeColor="text1"/>
          <w:szCs w:val="24"/>
        </w:rPr>
        <w:t>Student Name: Veronica Nita</w:t>
      </w:r>
    </w:p>
    <w:p w14:paraId="396B1111" w14:textId="77777777" w:rsidR="008F0F20" w:rsidRDefault="008F0F20" w:rsidP="007B5EE3">
      <w:pPr>
        <w:jc w:val="left"/>
        <w:rPr>
          <w:rFonts w:ascii="Arial" w:eastAsia="Times New Roman" w:hAnsi="Arial" w:cs="Arial"/>
          <w:b/>
          <w:bCs/>
          <w:color w:val="000000" w:themeColor="text1"/>
          <w:szCs w:val="24"/>
        </w:rPr>
      </w:pPr>
      <w:r w:rsidRPr="007B5EE3">
        <w:rPr>
          <w:rFonts w:ascii="Arial" w:eastAsia="Times New Roman" w:hAnsi="Arial" w:cs="Arial"/>
          <w:b/>
          <w:bCs/>
          <w:color w:val="000000" w:themeColor="text1"/>
          <w:szCs w:val="24"/>
        </w:rPr>
        <w:t>Student ID: 2123371</w:t>
      </w:r>
    </w:p>
    <w:p w14:paraId="2DADA36F" w14:textId="3861C85D" w:rsidR="00397F5F" w:rsidRDefault="00397F5F" w:rsidP="007B5EE3">
      <w:pPr>
        <w:jc w:val="left"/>
        <w:rPr>
          <w:rFonts w:ascii="Arial" w:eastAsia="Times New Roman" w:hAnsi="Arial" w:cs="Arial"/>
          <w:b/>
          <w:bCs/>
          <w:color w:val="000000" w:themeColor="text1"/>
          <w:szCs w:val="24"/>
        </w:rPr>
      </w:pPr>
      <w:r>
        <w:rPr>
          <w:rFonts w:ascii="Arial" w:eastAsia="Times New Roman" w:hAnsi="Arial" w:cs="Arial"/>
          <w:b/>
          <w:bCs/>
          <w:color w:val="000000" w:themeColor="text1"/>
          <w:szCs w:val="24"/>
        </w:rPr>
        <w:t>Module Cod</w:t>
      </w:r>
      <w:r w:rsidR="00D50EE4">
        <w:rPr>
          <w:rFonts w:ascii="Arial" w:eastAsia="Times New Roman" w:hAnsi="Arial" w:cs="Arial"/>
          <w:b/>
          <w:bCs/>
          <w:color w:val="000000" w:themeColor="text1"/>
          <w:szCs w:val="24"/>
        </w:rPr>
        <w:t>e:</w:t>
      </w:r>
      <w:r w:rsidR="00AF3A5A">
        <w:rPr>
          <w:rFonts w:ascii="Arial" w:eastAsia="Times New Roman" w:hAnsi="Arial" w:cs="Arial"/>
          <w:b/>
          <w:bCs/>
          <w:color w:val="000000" w:themeColor="text1"/>
          <w:szCs w:val="24"/>
        </w:rPr>
        <w:t xml:space="preserve"> </w:t>
      </w:r>
      <w:r w:rsidR="00D50EE4">
        <w:rPr>
          <w:rFonts w:ascii="Arial" w:eastAsia="Times New Roman" w:hAnsi="Arial" w:cs="Arial"/>
          <w:b/>
          <w:bCs/>
          <w:color w:val="000000" w:themeColor="text1"/>
          <w:szCs w:val="24"/>
        </w:rPr>
        <w:t>LCBB4001</w:t>
      </w:r>
    </w:p>
    <w:p w14:paraId="4776CF69" w14:textId="27CA82F4" w:rsidR="00E04E78" w:rsidRDefault="00E04E78" w:rsidP="00E04E78">
      <w:pPr>
        <w:suppressAutoHyphens/>
        <w:spacing w:after="0"/>
        <w:jc w:val="left"/>
        <w:rPr>
          <w:rFonts w:ascii="Arial" w:eastAsia="Calibri" w:hAnsi="Arial" w:cs="Arial"/>
          <w:b/>
          <w:bCs/>
          <w:color w:val="000000"/>
          <w:sz w:val="28"/>
          <w:szCs w:val="28"/>
          <w:lang w:val="en-GB" w:eastAsia="ar-SA"/>
        </w:rPr>
      </w:pPr>
      <w:r w:rsidRPr="00E04E78">
        <w:rPr>
          <w:rFonts w:ascii="Arial" w:eastAsia="Calibri" w:hAnsi="Arial" w:cs="Arial"/>
          <w:b/>
          <w:bCs/>
          <w:color w:val="000000"/>
          <w:sz w:val="28"/>
          <w:szCs w:val="28"/>
          <w:lang w:val="en-GB" w:eastAsia="ar-SA"/>
        </w:rPr>
        <w:t xml:space="preserve">Lecturer- </w:t>
      </w:r>
      <w:r w:rsidR="00A931D2">
        <w:rPr>
          <w:rFonts w:ascii="Arial" w:eastAsia="Calibri" w:hAnsi="Arial" w:cs="Arial"/>
          <w:b/>
          <w:bCs/>
          <w:color w:val="000000"/>
          <w:sz w:val="28"/>
          <w:szCs w:val="28"/>
          <w:lang w:val="en-GB" w:eastAsia="ar-SA"/>
        </w:rPr>
        <w:t>Thomas Adeyemi</w:t>
      </w:r>
    </w:p>
    <w:p w14:paraId="1004C2C4" w14:textId="604AE464" w:rsidR="00AF3A5A" w:rsidRPr="007B5EE3" w:rsidRDefault="00AF3A5A" w:rsidP="00AF3A5A">
      <w:pPr>
        <w:jc w:val="left"/>
        <w:rPr>
          <w:rFonts w:ascii="Arial" w:eastAsia="Times New Roman" w:hAnsi="Arial" w:cs="Arial"/>
          <w:b/>
          <w:bCs/>
          <w:color w:val="000000" w:themeColor="text1"/>
          <w:szCs w:val="24"/>
        </w:rPr>
      </w:pPr>
      <w:r w:rsidRPr="007B5EE3">
        <w:rPr>
          <w:rFonts w:ascii="Arial" w:eastAsia="Times New Roman" w:hAnsi="Arial" w:cs="Arial"/>
          <w:b/>
          <w:bCs/>
          <w:color w:val="000000" w:themeColor="text1"/>
          <w:szCs w:val="24"/>
        </w:rPr>
        <w:t xml:space="preserve">Submission Date: </w:t>
      </w:r>
      <w:r w:rsidR="0015692D">
        <w:rPr>
          <w:rFonts w:ascii="Arial" w:eastAsia="Times New Roman" w:hAnsi="Arial" w:cs="Arial"/>
          <w:b/>
          <w:bCs/>
          <w:color w:val="000000" w:themeColor="text1"/>
          <w:szCs w:val="24"/>
        </w:rPr>
        <w:t>13</w:t>
      </w:r>
      <w:r w:rsidRPr="007B5EE3">
        <w:rPr>
          <w:rFonts w:ascii="Arial" w:eastAsia="Times New Roman" w:hAnsi="Arial" w:cs="Arial"/>
          <w:b/>
          <w:bCs/>
          <w:color w:val="000000" w:themeColor="text1"/>
          <w:szCs w:val="24"/>
        </w:rPr>
        <w:t>.01.2023</w:t>
      </w:r>
    </w:p>
    <w:p w14:paraId="3044EBAD" w14:textId="77777777" w:rsidR="00AF3A5A" w:rsidRPr="00E04E78" w:rsidRDefault="00AF3A5A" w:rsidP="00E04E78">
      <w:pPr>
        <w:suppressAutoHyphens/>
        <w:spacing w:after="0"/>
        <w:jc w:val="left"/>
        <w:rPr>
          <w:rFonts w:ascii="Arial" w:eastAsia="Calibri" w:hAnsi="Arial" w:cs="Arial"/>
          <w:b/>
          <w:bCs/>
          <w:color w:val="333333"/>
          <w:sz w:val="28"/>
          <w:szCs w:val="28"/>
          <w:shd w:val="clear" w:color="auto" w:fill="FFFFFF"/>
          <w:lang w:val="en-GB" w:eastAsia="ar-SA"/>
        </w:rPr>
      </w:pPr>
    </w:p>
    <w:p w14:paraId="33FFCE4E" w14:textId="77777777" w:rsidR="00E04E78" w:rsidRPr="00E04E78" w:rsidRDefault="00E04E78" w:rsidP="00E04E78">
      <w:pPr>
        <w:suppressAutoHyphens/>
        <w:spacing w:after="0"/>
        <w:jc w:val="left"/>
        <w:rPr>
          <w:rFonts w:ascii="Arial" w:eastAsia="Calibri" w:hAnsi="Arial" w:cs="Arial"/>
          <w:b/>
          <w:bCs/>
          <w:color w:val="000000"/>
          <w:sz w:val="28"/>
          <w:szCs w:val="28"/>
          <w:lang w:val="en-GB" w:eastAsia="ar-SA"/>
        </w:rPr>
      </w:pPr>
    </w:p>
    <w:p w14:paraId="1B48E4B0" w14:textId="77777777" w:rsidR="00371683" w:rsidRPr="007B5EE3" w:rsidRDefault="00371683" w:rsidP="007B5EE3">
      <w:pPr>
        <w:jc w:val="left"/>
        <w:rPr>
          <w:rFonts w:ascii="Arial" w:eastAsia="Times New Roman" w:hAnsi="Arial" w:cs="Arial"/>
          <w:b/>
          <w:bCs/>
          <w:color w:val="000000" w:themeColor="text1"/>
          <w:szCs w:val="24"/>
        </w:rPr>
      </w:pPr>
    </w:p>
    <w:p w14:paraId="5B7A829B" w14:textId="75E6F56A" w:rsidR="008F0F20" w:rsidRPr="007B5EE3" w:rsidRDefault="008F0F20" w:rsidP="007B5EE3">
      <w:pPr>
        <w:jc w:val="left"/>
        <w:rPr>
          <w:rFonts w:ascii="Arial" w:eastAsia="Times New Roman" w:hAnsi="Arial" w:cs="Arial"/>
          <w:b/>
          <w:bCs/>
          <w:color w:val="000000" w:themeColor="text1"/>
          <w:szCs w:val="24"/>
        </w:rPr>
      </w:pPr>
      <w:bookmarkStart w:id="0" w:name="_Hlk123766477"/>
    </w:p>
    <w:bookmarkEnd w:id="0"/>
    <w:p w14:paraId="3F18499A" w14:textId="77777777" w:rsidR="008F0F20" w:rsidRDefault="008F0F20" w:rsidP="00DA37E9">
      <w:pPr>
        <w:jc w:val="center"/>
        <w:rPr>
          <w:rFonts w:eastAsia="Arial" w:cs="Arial"/>
          <w:b/>
          <w:sz w:val="48"/>
          <w:szCs w:val="44"/>
        </w:rPr>
      </w:pPr>
    </w:p>
    <w:p w14:paraId="7066DEF1" w14:textId="77777777" w:rsidR="00DA37E9" w:rsidRDefault="00DA37E9" w:rsidP="00DA37E9">
      <w:pPr>
        <w:jc w:val="center"/>
        <w:rPr>
          <w:rFonts w:eastAsia="Arial" w:cs="Arial"/>
          <w:b/>
          <w:sz w:val="48"/>
          <w:szCs w:val="44"/>
        </w:rPr>
      </w:pPr>
    </w:p>
    <w:p w14:paraId="3583BFB5" w14:textId="77777777" w:rsidR="00DA37E9" w:rsidRDefault="00DA37E9" w:rsidP="00DA37E9">
      <w:pPr>
        <w:jc w:val="center"/>
        <w:rPr>
          <w:rFonts w:eastAsia="Arial" w:cs="Arial"/>
          <w:b/>
          <w:sz w:val="48"/>
          <w:szCs w:val="44"/>
        </w:rPr>
      </w:pPr>
    </w:p>
    <w:p w14:paraId="1A5E5BD9" w14:textId="77777777" w:rsidR="00DA37E9" w:rsidRDefault="00DA37E9" w:rsidP="00DA37E9">
      <w:pPr>
        <w:jc w:val="center"/>
        <w:rPr>
          <w:rFonts w:eastAsia="Arial" w:cs="Arial"/>
          <w:b/>
          <w:sz w:val="48"/>
          <w:szCs w:val="44"/>
        </w:rPr>
      </w:pPr>
    </w:p>
    <w:p w14:paraId="30F6462F" w14:textId="77777777" w:rsidR="00DA37E9" w:rsidRDefault="00DA37E9" w:rsidP="00DA37E9">
      <w:pPr>
        <w:jc w:val="center"/>
        <w:rPr>
          <w:rFonts w:eastAsia="Arial" w:cs="Arial"/>
          <w:b/>
          <w:sz w:val="48"/>
          <w:szCs w:val="44"/>
        </w:rPr>
      </w:pPr>
    </w:p>
    <w:p w14:paraId="72EF554F" w14:textId="77777777" w:rsidR="00DA37E9" w:rsidRDefault="00DA37E9" w:rsidP="00DA37E9">
      <w:pPr>
        <w:jc w:val="center"/>
        <w:rPr>
          <w:rFonts w:eastAsia="Arial" w:cs="Arial"/>
          <w:b/>
          <w:sz w:val="48"/>
          <w:szCs w:val="44"/>
        </w:rPr>
      </w:pPr>
    </w:p>
    <w:p w14:paraId="62A8A88A" w14:textId="77777777" w:rsidR="00DA37E9" w:rsidRDefault="00DA37E9" w:rsidP="00DA37E9">
      <w:pPr>
        <w:jc w:val="center"/>
        <w:rPr>
          <w:rFonts w:eastAsia="Arial" w:cs="Arial"/>
          <w:b/>
          <w:sz w:val="48"/>
          <w:szCs w:val="44"/>
        </w:rPr>
      </w:pPr>
    </w:p>
    <w:p w14:paraId="61C84905" w14:textId="30CA4452" w:rsidR="00DA37E9" w:rsidRPr="008F0F20" w:rsidRDefault="00DA37E9" w:rsidP="008F0F20">
      <w:pPr>
        <w:pStyle w:val="Heading1"/>
      </w:pPr>
      <w:r>
        <w:br w:type="page"/>
      </w:r>
    </w:p>
    <w:sdt>
      <w:sdtPr>
        <w:rPr>
          <w:rFonts w:ascii="Times New Roman" w:eastAsiaTheme="minorHAnsi" w:hAnsi="Times New Roman" w:cstheme="minorBidi"/>
          <w:color w:val="auto"/>
          <w:sz w:val="24"/>
          <w:szCs w:val="22"/>
        </w:rPr>
        <w:id w:val="908110459"/>
        <w:docPartObj>
          <w:docPartGallery w:val="Table of Contents"/>
          <w:docPartUnique/>
        </w:docPartObj>
      </w:sdtPr>
      <w:sdtEndPr>
        <w:rPr>
          <w:b/>
          <w:bCs/>
          <w:noProof/>
        </w:rPr>
      </w:sdtEndPr>
      <w:sdtContent>
        <w:p w14:paraId="62B00840" w14:textId="3B9A4496" w:rsidR="00DA37E9" w:rsidRDefault="00DA37E9">
          <w:pPr>
            <w:pStyle w:val="TOCHeading"/>
          </w:pPr>
          <w:r>
            <w:t>Contents</w:t>
          </w:r>
        </w:p>
        <w:p w14:paraId="791E600D" w14:textId="4DC3694D" w:rsidR="008F0F20" w:rsidRDefault="00DA37E9">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23723402" w:history="1">
            <w:r w:rsidR="008F0F20" w:rsidRPr="00BD51E8">
              <w:rPr>
                <w:rStyle w:val="Hyperlink"/>
                <w:noProof/>
              </w:rPr>
              <w:t>Introduction</w:t>
            </w:r>
            <w:r w:rsidR="008F0F20">
              <w:rPr>
                <w:noProof/>
                <w:webHidden/>
              </w:rPr>
              <w:tab/>
            </w:r>
            <w:r w:rsidR="008F0F20">
              <w:rPr>
                <w:noProof/>
                <w:webHidden/>
              </w:rPr>
              <w:fldChar w:fldCharType="begin"/>
            </w:r>
            <w:r w:rsidR="008F0F20">
              <w:rPr>
                <w:noProof/>
                <w:webHidden/>
              </w:rPr>
              <w:instrText xml:space="preserve"> PAGEREF _Toc123723402 \h </w:instrText>
            </w:r>
            <w:r w:rsidR="008F0F20">
              <w:rPr>
                <w:noProof/>
                <w:webHidden/>
              </w:rPr>
            </w:r>
            <w:r w:rsidR="008F0F20">
              <w:rPr>
                <w:noProof/>
                <w:webHidden/>
              </w:rPr>
              <w:fldChar w:fldCharType="separate"/>
            </w:r>
            <w:r w:rsidR="00C64672">
              <w:rPr>
                <w:noProof/>
                <w:webHidden/>
              </w:rPr>
              <w:t>3</w:t>
            </w:r>
            <w:r w:rsidR="008F0F20">
              <w:rPr>
                <w:noProof/>
                <w:webHidden/>
              </w:rPr>
              <w:fldChar w:fldCharType="end"/>
            </w:r>
          </w:hyperlink>
        </w:p>
        <w:p w14:paraId="1D57BB66" w14:textId="3D1694F1" w:rsidR="008F0F20" w:rsidRDefault="0015692D">
          <w:pPr>
            <w:pStyle w:val="TOC1"/>
            <w:tabs>
              <w:tab w:val="right" w:leader="dot" w:pos="9350"/>
            </w:tabs>
            <w:rPr>
              <w:rFonts w:asciiTheme="minorHAnsi" w:eastAsiaTheme="minorEastAsia" w:hAnsiTheme="minorHAnsi"/>
              <w:noProof/>
              <w:sz w:val="22"/>
              <w:lang w:val="en-GB" w:eastAsia="en-GB"/>
            </w:rPr>
          </w:pPr>
          <w:hyperlink w:anchor="_Toc123723403" w:history="1">
            <w:r w:rsidR="008F0F20" w:rsidRPr="00BD51E8">
              <w:rPr>
                <w:rStyle w:val="Hyperlink"/>
                <w:noProof/>
              </w:rPr>
              <w:t>Answer to Question no 1 (a)</w:t>
            </w:r>
            <w:r w:rsidR="008F0F20">
              <w:rPr>
                <w:noProof/>
                <w:webHidden/>
              </w:rPr>
              <w:tab/>
            </w:r>
            <w:r w:rsidR="008F0F20">
              <w:rPr>
                <w:noProof/>
                <w:webHidden/>
              </w:rPr>
              <w:fldChar w:fldCharType="begin"/>
            </w:r>
            <w:r w:rsidR="008F0F20">
              <w:rPr>
                <w:noProof/>
                <w:webHidden/>
              </w:rPr>
              <w:instrText xml:space="preserve"> PAGEREF _Toc123723403 \h </w:instrText>
            </w:r>
            <w:r w:rsidR="008F0F20">
              <w:rPr>
                <w:noProof/>
                <w:webHidden/>
              </w:rPr>
            </w:r>
            <w:r w:rsidR="008F0F20">
              <w:rPr>
                <w:noProof/>
                <w:webHidden/>
              </w:rPr>
              <w:fldChar w:fldCharType="separate"/>
            </w:r>
            <w:r w:rsidR="00C64672">
              <w:rPr>
                <w:noProof/>
                <w:webHidden/>
              </w:rPr>
              <w:t>3</w:t>
            </w:r>
            <w:r w:rsidR="008F0F20">
              <w:rPr>
                <w:noProof/>
                <w:webHidden/>
              </w:rPr>
              <w:fldChar w:fldCharType="end"/>
            </w:r>
          </w:hyperlink>
        </w:p>
        <w:p w14:paraId="49BD0874" w14:textId="4B68E136" w:rsidR="008F0F20" w:rsidRDefault="0015692D">
          <w:pPr>
            <w:pStyle w:val="TOC1"/>
            <w:tabs>
              <w:tab w:val="right" w:leader="dot" w:pos="9350"/>
            </w:tabs>
            <w:rPr>
              <w:rFonts w:asciiTheme="minorHAnsi" w:eastAsiaTheme="minorEastAsia" w:hAnsiTheme="minorHAnsi"/>
              <w:noProof/>
              <w:sz w:val="22"/>
              <w:lang w:val="en-GB" w:eastAsia="en-GB"/>
            </w:rPr>
          </w:pPr>
          <w:hyperlink w:anchor="_Toc123723404" w:history="1">
            <w:r w:rsidR="008F0F20" w:rsidRPr="00BD51E8">
              <w:rPr>
                <w:rStyle w:val="Hyperlink"/>
                <w:noProof/>
              </w:rPr>
              <w:t>Answer to Question no 1 (b)</w:t>
            </w:r>
            <w:r w:rsidR="008F0F20">
              <w:rPr>
                <w:noProof/>
                <w:webHidden/>
              </w:rPr>
              <w:tab/>
            </w:r>
            <w:r w:rsidR="008F0F20">
              <w:rPr>
                <w:noProof/>
                <w:webHidden/>
              </w:rPr>
              <w:fldChar w:fldCharType="begin"/>
            </w:r>
            <w:r w:rsidR="008F0F20">
              <w:rPr>
                <w:noProof/>
                <w:webHidden/>
              </w:rPr>
              <w:instrText xml:space="preserve"> PAGEREF _Toc123723404 \h </w:instrText>
            </w:r>
            <w:r w:rsidR="008F0F20">
              <w:rPr>
                <w:noProof/>
                <w:webHidden/>
              </w:rPr>
            </w:r>
            <w:r w:rsidR="008F0F20">
              <w:rPr>
                <w:noProof/>
                <w:webHidden/>
              </w:rPr>
              <w:fldChar w:fldCharType="separate"/>
            </w:r>
            <w:r w:rsidR="00C64672">
              <w:rPr>
                <w:noProof/>
                <w:webHidden/>
              </w:rPr>
              <w:t>5</w:t>
            </w:r>
            <w:r w:rsidR="008F0F20">
              <w:rPr>
                <w:noProof/>
                <w:webHidden/>
              </w:rPr>
              <w:fldChar w:fldCharType="end"/>
            </w:r>
          </w:hyperlink>
        </w:p>
        <w:p w14:paraId="73FA2028" w14:textId="10574BC8" w:rsidR="008F0F20" w:rsidRDefault="0015692D">
          <w:pPr>
            <w:pStyle w:val="TOC1"/>
            <w:tabs>
              <w:tab w:val="right" w:leader="dot" w:pos="9350"/>
            </w:tabs>
            <w:rPr>
              <w:rFonts w:asciiTheme="minorHAnsi" w:eastAsiaTheme="minorEastAsia" w:hAnsiTheme="minorHAnsi"/>
              <w:noProof/>
              <w:sz w:val="22"/>
              <w:lang w:val="en-GB" w:eastAsia="en-GB"/>
            </w:rPr>
          </w:pPr>
          <w:hyperlink w:anchor="_Toc123723405" w:history="1">
            <w:r w:rsidR="008F0F20" w:rsidRPr="00BD51E8">
              <w:rPr>
                <w:rStyle w:val="Hyperlink"/>
                <w:noProof/>
              </w:rPr>
              <w:t>Answer to Question no 2 (a)</w:t>
            </w:r>
            <w:r w:rsidR="008F0F20">
              <w:rPr>
                <w:noProof/>
                <w:webHidden/>
              </w:rPr>
              <w:tab/>
            </w:r>
            <w:r w:rsidR="008F0F20">
              <w:rPr>
                <w:noProof/>
                <w:webHidden/>
              </w:rPr>
              <w:fldChar w:fldCharType="begin"/>
            </w:r>
            <w:r w:rsidR="008F0F20">
              <w:rPr>
                <w:noProof/>
                <w:webHidden/>
              </w:rPr>
              <w:instrText xml:space="preserve"> PAGEREF _Toc123723405 \h </w:instrText>
            </w:r>
            <w:r w:rsidR="008F0F20">
              <w:rPr>
                <w:noProof/>
                <w:webHidden/>
              </w:rPr>
            </w:r>
            <w:r w:rsidR="008F0F20">
              <w:rPr>
                <w:noProof/>
                <w:webHidden/>
              </w:rPr>
              <w:fldChar w:fldCharType="separate"/>
            </w:r>
            <w:r w:rsidR="00C64672">
              <w:rPr>
                <w:noProof/>
                <w:webHidden/>
              </w:rPr>
              <w:t>6</w:t>
            </w:r>
            <w:r w:rsidR="008F0F20">
              <w:rPr>
                <w:noProof/>
                <w:webHidden/>
              </w:rPr>
              <w:fldChar w:fldCharType="end"/>
            </w:r>
          </w:hyperlink>
        </w:p>
        <w:p w14:paraId="5DB08C73" w14:textId="0CF1B2C8" w:rsidR="008F0F20" w:rsidRDefault="0015692D">
          <w:pPr>
            <w:pStyle w:val="TOC1"/>
            <w:tabs>
              <w:tab w:val="right" w:leader="dot" w:pos="9350"/>
            </w:tabs>
            <w:rPr>
              <w:rFonts w:asciiTheme="minorHAnsi" w:eastAsiaTheme="minorEastAsia" w:hAnsiTheme="minorHAnsi"/>
              <w:noProof/>
              <w:sz w:val="22"/>
              <w:lang w:val="en-GB" w:eastAsia="en-GB"/>
            </w:rPr>
          </w:pPr>
          <w:hyperlink w:anchor="_Toc123723406" w:history="1">
            <w:r w:rsidR="008F0F20" w:rsidRPr="00BD51E8">
              <w:rPr>
                <w:rStyle w:val="Hyperlink"/>
                <w:noProof/>
              </w:rPr>
              <w:t>Answer to Question no 2 (b)</w:t>
            </w:r>
            <w:r w:rsidR="008F0F20">
              <w:rPr>
                <w:noProof/>
                <w:webHidden/>
              </w:rPr>
              <w:tab/>
            </w:r>
            <w:r w:rsidR="008F0F20">
              <w:rPr>
                <w:noProof/>
                <w:webHidden/>
              </w:rPr>
              <w:fldChar w:fldCharType="begin"/>
            </w:r>
            <w:r w:rsidR="008F0F20">
              <w:rPr>
                <w:noProof/>
                <w:webHidden/>
              </w:rPr>
              <w:instrText xml:space="preserve"> PAGEREF _Toc123723406 \h </w:instrText>
            </w:r>
            <w:r w:rsidR="008F0F20">
              <w:rPr>
                <w:noProof/>
                <w:webHidden/>
              </w:rPr>
            </w:r>
            <w:r w:rsidR="008F0F20">
              <w:rPr>
                <w:noProof/>
                <w:webHidden/>
              </w:rPr>
              <w:fldChar w:fldCharType="separate"/>
            </w:r>
            <w:r w:rsidR="00C64672">
              <w:rPr>
                <w:noProof/>
                <w:webHidden/>
              </w:rPr>
              <w:t>16</w:t>
            </w:r>
            <w:r w:rsidR="008F0F20">
              <w:rPr>
                <w:noProof/>
                <w:webHidden/>
              </w:rPr>
              <w:fldChar w:fldCharType="end"/>
            </w:r>
          </w:hyperlink>
        </w:p>
        <w:p w14:paraId="59090399" w14:textId="3A3A53F9" w:rsidR="008F0F20" w:rsidRDefault="0015692D">
          <w:pPr>
            <w:pStyle w:val="TOC1"/>
            <w:tabs>
              <w:tab w:val="right" w:leader="dot" w:pos="9350"/>
            </w:tabs>
            <w:rPr>
              <w:rFonts w:asciiTheme="minorHAnsi" w:eastAsiaTheme="minorEastAsia" w:hAnsiTheme="minorHAnsi"/>
              <w:noProof/>
              <w:sz w:val="22"/>
              <w:lang w:val="en-GB" w:eastAsia="en-GB"/>
            </w:rPr>
          </w:pPr>
          <w:hyperlink w:anchor="_Toc123723407" w:history="1">
            <w:r w:rsidR="008F0F20" w:rsidRPr="00BD51E8">
              <w:rPr>
                <w:rStyle w:val="Hyperlink"/>
                <w:noProof/>
              </w:rPr>
              <w:t>Conclusion</w:t>
            </w:r>
            <w:r w:rsidR="008F0F20">
              <w:rPr>
                <w:noProof/>
                <w:webHidden/>
              </w:rPr>
              <w:tab/>
            </w:r>
            <w:r w:rsidR="008F0F20">
              <w:rPr>
                <w:noProof/>
                <w:webHidden/>
              </w:rPr>
              <w:fldChar w:fldCharType="begin"/>
            </w:r>
            <w:r w:rsidR="008F0F20">
              <w:rPr>
                <w:noProof/>
                <w:webHidden/>
              </w:rPr>
              <w:instrText xml:space="preserve"> PAGEREF _Toc123723407 \h </w:instrText>
            </w:r>
            <w:r w:rsidR="008F0F20">
              <w:rPr>
                <w:noProof/>
                <w:webHidden/>
              </w:rPr>
            </w:r>
            <w:r w:rsidR="008F0F20">
              <w:rPr>
                <w:noProof/>
                <w:webHidden/>
              </w:rPr>
              <w:fldChar w:fldCharType="separate"/>
            </w:r>
            <w:r w:rsidR="00C64672">
              <w:rPr>
                <w:noProof/>
                <w:webHidden/>
              </w:rPr>
              <w:t>17</w:t>
            </w:r>
            <w:r w:rsidR="008F0F20">
              <w:rPr>
                <w:noProof/>
                <w:webHidden/>
              </w:rPr>
              <w:fldChar w:fldCharType="end"/>
            </w:r>
          </w:hyperlink>
        </w:p>
        <w:p w14:paraId="49DBED08" w14:textId="24155179" w:rsidR="008F0F20" w:rsidRDefault="0015692D">
          <w:pPr>
            <w:pStyle w:val="TOC1"/>
            <w:tabs>
              <w:tab w:val="right" w:leader="dot" w:pos="9350"/>
            </w:tabs>
            <w:rPr>
              <w:rFonts w:asciiTheme="minorHAnsi" w:eastAsiaTheme="minorEastAsia" w:hAnsiTheme="minorHAnsi"/>
              <w:noProof/>
              <w:sz w:val="22"/>
              <w:lang w:val="en-GB" w:eastAsia="en-GB"/>
            </w:rPr>
          </w:pPr>
          <w:hyperlink w:anchor="_Toc123723408" w:history="1">
            <w:r w:rsidR="008F0F20" w:rsidRPr="00BD51E8">
              <w:rPr>
                <w:rStyle w:val="Hyperlink"/>
                <w:noProof/>
              </w:rPr>
              <w:t>References</w:t>
            </w:r>
            <w:r w:rsidR="008F0F20">
              <w:rPr>
                <w:noProof/>
                <w:webHidden/>
              </w:rPr>
              <w:tab/>
            </w:r>
            <w:r w:rsidR="008F0F20">
              <w:rPr>
                <w:noProof/>
                <w:webHidden/>
              </w:rPr>
              <w:fldChar w:fldCharType="begin"/>
            </w:r>
            <w:r w:rsidR="008F0F20">
              <w:rPr>
                <w:noProof/>
                <w:webHidden/>
              </w:rPr>
              <w:instrText xml:space="preserve"> PAGEREF _Toc123723408 \h </w:instrText>
            </w:r>
            <w:r w:rsidR="008F0F20">
              <w:rPr>
                <w:noProof/>
                <w:webHidden/>
              </w:rPr>
            </w:r>
            <w:r w:rsidR="008F0F20">
              <w:rPr>
                <w:noProof/>
                <w:webHidden/>
              </w:rPr>
              <w:fldChar w:fldCharType="separate"/>
            </w:r>
            <w:r w:rsidR="00C64672">
              <w:rPr>
                <w:noProof/>
                <w:webHidden/>
              </w:rPr>
              <w:t>18</w:t>
            </w:r>
            <w:r w:rsidR="008F0F20">
              <w:rPr>
                <w:noProof/>
                <w:webHidden/>
              </w:rPr>
              <w:fldChar w:fldCharType="end"/>
            </w:r>
          </w:hyperlink>
        </w:p>
        <w:p w14:paraId="16395E0A" w14:textId="15212DB1" w:rsidR="00DA37E9" w:rsidRDefault="00DA37E9">
          <w:r>
            <w:rPr>
              <w:b/>
              <w:bCs/>
              <w:noProof/>
            </w:rPr>
            <w:fldChar w:fldCharType="end"/>
          </w:r>
        </w:p>
      </w:sdtContent>
    </w:sdt>
    <w:p w14:paraId="04617EA4" w14:textId="77777777" w:rsidR="00DA37E9" w:rsidRDefault="00DA37E9">
      <w:pPr>
        <w:spacing w:line="259" w:lineRule="auto"/>
        <w:jc w:val="left"/>
        <w:rPr>
          <w:rFonts w:eastAsiaTheme="majorEastAsia" w:cstheme="majorBidi"/>
          <w:b/>
          <w:color w:val="000000" w:themeColor="text1"/>
          <w:sz w:val="32"/>
          <w:szCs w:val="32"/>
        </w:rPr>
      </w:pPr>
      <w:r>
        <w:br w:type="page"/>
      </w:r>
    </w:p>
    <w:p w14:paraId="5021FB6E" w14:textId="40E74C28" w:rsidR="00DA37E9" w:rsidRDefault="00DA37E9" w:rsidP="00A12B24">
      <w:pPr>
        <w:pStyle w:val="Heading1"/>
      </w:pPr>
      <w:bookmarkStart w:id="1" w:name="_Toc123723402"/>
      <w:r>
        <w:lastRenderedPageBreak/>
        <w:t>Introduction</w:t>
      </w:r>
      <w:bookmarkEnd w:id="1"/>
      <w:r>
        <w:t xml:space="preserve"> </w:t>
      </w:r>
    </w:p>
    <w:p w14:paraId="69A9755F" w14:textId="47E283A3" w:rsidR="00DA37E9" w:rsidRPr="00DA37E9" w:rsidRDefault="00DA37E9" w:rsidP="00DA37E9">
      <w:r w:rsidRPr="00DA37E9">
        <w:t>Proper accounting helps companies understand how day-to-day operations and economic fluctuations affect their finances. Accounting streamlines the process of preparing financial statements for organizations, ensuring all users have access to essential financial data. This article discusses how to create financial statements for a firm and the ratios used to assess its health and performance.</w:t>
      </w:r>
    </w:p>
    <w:p w14:paraId="3DB98F2C" w14:textId="59E8B985" w:rsidR="006925B4" w:rsidRDefault="00A12B24" w:rsidP="00A12B24">
      <w:pPr>
        <w:pStyle w:val="Heading1"/>
      </w:pPr>
      <w:bookmarkStart w:id="2" w:name="_Toc123723403"/>
      <w:r w:rsidRPr="00A12B24">
        <w:t>Answer to Question no 1 (a)</w:t>
      </w:r>
      <w:bookmarkEnd w:id="2"/>
    </w:p>
    <w:p w14:paraId="4DC11A41" w14:textId="2BE0116B" w:rsidR="00A12B24" w:rsidRPr="00A12B24" w:rsidRDefault="00A12B24" w:rsidP="00A12B24">
      <w:pPr>
        <w:jc w:val="center"/>
        <w:rPr>
          <w:b/>
          <w:bCs/>
        </w:rPr>
      </w:pPr>
      <w:r w:rsidRPr="00A12B24">
        <w:rPr>
          <w:b/>
          <w:bCs/>
        </w:rPr>
        <w:t xml:space="preserve">Income statement of </w:t>
      </w:r>
      <w:r w:rsidRPr="00A12B24">
        <w:rPr>
          <w:rFonts w:eastAsia="Times New Roman" w:cs="Times New Roman"/>
          <w:b/>
          <w:bCs/>
        </w:rPr>
        <w:t>to Wales plc for the year ended 31</w:t>
      </w:r>
      <w:r w:rsidRPr="00A12B24">
        <w:rPr>
          <w:rFonts w:eastAsia="Times New Roman" w:cs="Times New Roman"/>
          <w:b/>
          <w:bCs/>
          <w:vertAlign w:val="superscript"/>
        </w:rPr>
        <w:t>st</w:t>
      </w:r>
      <w:r w:rsidRPr="00A12B24">
        <w:rPr>
          <w:rFonts w:eastAsia="Times New Roman" w:cs="Times New Roman"/>
          <w:b/>
          <w:bCs/>
        </w:rPr>
        <w:t xml:space="preserve"> December 2021</w:t>
      </w:r>
    </w:p>
    <w:tbl>
      <w:tblPr>
        <w:tblStyle w:val="GridTable5Dark-Accent6"/>
        <w:tblW w:w="5495" w:type="pct"/>
        <w:tblLook w:val="04A0" w:firstRow="1" w:lastRow="0" w:firstColumn="1" w:lastColumn="0" w:noHBand="0" w:noVBand="1"/>
      </w:tblPr>
      <w:tblGrid>
        <w:gridCol w:w="5426"/>
        <w:gridCol w:w="1377"/>
        <w:gridCol w:w="1356"/>
        <w:gridCol w:w="2117"/>
      </w:tblGrid>
      <w:tr w:rsidR="00A12B24" w:rsidRPr="00E22F29" w14:paraId="487E6248" w14:textId="77777777" w:rsidTr="00A12B24">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0" w:type="pct"/>
            <w:noWrap/>
            <w:hideMark/>
          </w:tcPr>
          <w:p w14:paraId="35A0D3A5" w14:textId="77777777" w:rsidR="00A12B24" w:rsidRPr="00A12B24" w:rsidRDefault="00A12B24" w:rsidP="00A12B24">
            <w:pPr>
              <w:rPr>
                <w:b w:val="0"/>
                <w:bCs w:val="0"/>
              </w:rPr>
            </w:pPr>
            <w:r w:rsidRPr="00A12B24">
              <w:rPr>
                <w:b w:val="0"/>
                <w:bCs w:val="0"/>
              </w:rPr>
              <w:t>Particulars</w:t>
            </w:r>
          </w:p>
        </w:tc>
        <w:tc>
          <w:tcPr>
            <w:tcW w:w="670" w:type="pct"/>
            <w:noWrap/>
            <w:hideMark/>
          </w:tcPr>
          <w:p w14:paraId="75E42F3D" w14:textId="77777777" w:rsidR="00A12B24" w:rsidRPr="00A12B24" w:rsidRDefault="00A12B24" w:rsidP="00A12B24">
            <w:pPr>
              <w:cnfStyle w:val="100000000000" w:firstRow="1" w:lastRow="0" w:firstColumn="0" w:lastColumn="0" w:oddVBand="0" w:evenVBand="0" w:oddHBand="0" w:evenHBand="0" w:firstRowFirstColumn="0" w:firstRowLastColumn="0" w:lastRowFirstColumn="0" w:lastRowLastColumn="0"/>
              <w:rPr>
                <w:b w:val="0"/>
                <w:bCs w:val="0"/>
              </w:rPr>
            </w:pPr>
            <w:r w:rsidRPr="00A12B24">
              <w:rPr>
                <w:b w:val="0"/>
                <w:bCs w:val="0"/>
              </w:rPr>
              <w:t>Amount</w:t>
            </w:r>
          </w:p>
        </w:tc>
        <w:tc>
          <w:tcPr>
            <w:tcW w:w="659" w:type="pct"/>
            <w:noWrap/>
            <w:hideMark/>
          </w:tcPr>
          <w:p w14:paraId="4DF5303E" w14:textId="77777777" w:rsidR="00A12B24" w:rsidRPr="00A12B24" w:rsidRDefault="00A12B24" w:rsidP="00A12B24">
            <w:pPr>
              <w:cnfStyle w:val="100000000000" w:firstRow="1" w:lastRow="0" w:firstColumn="0" w:lastColumn="0" w:oddVBand="0" w:evenVBand="0" w:oddHBand="0" w:evenHBand="0" w:firstRowFirstColumn="0" w:firstRowLastColumn="0" w:lastRowFirstColumn="0" w:lastRowLastColumn="0"/>
              <w:rPr>
                <w:b w:val="0"/>
                <w:bCs w:val="0"/>
              </w:rPr>
            </w:pPr>
            <w:r w:rsidRPr="00A12B24">
              <w:rPr>
                <w:b w:val="0"/>
                <w:bCs w:val="0"/>
              </w:rPr>
              <w:t>Amount</w:t>
            </w:r>
          </w:p>
        </w:tc>
        <w:tc>
          <w:tcPr>
            <w:tcW w:w="1030" w:type="pct"/>
            <w:noWrap/>
            <w:hideMark/>
          </w:tcPr>
          <w:p w14:paraId="5248A8BE" w14:textId="77777777" w:rsidR="00A12B24" w:rsidRPr="00A12B24" w:rsidRDefault="00A12B24" w:rsidP="00A12B24">
            <w:pPr>
              <w:cnfStyle w:val="100000000000" w:firstRow="1" w:lastRow="0" w:firstColumn="0" w:lastColumn="0" w:oddVBand="0" w:evenVBand="0" w:oddHBand="0" w:evenHBand="0" w:firstRowFirstColumn="0" w:firstRowLastColumn="0" w:lastRowFirstColumn="0" w:lastRowLastColumn="0"/>
              <w:rPr>
                <w:b w:val="0"/>
                <w:bCs w:val="0"/>
              </w:rPr>
            </w:pPr>
            <w:r w:rsidRPr="00A12B24">
              <w:rPr>
                <w:b w:val="0"/>
                <w:bCs w:val="0"/>
              </w:rPr>
              <w:t>Amount</w:t>
            </w:r>
          </w:p>
        </w:tc>
      </w:tr>
      <w:tr w:rsidR="00A12B24" w:rsidRPr="00E22F29" w14:paraId="23D23F7E" w14:textId="77777777" w:rsidTr="00A12B24">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0" w:type="pct"/>
            <w:noWrap/>
            <w:hideMark/>
          </w:tcPr>
          <w:p w14:paraId="338D3528" w14:textId="77777777" w:rsidR="00A12B24" w:rsidRPr="00A12B24" w:rsidRDefault="00A12B24" w:rsidP="00A12B24">
            <w:pPr>
              <w:rPr>
                <w:b w:val="0"/>
                <w:bCs w:val="0"/>
              </w:rPr>
            </w:pPr>
            <w:r w:rsidRPr="00A12B24">
              <w:rPr>
                <w:b w:val="0"/>
                <w:bCs w:val="0"/>
              </w:rPr>
              <w:t xml:space="preserve">Sales </w:t>
            </w:r>
          </w:p>
        </w:tc>
        <w:tc>
          <w:tcPr>
            <w:tcW w:w="670" w:type="pct"/>
            <w:noWrap/>
            <w:hideMark/>
          </w:tcPr>
          <w:p w14:paraId="4B3D0092"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r w:rsidRPr="00A12B24">
              <w:rPr>
                <w:b/>
                <w:bCs/>
              </w:rPr>
              <w:t>£800,000</w:t>
            </w:r>
          </w:p>
        </w:tc>
        <w:tc>
          <w:tcPr>
            <w:tcW w:w="659" w:type="pct"/>
            <w:noWrap/>
            <w:hideMark/>
          </w:tcPr>
          <w:p w14:paraId="7E4BADFD"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p>
        </w:tc>
        <w:tc>
          <w:tcPr>
            <w:tcW w:w="1030" w:type="pct"/>
            <w:noWrap/>
            <w:hideMark/>
          </w:tcPr>
          <w:p w14:paraId="385EB1A8"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r>
      <w:tr w:rsidR="00A12B24" w:rsidRPr="00E22F29" w14:paraId="30965384" w14:textId="77777777" w:rsidTr="00A12B24">
        <w:trPr>
          <w:trHeight w:val="329"/>
        </w:trPr>
        <w:tc>
          <w:tcPr>
            <w:cnfStyle w:val="001000000000" w:firstRow="0" w:lastRow="0" w:firstColumn="1" w:lastColumn="0" w:oddVBand="0" w:evenVBand="0" w:oddHBand="0" w:evenHBand="0" w:firstRowFirstColumn="0" w:firstRowLastColumn="0" w:lastRowFirstColumn="0" w:lastRowLastColumn="0"/>
            <w:tcW w:w="2640" w:type="pct"/>
            <w:noWrap/>
            <w:hideMark/>
          </w:tcPr>
          <w:p w14:paraId="53DA86DC" w14:textId="77777777" w:rsidR="00A12B24" w:rsidRPr="00A12B24" w:rsidRDefault="00A12B24" w:rsidP="00A12B24">
            <w:pPr>
              <w:rPr>
                <w:b w:val="0"/>
                <w:bCs w:val="0"/>
              </w:rPr>
            </w:pPr>
            <w:r w:rsidRPr="00A12B24">
              <w:rPr>
                <w:b w:val="0"/>
                <w:bCs w:val="0"/>
              </w:rPr>
              <w:t>Add: Credit sales</w:t>
            </w:r>
          </w:p>
        </w:tc>
        <w:tc>
          <w:tcPr>
            <w:tcW w:w="670" w:type="pct"/>
            <w:noWrap/>
            <w:hideMark/>
          </w:tcPr>
          <w:p w14:paraId="017487B5"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r w:rsidRPr="00A12B24">
              <w:rPr>
                <w:b/>
                <w:bCs/>
              </w:rPr>
              <w:t>£980</w:t>
            </w:r>
          </w:p>
        </w:tc>
        <w:tc>
          <w:tcPr>
            <w:tcW w:w="659" w:type="pct"/>
            <w:noWrap/>
            <w:hideMark/>
          </w:tcPr>
          <w:p w14:paraId="6E86DFCD"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p>
        </w:tc>
        <w:tc>
          <w:tcPr>
            <w:tcW w:w="1030" w:type="pct"/>
            <w:noWrap/>
            <w:hideMark/>
          </w:tcPr>
          <w:p w14:paraId="4744AC64"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18484F22" w14:textId="77777777" w:rsidTr="00A12B24">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0" w:type="pct"/>
            <w:noWrap/>
            <w:hideMark/>
          </w:tcPr>
          <w:p w14:paraId="120ECAF8" w14:textId="77777777" w:rsidR="00A12B24" w:rsidRPr="00A12B24" w:rsidRDefault="00A12B24" w:rsidP="00A12B24">
            <w:pPr>
              <w:rPr>
                <w:b w:val="0"/>
                <w:bCs w:val="0"/>
              </w:rPr>
            </w:pPr>
            <w:r w:rsidRPr="00A12B24">
              <w:rPr>
                <w:b w:val="0"/>
                <w:bCs w:val="0"/>
              </w:rPr>
              <w:t>Net Sales Revenue</w:t>
            </w:r>
          </w:p>
        </w:tc>
        <w:tc>
          <w:tcPr>
            <w:tcW w:w="670" w:type="pct"/>
            <w:noWrap/>
            <w:hideMark/>
          </w:tcPr>
          <w:p w14:paraId="5C8D41AB"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p>
        </w:tc>
        <w:tc>
          <w:tcPr>
            <w:tcW w:w="659" w:type="pct"/>
            <w:noWrap/>
            <w:hideMark/>
          </w:tcPr>
          <w:p w14:paraId="321D1217"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r w:rsidRPr="00A12B24">
              <w:rPr>
                <w:b/>
                <w:bCs/>
              </w:rPr>
              <w:t>£800,980</w:t>
            </w:r>
          </w:p>
        </w:tc>
        <w:tc>
          <w:tcPr>
            <w:tcW w:w="1030" w:type="pct"/>
            <w:noWrap/>
            <w:hideMark/>
          </w:tcPr>
          <w:p w14:paraId="204BD573"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r>
      <w:tr w:rsidR="00A12B24" w:rsidRPr="00E22F29" w14:paraId="4270F174" w14:textId="77777777" w:rsidTr="00A12B24">
        <w:trPr>
          <w:trHeight w:val="329"/>
        </w:trPr>
        <w:tc>
          <w:tcPr>
            <w:cnfStyle w:val="001000000000" w:firstRow="0" w:lastRow="0" w:firstColumn="1" w:lastColumn="0" w:oddVBand="0" w:evenVBand="0" w:oddHBand="0" w:evenHBand="0" w:firstRowFirstColumn="0" w:firstRowLastColumn="0" w:lastRowFirstColumn="0" w:lastRowLastColumn="0"/>
            <w:tcW w:w="2640" w:type="pct"/>
            <w:noWrap/>
            <w:hideMark/>
          </w:tcPr>
          <w:p w14:paraId="2910813A" w14:textId="77777777" w:rsidR="00A12B24" w:rsidRPr="00A12B24" w:rsidRDefault="00A12B24" w:rsidP="00A12B24">
            <w:pPr>
              <w:rPr>
                <w:b w:val="0"/>
                <w:bCs w:val="0"/>
              </w:rPr>
            </w:pPr>
            <w:r w:rsidRPr="00A12B24">
              <w:rPr>
                <w:b w:val="0"/>
                <w:bCs w:val="0"/>
              </w:rPr>
              <w:t>Less: Cost of sales</w:t>
            </w:r>
          </w:p>
        </w:tc>
        <w:tc>
          <w:tcPr>
            <w:tcW w:w="670" w:type="pct"/>
            <w:noWrap/>
            <w:hideMark/>
          </w:tcPr>
          <w:p w14:paraId="793A588C"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p>
        </w:tc>
        <w:tc>
          <w:tcPr>
            <w:tcW w:w="659" w:type="pct"/>
            <w:noWrap/>
            <w:hideMark/>
          </w:tcPr>
          <w:p w14:paraId="4E63E1D4"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r w:rsidRPr="00A12B24">
              <w:rPr>
                <w:b/>
                <w:bCs/>
              </w:rPr>
              <w:t>£578,650</w:t>
            </w:r>
          </w:p>
        </w:tc>
        <w:tc>
          <w:tcPr>
            <w:tcW w:w="1030" w:type="pct"/>
            <w:noWrap/>
            <w:hideMark/>
          </w:tcPr>
          <w:p w14:paraId="68DB5C4D"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4696E9DB" w14:textId="77777777" w:rsidTr="00A12B24">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0" w:type="pct"/>
            <w:noWrap/>
            <w:hideMark/>
          </w:tcPr>
          <w:p w14:paraId="01EBD62C" w14:textId="77777777" w:rsidR="00A12B24" w:rsidRPr="00A12B24" w:rsidRDefault="00A12B24" w:rsidP="00A12B24">
            <w:pPr>
              <w:rPr>
                <w:b w:val="0"/>
                <w:bCs w:val="0"/>
              </w:rPr>
            </w:pPr>
            <w:r w:rsidRPr="00A12B24">
              <w:rPr>
                <w:b w:val="0"/>
                <w:bCs w:val="0"/>
              </w:rPr>
              <w:t>Gross Profit</w:t>
            </w:r>
          </w:p>
        </w:tc>
        <w:tc>
          <w:tcPr>
            <w:tcW w:w="670" w:type="pct"/>
            <w:noWrap/>
            <w:hideMark/>
          </w:tcPr>
          <w:p w14:paraId="4F840018"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p>
        </w:tc>
        <w:tc>
          <w:tcPr>
            <w:tcW w:w="659" w:type="pct"/>
            <w:noWrap/>
            <w:hideMark/>
          </w:tcPr>
          <w:p w14:paraId="160475B6"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p>
        </w:tc>
        <w:tc>
          <w:tcPr>
            <w:tcW w:w="1030" w:type="pct"/>
            <w:noWrap/>
            <w:hideMark/>
          </w:tcPr>
          <w:p w14:paraId="44247B31"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rPr>
                <w:u w:val="single"/>
              </w:rPr>
            </w:pPr>
            <w:r w:rsidRPr="00E22F29">
              <w:rPr>
                <w:u w:val="single"/>
              </w:rPr>
              <w:t>£222,330</w:t>
            </w:r>
          </w:p>
        </w:tc>
      </w:tr>
      <w:tr w:rsidR="00A12B24" w:rsidRPr="00E22F29" w14:paraId="209F6233" w14:textId="77777777" w:rsidTr="00A12B24">
        <w:trPr>
          <w:trHeight w:val="314"/>
        </w:trPr>
        <w:tc>
          <w:tcPr>
            <w:cnfStyle w:val="001000000000" w:firstRow="0" w:lastRow="0" w:firstColumn="1" w:lastColumn="0" w:oddVBand="0" w:evenVBand="0" w:oddHBand="0" w:evenHBand="0" w:firstRowFirstColumn="0" w:firstRowLastColumn="0" w:lastRowFirstColumn="0" w:lastRowLastColumn="0"/>
            <w:tcW w:w="2640" w:type="pct"/>
            <w:noWrap/>
            <w:hideMark/>
          </w:tcPr>
          <w:p w14:paraId="26965558" w14:textId="77777777" w:rsidR="00A12B24" w:rsidRPr="00A12B24" w:rsidRDefault="00A12B24" w:rsidP="00A12B24">
            <w:pPr>
              <w:rPr>
                <w:b w:val="0"/>
                <w:bCs w:val="0"/>
              </w:rPr>
            </w:pPr>
            <w:r w:rsidRPr="00A12B24">
              <w:rPr>
                <w:b w:val="0"/>
                <w:bCs w:val="0"/>
              </w:rPr>
              <w:t>Less: Operating Expenses</w:t>
            </w:r>
          </w:p>
        </w:tc>
        <w:tc>
          <w:tcPr>
            <w:tcW w:w="670" w:type="pct"/>
            <w:noWrap/>
            <w:hideMark/>
          </w:tcPr>
          <w:p w14:paraId="7054E230"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p>
        </w:tc>
        <w:tc>
          <w:tcPr>
            <w:tcW w:w="659" w:type="pct"/>
            <w:noWrap/>
            <w:hideMark/>
          </w:tcPr>
          <w:p w14:paraId="037647BF"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p>
        </w:tc>
        <w:tc>
          <w:tcPr>
            <w:tcW w:w="1030" w:type="pct"/>
            <w:noWrap/>
            <w:hideMark/>
          </w:tcPr>
          <w:p w14:paraId="6BAB2B0C"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03234CC1" w14:textId="77777777" w:rsidTr="00A12B24">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0" w:type="pct"/>
            <w:noWrap/>
            <w:hideMark/>
          </w:tcPr>
          <w:p w14:paraId="1D86F54D" w14:textId="77777777" w:rsidR="00A12B24" w:rsidRPr="00A12B24" w:rsidRDefault="00A12B24" w:rsidP="00A12B24">
            <w:pPr>
              <w:rPr>
                <w:b w:val="0"/>
                <w:bCs w:val="0"/>
              </w:rPr>
            </w:pPr>
            <w:r w:rsidRPr="00A12B24">
              <w:rPr>
                <w:b w:val="0"/>
                <w:bCs w:val="0"/>
              </w:rPr>
              <w:t xml:space="preserve"> Administrative expenses</w:t>
            </w:r>
          </w:p>
        </w:tc>
        <w:tc>
          <w:tcPr>
            <w:tcW w:w="670" w:type="pct"/>
            <w:noWrap/>
            <w:hideMark/>
          </w:tcPr>
          <w:p w14:paraId="5D7D5C58"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p>
        </w:tc>
        <w:tc>
          <w:tcPr>
            <w:tcW w:w="659" w:type="pct"/>
            <w:noWrap/>
            <w:hideMark/>
          </w:tcPr>
          <w:p w14:paraId="2D4C7FDA"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r w:rsidRPr="00A12B24">
              <w:rPr>
                <w:b/>
                <w:bCs/>
              </w:rPr>
              <w:t>£30,000</w:t>
            </w:r>
          </w:p>
        </w:tc>
        <w:tc>
          <w:tcPr>
            <w:tcW w:w="1030" w:type="pct"/>
            <w:noWrap/>
            <w:hideMark/>
          </w:tcPr>
          <w:p w14:paraId="6AD1868A"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r>
      <w:tr w:rsidR="00A12B24" w:rsidRPr="00E22F29" w14:paraId="359D79C7" w14:textId="77777777" w:rsidTr="00A12B24">
        <w:trPr>
          <w:trHeight w:val="314"/>
        </w:trPr>
        <w:tc>
          <w:tcPr>
            <w:cnfStyle w:val="001000000000" w:firstRow="0" w:lastRow="0" w:firstColumn="1" w:lastColumn="0" w:oddVBand="0" w:evenVBand="0" w:oddHBand="0" w:evenHBand="0" w:firstRowFirstColumn="0" w:firstRowLastColumn="0" w:lastRowFirstColumn="0" w:lastRowLastColumn="0"/>
            <w:tcW w:w="2640" w:type="pct"/>
            <w:noWrap/>
            <w:hideMark/>
          </w:tcPr>
          <w:p w14:paraId="7C443BE3" w14:textId="77777777" w:rsidR="00A12B24" w:rsidRPr="00A12B24" w:rsidRDefault="00A12B24" w:rsidP="00A12B24">
            <w:pPr>
              <w:rPr>
                <w:b w:val="0"/>
                <w:bCs w:val="0"/>
              </w:rPr>
            </w:pPr>
            <w:r w:rsidRPr="00A12B24">
              <w:rPr>
                <w:b w:val="0"/>
                <w:bCs w:val="0"/>
              </w:rPr>
              <w:t xml:space="preserve">  Directors’ remuneration</w:t>
            </w:r>
          </w:p>
        </w:tc>
        <w:tc>
          <w:tcPr>
            <w:tcW w:w="670" w:type="pct"/>
            <w:noWrap/>
            <w:hideMark/>
          </w:tcPr>
          <w:p w14:paraId="60BA6103"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p>
        </w:tc>
        <w:tc>
          <w:tcPr>
            <w:tcW w:w="659" w:type="pct"/>
            <w:noWrap/>
            <w:hideMark/>
          </w:tcPr>
          <w:p w14:paraId="69289012"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r w:rsidRPr="00A12B24">
              <w:rPr>
                <w:b/>
                <w:bCs/>
              </w:rPr>
              <w:t>£5,000</w:t>
            </w:r>
          </w:p>
        </w:tc>
        <w:tc>
          <w:tcPr>
            <w:tcW w:w="1030" w:type="pct"/>
            <w:noWrap/>
            <w:hideMark/>
          </w:tcPr>
          <w:p w14:paraId="542BF687"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0B229D63" w14:textId="77777777" w:rsidTr="00A12B24">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0" w:type="pct"/>
            <w:noWrap/>
            <w:hideMark/>
          </w:tcPr>
          <w:p w14:paraId="75558DDF" w14:textId="77777777" w:rsidR="00A12B24" w:rsidRPr="00A12B24" w:rsidRDefault="00A12B24" w:rsidP="00A12B24">
            <w:pPr>
              <w:rPr>
                <w:b w:val="0"/>
                <w:bCs w:val="0"/>
              </w:rPr>
            </w:pPr>
            <w:r w:rsidRPr="00A12B24">
              <w:rPr>
                <w:b w:val="0"/>
                <w:bCs w:val="0"/>
              </w:rPr>
              <w:t xml:space="preserve">  Distribution costs</w:t>
            </w:r>
          </w:p>
        </w:tc>
        <w:tc>
          <w:tcPr>
            <w:tcW w:w="670" w:type="pct"/>
            <w:noWrap/>
            <w:hideMark/>
          </w:tcPr>
          <w:p w14:paraId="6E30A842"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p>
        </w:tc>
        <w:tc>
          <w:tcPr>
            <w:tcW w:w="659" w:type="pct"/>
            <w:noWrap/>
            <w:hideMark/>
          </w:tcPr>
          <w:p w14:paraId="5BB3DCBE"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r w:rsidRPr="00A12B24">
              <w:rPr>
                <w:b/>
                <w:bCs/>
              </w:rPr>
              <w:t>£28,000</w:t>
            </w:r>
          </w:p>
        </w:tc>
        <w:tc>
          <w:tcPr>
            <w:tcW w:w="1030" w:type="pct"/>
            <w:noWrap/>
            <w:hideMark/>
          </w:tcPr>
          <w:p w14:paraId="1E284D1A"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r>
      <w:tr w:rsidR="00A12B24" w:rsidRPr="00E22F29" w14:paraId="6F0F390B" w14:textId="77777777" w:rsidTr="00A12B24">
        <w:trPr>
          <w:trHeight w:val="329"/>
        </w:trPr>
        <w:tc>
          <w:tcPr>
            <w:cnfStyle w:val="001000000000" w:firstRow="0" w:lastRow="0" w:firstColumn="1" w:lastColumn="0" w:oddVBand="0" w:evenVBand="0" w:oddHBand="0" w:evenHBand="0" w:firstRowFirstColumn="0" w:firstRowLastColumn="0" w:lastRowFirstColumn="0" w:lastRowLastColumn="0"/>
            <w:tcW w:w="2640" w:type="pct"/>
            <w:noWrap/>
            <w:hideMark/>
          </w:tcPr>
          <w:p w14:paraId="49FCA89E" w14:textId="77777777" w:rsidR="00A12B24" w:rsidRPr="00A12B24" w:rsidRDefault="00A12B24" w:rsidP="00A12B24">
            <w:pPr>
              <w:rPr>
                <w:b w:val="0"/>
                <w:bCs w:val="0"/>
              </w:rPr>
            </w:pPr>
            <w:r w:rsidRPr="00A12B24">
              <w:rPr>
                <w:b w:val="0"/>
                <w:bCs w:val="0"/>
              </w:rPr>
              <w:t xml:space="preserve">  Commission expense </w:t>
            </w:r>
          </w:p>
        </w:tc>
        <w:tc>
          <w:tcPr>
            <w:tcW w:w="670" w:type="pct"/>
            <w:noWrap/>
            <w:hideMark/>
          </w:tcPr>
          <w:p w14:paraId="7CDDA470"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p>
        </w:tc>
        <w:tc>
          <w:tcPr>
            <w:tcW w:w="659" w:type="pct"/>
            <w:noWrap/>
            <w:hideMark/>
          </w:tcPr>
          <w:p w14:paraId="5DFA643B"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r w:rsidRPr="00A12B24">
              <w:rPr>
                <w:b/>
                <w:bCs/>
              </w:rPr>
              <w:t>£3,000</w:t>
            </w:r>
          </w:p>
        </w:tc>
        <w:tc>
          <w:tcPr>
            <w:tcW w:w="1030" w:type="pct"/>
            <w:noWrap/>
            <w:hideMark/>
          </w:tcPr>
          <w:p w14:paraId="69E41BE6"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02856B02" w14:textId="77777777" w:rsidTr="00A12B24">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2640" w:type="pct"/>
            <w:noWrap/>
            <w:hideMark/>
          </w:tcPr>
          <w:p w14:paraId="360C49D1" w14:textId="77777777" w:rsidR="00A12B24" w:rsidRPr="00A12B24" w:rsidRDefault="00A12B24" w:rsidP="00A12B24">
            <w:pPr>
              <w:rPr>
                <w:b w:val="0"/>
                <w:bCs w:val="0"/>
              </w:rPr>
            </w:pPr>
            <w:r w:rsidRPr="00A12B24">
              <w:rPr>
                <w:b w:val="0"/>
                <w:bCs w:val="0"/>
              </w:rPr>
              <w:t>Total Operating Expenses</w:t>
            </w:r>
          </w:p>
        </w:tc>
        <w:tc>
          <w:tcPr>
            <w:tcW w:w="670" w:type="pct"/>
            <w:noWrap/>
            <w:hideMark/>
          </w:tcPr>
          <w:p w14:paraId="1078A348"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p>
        </w:tc>
        <w:tc>
          <w:tcPr>
            <w:tcW w:w="659" w:type="pct"/>
            <w:noWrap/>
            <w:hideMark/>
          </w:tcPr>
          <w:p w14:paraId="7F1CB826"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p>
        </w:tc>
        <w:tc>
          <w:tcPr>
            <w:tcW w:w="1030" w:type="pct"/>
            <w:noWrap/>
            <w:hideMark/>
          </w:tcPr>
          <w:p w14:paraId="0BD19673"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r w:rsidRPr="00E22F29">
              <w:t>£66,000</w:t>
            </w:r>
          </w:p>
        </w:tc>
      </w:tr>
      <w:tr w:rsidR="00A12B24" w:rsidRPr="00E22F29" w14:paraId="34C0FB6C" w14:textId="77777777" w:rsidTr="00A12B24">
        <w:trPr>
          <w:trHeight w:val="314"/>
        </w:trPr>
        <w:tc>
          <w:tcPr>
            <w:cnfStyle w:val="001000000000" w:firstRow="0" w:lastRow="0" w:firstColumn="1" w:lastColumn="0" w:oddVBand="0" w:evenVBand="0" w:oddHBand="0" w:evenHBand="0" w:firstRowFirstColumn="0" w:firstRowLastColumn="0" w:lastRowFirstColumn="0" w:lastRowLastColumn="0"/>
            <w:tcW w:w="2640" w:type="pct"/>
            <w:noWrap/>
            <w:hideMark/>
          </w:tcPr>
          <w:p w14:paraId="5366EC2A" w14:textId="77777777" w:rsidR="00A12B24" w:rsidRPr="00A12B24" w:rsidRDefault="00A12B24" w:rsidP="00A12B24">
            <w:pPr>
              <w:rPr>
                <w:b w:val="0"/>
                <w:bCs w:val="0"/>
              </w:rPr>
            </w:pPr>
            <w:r w:rsidRPr="00A12B24">
              <w:rPr>
                <w:b w:val="0"/>
                <w:bCs w:val="0"/>
              </w:rPr>
              <w:t>Operating Profit</w:t>
            </w:r>
          </w:p>
        </w:tc>
        <w:tc>
          <w:tcPr>
            <w:tcW w:w="670" w:type="pct"/>
            <w:noWrap/>
            <w:hideMark/>
          </w:tcPr>
          <w:p w14:paraId="2E7EE931"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p>
        </w:tc>
        <w:tc>
          <w:tcPr>
            <w:tcW w:w="659" w:type="pct"/>
            <w:noWrap/>
            <w:hideMark/>
          </w:tcPr>
          <w:p w14:paraId="55C4D6CA"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p>
        </w:tc>
        <w:tc>
          <w:tcPr>
            <w:tcW w:w="1030" w:type="pct"/>
            <w:noWrap/>
            <w:hideMark/>
          </w:tcPr>
          <w:p w14:paraId="7B70E2FD"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rPr>
                <w:u w:val="single"/>
              </w:rPr>
            </w:pPr>
            <w:r w:rsidRPr="00E22F29">
              <w:rPr>
                <w:u w:val="single"/>
              </w:rPr>
              <w:t>£156,330</w:t>
            </w:r>
          </w:p>
        </w:tc>
      </w:tr>
      <w:tr w:rsidR="00A12B24" w:rsidRPr="00E22F29" w14:paraId="541575F2" w14:textId="77777777" w:rsidTr="00A12B24">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640" w:type="pct"/>
            <w:noWrap/>
            <w:hideMark/>
          </w:tcPr>
          <w:p w14:paraId="6A7A2D48" w14:textId="77777777" w:rsidR="00A12B24" w:rsidRPr="00A12B24" w:rsidRDefault="00A12B24" w:rsidP="00A12B24">
            <w:pPr>
              <w:rPr>
                <w:b w:val="0"/>
                <w:bCs w:val="0"/>
              </w:rPr>
            </w:pPr>
            <w:r w:rsidRPr="00A12B24">
              <w:rPr>
                <w:b w:val="0"/>
                <w:bCs w:val="0"/>
              </w:rPr>
              <w:t>Less: Non-operating expenses</w:t>
            </w:r>
          </w:p>
        </w:tc>
        <w:tc>
          <w:tcPr>
            <w:tcW w:w="670" w:type="pct"/>
            <w:noWrap/>
            <w:hideMark/>
          </w:tcPr>
          <w:p w14:paraId="6C281532"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p>
        </w:tc>
        <w:tc>
          <w:tcPr>
            <w:tcW w:w="659" w:type="pct"/>
            <w:noWrap/>
            <w:hideMark/>
          </w:tcPr>
          <w:p w14:paraId="58C20A89"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p>
        </w:tc>
        <w:tc>
          <w:tcPr>
            <w:tcW w:w="1030" w:type="pct"/>
            <w:noWrap/>
            <w:hideMark/>
          </w:tcPr>
          <w:p w14:paraId="271B0EDA"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r>
      <w:tr w:rsidR="00A12B24" w:rsidRPr="00E22F29" w14:paraId="3E9C9985" w14:textId="77777777" w:rsidTr="00A12B24">
        <w:trPr>
          <w:trHeight w:val="329"/>
        </w:trPr>
        <w:tc>
          <w:tcPr>
            <w:cnfStyle w:val="001000000000" w:firstRow="0" w:lastRow="0" w:firstColumn="1" w:lastColumn="0" w:oddVBand="0" w:evenVBand="0" w:oddHBand="0" w:evenHBand="0" w:firstRowFirstColumn="0" w:firstRowLastColumn="0" w:lastRowFirstColumn="0" w:lastRowLastColumn="0"/>
            <w:tcW w:w="2640" w:type="pct"/>
            <w:noWrap/>
          </w:tcPr>
          <w:p w14:paraId="565A99F5" w14:textId="77777777" w:rsidR="00A12B24" w:rsidRPr="00A12B24" w:rsidRDefault="00A12B24" w:rsidP="00A12B24">
            <w:pPr>
              <w:rPr>
                <w:b w:val="0"/>
                <w:bCs w:val="0"/>
              </w:rPr>
            </w:pPr>
            <w:r w:rsidRPr="00A12B24">
              <w:rPr>
                <w:b w:val="0"/>
                <w:bCs w:val="0"/>
              </w:rPr>
              <w:t xml:space="preserve">    Interest Expense</w:t>
            </w:r>
          </w:p>
        </w:tc>
        <w:tc>
          <w:tcPr>
            <w:tcW w:w="670" w:type="pct"/>
            <w:noWrap/>
          </w:tcPr>
          <w:p w14:paraId="6CD12C0F"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p>
        </w:tc>
        <w:tc>
          <w:tcPr>
            <w:tcW w:w="659" w:type="pct"/>
            <w:noWrap/>
          </w:tcPr>
          <w:p w14:paraId="2F943668"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r w:rsidRPr="00A12B24">
              <w:rPr>
                <w:b/>
                <w:bCs/>
              </w:rPr>
              <w:t>£2,000</w:t>
            </w:r>
          </w:p>
        </w:tc>
        <w:tc>
          <w:tcPr>
            <w:tcW w:w="1030" w:type="pct"/>
            <w:noWrap/>
          </w:tcPr>
          <w:p w14:paraId="63F81077"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06CD12A5" w14:textId="77777777" w:rsidTr="00A12B24">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2640" w:type="pct"/>
            <w:noWrap/>
          </w:tcPr>
          <w:p w14:paraId="18BA5990" w14:textId="77777777" w:rsidR="00A12B24" w:rsidRPr="00A12B24" w:rsidRDefault="00A12B24" w:rsidP="00A12B24">
            <w:pPr>
              <w:rPr>
                <w:b w:val="0"/>
                <w:bCs w:val="0"/>
              </w:rPr>
            </w:pPr>
            <w:r w:rsidRPr="00A12B24">
              <w:rPr>
                <w:b w:val="0"/>
                <w:bCs w:val="0"/>
              </w:rPr>
              <w:t xml:space="preserve">    Add: accrued [(£200,000*4%)-£2,000] </w:t>
            </w:r>
          </w:p>
        </w:tc>
        <w:tc>
          <w:tcPr>
            <w:tcW w:w="670" w:type="pct"/>
            <w:noWrap/>
          </w:tcPr>
          <w:p w14:paraId="400A9F69"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p>
        </w:tc>
        <w:tc>
          <w:tcPr>
            <w:tcW w:w="659" w:type="pct"/>
            <w:noWrap/>
          </w:tcPr>
          <w:p w14:paraId="72925E87"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r w:rsidRPr="00A12B24">
              <w:rPr>
                <w:b/>
                <w:bCs/>
              </w:rPr>
              <w:t>£6,000</w:t>
            </w:r>
          </w:p>
        </w:tc>
        <w:tc>
          <w:tcPr>
            <w:tcW w:w="1030" w:type="pct"/>
            <w:noWrap/>
            <w:hideMark/>
          </w:tcPr>
          <w:p w14:paraId="744143A5"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r w:rsidRPr="00E22F29">
              <w:t>£8,000</w:t>
            </w:r>
          </w:p>
        </w:tc>
      </w:tr>
      <w:tr w:rsidR="00A12B24" w:rsidRPr="00E22F29" w14:paraId="7C9011C1" w14:textId="77777777" w:rsidTr="00A12B24">
        <w:trPr>
          <w:trHeight w:val="314"/>
        </w:trPr>
        <w:tc>
          <w:tcPr>
            <w:cnfStyle w:val="001000000000" w:firstRow="0" w:lastRow="0" w:firstColumn="1" w:lastColumn="0" w:oddVBand="0" w:evenVBand="0" w:oddHBand="0" w:evenHBand="0" w:firstRowFirstColumn="0" w:firstRowLastColumn="0" w:lastRowFirstColumn="0" w:lastRowLastColumn="0"/>
            <w:tcW w:w="2640" w:type="pct"/>
            <w:noWrap/>
            <w:hideMark/>
          </w:tcPr>
          <w:p w14:paraId="0451079B" w14:textId="77777777" w:rsidR="00A12B24" w:rsidRPr="00A12B24" w:rsidRDefault="00A12B24" w:rsidP="00A12B24">
            <w:pPr>
              <w:rPr>
                <w:b w:val="0"/>
                <w:bCs w:val="0"/>
              </w:rPr>
            </w:pPr>
            <w:r w:rsidRPr="00A12B24">
              <w:rPr>
                <w:b w:val="0"/>
                <w:bCs w:val="0"/>
              </w:rPr>
              <w:t>Profit Before Taxation</w:t>
            </w:r>
          </w:p>
        </w:tc>
        <w:tc>
          <w:tcPr>
            <w:tcW w:w="670" w:type="pct"/>
            <w:noWrap/>
            <w:hideMark/>
          </w:tcPr>
          <w:p w14:paraId="339D799C"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p>
        </w:tc>
        <w:tc>
          <w:tcPr>
            <w:tcW w:w="659" w:type="pct"/>
            <w:noWrap/>
            <w:hideMark/>
          </w:tcPr>
          <w:p w14:paraId="3B4F2745"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p>
        </w:tc>
        <w:tc>
          <w:tcPr>
            <w:tcW w:w="1030" w:type="pct"/>
            <w:noWrap/>
            <w:hideMark/>
          </w:tcPr>
          <w:p w14:paraId="66A2547C"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rPr>
                <w:u w:val="single"/>
              </w:rPr>
            </w:pPr>
            <w:r w:rsidRPr="00E22F29">
              <w:rPr>
                <w:u w:val="single"/>
              </w:rPr>
              <w:t>£148,330</w:t>
            </w:r>
          </w:p>
        </w:tc>
      </w:tr>
      <w:tr w:rsidR="00A12B24" w:rsidRPr="00E22F29" w14:paraId="2974D305" w14:textId="77777777" w:rsidTr="00A12B24">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2640" w:type="pct"/>
            <w:noWrap/>
            <w:hideMark/>
          </w:tcPr>
          <w:p w14:paraId="3E060ADB" w14:textId="77777777" w:rsidR="00A12B24" w:rsidRPr="00A12B24" w:rsidRDefault="00A12B24" w:rsidP="00A12B24">
            <w:pPr>
              <w:rPr>
                <w:b w:val="0"/>
                <w:bCs w:val="0"/>
              </w:rPr>
            </w:pPr>
            <w:r w:rsidRPr="00A12B24">
              <w:rPr>
                <w:b w:val="0"/>
                <w:bCs w:val="0"/>
              </w:rPr>
              <w:t>Less: Tax expense for the year</w:t>
            </w:r>
          </w:p>
        </w:tc>
        <w:tc>
          <w:tcPr>
            <w:tcW w:w="670" w:type="pct"/>
            <w:noWrap/>
            <w:hideMark/>
          </w:tcPr>
          <w:p w14:paraId="08DB4336"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p>
        </w:tc>
        <w:tc>
          <w:tcPr>
            <w:tcW w:w="659" w:type="pct"/>
            <w:noWrap/>
            <w:hideMark/>
          </w:tcPr>
          <w:p w14:paraId="5EAE2550"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p>
        </w:tc>
        <w:tc>
          <w:tcPr>
            <w:tcW w:w="1030" w:type="pct"/>
            <w:noWrap/>
            <w:hideMark/>
          </w:tcPr>
          <w:p w14:paraId="59DA5ED4"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r w:rsidRPr="00E22F29">
              <w:t>£100,000</w:t>
            </w:r>
          </w:p>
        </w:tc>
      </w:tr>
      <w:tr w:rsidR="00A12B24" w:rsidRPr="00E22F29" w14:paraId="5DD2E55D" w14:textId="77777777" w:rsidTr="00A12B24">
        <w:trPr>
          <w:trHeight w:val="314"/>
        </w:trPr>
        <w:tc>
          <w:tcPr>
            <w:cnfStyle w:val="001000000000" w:firstRow="0" w:lastRow="0" w:firstColumn="1" w:lastColumn="0" w:oddVBand="0" w:evenVBand="0" w:oddHBand="0" w:evenHBand="0" w:firstRowFirstColumn="0" w:firstRowLastColumn="0" w:lastRowFirstColumn="0" w:lastRowLastColumn="0"/>
            <w:tcW w:w="2640" w:type="pct"/>
            <w:noWrap/>
            <w:hideMark/>
          </w:tcPr>
          <w:p w14:paraId="01D01ECB" w14:textId="77777777" w:rsidR="00A12B24" w:rsidRPr="00A12B24" w:rsidRDefault="00A12B24" w:rsidP="00A12B24">
            <w:pPr>
              <w:rPr>
                <w:b w:val="0"/>
                <w:bCs w:val="0"/>
              </w:rPr>
            </w:pPr>
            <w:r w:rsidRPr="00A12B24">
              <w:rPr>
                <w:b w:val="0"/>
                <w:bCs w:val="0"/>
              </w:rPr>
              <w:t xml:space="preserve"> Net Profit </w:t>
            </w:r>
          </w:p>
        </w:tc>
        <w:tc>
          <w:tcPr>
            <w:tcW w:w="670" w:type="pct"/>
            <w:noWrap/>
            <w:hideMark/>
          </w:tcPr>
          <w:p w14:paraId="2839F929"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p>
        </w:tc>
        <w:tc>
          <w:tcPr>
            <w:tcW w:w="659" w:type="pct"/>
            <w:noWrap/>
            <w:hideMark/>
          </w:tcPr>
          <w:p w14:paraId="53186234" w14:textId="77777777" w:rsidR="00A12B24" w:rsidRPr="00A12B24" w:rsidRDefault="00A12B24" w:rsidP="00A12B24">
            <w:pPr>
              <w:cnfStyle w:val="000000000000" w:firstRow="0" w:lastRow="0" w:firstColumn="0" w:lastColumn="0" w:oddVBand="0" w:evenVBand="0" w:oddHBand="0" w:evenHBand="0" w:firstRowFirstColumn="0" w:firstRowLastColumn="0" w:lastRowFirstColumn="0" w:lastRowLastColumn="0"/>
              <w:rPr>
                <w:b/>
                <w:bCs/>
              </w:rPr>
            </w:pPr>
          </w:p>
        </w:tc>
        <w:tc>
          <w:tcPr>
            <w:tcW w:w="1030" w:type="pct"/>
            <w:noWrap/>
            <w:hideMark/>
          </w:tcPr>
          <w:p w14:paraId="697C3A3B"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r w:rsidRPr="00E22F29">
              <w:t>£48,330</w:t>
            </w:r>
          </w:p>
        </w:tc>
      </w:tr>
      <w:tr w:rsidR="00A12B24" w:rsidRPr="00E22F29" w14:paraId="2E370F64" w14:textId="77777777" w:rsidTr="00A12B24">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2640" w:type="pct"/>
            <w:noWrap/>
            <w:hideMark/>
          </w:tcPr>
          <w:p w14:paraId="7EB60B41" w14:textId="77777777" w:rsidR="00A12B24" w:rsidRPr="00A12B24" w:rsidRDefault="00A12B24" w:rsidP="00A12B24">
            <w:pPr>
              <w:rPr>
                <w:b w:val="0"/>
                <w:bCs w:val="0"/>
              </w:rPr>
            </w:pPr>
            <w:r w:rsidRPr="00A12B24">
              <w:rPr>
                <w:b w:val="0"/>
                <w:bCs w:val="0"/>
              </w:rPr>
              <w:t xml:space="preserve">Less: Preference stock dividend </w:t>
            </w:r>
          </w:p>
        </w:tc>
        <w:tc>
          <w:tcPr>
            <w:tcW w:w="670" w:type="pct"/>
            <w:noWrap/>
            <w:hideMark/>
          </w:tcPr>
          <w:p w14:paraId="28DAC117"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p>
        </w:tc>
        <w:tc>
          <w:tcPr>
            <w:tcW w:w="659" w:type="pct"/>
            <w:noWrap/>
            <w:hideMark/>
          </w:tcPr>
          <w:p w14:paraId="6B2E4839" w14:textId="77777777" w:rsidR="00A12B24" w:rsidRPr="00A12B24" w:rsidRDefault="00A12B24" w:rsidP="00A12B24">
            <w:pPr>
              <w:cnfStyle w:val="000000100000" w:firstRow="0" w:lastRow="0" w:firstColumn="0" w:lastColumn="0" w:oddVBand="0" w:evenVBand="0" w:oddHBand="1" w:evenHBand="0" w:firstRowFirstColumn="0" w:firstRowLastColumn="0" w:lastRowFirstColumn="0" w:lastRowLastColumn="0"/>
              <w:rPr>
                <w:b/>
                <w:bCs/>
              </w:rPr>
            </w:pPr>
          </w:p>
        </w:tc>
        <w:tc>
          <w:tcPr>
            <w:tcW w:w="1030" w:type="pct"/>
            <w:noWrap/>
            <w:hideMark/>
          </w:tcPr>
          <w:p w14:paraId="6995ADBD"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r w:rsidRPr="00E22F29">
              <w:t>£40,000</w:t>
            </w:r>
          </w:p>
        </w:tc>
      </w:tr>
      <w:tr w:rsidR="00A12B24" w:rsidRPr="00E22F29" w14:paraId="7565B1DD" w14:textId="77777777" w:rsidTr="00A12B24">
        <w:trPr>
          <w:trHeight w:val="329"/>
        </w:trPr>
        <w:tc>
          <w:tcPr>
            <w:cnfStyle w:val="001000000000" w:firstRow="0" w:lastRow="0" w:firstColumn="1" w:lastColumn="0" w:oddVBand="0" w:evenVBand="0" w:oddHBand="0" w:evenHBand="0" w:firstRowFirstColumn="0" w:firstRowLastColumn="0" w:lastRowFirstColumn="0" w:lastRowLastColumn="0"/>
            <w:tcW w:w="3970" w:type="pct"/>
            <w:gridSpan w:val="3"/>
            <w:noWrap/>
            <w:hideMark/>
          </w:tcPr>
          <w:p w14:paraId="1156401B" w14:textId="77777777" w:rsidR="00A12B24" w:rsidRPr="00A12B24" w:rsidRDefault="00A12B24" w:rsidP="00A12B24">
            <w:pPr>
              <w:rPr>
                <w:b w:val="0"/>
                <w:bCs w:val="0"/>
              </w:rPr>
            </w:pPr>
            <w:r w:rsidRPr="00A12B24">
              <w:rPr>
                <w:b w:val="0"/>
                <w:bCs w:val="0"/>
              </w:rPr>
              <w:t>Net Profit Available for common equity holders</w:t>
            </w:r>
          </w:p>
        </w:tc>
        <w:tc>
          <w:tcPr>
            <w:tcW w:w="1030" w:type="pct"/>
            <w:noWrap/>
            <w:hideMark/>
          </w:tcPr>
          <w:p w14:paraId="34E5F7F1"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rPr>
                <w:u w:val="double"/>
              </w:rPr>
            </w:pPr>
            <w:r w:rsidRPr="00E22F29">
              <w:rPr>
                <w:u w:val="double"/>
              </w:rPr>
              <w:t>8,330</w:t>
            </w:r>
          </w:p>
        </w:tc>
      </w:tr>
    </w:tbl>
    <w:p w14:paraId="0D335D9A" w14:textId="77777777" w:rsidR="00A12B24" w:rsidRPr="00A12B24" w:rsidRDefault="00A12B24" w:rsidP="00A12B24"/>
    <w:p w14:paraId="348C96A5" w14:textId="77777777" w:rsidR="00A12B24" w:rsidRPr="00A12B24" w:rsidRDefault="00A12B24" w:rsidP="00A12B24">
      <w:pPr>
        <w:jc w:val="center"/>
        <w:rPr>
          <w:b/>
          <w:bCs/>
        </w:rPr>
      </w:pPr>
    </w:p>
    <w:p w14:paraId="6EE464F7" w14:textId="2187E5E1" w:rsidR="00A12B24" w:rsidRDefault="00A12B24" w:rsidP="00A12B24">
      <w:pPr>
        <w:jc w:val="center"/>
        <w:rPr>
          <w:b/>
          <w:bCs/>
        </w:rPr>
      </w:pPr>
      <w:r w:rsidRPr="00A12B24">
        <w:rPr>
          <w:b/>
          <w:bCs/>
        </w:rPr>
        <w:t>Statement of financial position as at that date for Wales plc for the year ended 31</w:t>
      </w:r>
      <w:r w:rsidRPr="00A12B24">
        <w:rPr>
          <w:b/>
          <w:bCs/>
          <w:vertAlign w:val="superscript"/>
        </w:rPr>
        <w:t>st</w:t>
      </w:r>
      <w:r w:rsidRPr="00A12B24">
        <w:rPr>
          <w:b/>
          <w:bCs/>
        </w:rPr>
        <w:t xml:space="preserve"> December 2021</w:t>
      </w:r>
    </w:p>
    <w:tbl>
      <w:tblPr>
        <w:tblStyle w:val="GridTable5Dark-Accent6"/>
        <w:tblW w:w="9630" w:type="dxa"/>
        <w:tblLook w:val="04A0" w:firstRow="1" w:lastRow="0" w:firstColumn="1" w:lastColumn="0" w:noHBand="0" w:noVBand="1"/>
      </w:tblPr>
      <w:tblGrid>
        <w:gridCol w:w="4815"/>
        <w:gridCol w:w="1300"/>
        <w:gridCol w:w="1520"/>
        <w:gridCol w:w="1995"/>
      </w:tblGrid>
      <w:tr w:rsidR="00A12B24" w:rsidRPr="00E22F29" w14:paraId="58A532C9" w14:textId="77777777" w:rsidTr="00A12B24">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815" w:type="dxa"/>
            <w:noWrap/>
            <w:hideMark/>
          </w:tcPr>
          <w:p w14:paraId="2E18155B" w14:textId="77777777" w:rsidR="00A12B24" w:rsidRPr="00E22F29" w:rsidRDefault="00A12B24" w:rsidP="00A12B24">
            <w:pPr>
              <w:rPr>
                <w:b w:val="0"/>
                <w:bCs w:val="0"/>
              </w:rPr>
            </w:pPr>
            <w:r w:rsidRPr="00E22F29">
              <w:t>Particulars</w:t>
            </w:r>
          </w:p>
        </w:tc>
        <w:tc>
          <w:tcPr>
            <w:tcW w:w="1300" w:type="dxa"/>
            <w:noWrap/>
            <w:hideMark/>
          </w:tcPr>
          <w:p w14:paraId="6CF81E92" w14:textId="77777777" w:rsidR="00A12B24" w:rsidRPr="00E22F29" w:rsidRDefault="00A12B24" w:rsidP="00A12B24">
            <w:pPr>
              <w:cnfStyle w:val="100000000000" w:firstRow="1" w:lastRow="0" w:firstColumn="0" w:lastColumn="0" w:oddVBand="0" w:evenVBand="0" w:oddHBand="0" w:evenHBand="0" w:firstRowFirstColumn="0" w:firstRowLastColumn="0" w:lastRowFirstColumn="0" w:lastRowLastColumn="0"/>
              <w:rPr>
                <w:b w:val="0"/>
                <w:bCs w:val="0"/>
              </w:rPr>
            </w:pPr>
            <w:r w:rsidRPr="00E22F29">
              <w:t xml:space="preserve">Amount </w:t>
            </w:r>
          </w:p>
        </w:tc>
        <w:tc>
          <w:tcPr>
            <w:tcW w:w="1520" w:type="dxa"/>
            <w:noWrap/>
            <w:hideMark/>
          </w:tcPr>
          <w:p w14:paraId="05B9B111" w14:textId="77777777" w:rsidR="00A12B24" w:rsidRPr="00E22F29" w:rsidRDefault="00A12B24" w:rsidP="00A12B24">
            <w:pPr>
              <w:cnfStyle w:val="100000000000" w:firstRow="1" w:lastRow="0" w:firstColumn="0" w:lastColumn="0" w:oddVBand="0" w:evenVBand="0" w:oddHBand="0" w:evenHBand="0" w:firstRowFirstColumn="0" w:firstRowLastColumn="0" w:lastRowFirstColumn="0" w:lastRowLastColumn="0"/>
              <w:rPr>
                <w:b w:val="0"/>
                <w:bCs w:val="0"/>
              </w:rPr>
            </w:pPr>
            <w:r w:rsidRPr="00E22F29">
              <w:t xml:space="preserve">Amount </w:t>
            </w:r>
          </w:p>
        </w:tc>
        <w:tc>
          <w:tcPr>
            <w:tcW w:w="1995" w:type="dxa"/>
            <w:noWrap/>
            <w:hideMark/>
          </w:tcPr>
          <w:p w14:paraId="3FCA8D8D" w14:textId="77777777" w:rsidR="00A12B24" w:rsidRPr="00E22F29" w:rsidRDefault="00A12B24" w:rsidP="00A12B24">
            <w:pPr>
              <w:cnfStyle w:val="100000000000" w:firstRow="1" w:lastRow="0" w:firstColumn="0" w:lastColumn="0" w:oddVBand="0" w:evenVBand="0" w:oddHBand="0" w:evenHBand="0" w:firstRowFirstColumn="0" w:firstRowLastColumn="0" w:lastRowFirstColumn="0" w:lastRowLastColumn="0"/>
              <w:rPr>
                <w:b w:val="0"/>
                <w:bCs w:val="0"/>
              </w:rPr>
            </w:pPr>
            <w:r w:rsidRPr="00E22F29">
              <w:t xml:space="preserve">Amount </w:t>
            </w:r>
          </w:p>
        </w:tc>
      </w:tr>
      <w:tr w:rsidR="00A12B24" w:rsidRPr="00E22F29" w14:paraId="649E7668" w14:textId="77777777" w:rsidTr="00A12B2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815" w:type="dxa"/>
            <w:noWrap/>
            <w:hideMark/>
          </w:tcPr>
          <w:p w14:paraId="549A3DAF" w14:textId="77777777" w:rsidR="00A12B24" w:rsidRPr="00E22F29" w:rsidRDefault="00A12B24" w:rsidP="00A12B24">
            <w:pPr>
              <w:rPr>
                <w:b w:val="0"/>
                <w:bCs w:val="0"/>
              </w:rPr>
            </w:pPr>
            <w:r w:rsidRPr="00E22F29">
              <w:t>Non-Current Assets:</w:t>
            </w:r>
          </w:p>
        </w:tc>
        <w:tc>
          <w:tcPr>
            <w:tcW w:w="1300" w:type="dxa"/>
            <w:noWrap/>
            <w:hideMark/>
          </w:tcPr>
          <w:p w14:paraId="3C3D354C"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520" w:type="dxa"/>
            <w:noWrap/>
            <w:hideMark/>
          </w:tcPr>
          <w:p w14:paraId="13326C78"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995" w:type="dxa"/>
            <w:noWrap/>
            <w:hideMark/>
          </w:tcPr>
          <w:p w14:paraId="1077F27E"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r>
      <w:tr w:rsidR="00A12B24" w:rsidRPr="00E22F29" w14:paraId="47E7EC5F" w14:textId="77777777" w:rsidTr="00A12B24">
        <w:trPr>
          <w:trHeight w:val="330"/>
        </w:trPr>
        <w:tc>
          <w:tcPr>
            <w:cnfStyle w:val="001000000000" w:firstRow="0" w:lastRow="0" w:firstColumn="1" w:lastColumn="0" w:oddVBand="0" w:evenVBand="0" w:oddHBand="0" w:evenHBand="0" w:firstRowFirstColumn="0" w:firstRowLastColumn="0" w:lastRowFirstColumn="0" w:lastRowLastColumn="0"/>
            <w:tcW w:w="4815" w:type="dxa"/>
            <w:noWrap/>
            <w:hideMark/>
          </w:tcPr>
          <w:p w14:paraId="2E315B2F" w14:textId="77777777" w:rsidR="00A12B24" w:rsidRPr="00E22F29" w:rsidRDefault="00A12B24" w:rsidP="00A12B24">
            <w:r w:rsidRPr="00E22F29">
              <w:t xml:space="preserve">   Plant &amp; Equipment</w:t>
            </w:r>
          </w:p>
        </w:tc>
        <w:tc>
          <w:tcPr>
            <w:tcW w:w="1300" w:type="dxa"/>
            <w:noWrap/>
            <w:hideMark/>
          </w:tcPr>
          <w:p w14:paraId="3683E707"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520" w:type="dxa"/>
            <w:noWrap/>
            <w:hideMark/>
          </w:tcPr>
          <w:p w14:paraId="7D42BFEC"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r w:rsidRPr="00E22F29">
              <w:t>£1,250,000</w:t>
            </w:r>
          </w:p>
        </w:tc>
        <w:tc>
          <w:tcPr>
            <w:tcW w:w="1995" w:type="dxa"/>
            <w:noWrap/>
            <w:hideMark/>
          </w:tcPr>
          <w:p w14:paraId="04C9AC69"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192A7845" w14:textId="77777777" w:rsidTr="00A12B24">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815" w:type="dxa"/>
            <w:noWrap/>
            <w:hideMark/>
          </w:tcPr>
          <w:p w14:paraId="2763C324" w14:textId="77777777" w:rsidR="00A12B24" w:rsidRPr="00E22F29" w:rsidRDefault="00A12B24" w:rsidP="00A12B24">
            <w:pPr>
              <w:rPr>
                <w:b w:val="0"/>
                <w:bCs w:val="0"/>
              </w:rPr>
            </w:pPr>
            <w:r w:rsidRPr="00E22F29">
              <w:t>Total Non-Current Asset</w:t>
            </w:r>
          </w:p>
        </w:tc>
        <w:tc>
          <w:tcPr>
            <w:tcW w:w="1300" w:type="dxa"/>
            <w:noWrap/>
            <w:hideMark/>
          </w:tcPr>
          <w:p w14:paraId="3942129F"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520" w:type="dxa"/>
            <w:noWrap/>
            <w:hideMark/>
          </w:tcPr>
          <w:p w14:paraId="36D12FBC"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995" w:type="dxa"/>
            <w:noWrap/>
            <w:hideMark/>
          </w:tcPr>
          <w:p w14:paraId="12210E33"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r w:rsidRPr="00E22F29">
              <w:t>£1,250,000</w:t>
            </w:r>
          </w:p>
        </w:tc>
      </w:tr>
      <w:tr w:rsidR="00A12B24" w:rsidRPr="00E22F29" w14:paraId="16D4561E" w14:textId="77777777" w:rsidTr="00A12B24">
        <w:trPr>
          <w:trHeight w:val="315"/>
        </w:trPr>
        <w:tc>
          <w:tcPr>
            <w:cnfStyle w:val="001000000000" w:firstRow="0" w:lastRow="0" w:firstColumn="1" w:lastColumn="0" w:oddVBand="0" w:evenVBand="0" w:oddHBand="0" w:evenHBand="0" w:firstRowFirstColumn="0" w:firstRowLastColumn="0" w:lastRowFirstColumn="0" w:lastRowLastColumn="0"/>
            <w:tcW w:w="4815" w:type="dxa"/>
            <w:noWrap/>
            <w:hideMark/>
          </w:tcPr>
          <w:p w14:paraId="0D54BC52" w14:textId="77777777" w:rsidR="00A12B24" w:rsidRPr="00E22F29" w:rsidRDefault="00A12B24" w:rsidP="00A12B24">
            <w:pPr>
              <w:rPr>
                <w:b w:val="0"/>
                <w:bCs w:val="0"/>
              </w:rPr>
            </w:pPr>
            <w:r w:rsidRPr="00E22F29">
              <w:t>Current Asset:</w:t>
            </w:r>
          </w:p>
        </w:tc>
        <w:tc>
          <w:tcPr>
            <w:tcW w:w="1300" w:type="dxa"/>
            <w:noWrap/>
            <w:hideMark/>
          </w:tcPr>
          <w:p w14:paraId="06C953AF"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520" w:type="dxa"/>
            <w:noWrap/>
            <w:hideMark/>
          </w:tcPr>
          <w:p w14:paraId="749C1565"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995" w:type="dxa"/>
            <w:noWrap/>
            <w:hideMark/>
          </w:tcPr>
          <w:p w14:paraId="22EDC612"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65CE67FA" w14:textId="77777777" w:rsidTr="00A12B2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815" w:type="dxa"/>
            <w:noWrap/>
            <w:hideMark/>
          </w:tcPr>
          <w:p w14:paraId="6AF86B80" w14:textId="77777777" w:rsidR="00A12B24" w:rsidRPr="00E22F29" w:rsidRDefault="00A12B24" w:rsidP="00A12B24">
            <w:r w:rsidRPr="00E22F29">
              <w:t xml:space="preserve">    Closing stock</w:t>
            </w:r>
          </w:p>
        </w:tc>
        <w:tc>
          <w:tcPr>
            <w:tcW w:w="1300" w:type="dxa"/>
            <w:noWrap/>
            <w:hideMark/>
          </w:tcPr>
          <w:p w14:paraId="57410CF4"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520" w:type="dxa"/>
            <w:noWrap/>
            <w:hideMark/>
          </w:tcPr>
          <w:p w14:paraId="759AC56D"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r w:rsidRPr="00E22F29">
              <w:t>£430,600</w:t>
            </w:r>
          </w:p>
        </w:tc>
        <w:tc>
          <w:tcPr>
            <w:tcW w:w="1995" w:type="dxa"/>
            <w:noWrap/>
            <w:hideMark/>
          </w:tcPr>
          <w:p w14:paraId="4D94F02A"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r>
      <w:tr w:rsidR="00A12B24" w:rsidRPr="00E22F29" w14:paraId="1886F593" w14:textId="77777777" w:rsidTr="00A12B24">
        <w:trPr>
          <w:trHeight w:val="315"/>
        </w:trPr>
        <w:tc>
          <w:tcPr>
            <w:cnfStyle w:val="001000000000" w:firstRow="0" w:lastRow="0" w:firstColumn="1" w:lastColumn="0" w:oddVBand="0" w:evenVBand="0" w:oddHBand="0" w:evenHBand="0" w:firstRowFirstColumn="0" w:firstRowLastColumn="0" w:lastRowFirstColumn="0" w:lastRowLastColumn="0"/>
            <w:tcW w:w="4815" w:type="dxa"/>
            <w:noWrap/>
            <w:hideMark/>
          </w:tcPr>
          <w:p w14:paraId="3A77D12A" w14:textId="77777777" w:rsidR="00A12B24" w:rsidRPr="00E22F29" w:rsidRDefault="00A12B24" w:rsidP="00A12B24">
            <w:r w:rsidRPr="00E22F29">
              <w:t xml:space="preserve">   Trade receivable</w:t>
            </w:r>
          </w:p>
        </w:tc>
        <w:tc>
          <w:tcPr>
            <w:tcW w:w="1300" w:type="dxa"/>
            <w:noWrap/>
            <w:hideMark/>
          </w:tcPr>
          <w:p w14:paraId="21A00EF4"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r w:rsidRPr="00E22F29">
              <w:t>£170,125</w:t>
            </w:r>
          </w:p>
        </w:tc>
        <w:tc>
          <w:tcPr>
            <w:tcW w:w="1520" w:type="dxa"/>
            <w:noWrap/>
          </w:tcPr>
          <w:p w14:paraId="146A6030"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995" w:type="dxa"/>
            <w:noWrap/>
            <w:hideMark/>
          </w:tcPr>
          <w:p w14:paraId="4FF8D818"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756E8AA3" w14:textId="77777777" w:rsidTr="00A12B2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815" w:type="dxa"/>
            <w:noWrap/>
          </w:tcPr>
          <w:p w14:paraId="0C87CE9D" w14:textId="77777777" w:rsidR="00A12B24" w:rsidRPr="00E22F29" w:rsidRDefault="00A12B24" w:rsidP="00A12B24">
            <w:r w:rsidRPr="00E22F29">
              <w:t xml:space="preserve">    Add: credit sales</w:t>
            </w:r>
          </w:p>
        </w:tc>
        <w:tc>
          <w:tcPr>
            <w:tcW w:w="1300" w:type="dxa"/>
            <w:noWrap/>
          </w:tcPr>
          <w:p w14:paraId="510E1814"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r w:rsidRPr="00E22F29">
              <w:t>£980</w:t>
            </w:r>
          </w:p>
        </w:tc>
        <w:tc>
          <w:tcPr>
            <w:tcW w:w="1520" w:type="dxa"/>
            <w:noWrap/>
          </w:tcPr>
          <w:p w14:paraId="24BE9634"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r w:rsidRPr="00E22F29">
              <w:t>£171,105</w:t>
            </w:r>
          </w:p>
        </w:tc>
        <w:tc>
          <w:tcPr>
            <w:tcW w:w="1995" w:type="dxa"/>
            <w:noWrap/>
          </w:tcPr>
          <w:p w14:paraId="3E9501B0"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r>
      <w:tr w:rsidR="00A12B24" w:rsidRPr="00E22F29" w14:paraId="7D035863" w14:textId="77777777" w:rsidTr="00A12B24">
        <w:trPr>
          <w:trHeight w:val="330"/>
        </w:trPr>
        <w:tc>
          <w:tcPr>
            <w:cnfStyle w:val="001000000000" w:firstRow="0" w:lastRow="0" w:firstColumn="1" w:lastColumn="0" w:oddVBand="0" w:evenVBand="0" w:oddHBand="0" w:evenHBand="0" w:firstRowFirstColumn="0" w:firstRowLastColumn="0" w:lastRowFirstColumn="0" w:lastRowLastColumn="0"/>
            <w:tcW w:w="4815" w:type="dxa"/>
            <w:noWrap/>
            <w:hideMark/>
          </w:tcPr>
          <w:p w14:paraId="2CC976EB" w14:textId="77777777" w:rsidR="00A12B24" w:rsidRPr="00E22F29" w:rsidRDefault="00A12B24" w:rsidP="00A12B24">
            <w:r w:rsidRPr="00E22F29">
              <w:t xml:space="preserve">    Cash &amp; Bank</w:t>
            </w:r>
          </w:p>
        </w:tc>
        <w:tc>
          <w:tcPr>
            <w:tcW w:w="1300" w:type="dxa"/>
            <w:noWrap/>
            <w:hideMark/>
          </w:tcPr>
          <w:p w14:paraId="47E3D7D5"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520" w:type="dxa"/>
            <w:noWrap/>
            <w:hideMark/>
          </w:tcPr>
          <w:p w14:paraId="0ADBE4A4"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r w:rsidRPr="00E22F29">
              <w:t>£176,250</w:t>
            </w:r>
          </w:p>
        </w:tc>
        <w:tc>
          <w:tcPr>
            <w:tcW w:w="1995" w:type="dxa"/>
            <w:noWrap/>
            <w:hideMark/>
          </w:tcPr>
          <w:p w14:paraId="30DF2E63"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7C1404A9" w14:textId="77777777" w:rsidTr="00A12B24">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815" w:type="dxa"/>
            <w:noWrap/>
            <w:hideMark/>
          </w:tcPr>
          <w:p w14:paraId="0462D8A9" w14:textId="77777777" w:rsidR="00A12B24" w:rsidRPr="00E22F29" w:rsidRDefault="00A12B24" w:rsidP="00A12B24">
            <w:pPr>
              <w:rPr>
                <w:b w:val="0"/>
                <w:bCs w:val="0"/>
              </w:rPr>
            </w:pPr>
            <w:r w:rsidRPr="00E22F29">
              <w:t>Total Current Asset</w:t>
            </w:r>
          </w:p>
        </w:tc>
        <w:tc>
          <w:tcPr>
            <w:tcW w:w="1300" w:type="dxa"/>
            <w:hideMark/>
          </w:tcPr>
          <w:p w14:paraId="5F1E8743"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520" w:type="dxa"/>
            <w:hideMark/>
          </w:tcPr>
          <w:p w14:paraId="3137F433"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995" w:type="dxa"/>
            <w:noWrap/>
            <w:hideMark/>
          </w:tcPr>
          <w:p w14:paraId="4AA020B8"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r w:rsidRPr="00E22F29">
              <w:t>£777,955</w:t>
            </w:r>
          </w:p>
        </w:tc>
      </w:tr>
      <w:tr w:rsidR="00A12B24" w:rsidRPr="00E22F29" w14:paraId="33F5FC2E" w14:textId="77777777" w:rsidTr="00A12B24">
        <w:trPr>
          <w:trHeight w:val="330"/>
        </w:trPr>
        <w:tc>
          <w:tcPr>
            <w:cnfStyle w:val="001000000000" w:firstRow="0" w:lastRow="0" w:firstColumn="1" w:lastColumn="0" w:oddVBand="0" w:evenVBand="0" w:oddHBand="0" w:evenHBand="0" w:firstRowFirstColumn="0" w:firstRowLastColumn="0" w:lastRowFirstColumn="0" w:lastRowLastColumn="0"/>
            <w:tcW w:w="4815" w:type="dxa"/>
            <w:noWrap/>
            <w:hideMark/>
          </w:tcPr>
          <w:p w14:paraId="2703D516" w14:textId="77777777" w:rsidR="00A12B24" w:rsidRPr="00E22F29" w:rsidRDefault="00A12B24" w:rsidP="00A12B24">
            <w:pPr>
              <w:rPr>
                <w:b w:val="0"/>
                <w:bCs w:val="0"/>
              </w:rPr>
            </w:pPr>
            <w:r w:rsidRPr="00E22F29">
              <w:t>Total Asset</w:t>
            </w:r>
          </w:p>
        </w:tc>
        <w:tc>
          <w:tcPr>
            <w:tcW w:w="1300" w:type="dxa"/>
            <w:noWrap/>
            <w:hideMark/>
          </w:tcPr>
          <w:p w14:paraId="5912730D"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p w14:paraId="33D48D32"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520" w:type="dxa"/>
            <w:noWrap/>
            <w:hideMark/>
          </w:tcPr>
          <w:p w14:paraId="7C3977F9"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995" w:type="dxa"/>
            <w:noWrap/>
            <w:hideMark/>
          </w:tcPr>
          <w:p w14:paraId="43BC903B"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rPr>
                <w:u w:val="double"/>
              </w:rPr>
            </w:pPr>
            <w:r w:rsidRPr="00E22F29">
              <w:rPr>
                <w:u w:val="double"/>
              </w:rPr>
              <w:t>£2,027,955</w:t>
            </w:r>
          </w:p>
        </w:tc>
      </w:tr>
      <w:tr w:rsidR="00A12B24" w:rsidRPr="00E22F29" w14:paraId="77BB2F0F" w14:textId="77777777" w:rsidTr="00A12B24">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815" w:type="dxa"/>
            <w:noWrap/>
          </w:tcPr>
          <w:p w14:paraId="7ED834E4" w14:textId="77777777" w:rsidR="00A12B24" w:rsidRPr="00E22F29" w:rsidRDefault="00A12B24" w:rsidP="00A12B24">
            <w:pPr>
              <w:rPr>
                <w:b w:val="0"/>
                <w:bCs w:val="0"/>
              </w:rPr>
            </w:pPr>
            <w:r w:rsidRPr="00E22F29">
              <w:t>Liabilities and Equity</w:t>
            </w:r>
          </w:p>
        </w:tc>
        <w:tc>
          <w:tcPr>
            <w:tcW w:w="1300" w:type="dxa"/>
            <w:noWrap/>
          </w:tcPr>
          <w:p w14:paraId="47721A45"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520" w:type="dxa"/>
            <w:noWrap/>
          </w:tcPr>
          <w:p w14:paraId="7F66A440"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995" w:type="dxa"/>
            <w:noWrap/>
          </w:tcPr>
          <w:p w14:paraId="1FB82DA1"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r>
      <w:tr w:rsidR="00A12B24" w:rsidRPr="00E22F29" w14:paraId="6359AB33" w14:textId="77777777" w:rsidTr="00A12B24">
        <w:trPr>
          <w:trHeight w:val="330"/>
        </w:trPr>
        <w:tc>
          <w:tcPr>
            <w:cnfStyle w:val="001000000000" w:firstRow="0" w:lastRow="0" w:firstColumn="1" w:lastColumn="0" w:oddVBand="0" w:evenVBand="0" w:oddHBand="0" w:evenHBand="0" w:firstRowFirstColumn="0" w:firstRowLastColumn="0" w:lastRowFirstColumn="0" w:lastRowLastColumn="0"/>
            <w:tcW w:w="4815" w:type="dxa"/>
            <w:noWrap/>
          </w:tcPr>
          <w:p w14:paraId="63094DC8" w14:textId="77777777" w:rsidR="00A12B24" w:rsidRPr="00E22F29" w:rsidRDefault="00A12B24" w:rsidP="00A12B24">
            <w:pPr>
              <w:rPr>
                <w:b w:val="0"/>
                <w:bCs w:val="0"/>
              </w:rPr>
            </w:pPr>
            <w:r w:rsidRPr="00E22F29">
              <w:t>Non-Current Liabilities</w:t>
            </w:r>
          </w:p>
        </w:tc>
        <w:tc>
          <w:tcPr>
            <w:tcW w:w="1300" w:type="dxa"/>
            <w:noWrap/>
          </w:tcPr>
          <w:p w14:paraId="76F9CAE5"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520" w:type="dxa"/>
            <w:noWrap/>
          </w:tcPr>
          <w:p w14:paraId="67E999D7"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995" w:type="dxa"/>
            <w:noWrap/>
          </w:tcPr>
          <w:p w14:paraId="07BFC79E"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5BB2B184" w14:textId="77777777" w:rsidTr="00A12B24">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815" w:type="dxa"/>
            <w:noWrap/>
          </w:tcPr>
          <w:p w14:paraId="0209A337" w14:textId="77777777" w:rsidR="00A12B24" w:rsidRPr="00E22F29" w:rsidRDefault="00A12B24" w:rsidP="00A12B24">
            <w:pPr>
              <w:rPr>
                <w:b w:val="0"/>
                <w:bCs w:val="0"/>
              </w:rPr>
            </w:pPr>
            <w:r w:rsidRPr="00E22F29">
              <w:t xml:space="preserve">   4% Debenture</w:t>
            </w:r>
          </w:p>
        </w:tc>
        <w:tc>
          <w:tcPr>
            <w:tcW w:w="1300" w:type="dxa"/>
            <w:noWrap/>
          </w:tcPr>
          <w:p w14:paraId="46C726BC"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520" w:type="dxa"/>
            <w:noWrap/>
          </w:tcPr>
          <w:p w14:paraId="6125C527"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995" w:type="dxa"/>
            <w:noWrap/>
          </w:tcPr>
          <w:p w14:paraId="01094542"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r w:rsidRPr="00E22F29">
              <w:t>£200,000</w:t>
            </w:r>
          </w:p>
        </w:tc>
      </w:tr>
      <w:tr w:rsidR="00A12B24" w:rsidRPr="00E22F29" w14:paraId="078710FE" w14:textId="77777777" w:rsidTr="00A12B24">
        <w:trPr>
          <w:trHeight w:val="330"/>
        </w:trPr>
        <w:tc>
          <w:tcPr>
            <w:cnfStyle w:val="001000000000" w:firstRow="0" w:lastRow="0" w:firstColumn="1" w:lastColumn="0" w:oddVBand="0" w:evenVBand="0" w:oddHBand="0" w:evenHBand="0" w:firstRowFirstColumn="0" w:firstRowLastColumn="0" w:lastRowFirstColumn="0" w:lastRowLastColumn="0"/>
            <w:tcW w:w="4815" w:type="dxa"/>
            <w:noWrap/>
            <w:hideMark/>
          </w:tcPr>
          <w:p w14:paraId="71510C2A" w14:textId="77777777" w:rsidR="00A12B24" w:rsidRPr="00E22F29" w:rsidRDefault="00A12B24" w:rsidP="00A12B24">
            <w:pPr>
              <w:rPr>
                <w:b w:val="0"/>
                <w:bCs w:val="0"/>
              </w:rPr>
            </w:pPr>
            <w:r w:rsidRPr="00E22F29">
              <w:t>Current Liabilities</w:t>
            </w:r>
          </w:p>
        </w:tc>
        <w:tc>
          <w:tcPr>
            <w:tcW w:w="1300" w:type="dxa"/>
            <w:noWrap/>
            <w:hideMark/>
          </w:tcPr>
          <w:p w14:paraId="4D4C8C30"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520" w:type="dxa"/>
            <w:noWrap/>
            <w:hideMark/>
          </w:tcPr>
          <w:p w14:paraId="0CAADAB1"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995" w:type="dxa"/>
            <w:noWrap/>
            <w:hideMark/>
          </w:tcPr>
          <w:p w14:paraId="11947632"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618A9426" w14:textId="77777777" w:rsidTr="00A12B2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815" w:type="dxa"/>
            <w:noWrap/>
            <w:hideMark/>
          </w:tcPr>
          <w:p w14:paraId="63A395EC" w14:textId="77777777" w:rsidR="00A12B24" w:rsidRPr="00E22F29" w:rsidRDefault="00A12B24" w:rsidP="00A12B24">
            <w:r w:rsidRPr="00E22F29">
              <w:t xml:space="preserve">   Trade Payable</w:t>
            </w:r>
          </w:p>
        </w:tc>
        <w:tc>
          <w:tcPr>
            <w:tcW w:w="1300" w:type="dxa"/>
            <w:noWrap/>
            <w:hideMark/>
          </w:tcPr>
          <w:p w14:paraId="15BB5AAD"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520" w:type="dxa"/>
            <w:noWrap/>
            <w:hideMark/>
          </w:tcPr>
          <w:p w14:paraId="4F924D74"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r w:rsidRPr="00E22F29">
              <w:t>£188,625</w:t>
            </w:r>
          </w:p>
        </w:tc>
        <w:tc>
          <w:tcPr>
            <w:tcW w:w="1995" w:type="dxa"/>
            <w:noWrap/>
            <w:hideMark/>
          </w:tcPr>
          <w:p w14:paraId="3AB2343B"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r>
      <w:tr w:rsidR="00A12B24" w:rsidRPr="00E22F29" w14:paraId="6DDDBA37" w14:textId="77777777" w:rsidTr="00A12B24">
        <w:trPr>
          <w:trHeight w:val="315"/>
        </w:trPr>
        <w:tc>
          <w:tcPr>
            <w:cnfStyle w:val="001000000000" w:firstRow="0" w:lastRow="0" w:firstColumn="1" w:lastColumn="0" w:oddVBand="0" w:evenVBand="0" w:oddHBand="0" w:evenHBand="0" w:firstRowFirstColumn="0" w:firstRowLastColumn="0" w:lastRowFirstColumn="0" w:lastRowLastColumn="0"/>
            <w:tcW w:w="4815" w:type="dxa"/>
            <w:noWrap/>
            <w:hideMark/>
          </w:tcPr>
          <w:p w14:paraId="1C62520B" w14:textId="77777777" w:rsidR="00A12B24" w:rsidRPr="00E22F29" w:rsidRDefault="00A12B24" w:rsidP="00A12B24">
            <w:r w:rsidRPr="00E22F29">
              <w:t xml:space="preserve">   Payable tax expense</w:t>
            </w:r>
          </w:p>
        </w:tc>
        <w:tc>
          <w:tcPr>
            <w:tcW w:w="1300" w:type="dxa"/>
            <w:noWrap/>
            <w:hideMark/>
          </w:tcPr>
          <w:p w14:paraId="02F23A7B"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520" w:type="dxa"/>
            <w:noWrap/>
            <w:hideMark/>
          </w:tcPr>
          <w:p w14:paraId="21BA22EE"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r w:rsidRPr="00E22F29">
              <w:t>£100,000</w:t>
            </w:r>
          </w:p>
        </w:tc>
        <w:tc>
          <w:tcPr>
            <w:tcW w:w="1995" w:type="dxa"/>
            <w:noWrap/>
            <w:hideMark/>
          </w:tcPr>
          <w:p w14:paraId="7CDAB84F"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1B3064B7" w14:textId="77777777" w:rsidTr="00A12B2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815" w:type="dxa"/>
            <w:noWrap/>
            <w:hideMark/>
          </w:tcPr>
          <w:p w14:paraId="6E3DB235" w14:textId="77777777" w:rsidR="00A12B24" w:rsidRPr="00E22F29" w:rsidRDefault="00A12B24" w:rsidP="00A12B24">
            <w:r w:rsidRPr="00E22F29">
              <w:t xml:space="preserve">   Payable commission expense</w:t>
            </w:r>
          </w:p>
        </w:tc>
        <w:tc>
          <w:tcPr>
            <w:tcW w:w="1300" w:type="dxa"/>
            <w:noWrap/>
            <w:hideMark/>
          </w:tcPr>
          <w:p w14:paraId="4FEAA08D"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520" w:type="dxa"/>
            <w:noWrap/>
            <w:hideMark/>
          </w:tcPr>
          <w:p w14:paraId="771E2074"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r w:rsidRPr="00E22F29">
              <w:t>£3,000</w:t>
            </w:r>
          </w:p>
        </w:tc>
        <w:tc>
          <w:tcPr>
            <w:tcW w:w="1995" w:type="dxa"/>
            <w:noWrap/>
            <w:hideMark/>
          </w:tcPr>
          <w:p w14:paraId="59CFFD2C"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r>
      <w:tr w:rsidR="00A12B24" w:rsidRPr="00E22F29" w14:paraId="2EF77DFF" w14:textId="77777777" w:rsidTr="00A12B24">
        <w:trPr>
          <w:trHeight w:val="315"/>
        </w:trPr>
        <w:tc>
          <w:tcPr>
            <w:cnfStyle w:val="001000000000" w:firstRow="0" w:lastRow="0" w:firstColumn="1" w:lastColumn="0" w:oddVBand="0" w:evenVBand="0" w:oddHBand="0" w:evenHBand="0" w:firstRowFirstColumn="0" w:firstRowLastColumn="0" w:lastRowFirstColumn="0" w:lastRowLastColumn="0"/>
            <w:tcW w:w="4815" w:type="dxa"/>
            <w:noWrap/>
            <w:hideMark/>
          </w:tcPr>
          <w:p w14:paraId="2A949141" w14:textId="77777777" w:rsidR="00A12B24" w:rsidRPr="00E22F29" w:rsidRDefault="00A12B24" w:rsidP="00A12B24">
            <w:r w:rsidRPr="00E22F29">
              <w:t xml:space="preserve">   Payable preferred dividend</w:t>
            </w:r>
          </w:p>
        </w:tc>
        <w:tc>
          <w:tcPr>
            <w:tcW w:w="1300" w:type="dxa"/>
            <w:noWrap/>
            <w:hideMark/>
          </w:tcPr>
          <w:p w14:paraId="20953D1D"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520" w:type="dxa"/>
            <w:noWrap/>
            <w:hideMark/>
          </w:tcPr>
          <w:p w14:paraId="1856347D"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r w:rsidRPr="00E22F29">
              <w:t>£10,000</w:t>
            </w:r>
          </w:p>
        </w:tc>
        <w:tc>
          <w:tcPr>
            <w:tcW w:w="1995" w:type="dxa"/>
            <w:noWrap/>
            <w:hideMark/>
          </w:tcPr>
          <w:p w14:paraId="3E2866AB"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6270B930" w14:textId="77777777" w:rsidTr="00A12B24">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815" w:type="dxa"/>
            <w:noWrap/>
            <w:hideMark/>
          </w:tcPr>
          <w:p w14:paraId="67A96B3D" w14:textId="77777777" w:rsidR="00A12B24" w:rsidRPr="00E22F29" w:rsidRDefault="00A12B24" w:rsidP="00A12B24">
            <w:r w:rsidRPr="00E22F29">
              <w:t xml:space="preserve">   Payable interest expense </w:t>
            </w:r>
          </w:p>
        </w:tc>
        <w:tc>
          <w:tcPr>
            <w:tcW w:w="1300" w:type="dxa"/>
            <w:noWrap/>
            <w:hideMark/>
          </w:tcPr>
          <w:p w14:paraId="6983E790"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520" w:type="dxa"/>
            <w:noWrap/>
            <w:hideMark/>
          </w:tcPr>
          <w:p w14:paraId="04576871"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r w:rsidRPr="00E22F29">
              <w:t>£6,000</w:t>
            </w:r>
          </w:p>
        </w:tc>
        <w:tc>
          <w:tcPr>
            <w:tcW w:w="1995" w:type="dxa"/>
            <w:noWrap/>
            <w:hideMark/>
          </w:tcPr>
          <w:p w14:paraId="284E6476"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r>
      <w:tr w:rsidR="00A12B24" w:rsidRPr="00E22F29" w14:paraId="4CA112A9" w14:textId="77777777" w:rsidTr="00A12B24">
        <w:trPr>
          <w:trHeight w:val="330"/>
        </w:trPr>
        <w:tc>
          <w:tcPr>
            <w:cnfStyle w:val="001000000000" w:firstRow="0" w:lastRow="0" w:firstColumn="1" w:lastColumn="0" w:oddVBand="0" w:evenVBand="0" w:oddHBand="0" w:evenHBand="0" w:firstRowFirstColumn="0" w:firstRowLastColumn="0" w:lastRowFirstColumn="0" w:lastRowLastColumn="0"/>
            <w:tcW w:w="4815" w:type="dxa"/>
            <w:noWrap/>
            <w:hideMark/>
          </w:tcPr>
          <w:p w14:paraId="197D5ABB" w14:textId="77777777" w:rsidR="00A12B24" w:rsidRPr="00E22F29" w:rsidRDefault="00A12B24" w:rsidP="00A12B24">
            <w:pPr>
              <w:rPr>
                <w:b w:val="0"/>
                <w:bCs w:val="0"/>
              </w:rPr>
            </w:pPr>
            <w:r w:rsidRPr="00E22F29">
              <w:t>Total Current Liabilities</w:t>
            </w:r>
          </w:p>
        </w:tc>
        <w:tc>
          <w:tcPr>
            <w:tcW w:w="1300" w:type="dxa"/>
            <w:noWrap/>
            <w:hideMark/>
          </w:tcPr>
          <w:p w14:paraId="790E67CF"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520" w:type="dxa"/>
            <w:noWrap/>
            <w:hideMark/>
          </w:tcPr>
          <w:p w14:paraId="38B17306"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995" w:type="dxa"/>
            <w:noWrap/>
            <w:hideMark/>
          </w:tcPr>
          <w:p w14:paraId="0A968CB8"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r w:rsidRPr="00E22F29">
              <w:t>£307,625</w:t>
            </w:r>
          </w:p>
        </w:tc>
      </w:tr>
      <w:tr w:rsidR="00A12B24" w:rsidRPr="00E22F29" w14:paraId="286B7CD3" w14:textId="77777777" w:rsidTr="00A12B2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635" w:type="dxa"/>
            <w:gridSpan w:val="3"/>
            <w:noWrap/>
            <w:hideMark/>
          </w:tcPr>
          <w:p w14:paraId="5A55B07D" w14:textId="77777777" w:rsidR="00A12B24" w:rsidRPr="00E22F29" w:rsidRDefault="00A12B24" w:rsidP="00A12B24">
            <w:pPr>
              <w:rPr>
                <w:b w:val="0"/>
                <w:bCs w:val="0"/>
              </w:rPr>
            </w:pPr>
            <w:r w:rsidRPr="00E22F29">
              <w:t>Total Liabilities</w:t>
            </w:r>
          </w:p>
        </w:tc>
        <w:tc>
          <w:tcPr>
            <w:tcW w:w="1995" w:type="dxa"/>
            <w:noWrap/>
            <w:hideMark/>
          </w:tcPr>
          <w:p w14:paraId="2460961C"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rPr>
                <w:u w:val="single"/>
              </w:rPr>
            </w:pPr>
            <w:r w:rsidRPr="00E22F29">
              <w:rPr>
                <w:u w:val="single"/>
              </w:rPr>
              <w:t>£507,625</w:t>
            </w:r>
          </w:p>
        </w:tc>
      </w:tr>
      <w:tr w:rsidR="00A12B24" w:rsidRPr="00E22F29" w14:paraId="0D00EE40" w14:textId="77777777" w:rsidTr="00A12B24">
        <w:trPr>
          <w:trHeight w:val="315"/>
        </w:trPr>
        <w:tc>
          <w:tcPr>
            <w:cnfStyle w:val="001000000000" w:firstRow="0" w:lastRow="0" w:firstColumn="1" w:lastColumn="0" w:oddVBand="0" w:evenVBand="0" w:oddHBand="0" w:evenHBand="0" w:firstRowFirstColumn="0" w:firstRowLastColumn="0" w:lastRowFirstColumn="0" w:lastRowLastColumn="0"/>
            <w:tcW w:w="4815" w:type="dxa"/>
            <w:noWrap/>
            <w:hideMark/>
          </w:tcPr>
          <w:p w14:paraId="3EA07D86" w14:textId="77777777" w:rsidR="00A12B24" w:rsidRPr="00E22F29" w:rsidRDefault="00A12B24" w:rsidP="00A12B24">
            <w:pPr>
              <w:rPr>
                <w:b w:val="0"/>
                <w:bCs w:val="0"/>
              </w:rPr>
            </w:pPr>
            <w:r w:rsidRPr="00E22F29">
              <w:t>Shareholder's Equity:</w:t>
            </w:r>
          </w:p>
        </w:tc>
        <w:tc>
          <w:tcPr>
            <w:tcW w:w="1300" w:type="dxa"/>
            <w:noWrap/>
            <w:hideMark/>
          </w:tcPr>
          <w:p w14:paraId="2DFC5379"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520" w:type="dxa"/>
            <w:noWrap/>
            <w:hideMark/>
          </w:tcPr>
          <w:p w14:paraId="441B21F9"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995" w:type="dxa"/>
            <w:noWrap/>
            <w:hideMark/>
          </w:tcPr>
          <w:p w14:paraId="5FF31F34"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283A8DFD" w14:textId="77777777" w:rsidTr="00A12B2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815" w:type="dxa"/>
            <w:noWrap/>
            <w:hideMark/>
          </w:tcPr>
          <w:p w14:paraId="77C0D75A" w14:textId="77777777" w:rsidR="00A12B24" w:rsidRPr="00E22F29" w:rsidRDefault="00A12B24" w:rsidP="00A12B24">
            <w:r w:rsidRPr="00E22F29">
              <w:t xml:space="preserve">  10% £1 preference shares</w:t>
            </w:r>
          </w:p>
        </w:tc>
        <w:tc>
          <w:tcPr>
            <w:tcW w:w="1300" w:type="dxa"/>
            <w:noWrap/>
            <w:hideMark/>
          </w:tcPr>
          <w:p w14:paraId="3C128A30"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520" w:type="dxa"/>
            <w:noWrap/>
            <w:hideMark/>
          </w:tcPr>
          <w:p w14:paraId="2E4C1BE5"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r w:rsidRPr="00E22F29">
              <w:t>£400,000</w:t>
            </w:r>
          </w:p>
        </w:tc>
        <w:tc>
          <w:tcPr>
            <w:tcW w:w="1995" w:type="dxa"/>
            <w:noWrap/>
            <w:hideMark/>
          </w:tcPr>
          <w:p w14:paraId="38D6EC78"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r>
      <w:tr w:rsidR="00A12B24" w:rsidRPr="00E22F29" w14:paraId="24741712" w14:textId="77777777" w:rsidTr="00A12B24">
        <w:trPr>
          <w:trHeight w:val="315"/>
        </w:trPr>
        <w:tc>
          <w:tcPr>
            <w:cnfStyle w:val="001000000000" w:firstRow="0" w:lastRow="0" w:firstColumn="1" w:lastColumn="0" w:oddVBand="0" w:evenVBand="0" w:oddHBand="0" w:evenHBand="0" w:firstRowFirstColumn="0" w:firstRowLastColumn="0" w:lastRowFirstColumn="0" w:lastRowLastColumn="0"/>
            <w:tcW w:w="4815" w:type="dxa"/>
            <w:noWrap/>
            <w:hideMark/>
          </w:tcPr>
          <w:p w14:paraId="6965E6F1" w14:textId="77777777" w:rsidR="00A12B24" w:rsidRPr="00E22F29" w:rsidRDefault="00A12B24" w:rsidP="00A12B24">
            <w:r w:rsidRPr="00E22F29">
              <w:t xml:space="preserve">  £1 Ordinary shares</w:t>
            </w:r>
          </w:p>
        </w:tc>
        <w:tc>
          <w:tcPr>
            <w:tcW w:w="1300" w:type="dxa"/>
            <w:noWrap/>
            <w:hideMark/>
          </w:tcPr>
          <w:p w14:paraId="0559A90F"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520" w:type="dxa"/>
            <w:noWrap/>
            <w:hideMark/>
          </w:tcPr>
          <w:p w14:paraId="5BB76171"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r w:rsidRPr="00E22F29">
              <w:t>£1,000,000</w:t>
            </w:r>
          </w:p>
        </w:tc>
        <w:tc>
          <w:tcPr>
            <w:tcW w:w="1995" w:type="dxa"/>
            <w:noWrap/>
            <w:hideMark/>
          </w:tcPr>
          <w:p w14:paraId="25220059"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1C635015" w14:textId="77777777" w:rsidTr="00A12B2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815" w:type="dxa"/>
            <w:noWrap/>
            <w:hideMark/>
          </w:tcPr>
          <w:p w14:paraId="14A5E4FC" w14:textId="77777777" w:rsidR="00A12B24" w:rsidRPr="00E22F29" w:rsidRDefault="00A12B24" w:rsidP="00A12B24">
            <w:r w:rsidRPr="00E22F29">
              <w:lastRenderedPageBreak/>
              <w:t xml:space="preserve">   Retained profit at 1st January, 2021 </w:t>
            </w:r>
          </w:p>
        </w:tc>
        <w:tc>
          <w:tcPr>
            <w:tcW w:w="1300" w:type="dxa"/>
            <w:noWrap/>
            <w:hideMark/>
          </w:tcPr>
          <w:p w14:paraId="3B4E4A0D"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r w:rsidRPr="00E22F29">
              <w:t>£132,000</w:t>
            </w:r>
          </w:p>
        </w:tc>
        <w:tc>
          <w:tcPr>
            <w:tcW w:w="1520" w:type="dxa"/>
            <w:noWrap/>
            <w:hideMark/>
          </w:tcPr>
          <w:p w14:paraId="457B9888"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995" w:type="dxa"/>
            <w:noWrap/>
            <w:hideMark/>
          </w:tcPr>
          <w:p w14:paraId="31978202"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r>
      <w:tr w:rsidR="00A12B24" w:rsidRPr="00E22F29" w14:paraId="5BF357D3" w14:textId="77777777" w:rsidTr="00A12B24">
        <w:trPr>
          <w:trHeight w:val="315"/>
        </w:trPr>
        <w:tc>
          <w:tcPr>
            <w:cnfStyle w:val="001000000000" w:firstRow="0" w:lastRow="0" w:firstColumn="1" w:lastColumn="0" w:oddVBand="0" w:evenVBand="0" w:oddHBand="0" w:evenHBand="0" w:firstRowFirstColumn="0" w:firstRowLastColumn="0" w:lastRowFirstColumn="0" w:lastRowLastColumn="0"/>
            <w:tcW w:w="4815" w:type="dxa"/>
            <w:noWrap/>
            <w:hideMark/>
          </w:tcPr>
          <w:p w14:paraId="290408CD" w14:textId="77777777" w:rsidR="00A12B24" w:rsidRPr="00E22F29" w:rsidRDefault="00A12B24" w:rsidP="00A12B24">
            <w:r w:rsidRPr="00E22F29">
              <w:t xml:space="preserve">   Add: Profit in the year 2021</w:t>
            </w:r>
          </w:p>
        </w:tc>
        <w:tc>
          <w:tcPr>
            <w:tcW w:w="1300" w:type="dxa"/>
            <w:noWrap/>
            <w:hideMark/>
          </w:tcPr>
          <w:p w14:paraId="1AD26BC7"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r w:rsidRPr="00E22F29">
              <w:t>£8,330</w:t>
            </w:r>
          </w:p>
        </w:tc>
        <w:tc>
          <w:tcPr>
            <w:tcW w:w="1520" w:type="dxa"/>
            <w:noWrap/>
            <w:hideMark/>
          </w:tcPr>
          <w:p w14:paraId="157D79D4"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995" w:type="dxa"/>
            <w:noWrap/>
            <w:hideMark/>
          </w:tcPr>
          <w:p w14:paraId="09B766E7"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23070BF6" w14:textId="77777777" w:rsidTr="00A12B2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815" w:type="dxa"/>
            <w:noWrap/>
            <w:hideMark/>
          </w:tcPr>
          <w:p w14:paraId="217D246D" w14:textId="77777777" w:rsidR="00A12B24" w:rsidRPr="00E22F29" w:rsidRDefault="00A12B24" w:rsidP="00A12B24">
            <w:r w:rsidRPr="00E22F29">
              <w:t xml:space="preserve">   Less: Ordinary Dividend Payment</w:t>
            </w:r>
          </w:p>
        </w:tc>
        <w:tc>
          <w:tcPr>
            <w:tcW w:w="1300" w:type="dxa"/>
            <w:noWrap/>
            <w:hideMark/>
          </w:tcPr>
          <w:p w14:paraId="58EB3D37"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r w:rsidRPr="00E22F29">
              <w:t>£20,000</w:t>
            </w:r>
          </w:p>
        </w:tc>
        <w:tc>
          <w:tcPr>
            <w:tcW w:w="1520" w:type="dxa"/>
            <w:noWrap/>
            <w:hideMark/>
          </w:tcPr>
          <w:p w14:paraId="53985C18"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995" w:type="dxa"/>
            <w:noWrap/>
            <w:hideMark/>
          </w:tcPr>
          <w:p w14:paraId="1711DAE4"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r>
      <w:tr w:rsidR="00A12B24" w:rsidRPr="00E22F29" w14:paraId="76B82CA4" w14:textId="77777777" w:rsidTr="00A12B24">
        <w:trPr>
          <w:trHeight w:val="330"/>
        </w:trPr>
        <w:tc>
          <w:tcPr>
            <w:cnfStyle w:val="001000000000" w:firstRow="0" w:lastRow="0" w:firstColumn="1" w:lastColumn="0" w:oddVBand="0" w:evenVBand="0" w:oddHBand="0" w:evenHBand="0" w:firstRowFirstColumn="0" w:firstRowLastColumn="0" w:lastRowFirstColumn="0" w:lastRowLastColumn="0"/>
            <w:tcW w:w="4815" w:type="dxa"/>
            <w:noWrap/>
            <w:hideMark/>
          </w:tcPr>
          <w:p w14:paraId="60629982" w14:textId="77777777" w:rsidR="00A12B24" w:rsidRPr="00E22F29" w:rsidRDefault="00A12B24" w:rsidP="00A12B24">
            <w:r w:rsidRPr="00E22F29">
              <w:t xml:space="preserve">   Retained profit at 31st December, 2022 </w:t>
            </w:r>
          </w:p>
        </w:tc>
        <w:tc>
          <w:tcPr>
            <w:tcW w:w="1300" w:type="dxa"/>
            <w:noWrap/>
            <w:hideMark/>
          </w:tcPr>
          <w:p w14:paraId="41A7F275"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520" w:type="dxa"/>
            <w:noWrap/>
            <w:hideMark/>
          </w:tcPr>
          <w:p w14:paraId="630D515C"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r w:rsidRPr="00E22F29">
              <w:t>£120,330</w:t>
            </w:r>
          </w:p>
        </w:tc>
        <w:tc>
          <w:tcPr>
            <w:tcW w:w="1995" w:type="dxa"/>
            <w:noWrap/>
            <w:hideMark/>
          </w:tcPr>
          <w:p w14:paraId="10F734FB"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r>
      <w:tr w:rsidR="00A12B24" w:rsidRPr="00E22F29" w14:paraId="00FD2AAF" w14:textId="77777777" w:rsidTr="00A12B24">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815" w:type="dxa"/>
            <w:noWrap/>
            <w:hideMark/>
          </w:tcPr>
          <w:p w14:paraId="129576E8" w14:textId="77777777" w:rsidR="00A12B24" w:rsidRPr="00E22F29" w:rsidRDefault="00A12B24" w:rsidP="00A12B24">
            <w:pPr>
              <w:rPr>
                <w:b w:val="0"/>
                <w:bCs w:val="0"/>
              </w:rPr>
            </w:pPr>
            <w:r w:rsidRPr="00E22F29">
              <w:t>Total Shareholder's Equity</w:t>
            </w:r>
          </w:p>
        </w:tc>
        <w:tc>
          <w:tcPr>
            <w:tcW w:w="1300" w:type="dxa"/>
            <w:hideMark/>
          </w:tcPr>
          <w:p w14:paraId="0AFF6858"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520" w:type="dxa"/>
            <w:hideMark/>
          </w:tcPr>
          <w:p w14:paraId="0352A514"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pPr>
          </w:p>
        </w:tc>
        <w:tc>
          <w:tcPr>
            <w:tcW w:w="1995" w:type="dxa"/>
            <w:noWrap/>
            <w:hideMark/>
          </w:tcPr>
          <w:p w14:paraId="1493B115" w14:textId="77777777" w:rsidR="00A12B24" w:rsidRPr="00E22F29" w:rsidRDefault="00A12B24" w:rsidP="00A12B24">
            <w:pPr>
              <w:cnfStyle w:val="000000100000" w:firstRow="0" w:lastRow="0" w:firstColumn="0" w:lastColumn="0" w:oddVBand="0" w:evenVBand="0" w:oddHBand="1" w:evenHBand="0" w:firstRowFirstColumn="0" w:firstRowLastColumn="0" w:lastRowFirstColumn="0" w:lastRowLastColumn="0"/>
              <w:rPr>
                <w:u w:val="single"/>
              </w:rPr>
            </w:pPr>
            <w:r w:rsidRPr="00E22F29">
              <w:rPr>
                <w:u w:val="single"/>
              </w:rPr>
              <w:t>£1,520,330</w:t>
            </w:r>
          </w:p>
        </w:tc>
      </w:tr>
      <w:tr w:rsidR="00A12B24" w:rsidRPr="00E22F29" w14:paraId="6D3B98C2" w14:textId="77777777" w:rsidTr="00A12B24">
        <w:trPr>
          <w:trHeight w:val="330"/>
        </w:trPr>
        <w:tc>
          <w:tcPr>
            <w:cnfStyle w:val="001000000000" w:firstRow="0" w:lastRow="0" w:firstColumn="1" w:lastColumn="0" w:oddVBand="0" w:evenVBand="0" w:oddHBand="0" w:evenHBand="0" w:firstRowFirstColumn="0" w:firstRowLastColumn="0" w:lastRowFirstColumn="0" w:lastRowLastColumn="0"/>
            <w:tcW w:w="4815" w:type="dxa"/>
            <w:noWrap/>
            <w:hideMark/>
          </w:tcPr>
          <w:p w14:paraId="0B5B1A99" w14:textId="77777777" w:rsidR="00A12B24" w:rsidRPr="00E22F29" w:rsidRDefault="00A12B24" w:rsidP="00A12B24">
            <w:pPr>
              <w:rPr>
                <w:b w:val="0"/>
                <w:bCs w:val="0"/>
              </w:rPr>
            </w:pPr>
            <w:r w:rsidRPr="00E22F29">
              <w:rPr>
                <w:lang w:eastAsia="en-GB"/>
              </w:rPr>
              <w:t>Total Liabilities &amp; Shareholder's Equity</w:t>
            </w:r>
          </w:p>
        </w:tc>
        <w:tc>
          <w:tcPr>
            <w:tcW w:w="1300" w:type="dxa"/>
            <w:hideMark/>
          </w:tcPr>
          <w:p w14:paraId="41181AB4"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p w14:paraId="54C5366E"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520" w:type="dxa"/>
            <w:hideMark/>
          </w:tcPr>
          <w:p w14:paraId="2CC6039C"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pPr>
          </w:p>
        </w:tc>
        <w:tc>
          <w:tcPr>
            <w:tcW w:w="1995" w:type="dxa"/>
            <w:noWrap/>
            <w:hideMark/>
          </w:tcPr>
          <w:p w14:paraId="438555DB" w14:textId="77777777" w:rsidR="00A12B24" w:rsidRPr="00E22F29" w:rsidRDefault="00A12B24" w:rsidP="00A12B24">
            <w:pPr>
              <w:cnfStyle w:val="000000000000" w:firstRow="0" w:lastRow="0" w:firstColumn="0" w:lastColumn="0" w:oddVBand="0" w:evenVBand="0" w:oddHBand="0" w:evenHBand="0" w:firstRowFirstColumn="0" w:firstRowLastColumn="0" w:lastRowFirstColumn="0" w:lastRowLastColumn="0"/>
              <w:rPr>
                <w:u w:val="double"/>
              </w:rPr>
            </w:pPr>
            <w:r w:rsidRPr="00E22F29">
              <w:rPr>
                <w:u w:val="double"/>
                <w:lang w:eastAsia="en-GB"/>
              </w:rPr>
              <w:t>£2,027,955</w:t>
            </w:r>
          </w:p>
        </w:tc>
      </w:tr>
    </w:tbl>
    <w:p w14:paraId="0ECEFAA1" w14:textId="2AE4951A" w:rsidR="00A12B24" w:rsidRDefault="00A12B24" w:rsidP="00A12B24">
      <w:pPr>
        <w:pStyle w:val="Heading1"/>
      </w:pPr>
      <w:bookmarkStart w:id="3" w:name="_Toc123723404"/>
      <w:r w:rsidRPr="00A12B24">
        <w:t>Answer to Question no 1 (b)</w:t>
      </w:r>
      <w:bookmarkEnd w:id="3"/>
    </w:p>
    <w:p w14:paraId="1E38C337" w14:textId="274CFF8A" w:rsidR="00A12B24" w:rsidRDefault="00113728" w:rsidP="00113728">
      <w:r>
        <w:t xml:space="preserve">The assets included on a company's balance sheet are measurable resources that the company now has or expects to acquire. Liabilities include things like tax obligations, bills that need to be paid, employee salaries, and any other kind of debt. Retained earnings and shareholder contributions are both included in the company's shareholders' equity section. For a company's balance sheet to be considered "balanced," all of its assets and liabilities must match its shareholders' equity. A balance sheet is required to be balanced because of the double entry system of accounting. Each transaction is recorded in at least two different accounts inside this system to double-check the accuracy of the bookkeeping. Each debit and credit must be entered in two different accounts using double-entry accounting so that all transactions can be tracked and documented accurately. It is essential that debits and credits be equalized in a system with many entries. Keeping the records using the double-entry method increases the chance of an accurate financial statement and reduces the risk of human error (Sangster, 2016). Because of its benefits in reducing the likelihood of human error while also helping with the reporting of financial data and the prevention of fraud, double entry accounting is widely used in enterprises. Any added amount on a balance sheet must equal zero. If everything went as planned, the balance sheet would show an asset value that was exactly equal to the sum of the liability and owner equity positions. A company's equity can never rise beyond the difference between its assets and debts. Assets minus owners' equity must always equal liabilities (Wen and Hu, 2021). An error in the books has been made if the balance sheet's totals don't tally up. Common sources of error include wrong equity, depreciation, and amortization calculations, missing data, poorly recorded transactions, improper foreign exchange rates, and inaccurate inventory counts (Wen and Hu, 2021). Verify that the necessary entries and classifications have been made before attempting a balance sheet reconciliation. It is possible that the balances on the balance sheet are erroneous if they are not reconciled on a regular basis. </w:t>
      </w:r>
      <w:r>
        <w:lastRenderedPageBreak/>
        <w:t xml:space="preserve">Monthly balance sheet reconciliations are recommended for most business types (Wen and Hu, 2021). Therefore, while recording a financial transaction in the books, a debit entry must be made against one account and a credit entry must be made against another account for the same amount. </w:t>
      </w:r>
    </w:p>
    <w:p w14:paraId="4FF420DB" w14:textId="48FC860E" w:rsidR="00113728" w:rsidRDefault="00113728" w:rsidP="00113728">
      <w:pPr>
        <w:pStyle w:val="Heading1"/>
      </w:pPr>
      <w:bookmarkStart w:id="4" w:name="_Toc123723405"/>
      <w:r>
        <w:t>Answer to Question no 2 (a)</w:t>
      </w:r>
      <w:bookmarkEnd w:id="4"/>
    </w:p>
    <w:p w14:paraId="4D597083" w14:textId="102D0B13" w:rsidR="00113728" w:rsidRDefault="00113728" w:rsidP="00113728">
      <w:pPr>
        <w:rPr>
          <w:b/>
          <w:bCs/>
        </w:rPr>
      </w:pPr>
      <w:r w:rsidRPr="00113728">
        <w:rPr>
          <w:b/>
          <w:bCs/>
        </w:rPr>
        <w:t>Return on Capital Employed (ROCE):</w:t>
      </w:r>
    </w:p>
    <w:p w14:paraId="50D5D57B" w14:textId="19E3D6C9" w:rsidR="00113728" w:rsidRDefault="00113728" w:rsidP="00113728">
      <w:pPr>
        <w:jc w:val="center"/>
        <w:rPr>
          <w:b/>
          <w:bCs/>
        </w:rPr>
      </w:pPr>
      <w:r w:rsidRPr="00113728">
        <w:rPr>
          <w:b/>
          <w:bCs/>
        </w:rPr>
        <w:t>Return on capital employed = EBIT / capital employed</w:t>
      </w:r>
    </w:p>
    <w:p w14:paraId="54B38A80" w14:textId="2642484B" w:rsidR="00113728" w:rsidRDefault="00113728" w:rsidP="00113728">
      <w:r w:rsidRPr="00113728">
        <w:t>ROCE measures a company's ability to produce returns from capital investments. This ratio may show a company's cash-to-profits conversion efficiency (Hilkevics and Semakina, 2019). ROIC can quantify stock and debt returns, which is a strength. Advantages include: ROCE benefits: Investors use it to create portfolios and investment strategies. This may help compare companies' capitalisation techniques.</w:t>
      </w:r>
    </w:p>
    <w:tbl>
      <w:tblPr>
        <w:tblStyle w:val="TableGrid"/>
        <w:tblW w:w="9947" w:type="dxa"/>
        <w:tblInd w:w="0" w:type="dxa"/>
        <w:tblLook w:val="04A0" w:firstRow="1" w:lastRow="0" w:firstColumn="1" w:lastColumn="0" w:noHBand="0" w:noVBand="1"/>
      </w:tblPr>
      <w:tblGrid>
        <w:gridCol w:w="3315"/>
        <w:gridCol w:w="3316"/>
        <w:gridCol w:w="3316"/>
      </w:tblGrid>
      <w:tr w:rsidR="00113728" w14:paraId="351C423C" w14:textId="77777777" w:rsidTr="00113728">
        <w:trPr>
          <w:trHeight w:val="1838"/>
        </w:trPr>
        <w:tc>
          <w:tcPr>
            <w:tcW w:w="3315" w:type="dxa"/>
            <w:tcBorders>
              <w:top w:val="single" w:sz="4" w:space="0" w:color="auto"/>
              <w:left w:val="single" w:sz="4" w:space="0" w:color="auto"/>
              <w:bottom w:val="single" w:sz="4" w:space="0" w:color="auto"/>
              <w:right w:val="single" w:sz="4" w:space="0" w:color="auto"/>
            </w:tcBorders>
            <w:hideMark/>
          </w:tcPr>
          <w:p w14:paraId="0CFFE85B" w14:textId="77777777" w:rsidR="00113728" w:rsidRDefault="00113728" w:rsidP="00113728">
            <w:r>
              <w:t>Particulars</w:t>
            </w:r>
          </w:p>
        </w:tc>
        <w:tc>
          <w:tcPr>
            <w:tcW w:w="3316" w:type="dxa"/>
            <w:tcBorders>
              <w:top w:val="single" w:sz="4" w:space="0" w:color="auto"/>
              <w:left w:val="single" w:sz="4" w:space="0" w:color="auto"/>
              <w:bottom w:val="single" w:sz="4" w:space="0" w:color="auto"/>
              <w:right w:val="single" w:sz="4" w:space="0" w:color="auto"/>
            </w:tcBorders>
            <w:hideMark/>
          </w:tcPr>
          <w:p w14:paraId="5081B397" w14:textId="77777777" w:rsidR="00113728" w:rsidRDefault="00113728" w:rsidP="00113728">
            <w:r>
              <w:t xml:space="preserve">2020 </w:t>
            </w:r>
          </w:p>
          <w:p w14:paraId="1AD37B1A" w14:textId="77777777" w:rsidR="00113728" w:rsidRDefault="00113728" w:rsidP="00113728">
            <w:r w:rsidRPr="00A42FF0">
              <w:t>(</w:t>
            </w:r>
            <w:r>
              <w:t>A</w:t>
            </w:r>
            <w:r w:rsidRPr="00A42FF0">
              <w:t>mount in £ millions)</w:t>
            </w:r>
          </w:p>
        </w:tc>
        <w:tc>
          <w:tcPr>
            <w:tcW w:w="3316" w:type="dxa"/>
            <w:tcBorders>
              <w:top w:val="single" w:sz="4" w:space="0" w:color="auto"/>
              <w:left w:val="single" w:sz="4" w:space="0" w:color="auto"/>
              <w:bottom w:val="single" w:sz="4" w:space="0" w:color="auto"/>
              <w:right w:val="single" w:sz="4" w:space="0" w:color="auto"/>
            </w:tcBorders>
            <w:hideMark/>
          </w:tcPr>
          <w:p w14:paraId="3E2666B8" w14:textId="77777777" w:rsidR="00113728" w:rsidRDefault="00113728" w:rsidP="00113728">
            <w:r>
              <w:t>2021</w:t>
            </w:r>
          </w:p>
          <w:p w14:paraId="623F6540" w14:textId="77777777" w:rsidR="00113728" w:rsidRDefault="00113728" w:rsidP="00113728">
            <w:r w:rsidRPr="00A42FF0">
              <w:t>(</w:t>
            </w:r>
            <w:r>
              <w:t>A</w:t>
            </w:r>
            <w:r w:rsidRPr="00A42FF0">
              <w:t>mount in £ millions)</w:t>
            </w:r>
          </w:p>
        </w:tc>
      </w:tr>
      <w:tr w:rsidR="00113728" w14:paraId="5FEC4DD9" w14:textId="77777777" w:rsidTr="00113728">
        <w:trPr>
          <w:trHeight w:val="902"/>
        </w:trPr>
        <w:tc>
          <w:tcPr>
            <w:tcW w:w="3315" w:type="dxa"/>
            <w:tcBorders>
              <w:top w:val="single" w:sz="4" w:space="0" w:color="auto"/>
              <w:left w:val="single" w:sz="4" w:space="0" w:color="auto"/>
              <w:bottom w:val="single" w:sz="4" w:space="0" w:color="auto"/>
              <w:right w:val="single" w:sz="4" w:space="0" w:color="auto"/>
            </w:tcBorders>
            <w:hideMark/>
          </w:tcPr>
          <w:p w14:paraId="1825C68D" w14:textId="77777777" w:rsidR="00113728" w:rsidRDefault="00113728" w:rsidP="00113728">
            <w:r>
              <w:t>Operating Earnings</w:t>
            </w:r>
          </w:p>
        </w:tc>
        <w:tc>
          <w:tcPr>
            <w:tcW w:w="3316" w:type="dxa"/>
            <w:tcBorders>
              <w:top w:val="single" w:sz="4" w:space="0" w:color="auto"/>
              <w:left w:val="single" w:sz="4" w:space="0" w:color="auto"/>
              <w:bottom w:val="single" w:sz="4" w:space="0" w:color="auto"/>
              <w:right w:val="single" w:sz="4" w:space="0" w:color="auto"/>
            </w:tcBorders>
            <w:hideMark/>
          </w:tcPr>
          <w:p w14:paraId="7C3EBF06" w14:textId="77777777" w:rsidR="00113728" w:rsidRDefault="00113728" w:rsidP="00113728">
            <w:r>
              <w:t>699</w:t>
            </w:r>
          </w:p>
        </w:tc>
        <w:tc>
          <w:tcPr>
            <w:tcW w:w="3316" w:type="dxa"/>
            <w:tcBorders>
              <w:top w:val="single" w:sz="4" w:space="0" w:color="auto"/>
              <w:left w:val="single" w:sz="4" w:space="0" w:color="auto"/>
              <w:bottom w:val="single" w:sz="4" w:space="0" w:color="auto"/>
              <w:right w:val="single" w:sz="4" w:space="0" w:color="auto"/>
            </w:tcBorders>
            <w:hideMark/>
          </w:tcPr>
          <w:p w14:paraId="0E33450A" w14:textId="77777777" w:rsidR="00113728" w:rsidRDefault="00113728" w:rsidP="00113728">
            <w:r>
              <w:t xml:space="preserve">805 </w:t>
            </w:r>
          </w:p>
        </w:tc>
      </w:tr>
      <w:tr w:rsidR="00113728" w14:paraId="0ECC8BAE" w14:textId="77777777" w:rsidTr="00113728">
        <w:trPr>
          <w:trHeight w:val="902"/>
        </w:trPr>
        <w:tc>
          <w:tcPr>
            <w:tcW w:w="3315" w:type="dxa"/>
            <w:tcBorders>
              <w:top w:val="single" w:sz="4" w:space="0" w:color="auto"/>
              <w:left w:val="single" w:sz="4" w:space="0" w:color="auto"/>
              <w:bottom w:val="single" w:sz="4" w:space="0" w:color="auto"/>
              <w:right w:val="single" w:sz="4" w:space="0" w:color="auto"/>
            </w:tcBorders>
            <w:hideMark/>
          </w:tcPr>
          <w:p w14:paraId="07736709" w14:textId="77777777" w:rsidR="00113728" w:rsidRDefault="00113728" w:rsidP="00113728">
            <w:r>
              <w:t>Total Asset</w:t>
            </w:r>
          </w:p>
        </w:tc>
        <w:tc>
          <w:tcPr>
            <w:tcW w:w="3316" w:type="dxa"/>
            <w:tcBorders>
              <w:top w:val="single" w:sz="4" w:space="0" w:color="auto"/>
              <w:left w:val="single" w:sz="4" w:space="0" w:color="auto"/>
              <w:bottom w:val="single" w:sz="4" w:space="0" w:color="auto"/>
              <w:right w:val="single" w:sz="4" w:space="0" w:color="auto"/>
            </w:tcBorders>
            <w:hideMark/>
          </w:tcPr>
          <w:p w14:paraId="714478A4" w14:textId="77777777" w:rsidR="00113728" w:rsidRDefault="00113728" w:rsidP="00113728">
            <w:r>
              <w:t xml:space="preserve">10,087 </w:t>
            </w:r>
          </w:p>
        </w:tc>
        <w:tc>
          <w:tcPr>
            <w:tcW w:w="3316" w:type="dxa"/>
            <w:tcBorders>
              <w:top w:val="single" w:sz="4" w:space="0" w:color="auto"/>
              <w:left w:val="single" w:sz="4" w:space="0" w:color="auto"/>
              <w:bottom w:val="single" w:sz="4" w:space="0" w:color="auto"/>
              <w:right w:val="single" w:sz="4" w:space="0" w:color="auto"/>
            </w:tcBorders>
            <w:hideMark/>
          </w:tcPr>
          <w:p w14:paraId="6AD52A81" w14:textId="77777777" w:rsidR="00113728" w:rsidRDefault="00113728" w:rsidP="00113728">
            <w:r>
              <w:t xml:space="preserve">9,736 </w:t>
            </w:r>
          </w:p>
        </w:tc>
      </w:tr>
      <w:tr w:rsidR="00113728" w14:paraId="1C8FEAB2" w14:textId="77777777" w:rsidTr="00113728">
        <w:trPr>
          <w:trHeight w:val="902"/>
        </w:trPr>
        <w:tc>
          <w:tcPr>
            <w:tcW w:w="3315" w:type="dxa"/>
            <w:tcBorders>
              <w:top w:val="single" w:sz="4" w:space="0" w:color="auto"/>
              <w:left w:val="single" w:sz="4" w:space="0" w:color="auto"/>
              <w:bottom w:val="single" w:sz="4" w:space="0" w:color="auto"/>
              <w:right w:val="single" w:sz="4" w:space="0" w:color="auto"/>
            </w:tcBorders>
            <w:hideMark/>
          </w:tcPr>
          <w:p w14:paraId="58174C94" w14:textId="77777777" w:rsidR="00113728" w:rsidRDefault="00113728" w:rsidP="00113728">
            <w:r>
              <w:t>Total Current Liability</w:t>
            </w:r>
          </w:p>
        </w:tc>
        <w:tc>
          <w:tcPr>
            <w:tcW w:w="3316" w:type="dxa"/>
            <w:tcBorders>
              <w:top w:val="single" w:sz="4" w:space="0" w:color="auto"/>
              <w:left w:val="single" w:sz="4" w:space="0" w:color="auto"/>
              <w:bottom w:val="single" w:sz="4" w:space="0" w:color="auto"/>
              <w:right w:val="single" w:sz="4" w:space="0" w:color="auto"/>
            </w:tcBorders>
            <w:hideMark/>
          </w:tcPr>
          <w:p w14:paraId="10E1B6B7" w14:textId="77777777" w:rsidR="00113728" w:rsidRDefault="00113728" w:rsidP="00113728">
            <w:r>
              <w:t xml:space="preserve">3,046 </w:t>
            </w:r>
          </w:p>
        </w:tc>
        <w:tc>
          <w:tcPr>
            <w:tcW w:w="3316" w:type="dxa"/>
            <w:tcBorders>
              <w:top w:val="single" w:sz="4" w:space="0" w:color="auto"/>
              <w:left w:val="single" w:sz="4" w:space="0" w:color="auto"/>
              <w:bottom w:val="single" w:sz="4" w:space="0" w:color="auto"/>
              <w:right w:val="single" w:sz="4" w:space="0" w:color="auto"/>
            </w:tcBorders>
            <w:hideMark/>
          </w:tcPr>
          <w:p w14:paraId="3E2B4201" w14:textId="77777777" w:rsidR="00113728" w:rsidRDefault="00113728" w:rsidP="00113728">
            <w:r>
              <w:t xml:space="preserve">2511 </w:t>
            </w:r>
          </w:p>
        </w:tc>
      </w:tr>
    </w:tbl>
    <w:p w14:paraId="1C693D8D" w14:textId="77777777" w:rsidR="00113728" w:rsidRDefault="00113728" w:rsidP="00113728"/>
    <w:p w14:paraId="57DC2F0D" w14:textId="448CF5A5" w:rsidR="00113728" w:rsidRDefault="00113728" w:rsidP="00113728">
      <w:r w:rsidRPr="00113728">
        <w:t>Based on the available facts, the ROCE of Sweets Plc for 2020 and 2021 is computed below</w:t>
      </w:r>
      <w:r>
        <w:t>:</w:t>
      </w:r>
    </w:p>
    <w:p w14:paraId="6EB89B99" w14:textId="01F416EB" w:rsidR="00113728" w:rsidRPr="00113728" w:rsidRDefault="00113728" w:rsidP="00113728">
      <w:pPr>
        <w:rPr>
          <w:b/>
          <w:bCs/>
        </w:rPr>
      </w:pPr>
      <w:r w:rsidRPr="00113728">
        <w:rPr>
          <w:b/>
          <w:bCs/>
        </w:rPr>
        <w:t>2020</w:t>
      </w:r>
    </w:p>
    <w:p w14:paraId="3F235F48" w14:textId="77777777" w:rsidR="00113728" w:rsidRDefault="00113728" w:rsidP="00113728">
      <w:pPr>
        <w:rPr>
          <w:rFonts w:eastAsiaTheme="minorEastAsia" w:cs="Times New Roman"/>
          <w:szCs w:val="24"/>
        </w:rPr>
      </w:pPr>
      <w:r>
        <w:rPr>
          <w:rFonts w:cs="Times New Roman"/>
          <w:szCs w:val="24"/>
        </w:rPr>
        <w:t>=</w:t>
      </w:r>
      <m:oMath>
        <m:f>
          <m:fPr>
            <m:ctrlPr>
              <w:rPr>
                <w:rFonts w:ascii="Cambria Math" w:hAnsi="Cambria Math" w:cs="Times New Roman"/>
                <w:i/>
                <w:sz w:val="32"/>
                <w:szCs w:val="32"/>
              </w:rPr>
            </m:ctrlPr>
          </m:fPr>
          <m:num>
            <m:r>
              <w:rPr>
                <w:rFonts w:ascii="Cambria Math" w:hAnsi="Cambria Math" w:cs="Times New Roman"/>
                <w:sz w:val="32"/>
                <w:szCs w:val="32"/>
              </w:rPr>
              <m:t xml:space="preserve">699 </m:t>
            </m:r>
          </m:num>
          <m:den>
            <m:r>
              <w:rPr>
                <w:rFonts w:ascii="Cambria Math" w:hAnsi="Cambria Math" w:cs="Times New Roman"/>
                <w:sz w:val="32"/>
                <w:szCs w:val="32"/>
              </w:rPr>
              <m:t xml:space="preserve">10,087  - 3,046 </m:t>
            </m:r>
          </m:den>
        </m:f>
      </m:oMath>
      <w:r w:rsidRPr="00C773F6">
        <w:rPr>
          <w:rFonts w:eastAsiaTheme="minorEastAsia" w:cs="Times New Roman"/>
          <w:sz w:val="32"/>
          <w:szCs w:val="32"/>
        </w:rPr>
        <w:t xml:space="preserve"> *100</w:t>
      </w:r>
    </w:p>
    <w:p w14:paraId="0C1FE867" w14:textId="7BC4338E" w:rsidR="00113728" w:rsidRDefault="00113728" w:rsidP="00113728">
      <w:pPr>
        <w:rPr>
          <w:rFonts w:eastAsiaTheme="minorEastAsia" w:cs="Times New Roman"/>
          <w:szCs w:val="24"/>
        </w:rPr>
      </w:pPr>
      <w:r>
        <w:rPr>
          <w:rFonts w:eastAsiaTheme="minorEastAsia" w:cs="Times New Roman"/>
          <w:szCs w:val="24"/>
        </w:rPr>
        <w:t>= 9.93%</w:t>
      </w:r>
    </w:p>
    <w:p w14:paraId="30FAD203" w14:textId="7324A9B9" w:rsidR="00113728" w:rsidRPr="00113728" w:rsidRDefault="00113728" w:rsidP="00113728">
      <w:pPr>
        <w:rPr>
          <w:rFonts w:eastAsiaTheme="minorEastAsia" w:cs="Times New Roman"/>
          <w:b/>
          <w:bCs/>
          <w:szCs w:val="24"/>
        </w:rPr>
      </w:pPr>
      <w:r w:rsidRPr="00113728">
        <w:rPr>
          <w:rFonts w:eastAsiaTheme="minorEastAsia" w:cs="Times New Roman"/>
          <w:b/>
          <w:bCs/>
          <w:szCs w:val="24"/>
        </w:rPr>
        <w:lastRenderedPageBreak/>
        <w:t>2021</w:t>
      </w:r>
    </w:p>
    <w:p w14:paraId="17AC0650" w14:textId="77777777" w:rsidR="00113728" w:rsidRDefault="00113728" w:rsidP="00113728">
      <w:pPr>
        <w:rPr>
          <w:rFonts w:eastAsiaTheme="minorEastAsia" w:cs="Times New Roman"/>
          <w:szCs w:val="24"/>
        </w:rPr>
      </w:pPr>
      <w:r>
        <w:rPr>
          <w:rFonts w:cs="Times New Roman"/>
          <w:szCs w:val="24"/>
        </w:rPr>
        <w:t>=</w:t>
      </w:r>
      <m:oMath>
        <m:f>
          <m:fPr>
            <m:ctrlPr>
              <w:rPr>
                <w:rFonts w:ascii="Cambria Math" w:hAnsi="Cambria Math" w:cs="Times New Roman"/>
                <w:i/>
                <w:sz w:val="32"/>
                <w:szCs w:val="32"/>
              </w:rPr>
            </m:ctrlPr>
          </m:fPr>
          <m:num>
            <m:r>
              <w:rPr>
                <w:rFonts w:ascii="Cambria Math" w:hAnsi="Cambria Math" w:cs="Times New Roman"/>
                <w:sz w:val="32"/>
                <w:szCs w:val="32"/>
              </w:rPr>
              <m:t xml:space="preserve">805 </m:t>
            </m:r>
          </m:num>
          <m:den>
            <m:r>
              <w:rPr>
                <w:rFonts w:ascii="Cambria Math" w:hAnsi="Cambria Math" w:cs="Times New Roman"/>
                <w:sz w:val="32"/>
                <w:szCs w:val="32"/>
              </w:rPr>
              <m:t xml:space="preserve">9736 - 2511 </m:t>
            </m:r>
          </m:den>
        </m:f>
      </m:oMath>
      <w:r w:rsidRPr="00C773F6">
        <w:rPr>
          <w:rFonts w:eastAsiaTheme="minorEastAsia" w:cs="Times New Roman"/>
          <w:sz w:val="32"/>
          <w:szCs w:val="32"/>
        </w:rPr>
        <w:t xml:space="preserve"> *100</w:t>
      </w:r>
    </w:p>
    <w:p w14:paraId="6090266D" w14:textId="3D7ADDF0" w:rsidR="00113728" w:rsidRPr="00113728" w:rsidRDefault="00113728" w:rsidP="00113728">
      <w:r>
        <w:rPr>
          <w:rFonts w:eastAsiaTheme="minorEastAsia" w:cs="Times New Roman"/>
          <w:szCs w:val="24"/>
        </w:rPr>
        <w:t xml:space="preserve">  = 11.14%</w:t>
      </w:r>
    </w:p>
    <w:p w14:paraId="2B0E9E43" w14:textId="77777777" w:rsidR="00113728" w:rsidRPr="00113728" w:rsidRDefault="00113728" w:rsidP="00113728">
      <w:pPr>
        <w:rPr>
          <w:b/>
          <w:bCs/>
        </w:rPr>
      </w:pPr>
    </w:p>
    <w:p w14:paraId="424FAF42" w14:textId="20579508" w:rsidR="00113728" w:rsidRDefault="00113728" w:rsidP="00113728">
      <w:pPr>
        <w:rPr>
          <w:b/>
          <w:bCs/>
        </w:rPr>
      </w:pPr>
      <w:r w:rsidRPr="00113728">
        <w:rPr>
          <w:b/>
          <w:bCs/>
        </w:rPr>
        <w:t>Return on Equity (ROE):</w:t>
      </w:r>
    </w:p>
    <w:p w14:paraId="2542CD39" w14:textId="77777777" w:rsidR="00113728" w:rsidRPr="00113728" w:rsidRDefault="00113728" w:rsidP="00113728">
      <w:pPr>
        <w:jc w:val="center"/>
        <w:rPr>
          <w:b/>
          <w:bCs/>
        </w:rPr>
      </w:pPr>
      <w:r w:rsidRPr="00113728">
        <w:rPr>
          <w:b/>
          <w:bCs/>
        </w:rPr>
        <w:t>Return on equity = Net income / shareholder’s equity</w:t>
      </w:r>
    </w:p>
    <w:p w14:paraId="5AFD1EFC" w14:textId="77777777" w:rsidR="00113728" w:rsidRDefault="00113728" w:rsidP="00113728">
      <w:pPr>
        <w:rPr>
          <w:b/>
          <w:bCs/>
        </w:rPr>
      </w:pPr>
    </w:p>
    <w:p w14:paraId="2F22DE9B" w14:textId="6EEFD6FD" w:rsidR="00113728" w:rsidRDefault="00113728" w:rsidP="00113728">
      <w:r w:rsidRPr="00113728">
        <w:t>Return on equity measures a company's profitability. ROE is frequently called ROA-L since it's computed by adding a company's assets and subtracting its liabilities (Kimmel and Kieso, 2020). ROE is a key indicator for comparing companies in the same sector (Kimmel and Kieso, 2020).</w:t>
      </w:r>
      <w:r>
        <w:t xml:space="preserve"> </w:t>
      </w:r>
    </w:p>
    <w:p w14:paraId="02179B3B" w14:textId="594FC7AB" w:rsidR="00113728" w:rsidRDefault="00C773F6" w:rsidP="00113728">
      <w:r w:rsidRPr="00C773F6">
        <w:t>In order to calculate return on equity, Sweets Plc has given the following data:</w:t>
      </w:r>
    </w:p>
    <w:tbl>
      <w:tblPr>
        <w:tblStyle w:val="TableGrid"/>
        <w:tblW w:w="9827" w:type="dxa"/>
        <w:tblInd w:w="0" w:type="dxa"/>
        <w:tblLook w:val="04A0" w:firstRow="1" w:lastRow="0" w:firstColumn="1" w:lastColumn="0" w:noHBand="0" w:noVBand="1"/>
      </w:tblPr>
      <w:tblGrid>
        <w:gridCol w:w="3275"/>
        <w:gridCol w:w="3276"/>
        <w:gridCol w:w="3276"/>
      </w:tblGrid>
      <w:tr w:rsidR="00C773F6" w14:paraId="133CD7D2" w14:textId="77777777" w:rsidTr="00C773F6">
        <w:trPr>
          <w:trHeight w:val="1561"/>
        </w:trPr>
        <w:tc>
          <w:tcPr>
            <w:tcW w:w="3275" w:type="dxa"/>
            <w:tcBorders>
              <w:top w:val="single" w:sz="4" w:space="0" w:color="auto"/>
              <w:left w:val="single" w:sz="4" w:space="0" w:color="auto"/>
              <w:bottom w:val="single" w:sz="4" w:space="0" w:color="auto"/>
              <w:right w:val="single" w:sz="4" w:space="0" w:color="auto"/>
            </w:tcBorders>
            <w:hideMark/>
          </w:tcPr>
          <w:p w14:paraId="5FD62643" w14:textId="77777777" w:rsidR="00C773F6" w:rsidRDefault="00C773F6" w:rsidP="00C773F6">
            <w:r>
              <w:t>Particulars</w:t>
            </w:r>
          </w:p>
        </w:tc>
        <w:tc>
          <w:tcPr>
            <w:tcW w:w="3276" w:type="dxa"/>
            <w:tcBorders>
              <w:top w:val="single" w:sz="4" w:space="0" w:color="auto"/>
              <w:left w:val="single" w:sz="4" w:space="0" w:color="auto"/>
              <w:bottom w:val="single" w:sz="4" w:space="0" w:color="auto"/>
              <w:right w:val="single" w:sz="4" w:space="0" w:color="auto"/>
            </w:tcBorders>
            <w:hideMark/>
          </w:tcPr>
          <w:p w14:paraId="3586CBE1" w14:textId="77777777" w:rsidR="00C773F6" w:rsidRDefault="00C773F6" w:rsidP="00C773F6">
            <w:r>
              <w:t>2020</w:t>
            </w:r>
          </w:p>
          <w:p w14:paraId="0F485407" w14:textId="77777777" w:rsidR="00C773F6" w:rsidRDefault="00C773F6" w:rsidP="00C773F6">
            <w:r w:rsidRPr="00A42FF0">
              <w:t>(</w:t>
            </w:r>
            <w:r>
              <w:t>A</w:t>
            </w:r>
            <w:r w:rsidRPr="00A42FF0">
              <w:t>mount in £ millions)</w:t>
            </w:r>
          </w:p>
        </w:tc>
        <w:tc>
          <w:tcPr>
            <w:tcW w:w="3276" w:type="dxa"/>
            <w:tcBorders>
              <w:top w:val="single" w:sz="4" w:space="0" w:color="auto"/>
              <w:left w:val="single" w:sz="4" w:space="0" w:color="auto"/>
              <w:bottom w:val="single" w:sz="4" w:space="0" w:color="auto"/>
              <w:right w:val="single" w:sz="4" w:space="0" w:color="auto"/>
            </w:tcBorders>
            <w:hideMark/>
          </w:tcPr>
          <w:p w14:paraId="64CC497D" w14:textId="77777777" w:rsidR="00C773F6" w:rsidRDefault="00C773F6" w:rsidP="00C773F6">
            <w:r>
              <w:t>2021</w:t>
            </w:r>
          </w:p>
          <w:p w14:paraId="0C2C1C0D" w14:textId="77777777" w:rsidR="00C773F6" w:rsidRDefault="00C773F6" w:rsidP="00C773F6">
            <w:r w:rsidRPr="00A42FF0">
              <w:t>(</w:t>
            </w:r>
            <w:r>
              <w:t>A</w:t>
            </w:r>
            <w:r w:rsidRPr="00A42FF0">
              <w:t>mount in £ millions)</w:t>
            </w:r>
          </w:p>
        </w:tc>
      </w:tr>
      <w:tr w:rsidR="00C773F6" w14:paraId="668D8815" w14:textId="77777777" w:rsidTr="00C773F6">
        <w:trPr>
          <w:trHeight w:val="766"/>
        </w:trPr>
        <w:tc>
          <w:tcPr>
            <w:tcW w:w="3275" w:type="dxa"/>
            <w:tcBorders>
              <w:top w:val="single" w:sz="4" w:space="0" w:color="auto"/>
              <w:left w:val="single" w:sz="4" w:space="0" w:color="auto"/>
              <w:bottom w:val="single" w:sz="4" w:space="0" w:color="auto"/>
              <w:right w:val="single" w:sz="4" w:space="0" w:color="auto"/>
            </w:tcBorders>
            <w:hideMark/>
          </w:tcPr>
          <w:p w14:paraId="20305681" w14:textId="77777777" w:rsidR="00C773F6" w:rsidRDefault="00C773F6" w:rsidP="00C773F6">
            <w:r>
              <w:t>Net Income</w:t>
            </w:r>
          </w:p>
        </w:tc>
        <w:tc>
          <w:tcPr>
            <w:tcW w:w="3276" w:type="dxa"/>
            <w:tcBorders>
              <w:top w:val="single" w:sz="4" w:space="0" w:color="auto"/>
              <w:left w:val="single" w:sz="4" w:space="0" w:color="auto"/>
              <w:bottom w:val="single" w:sz="4" w:space="0" w:color="auto"/>
              <w:right w:val="single" w:sz="4" w:space="0" w:color="auto"/>
            </w:tcBorders>
            <w:hideMark/>
          </w:tcPr>
          <w:p w14:paraId="797343B7" w14:textId="77777777" w:rsidR="00C773F6" w:rsidRDefault="00C773F6" w:rsidP="00C773F6">
            <w:r>
              <w:t xml:space="preserve">366 </w:t>
            </w:r>
          </w:p>
        </w:tc>
        <w:tc>
          <w:tcPr>
            <w:tcW w:w="3276" w:type="dxa"/>
            <w:tcBorders>
              <w:top w:val="single" w:sz="4" w:space="0" w:color="auto"/>
              <w:left w:val="single" w:sz="4" w:space="0" w:color="auto"/>
              <w:bottom w:val="single" w:sz="4" w:space="0" w:color="auto"/>
              <w:right w:val="single" w:sz="4" w:space="0" w:color="auto"/>
            </w:tcBorders>
            <w:hideMark/>
          </w:tcPr>
          <w:p w14:paraId="55F9ADCD" w14:textId="77777777" w:rsidR="00C773F6" w:rsidRDefault="00C773F6" w:rsidP="00C773F6">
            <w:r>
              <w:t xml:space="preserve">431 </w:t>
            </w:r>
          </w:p>
        </w:tc>
      </w:tr>
      <w:tr w:rsidR="00C773F6" w14:paraId="433928B4" w14:textId="77777777" w:rsidTr="00C773F6">
        <w:trPr>
          <w:trHeight w:val="766"/>
        </w:trPr>
        <w:tc>
          <w:tcPr>
            <w:tcW w:w="3275" w:type="dxa"/>
            <w:tcBorders>
              <w:top w:val="single" w:sz="4" w:space="0" w:color="auto"/>
              <w:left w:val="single" w:sz="4" w:space="0" w:color="auto"/>
              <w:bottom w:val="single" w:sz="4" w:space="0" w:color="auto"/>
              <w:right w:val="single" w:sz="4" w:space="0" w:color="auto"/>
            </w:tcBorders>
            <w:hideMark/>
          </w:tcPr>
          <w:p w14:paraId="5EAA7C12" w14:textId="77777777" w:rsidR="00C773F6" w:rsidRDefault="00C773F6" w:rsidP="00C773F6">
            <w:r>
              <w:t>Total Shareholder’s Equity</w:t>
            </w:r>
          </w:p>
        </w:tc>
        <w:tc>
          <w:tcPr>
            <w:tcW w:w="3276" w:type="dxa"/>
            <w:tcBorders>
              <w:top w:val="single" w:sz="4" w:space="0" w:color="auto"/>
              <w:left w:val="single" w:sz="4" w:space="0" w:color="auto"/>
              <w:bottom w:val="single" w:sz="4" w:space="0" w:color="auto"/>
              <w:right w:val="single" w:sz="4" w:space="0" w:color="auto"/>
            </w:tcBorders>
            <w:hideMark/>
          </w:tcPr>
          <w:p w14:paraId="4D66B4B3" w14:textId="77777777" w:rsidR="00C773F6" w:rsidRDefault="00C773F6" w:rsidP="00C773F6">
            <w:r>
              <w:t xml:space="preserve">2,912 </w:t>
            </w:r>
          </w:p>
        </w:tc>
        <w:tc>
          <w:tcPr>
            <w:tcW w:w="3276" w:type="dxa"/>
            <w:tcBorders>
              <w:top w:val="single" w:sz="4" w:space="0" w:color="auto"/>
              <w:left w:val="single" w:sz="4" w:space="0" w:color="auto"/>
              <w:bottom w:val="single" w:sz="4" w:space="0" w:color="auto"/>
              <w:right w:val="single" w:sz="4" w:space="0" w:color="auto"/>
            </w:tcBorders>
            <w:hideMark/>
          </w:tcPr>
          <w:p w14:paraId="782F2206" w14:textId="77777777" w:rsidR="00C773F6" w:rsidRDefault="00C773F6" w:rsidP="00C773F6">
            <w:r>
              <w:t xml:space="preserve">3,088 </w:t>
            </w:r>
          </w:p>
        </w:tc>
      </w:tr>
    </w:tbl>
    <w:p w14:paraId="64ABE375" w14:textId="77777777" w:rsidR="00C773F6" w:rsidRPr="00113728" w:rsidRDefault="00C773F6" w:rsidP="00113728"/>
    <w:p w14:paraId="1AAFAA85" w14:textId="3C0E639E" w:rsidR="00113728" w:rsidRPr="00C773F6" w:rsidRDefault="00C773F6" w:rsidP="00113728">
      <w:pPr>
        <w:rPr>
          <w:b/>
          <w:bCs/>
        </w:rPr>
      </w:pPr>
      <w:r w:rsidRPr="00C773F6">
        <w:rPr>
          <w:b/>
          <w:bCs/>
        </w:rPr>
        <w:t>2020</w:t>
      </w:r>
    </w:p>
    <w:p w14:paraId="7184C456" w14:textId="77777777" w:rsidR="00C773F6" w:rsidRPr="00C773F6" w:rsidRDefault="00C773F6" w:rsidP="00C773F6">
      <w:pPr>
        <w:rPr>
          <w:rFonts w:eastAsiaTheme="minorEastAsia" w:cs="Times New Roman"/>
          <w:sz w:val="32"/>
          <w:szCs w:val="32"/>
        </w:rPr>
      </w:pPr>
      <w:r w:rsidRPr="00C773F6">
        <w:rPr>
          <w:rFonts w:cs="Times New Roman"/>
          <w:sz w:val="32"/>
          <w:szCs w:val="32"/>
        </w:rPr>
        <w:t>=</w:t>
      </w:r>
      <m:oMath>
        <m:f>
          <m:fPr>
            <m:ctrlPr>
              <w:rPr>
                <w:rFonts w:ascii="Cambria Math" w:hAnsi="Cambria Math" w:cs="Times New Roman"/>
                <w:i/>
                <w:sz w:val="32"/>
                <w:szCs w:val="32"/>
              </w:rPr>
            </m:ctrlPr>
          </m:fPr>
          <m:num>
            <m:r>
              <w:rPr>
                <w:rFonts w:ascii="Cambria Math" w:hAnsi="Cambria Math" w:cs="Times New Roman"/>
                <w:sz w:val="32"/>
                <w:szCs w:val="32"/>
              </w:rPr>
              <m:t xml:space="preserve">366 </m:t>
            </m:r>
          </m:num>
          <m:den>
            <m:r>
              <w:rPr>
                <w:rFonts w:ascii="Cambria Math" w:hAnsi="Cambria Math" w:cs="Times New Roman"/>
                <w:sz w:val="32"/>
                <w:szCs w:val="32"/>
              </w:rPr>
              <m:t xml:space="preserve">2,912 </m:t>
            </m:r>
          </m:den>
        </m:f>
      </m:oMath>
      <w:r w:rsidRPr="00C773F6">
        <w:rPr>
          <w:rFonts w:eastAsiaTheme="minorEastAsia" w:cs="Times New Roman"/>
          <w:sz w:val="32"/>
          <w:szCs w:val="32"/>
        </w:rPr>
        <w:t xml:space="preserve"> *100</w:t>
      </w:r>
    </w:p>
    <w:p w14:paraId="0F107686" w14:textId="447FAFB6" w:rsidR="00C773F6" w:rsidRDefault="00C773F6" w:rsidP="00C773F6">
      <w:pPr>
        <w:rPr>
          <w:rFonts w:eastAsiaTheme="minorEastAsia" w:cs="Times New Roman"/>
          <w:szCs w:val="24"/>
        </w:rPr>
      </w:pPr>
      <w:r>
        <w:rPr>
          <w:rFonts w:eastAsiaTheme="minorEastAsia" w:cs="Times New Roman"/>
          <w:szCs w:val="24"/>
        </w:rPr>
        <w:t>= 12.56%</w:t>
      </w:r>
    </w:p>
    <w:p w14:paraId="0DD1B4A4" w14:textId="38955B52" w:rsidR="00C773F6" w:rsidRPr="00C773F6" w:rsidRDefault="00C773F6" w:rsidP="00C773F6">
      <w:pPr>
        <w:rPr>
          <w:rFonts w:eastAsiaTheme="minorEastAsia" w:cs="Times New Roman"/>
          <w:b/>
          <w:bCs/>
          <w:szCs w:val="24"/>
        </w:rPr>
      </w:pPr>
      <w:r w:rsidRPr="00C773F6">
        <w:rPr>
          <w:rFonts w:eastAsiaTheme="minorEastAsia" w:cs="Times New Roman"/>
          <w:b/>
          <w:bCs/>
          <w:szCs w:val="24"/>
        </w:rPr>
        <w:t>2021</w:t>
      </w:r>
    </w:p>
    <w:p w14:paraId="48195B82" w14:textId="77777777" w:rsidR="00C773F6" w:rsidRPr="00C773F6" w:rsidRDefault="00C773F6" w:rsidP="00C773F6">
      <w:pPr>
        <w:rPr>
          <w:rFonts w:eastAsiaTheme="minorEastAsia" w:cs="Times New Roman"/>
          <w:sz w:val="32"/>
          <w:szCs w:val="32"/>
        </w:rPr>
      </w:pPr>
      <w:r w:rsidRPr="00C773F6">
        <w:rPr>
          <w:rFonts w:cs="Times New Roman"/>
          <w:sz w:val="32"/>
          <w:szCs w:val="32"/>
        </w:rPr>
        <w:lastRenderedPageBreak/>
        <w:t>=</w:t>
      </w:r>
      <m:oMath>
        <m:f>
          <m:fPr>
            <m:ctrlPr>
              <w:rPr>
                <w:rFonts w:ascii="Cambria Math" w:hAnsi="Cambria Math" w:cs="Times New Roman"/>
                <w:i/>
                <w:sz w:val="32"/>
                <w:szCs w:val="32"/>
              </w:rPr>
            </m:ctrlPr>
          </m:fPr>
          <m:num>
            <m:r>
              <w:rPr>
                <w:rFonts w:ascii="Cambria Math" w:hAnsi="Cambria Math" w:cs="Times New Roman"/>
                <w:sz w:val="32"/>
                <w:szCs w:val="32"/>
              </w:rPr>
              <m:t xml:space="preserve">431 </m:t>
            </m:r>
          </m:num>
          <m:den>
            <m:r>
              <w:rPr>
                <w:rFonts w:ascii="Cambria Math" w:hAnsi="Cambria Math" w:cs="Times New Roman"/>
                <w:sz w:val="32"/>
                <w:szCs w:val="32"/>
              </w:rPr>
              <m:t xml:space="preserve">3,088 </m:t>
            </m:r>
          </m:den>
        </m:f>
      </m:oMath>
      <w:r w:rsidRPr="00C773F6">
        <w:rPr>
          <w:rFonts w:eastAsiaTheme="minorEastAsia" w:cs="Times New Roman"/>
          <w:sz w:val="32"/>
          <w:szCs w:val="32"/>
        </w:rPr>
        <w:t xml:space="preserve"> *100</w:t>
      </w:r>
    </w:p>
    <w:p w14:paraId="54DD3C85" w14:textId="1EB65DDD" w:rsidR="00C773F6" w:rsidRPr="00113728" w:rsidRDefault="00C773F6" w:rsidP="00C773F6">
      <w:r>
        <w:t>= 13.96%</w:t>
      </w:r>
    </w:p>
    <w:p w14:paraId="0974CB02" w14:textId="77CBE4F7" w:rsidR="00C773F6" w:rsidRDefault="00C773F6" w:rsidP="00C773F6">
      <w:pPr>
        <w:rPr>
          <w:b/>
          <w:bCs/>
        </w:rPr>
      </w:pPr>
      <w:r w:rsidRPr="00C773F6">
        <w:rPr>
          <w:b/>
          <w:bCs/>
        </w:rPr>
        <w:t>Earnings Per Share (EPS):</w:t>
      </w:r>
    </w:p>
    <w:p w14:paraId="1800DF70" w14:textId="77777777" w:rsidR="00C773F6" w:rsidRDefault="00C773F6" w:rsidP="00C773F6">
      <w:pPr>
        <w:jc w:val="center"/>
      </w:pPr>
      <w:r>
        <w:t>Earnings per share = (Net income – dividends payments) / weighted average shares outstanding</w:t>
      </w:r>
    </w:p>
    <w:p w14:paraId="641BD229" w14:textId="77777777" w:rsidR="00C773F6" w:rsidRDefault="00C773F6" w:rsidP="00C773F6">
      <w:pPr>
        <w:rPr>
          <w:b/>
          <w:bCs/>
        </w:rPr>
      </w:pPr>
    </w:p>
    <w:p w14:paraId="50D31396" w14:textId="515F1575" w:rsidR="00C773F6" w:rsidRDefault="00C773F6" w:rsidP="00C773F6">
      <w:r w:rsidRPr="00C773F6">
        <w:t>It's a common metric for gauging how much an individual investor in the stock market is prepared to pay for one pound of the Company's stated profits. Profit per share is the same as the company's net profit divided by the number of outstanding shares of common stock. It is often used as a surrogate for a company's profitability in stock valuation (Jurakulovna, 2021). The report breaks out the return on investment for stockholders in great detail. The ability to compare stock investments' returns helps investors choose an investing strategy for the future (Jurakulovna, 2021).</w:t>
      </w:r>
      <w:r>
        <w:t xml:space="preserve"> </w:t>
      </w:r>
    </w:p>
    <w:tbl>
      <w:tblPr>
        <w:tblStyle w:val="TableGrid"/>
        <w:tblW w:w="9872" w:type="dxa"/>
        <w:tblInd w:w="0" w:type="dxa"/>
        <w:tblLook w:val="04A0" w:firstRow="1" w:lastRow="0" w:firstColumn="1" w:lastColumn="0" w:noHBand="0" w:noVBand="1"/>
      </w:tblPr>
      <w:tblGrid>
        <w:gridCol w:w="3290"/>
        <w:gridCol w:w="3291"/>
        <w:gridCol w:w="3291"/>
      </w:tblGrid>
      <w:tr w:rsidR="00C773F6" w14:paraId="2DD73FE9" w14:textId="77777777" w:rsidTr="00C773F6">
        <w:trPr>
          <w:trHeight w:val="1246"/>
        </w:trPr>
        <w:tc>
          <w:tcPr>
            <w:tcW w:w="3290" w:type="dxa"/>
            <w:tcBorders>
              <w:top w:val="single" w:sz="4" w:space="0" w:color="auto"/>
              <w:left w:val="single" w:sz="4" w:space="0" w:color="auto"/>
              <w:bottom w:val="single" w:sz="4" w:space="0" w:color="auto"/>
              <w:right w:val="single" w:sz="4" w:space="0" w:color="auto"/>
            </w:tcBorders>
            <w:hideMark/>
          </w:tcPr>
          <w:p w14:paraId="72BC9095" w14:textId="77777777" w:rsidR="00C773F6" w:rsidRDefault="00C773F6" w:rsidP="00C773F6">
            <w:r>
              <w:t>Particulars</w:t>
            </w:r>
          </w:p>
        </w:tc>
        <w:tc>
          <w:tcPr>
            <w:tcW w:w="3291" w:type="dxa"/>
            <w:tcBorders>
              <w:top w:val="single" w:sz="4" w:space="0" w:color="auto"/>
              <w:left w:val="single" w:sz="4" w:space="0" w:color="auto"/>
              <w:bottom w:val="single" w:sz="4" w:space="0" w:color="auto"/>
              <w:right w:val="single" w:sz="4" w:space="0" w:color="auto"/>
            </w:tcBorders>
            <w:hideMark/>
          </w:tcPr>
          <w:p w14:paraId="47038CF4" w14:textId="77777777" w:rsidR="00C773F6" w:rsidRDefault="00C773F6" w:rsidP="00C773F6">
            <w:r>
              <w:t>2020</w:t>
            </w:r>
          </w:p>
          <w:p w14:paraId="6E434AF9" w14:textId="77777777" w:rsidR="00C773F6" w:rsidRDefault="00C773F6" w:rsidP="00C773F6">
            <w:r w:rsidRPr="00A42FF0">
              <w:t>(</w:t>
            </w:r>
            <w:r>
              <w:t>A</w:t>
            </w:r>
            <w:r w:rsidRPr="00A42FF0">
              <w:t>mount in £ millions)</w:t>
            </w:r>
          </w:p>
        </w:tc>
        <w:tc>
          <w:tcPr>
            <w:tcW w:w="3291" w:type="dxa"/>
            <w:tcBorders>
              <w:top w:val="single" w:sz="4" w:space="0" w:color="auto"/>
              <w:left w:val="single" w:sz="4" w:space="0" w:color="auto"/>
              <w:bottom w:val="single" w:sz="4" w:space="0" w:color="auto"/>
              <w:right w:val="single" w:sz="4" w:space="0" w:color="auto"/>
            </w:tcBorders>
            <w:hideMark/>
          </w:tcPr>
          <w:p w14:paraId="26A02699" w14:textId="77777777" w:rsidR="00C773F6" w:rsidRDefault="00C773F6" w:rsidP="00C773F6">
            <w:r>
              <w:t>2021</w:t>
            </w:r>
          </w:p>
          <w:p w14:paraId="68F58409" w14:textId="77777777" w:rsidR="00C773F6" w:rsidRDefault="00C773F6" w:rsidP="00C773F6">
            <w:r w:rsidRPr="00A42FF0">
              <w:t>(</w:t>
            </w:r>
            <w:r>
              <w:t>A</w:t>
            </w:r>
            <w:r w:rsidRPr="00A42FF0">
              <w:t>mount in £ millions)</w:t>
            </w:r>
          </w:p>
        </w:tc>
      </w:tr>
      <w:tr w:rsidR="00C773F6" w14:paraId="412DF7C5" w14:textId="77777777" w:rsidTr="00C773F6">
        <w:trPr>
          <w:trHeight w:val="980"/>
        </w:trPr>
        <w:tc>
          <w:tcPr>
            <w:tcW w:w="3290" w:type="dxa"/>
            <w:tcBorders>
              <w:top w:val="single" w:sz="4" w:space="0" w:color="auto"/>
              <w:left w:val="single" w:sz="4" w:space="0" w:color="auto"/>
              <w:bottom w:val="single" w:sz="4" w:space="0" w:color="auto"/>
              <w:right w:val="single" w:sz="4" w:space="0" w:color="auto"/>
            </w:tcBorders>
            <w:hideMark/>
          </w:tcPr>
          <w:p w14:paraId="35BBA40A" w14:textId="77777777" w:rsidR="00C773F6" w:rsidRDefault="00C773F6" w:rsidP="00C773F6">
            <w:r>
              <w:t>Net Profit</w:t>
            </w:r>
          </w:p>
        </w:tc>
        <w:tc>
          <w:tcPr>
            <w:tcW w:w="3291" w:type="dxa"/>
            <w:tcBorders>
              <w:top w:val="single" w:sz="4" w:space="0" w:color="auto"/>
              <w:left w:val="single" w:sz="4" w:space="0" w:color="auto"/>
              <w:bottom w:val="single" w:sz="4" w:space="0" w:color="auto"/>
              <w:right w:val="single" w:sz="4" w:space="0" w:color="auto"/>
            </w:tcBorders>
            <w:hideMark/>
          </w:tcPr>
          <w:p w14:paraId="7A90D7AA" w14:textId="77777777" w:rsidR="00C773F6" w:rsidRDefault="00C773F6" w:rsidP="00C773F6">
            <w:r>
              <w:t xml:space="preserve">366 </w:t>
            </w:r>
          </w:p>
        </w:tc>
        <w:tc>
          <w:tcPr>
            <w:tcW w:w="3291" w:type="dxa"/>
            <w:tcBorders>
              <w:top w:val="single" w:sz="4" w:space="0" w:color="auto"/>
              <w:left w:val="single" w:sz="4" w:space="0" w:color="auto"/>
              <w:bottom w:val="single" w:sz="4" w:space="0" w:color="auto"/>
              <w:right w:val="single" w:sz="4" w:space="0" w:color="auto"/>
            </w:tcBorders>
            <w:hideMark/>
          </w:tcPr>
          <w:p w14:paraId="21AE9244" w14:textId="77777777" w:rsidR="00C773F6" w:rsidRDefault="00C773F6" w:rsidP="00C773F6">
            <w:r>
              <w:t xml:space="preserve">431 </w:t>
            </w:r>
          </w:p>
        </w:tc>
      </w:tr>
      <w:tr w:rsidR="00C773F6" w14:paraId="4B1ABE82" w14:textId="77777777" w:rsidTr="00C773F6">
        <w:trPr>
          <w:trHeight w:val="2107"/>
        </w:trPr>
        <w:tc>
          <w:tcPr>
            <w:tcW w:w="3290" w:type="dxa"/>
            <w:tcBorders>
              <w:top w:val="single" w:sz="4" w:space="0" w:color="auto"/>
              <w:left w:val="single" w:sz="4" w:space="0" w:color="auto"/>
              <w:bottom w:val="single" w:sz="4" w:space="0" w:color="auto"/>
              <w:right w:val="single" w:sz="4" w:space="0" w:color="auto"/>
            </w:tcBorders>
            <w:hideMark/>
          </w:tcPr>
          <w:p w14:paraId="1B871BD5" w14:textId="77777777" w:rsidR="00C773F6" w:rsidRDefault="00C773F6" w:rsidP="00C773F6">
            <w:r>
              <w:t>Number of equity shares outstanding</w:t>
            </w:r>
          </w:p>
        </w:tc>
        <w:tc>
          <w:tcPr>
            <w:tcW w:w="3291" w:type="dxa"/>
            <w:tcBorders>
              <w:top w:val="single" w:sz="4" w:space="0" w:color="auto"/>
              <w:left w:val="single" w:sz="4" w:space="0" w:color="auto"/>
              <w:bottom w:val="single" w:sz="4" w:space="0" w:color="auto"/>
              <w:right w:val="single" w:sz="4" w:space="0" w:color="auto"/>
            </w:tcBorders>
            <w:hideMark/>
          </w:tcPr>
          <w:p w14:paraId="294376FF" w14:textId="77777777" w:rsidR="00C773F6" w:rsidRDefault="00C773F6" w:rsidP="00C773F6">
            <w:pPr>
              <w:rPr>
                <w:rFonts w:eastAsiaTheme="minorEastAsia"/>
              </w:rPr>
            </w:pPr>
            <w:r>
              <w:rPr>
                <w:rFonts w:eastAsiaTheme="minorEastAsia"/>
              </w:rPr>
              <w:t>=</w:t>
            </w:r>
            <m:oMath>
              <m:r>
                <w:rPr>
                  <w:rFonts w:ascii="Cambria Math" w:eastAsiaTheme="minorEastAsia" w:hAnsi="Cambria Math"/>
                  <w:sz w:val="32"/>
                  <w:szCs w:val="28"/>
                </w:rPr>
                <m:t xml:space="preserve"> </m:t>
              </m:r>
              <m:f>
                <m:fPr>
                  <m:ctrlPr>
                    <w:rPr>
                      <w:rFonts w:ascii="Cambria Math" w:hAnsi="Cambria Math"/>
                      <w:i/>
                      <w:sz w:val="32"/>
                      <w:szCs w:val="28"/>
                    </w:rPr>
                  </m:ctrlPr>
                </m:fPr>
                <m:num>
                  <m:r>
                    <w:rPr>
                      <w:rFonts w:ascii="Cambria Math" w:hAnsi="Cambria Math"/>
                      <w:sz w:val="32"/>
                      <w:szCs w:val="28"/>
                    </w:rPr>
                    <m:t xml:space="preserve"> 300 </m:t>
                  </m:r>
                </m:num>
                <m:den>
                  <m:r>
                    <w:rPr>
                      <w:rFonts w:ascii="Cambria Math" w:hAnsi="Cambria Math"/>
                      <w:sz w:val="32"/>
                      <w:szCs w:val="28"/>
                    </w:rPr>
                    <m:t>£ 0.5 per share</m:t>
                  </m:r>
                </m:den>
              </m:f>
            </m:oMath>
          </w:p>
          <w:p w14:paraId="1C38EC75" w14:textId="0F25D83F" w:rsidR="00C773F6" w:rsidRDefault="00C773F6" w:rsidP="00C773F6">
            <w:r>
              <w:t xml:space="preserve"> = 600 million equity shares</w:t>
            </w:r>
          </w:p>
        </w:tc>
        <w:tc>
          <w:tcPr>
            <w:tcW w:w="3291" w:type="dxa"/>
            <w:tcBorders>
              <w:top w:val="single" w:sz="4" w:space="0" w:color="auto"/>
              <w:left w:val="single" w:sz="4" w:space="0" w:color="auto"/>
              <w:bottom w:val="single" w:sz="4" w:space="0" w:color="auto"/>
              <w:right w:val="single" w:sz="4" w:space="0" w:color="auto"/>
            </w:tcBorders>
            <w:hideMark/>
          </w:tcPr>
          <w:p w14:paraId="4ED3F37C" w14:textId="77777777" w:rsidR="00C773F6" w:rsidRDefault="00C773F6" w:rsidP="00C773F6">
            <w:pPr>
              <w:rPr>
                <w:rFonts w:eastAsiaTheme="minorEastAsia"/>
              </w:rPr>
            </w:pPr>
            <w:r>
              <w:rPr>
                <w:rFonts w:eastAsiaTheme="minorEastAsia"/>
              </w:rPr>
              <w:t>=</w:t>
            </w:r>
            <m:oMath>
              <m:f>
                <m:fPr>
                  <m:ctrlPr>
                    <w:rPr>
                      <w:rFonts w:ascii="Cambria Math" w:hAnsi="Cambria Math"/>
                      <w:i/>
                      <w:sz w:val="32"/>
                      <w:szCs w:val="28"/>
                    </w:rPr>
                  </m:ctrlPr>
                </m:fPr>
                <m:num>
                  <m:r>
                    <w:rPr>
                      <w:rFonts w:ascii="Cambria Math" w:hAnsi="Cambria Math"/>
                      <w:sz w:val="32"/>
                      <w:szCs w:val="28"/>
                    </w:rPr>
                    <m:t xml:space="preserve">300 </m:t>
                  </m:r>
                </m:num>
                <m:den>
                  <m:r>
                    <w:rPr>
                      <w:rFonts w:ascii="Cambria Math" w:hAnsi="Cambria Math"/>
                      <w:sz w:val="32"/>
                      <w:szCs w:val="28"/>
                    </w:rPr>
                    <m:t>£ 0.5 per share</m:t>
                  </m:r>
                </m:den>
              </m:f>
            </m:oMath>
          </w:p>
          <w:p w14:paraId="3430B19E" w14:textId="6B0AFA5D" w:rsidR="00C773F6" w:rsidRDefault="00C773F6" w:rsidP="00C773F6">
            <w:r>
              <w:rPr>
                <w:rFonts w:eastAsiaTheme="minorEastAsia"/>
              </w:rPr>
              <w:t xml:space="preserve"> = 600 million equity shares</w:t>
            </w:r>
          </w:p>
        </w:tc>
      </w:tr>
    </w:tbl>
    <w:p w14:paraId="63B20022" w14:textId="77777777" w:rsidR="00C773F6" w:rsidRPr="00E22F29" w:rsidRDefault="00C773F6" w:rsidP="00C773F6"/>
    <w:p w14:paraId="758AA2E1" w14:textId="3E5D1F6C" w:rsidR="00A12B24" w:rsidRPr="00C773F6" w:rsidRDefault="00C773F6" w:rsidP="00A12B24">
      <w:pPr>
        <w:rPr>
          <w:b/>
          <w:bCs/>
        </w:rPr>
      </w:pPr>
      <w:r w:rsidRPr="00C773F6">
        <w:rPr>
          <w:b/>
          <w:bCs/>
        </w:rPr>
        <w:t>2020</w:t>
      </w:r>
    </w:p>
    <w:p w14:paraId="19C49FAB" w14:textId="77777777" w:rsidR="00C773F6" w:rsidRDefault="00C773F6" w:rsidP="00C773F6">
      <w:pPr>
        <w:rPr>
          <w:rFonts w:eastAsiaTheme="minorEastAsia" w:cs="Times New Roman"/>
          <w:szCs w:val="24"/>
        </w:rPr>
      </w:pPr>
      <w:r>
        <w:rPr>
          <w:rFonts w:cs="Times New Roman"/>
          <w:szCs w:val="24"/>
        </w:rPr>
        <w:t>=</w:t>
      </w:r>
      <m:oMath>
        <m:f>
          <m:fPr>
            <m:ctrlPr>
              <w:rPr>
                <w:rFonts w:ascii="Cambria Math" w:hAnsi="Cambria Math" w:cs="Times New Roman"/>
                <w:i/>
                <w:sz w:val="32"/>
                <w:szCs w:val="32"/>
              </w:rPr>
            </m:ctrlPr>
          </m:fPr>
          <m:num>
            <m:r>
              <w:rPr>
                <w:rFonts w:ascii="Cambria Math" w:hAnsi="Cambria Math" w:cs="Times New Roman"/>
                <w:sz w:val="32"/>
                <w:szCs w:val="32"/>
              </w:rPr>
              <m:t xml:space="preserve">366 </m:t>
            </m:r>
          </m:num>
          <m:den>
            <m:r>
              <w:rPr>
                <w:rFonts w:ascii="Cambria Math" w:hAnsi="Cambria Math" w:cs="Times New Roman"/>
                <w:sz w:val="32"/>
                <w:szCs w:val="32"/>
              </w:rPr>
              <m:t xml:space="preserve">600 million equity shares </m:t>
            </m:r>
          </m:den>
        </m:f>
      </m:oMath>
    </w:p>
    <w:p w14:paraId="158B3D8A" w14:textId="3CB33602" w:rsidR="00C773F6" w:rsidRDefault="00C773F6" w:rsidP="00C773F6">
      <w:pPr>
        <w:rPr>
          <w:rFonts w:cs="Times New Roman"/>
          <w:szCs w:val="24"/>
        </w:rPr>
      </w:pPr>
      <w:r>
        <w:rPr>
          <w:rFonts w:eastAsiaTheme="minorEastAsia" w:cs="Times New Roman"/>
          <w:szCs w:val="24"/>
        </w:rPr>
        <w:lastRenderedPageBreak/>
        <w:t xml:space="preserve"> = </w:t>
      </w:r>
      <w:r>
        <w:rPr>
          <w:rFonts w:cs="Times New Roman"/>
          <w:szCs w:val="24"/>
        </w:rPr>
        <w:t>£0.61 per outstanding equity share</w:t>
      </w:r>
    </w:p>
    <w:p w14:paraId="6C03AE7F" w14:textId="0BDEA3DB" w:rsidR="00C773F6" w:rsidRDefault="00C773F6" w:rsidP="00C773F6">
      <w:pPr>
        <w:rPr>
          <w:rFonts w:cs="Times New Roman"/>
          <w:b/>
          <w:bCs/>
          <w:szCs w:val="24"/>
        </w:rPr>
      </w:pPr>
      <w:r w:rsidRPr="00C773F6">
        <w:rPr>
          <w:rFonts w:cs="Times New Roman"/>
          <w:b/>
          <w:bCs/>
          <w:szCs w:val="24"/>
        </w:rPr>
        <w:t>2021</w:t>
      </w:r>
    </w:p>
    <w:p w14:paraId="177569F4" w14:textId="77777777" w:rsidR="00C773F6" w:rsidRDefault="00C773F6" w:rsidP="00C773F6">
      <w:pPr>
        <w:rPr>
          <w:rFonts w:eastAsiaTheme="minorEastAsia" w:cs="Times New Roman"/>
          <w:szCs w:val="24"/>
        </w:rPr>
      </w:pPr>
      <w:r>
        <w:rPr>
          <w:rFonts w:cs="Times New Roman"/>
          <w:szCs w:val="24"/>
        </w:rPr>
        <w:t>=</w:t>
      </w:r>
      <m:oMath>
        <m:f>
          <m:fPr>
            <m:ctrlPr>
              <w:rPr>
                <w:rFonts w:ascii="Cambria Math" w:hAnsi="Cambria Math" w:cs="Times New Roman"/>
                <w:i/>
                <w:sz w:val="32"/>
                <w:szCs w:val="32"/>
              </w:rPr>
            </m:ctrlPr>
          </m:fPr>
          <m:num>
            <m:r>
              <w:rPr>
                <w:rFonts w:ascii="Cambria Math" w:hAnsi="Cambria Math" w:cs="Times New Roman"/>
                <w:sz w:val="32"/>
                <w:szCs w:val="32"/>
              </w:rPr>
              <m:t xml:space="preserve">431 </m:t>
            </m:r>
          </m:num>
          <m:den>
            <m:r>
              <w:rPr>
                <w:rFonts w:ascii="Cambria Math" w:hAnsi="Cambria Math" w:cs="Times New Roman"/>
                <w:sz w:val="32"/>
                <w:szCs w:val="32"/>
              </w:rPr>
              <m:t xml:space="preserve">600 million equity shares </m:t>
            </m:r>
          </m:den>
        </m:f>
      </m:oMath>
    </w:p>
    <w:p w14:paraId="7740D0B6" w14:textId="7B562B34" w:rsidR="00C773F6" w:rsidRDefault="00C773F6" w:rsidP="00C773F6">
      <w:pPr>
        <w:rPr>
          <w:rFonts w:cs="Times New Roman"/>
          <w:szCs w:val="24"/>
        </w:rPr>
      </w:pPr>
      <w:r>
        <w:rPr>
          <w:rFonts w:eastAsiaTheme="minorEastAsia" w:cs="Times New Roman"/>
          <w:szCs w:val="24"/>
        </w:rPr>
        <w:t xml:space="preserve">= </w:t>
      </w:r>
      <w:r>
        <w:rPr>
          <w:rFonts w:cs="Times New Roman"/>
          <w:szCs w:val="24"/>
        </w:rPr>
        <w:t>£0.72 per outstanding equity share</w:t>
      </w:r>
    </w:p>
    <w:p w14:paraId="30D700B4" w14:textId="77777777" w:rsidR="00C773F6" w:rsidRDefault="00C773F6" w:rsidP="00C773F6"/>
    <w:p w14:paraId="2CBFCC51" w14:textId="49C87C49" w:rsidR="00C773F6" w:rsidRDefault="00C773F6" w:rsidP="00C773F6">
      <w:pPr>
        <w:rPr>
          <w:b/>
          <w:bCs/>
        </w:rPr>
      </w:pPr>
      <w:r w:rsidRPr="00C773F6">
        <w:rPr>
          <w:b/>
          <w:bCs/>
        </w:rPr>
        <w:t>Net Profit Margin:</w:t>
      </w:r>
    </w:p>
    <w:p w14:paraId="00B25474" w14:textId="77777777" w:rsidR="00C773F6" w:rsidRPr="00C773F6" w:rsidRDefault="00C773F6" w:rsidP="00C773F6">
      <w:pPr>
        <w:jc w:val="center"/>
        <w:rPr>
          <w:b/>
          <w:bCs/>
        </w:rPr>
      </w:pPr>
      <w:r w:rsidRPr="00C773F6">
        <w:rPr>
          <w:b/>
          <w:bCs/>
        </w:rPr>
        <w:t>Net profit margin = Net income / net sales</w:t>
      </w:r>
    </w:p>
    <w:p w14:paraId="74A5F301" w14:textId="38C5CCD3" w:rsidR="00C773F6" w:rsidRDefault="00C773F6" w:rsidP="00C773F6">
      <w:r w:rsidRPr="00C773F6">
        <w:t>It is a method of gauging a business's profitability by looking at how well it converts sales into cash. What percentage of total revenue is ultimately transformed into profit for equity investors after subtracting all manufacturing, operational, and financial costs required to create revenue for the firm in a certain accounting period? Earnings / Revenue = Net Profit. The end result of this move will be a benefit for you. Many businesses heavily weigh the net profit margin (ROS), often called the return on sales ratio, to gauge how well they're performing (Robinson, 2020). Net profit margin is one metric that may help investors evaluate a company's ability to turn a profit after deducting operating expenditures and overhead costs from revenue (Robinson, 2020).</w:t>
      </w:r>
      <w:r>
        <w:t xml:space="preserve"> </w:t>
      </w:r>
    </w:p>
    <w:tbl>
      <w:tblPr>
        <w:tblStyle w:val="TableGrid"/>
        <w:tblW w:w="9737" w:type="dxa"/>
        <w:tblInd w:w="0" w:type="dxa"/>
        <w:tblLook w:val="04A0" w:firstRow="1" w:lastRow="0" w:firstColumn="1" w:lastColumn="0" w:noHBand="0" w:noVBand="1"/>
      </w:tblPr>
      <w:tblGrid>
        <w:gridCol w:w="3245"/>
        <w:gridCol w:w="3246"/>
        <w:gridCol w:w="3246"/>
      </w:tblGrid>
      <w:tr w:rsidR="00C773F6" w14:paraId="16C990D7" w14:textId="77777777" w:rsidTr="00C773F6">
        <w:trPr>
          <w:trHeight w:val="1369"/>
        </w:trPr>
        <w:tc>
          <w:tcPr>
            <w:tcW w:w="3245" w:type="dxa"/>
            <w:tcBorders>
              <w:top w:val="single" w:sz="4" w:space="0" w:color="auto"/>
              <w:left w:val="single" w:sz="4" w:space="0" w:color="auto"/>
              <w:bottom w:val="single" w:sz="4" w:space="0" w:color="auto"/>
              <w:right w:val="single" w:sz="4" w:space="0" w:color="auto"/>
            </w:tcBorders>
            <w:hideMark/>
          </w:tcPr>
          <w:p w14:paraId="7769655B" w14:textId="77777777" w:rsidR="00C773F6" w:rsidRDefault="00C773F6" w:rsidP="00C773F6">
            <w:r>
              <w:t>Particulars</w:t>
            </w:r>
          </w:p>
        </w:tc>
        <w:tc>
          <w:tcPr>
            <w:tcW w:w="3246" w:type="dxa"/>
            <w:tcBorders>
              <w:top w:val="single" w:sz="4" w:space="0" w:color="auto"/>
              <w:left w:val="single" w:sz="4" w:space="0" w:color="auto"/>
              <w:bottom w:val="single" w:sz="4" w:space="0" w:color="auto"/>
              <w:right w:val="single" w:sz="4" w:space="0" w:color="auto"/>
            </w:tcBorders>
            <w:hideMark/>
          </w:tcPr>
          <w:p w14:paraId="21625AA2" w14:textId="77777777" w:rsidR="00C773F6" w:rsidRDefault="00C773F6" w:rsidP="00C773F6">
            <w:r>
              <w:t>2020</w:t>
            </w:r>
          </w:p>
          <w:p w14:paraId="553BB505" w14:textId="77777777" w:rsidR="00C773F6" w:rsidRDefault="00C773F6" w:rsidP="00C773F6">
            <w:r w:rsidRPr="00A42FF0">
              <w:t>(</w:t>
            </w:r>
            <w:r>
              <w:t>A</w:t>
            </w:r>
            <w:r w:rsidRPr="00A42FF0">
              <w:t>mount in £ millions)</w:t>
            </w:r>
          </w:p>
        </w:tc>
        <w:tc>
          <w:tcPr>
            <w:tcW w:w="3246" w:type="dxa"/>
            <w:tcBorders>
              <w:top w:val="single" w:sz="4" w:space="0" w:color="auto"/>
              <w:left w:val="single" w:sz="4" w:space="0" w:color="auto"/>
              <w:bottom w:val="single" w:sz="4" w:space="0" w:color="auto"/>
              <w:right w:val="single" w:sz="4" w:space="0" w:color="auto"/>
            </w:tcBorders>
            <w:hideMark/>
          </w:tcPr>
          <w:p w14:paraId="6E9C552F" w14:textId="77777777" w:rsidR="00C773F6" w:rsidRDefault="00C773F6" w:rsidP="00C773F6">
            <w:r>
              <w:t>2021</w:t>
            </w:r>
          </w:p>
          <w:p w14:paraId="7E7CDA24" w14:textId="77777777" w:rsidR="00C773F6" w:rsidRDefault="00C773F6" w:rsidP="00C773F6">
            <w:r w:rsidRPr="00A42FF0">
              <w:t>(</w:t>
            </w:r>
            <w:r>
              <w:t>A</w:t>
            </w:r>
            <w:r w:rsidRPr="00A42FF0">
              <w:t>mount in £ millions)</w:t>
            </w:r>
          </w:p>
        </w:tc>
      </w:tr>
      <w:tr w:rsidR="00C773F6" w14:paraId="6D0ABEF2" w14:textId="77777777" w:rsidTr="00C773F6">
        <w:trPr>
          <w:trHeight w:val="672"/>
        </w:trPr>
        <w:tc>
          <w:tcPr>
            <w:tcW w:w="3245" w:type="dxa"/>
            <w:tcBorders>
              <w:top w:val="single" w:sz="4" w:space="0" w:color="auto"/>
              <w:left w:val="single" w:sz="4" w:space="0" w:color="auto"/>
              <w:bottom w:val="single" w:sz="4" w:space="0" w:color="auto"/>
              <w:right w:val="single" w:sz="4" w:space="0" w:color="auto"/>
            </w:tcBorders>
            <w:hideMark/>
          </w:tcPr>
          <w:p w14:paraId="4DC64206" w14:textId="77777777" w:rsidR="00C773F6" w:rsidRDefault="00C773F6" w:rsidP="00C773F6">
            <w:r>
              <w:t>Net Profit</w:t>
            </w:r>
          </w:p>
        </w:tc>
        <w:tc>
          <w:tcPr>
            <w:tcW w:w="3246" w:type="dxa"/>
            <w:tcBorders>
              <w:top w:val="single" w:sz="4" w:space="0" w:color="auto"/>
              <w:left w:val="single" w:sz="4" w:space="0" w:color="auto"/>
              <w:bottom w:val="single" w:sz="4" w:space="0" w:color="auto"/>
              <w:right w:val="single" w:sz="4" w:space="0" w:color="auto"/>
            </w:tcBorders>
            <w:hideMark/>
          </w:tcPr>
          <w:p w14:paraId="49DFC9AE" w14:textId="77777777" w:rsidR="00C773F6" w:rsidRDefault="00C773F6" w:rsidP="00C773F6">
            <w:r>
              <w:t xml:space="preserve">366 </w:t>
            </w:r>
          </w:p>
        </w:tc>
        <w:tc>
          <w:tcPr>
            <w:tcW w:w="3246" w:type="dxa"/>
            <w:tcBorders>
              <w:top w:val="single" w:sz="4" w:space="0" w:color="auto"/>
              <w:left w:val="single" w:sz="4" w:space="0" w:color="auto"/>
              <w:bottom w:val="single" w:sz="4" w:space="0" w:color="auto"/>
              <w:right w:val="single" w:sz="4" w:space="0" w:color="auto"/>
            </w:tcBorders>
            <w:hideMark/>
          </w:tcPr>
          <w:p w14:paraId="2948E876" w14:textId="77777777" w:rsidR="00C773F6" w:rsidRDefault="00C773F6" w:rsidP="00C773F6">
            <w:r>
              <w:t xml:space="preserve">431 </w:t>
            </w:r>
          </w:p>
        </w:tc>
      </w:tr>
      <w:tr w:rsidR="00C773F6" w14:paraId="34A08CE8" w14:textId="77777777" w:rsidTr="00C773F6">
        <w:trPr>
          <w:trHeight w:val="672"/>
        </w:trPr>
        <w:tc>
          <w:tcPr>
            <w:tcW w:w="3245" w:type="dxa"/>
            <w:tcBorders>
              <w:top w:val="single" w:sz="4" w:space="0" w:color="auto"/>
              <w:left w:val="single" w:sz="4" w:space="0" w:color="auto"/>
              <w:bottom w:val="single" w:sz="4" w:space="0" w:color="auto"/>
              <w:right w:val="single" w:sz="4" w:space="0" w:color="auto"/>
            </w:tcBorders>
            <w:hideMark/>
          </w:tcPr>
          <w:p w14:paraId="504C4013" w14:textId="77777777" w:rsidR="00C773F6" w:rsidRDefault="00C773F6" w:rsidP="00C773F6">
            <w:r>
              <w:t>Sales Revenue</w:t>
            </w:r>
          </w:p>
        </w:tc>
        <w:tc>
          <w:tcPr>
            <w:tcW w:w="3246" w:type="dxa"/>
            <w:tcBorders>
              <w:top w:val="single" w:sz="4" w:space="0" w:color="auto"/>
              <w:left w:val="single" w:sz="4" w:space="0" w:color="auto"/>
              <w:bottom w:val="single" w:sz="4" w:space="0" w:color="auto"/>
              <w:right w:val="single" w:sz="4" w:space="0" w:color="auto"/>
            </w:tcBorders>
            <w:hideMark/>
          </w:tcPr>
          <w:p w14:paraId="184303FA" w14:textId="77777777" w:rsidR="00C773F6" w:rsidRDefault="00C773F6" w:rsidP="00C773F6">
            <w:r>
              <w:t xml:space="preserve">6,441 </w:t>
            </w:r>
          </w:p>
        </w:tc>
        <w:tc>
          <w:tcPr>
            <w:tcW w:w="3246" w:type="dxa"/>
            <w:tcBorders>
              <w:top w:val="single" w:sz="4" w:space="0" w:color="auto"/>
              <w:left w:val="single" w:sz="4" w:space="0" w:color="auto"/>
              <w:bottom w:val="single" w:sz="4" w:space="0" w:color="auto"/>
              <w:right w:val="single" w:sz="4" w:space="0" w:color="auto"/>
            </w:tcBorders>
            <w:hideMark/>
          </w:tcPr>
          <w:p w14:paraId="5DFC56F3" w14:textId="77777777" w:rsidR="00C773F6" w:rsidRDefault="00C773F6" w:rsidP="00C773F6">
            <w:r>
              <w:t>6,738</w:t>
            </w:r>
            <w:r>
              <w:rPr>
                <w:rFonts w:eastAsiaTheme="minorEastAsia"/>
              </w:rPr>
              <w:t xml:space="preserve"> </w:t>
            </w:r>
          </w:p>
        </w:tc>
      </w:tr>
    </w:tbl>
    <w:p w14:paraId="174F94CB" w14:textId="67B25EEC" w:rsidR="00C773F6" w:rsidRDefault="00C773F6" w:rsidP="00C773F6"/>
    <w:p w14:paraId="40F07BFF" w14:textId="39E4763F" w:rsidR="00C773F6" w:rsidRPr="00C773F6" w:rsidRDefault="00C773F6" w:rsidP="00C773F6">
      <w:pPr>
        <w:rPr>
          <w:b/>
          <w:bCs/>
        </w:rPr>
      </w:pPr>
      <w:r w:rsidRPr="00C773F6">
        <w:rPr>
          <w:b/>
          <w:bCs/>
        </w:rPr>
        <w:t>2020</w:t>
      </w:r>
    </w:p>
    <w:p w14:paraId="68329678" w14:textId="77777777" w:rsidR="00C773F6" w:rsidRPr="00C773F6" w:rsidRDefault="00C773F6" w:rsidP="00C773F6">
      <w:pPr>
        <w:rPr>
          <w:rFonts w:eastAsiaTheme="minorEastAsia" w:cs="Times New Roman"/>
          <w:sz w:val="32"/>
          <w:szCs w:val="32"/>
        </w:rPr>
      </w:pPr>
      <w:r w:rsidRPr="00C773F6">
        <w:rPr>
          <w:rFonts w:cs="Times New Roman"/>
          <w:sz w:val="32"/>
          <w:szCs w:val="32"/>
        </w:rPr>
        <w:t>=</w:t>
      </w:r>
      <m:oMath>
        <m:f>
          <m:fPr>
            <m:ctrlPr>
              <w:rPr>
                <w:rFonts w:ascii="Cambria Math" w:hAnsi="Cambria Math" w:cs="Times New Roman"/>
                <w:i/>
                <w:sz w:val="32"/>
                <w:szCs w:val="32"/>
              </w:rPr>
            </m:ctrlPr>
          </m:fPr>
          <m:num>
            <m:r>
              <w:rPr>
                <w:rFonts w:ascii="Cambria Math" w:hAnsi="Cambria Math" w:cs="Times New Roman"/>
                <w:sz w:val="32"/>
                <w:szCs w:val="32"/>
              </w:rPr>
              <m:t xml:space="preserve">366 </m:t>
            </m:r>
          </m:num>
          <m:den>
            <m:r>
              <w:rPr>
                <w:rFonts w:ascii="Cambria Math" w:hAnsi="Cambria Math" w:cs="Times New Roman"/>
                <w:sz w:val="32"/>
                <w:szCs w:val="32"/>
              </w:rPr>
              <m:t xml:space="preserve">6,441 </m:t>
            </m:r>
          </m:den>
        </m:f>
      </m:oMath>
      <w:r w:rsidRPr="00C773F6">
        <w:rPr>
          <w:rFonts w:eastAsiaTheme="minorEastAsia" w:cs="Times New Roman"/>
          <w:sz w:val="32"/>
          <w:szCs w:val="32"/>
        </w:rPr>
        <w:t xml:space="preserve"> *100</w:t>
      </w:r>
    </w:p>
    <w:p w14:paraId="0C9917CC" w14:textId="5F858FA8" w:rsidR="00C773F6" w:rsidRDefault="00C773F6" w:rsidP="00C773F6">
      <w:pPr>
        <w:rPr>
          <w:rFonts w:eastAsiaTheme="minorEastAsia" w:cs="Times New Roman"/>
          <w:szCs w:val="24"/>
        </w:rPr>
      </w:pPr>
      <w:r>
        <w:rPr>
          <w:rFonts w:eastAsiaTheme="minorEastAsia" w:cs="Times New Roman"/>
          <w:szCs w:val="24"/>
        </w:rPr>
        <w:t>= 5.68%</w:t>
      </w:r>
    </w:p>
    <w:p w14:paraId="7C3A8E43" w14:textId="5A0BC28B" w:rsidR="00C773F6" w:rsidRPr="00C773F6" w:rsidRDefault="00C773F6" w:rsidP="00C773F6">
      <w:pPr>
        <w:rPr>
          <w:rFonts w:eastAsiaTheme="minorEastAsia" w:cs="Times New Roman"/>
          <w:b/>
          <w:bCs/>
          <w:szCs w:val="24"/>
        </w:rPr>
      </w:pPr>
      <w:r w:rsidRPr="00C773F6">
        <w:rPr>
          <w:rFonts w:eastAsiaTheme="minorEastAsia" w:cs="Times New Roman"/>
          <w:b/>
          <w:bCs/>
          <w:szCs w:val="24"/>
        </w:rPr>
        <w:lastRenderedPageBreak/>
        <w:t>2021</w:t>
      </w:r>
    </w:p>
    <w:p w14:paraId="6E3999D6" w14:textId="77777777" w:rsidR="00C773F6" w:rsidRPr="00C773F6" w:rsidRDefault="00C773F6" w:rsidP="00C773F6">
      <w:pPr>
        <w:rPr>
          <w:rFonts w:eastAsiaTheme="minorEastAsia" w:cs="Times New Roman"/>
          <w:sz w:val="32"/>
          <w:szCs w:val="32"/>
        </w:rPr>
      </w:pPr>
      <w:r w:rsidRPr="00C773F6">
        <w:rPr>
          <w:rFonts w:cs="Times New Roman"/>
          <w:sz w:val="32"/>
          <w:szCs w:val="32"/>
        </w:rPr>
        <w:t>=</w:t>
      </w:r>
      <m:oMath>
        <m:f>
          <m:fPr>
            <m:ctrlPr>
              <w:rPr>
                <w:rFonts w:ascii="Cambria Math" w:hAnsi="Cambria Math" w:cs="Times New Roman"/>
                <w:i/>
                <w:sz w:val="32"/>
                <w:szCs w:val="32"/>
              </w:rPr>
            </m:ctrlPr>
          </m:fPr>
          <m:num>
            <m:r>
              <w:rPr>
                <w:rFonts w:ascii="Cambria Math" w:hAnsi="Cambria Math" w:cs="Times New Roman"/>
                <w:sz w:val="32"/>
                <w:szCs w:val="32"/>
              </w:rPr>
              <m:t xml:space="preserve">431 </m:t>
            </m:r>
          </m:num>
          <m:den>
            <m:r>
              <w:rPr>
                <w:rFonts w:ascii="Cambria Math" w:hAnsi="Cambria Math" w:cs="Times New Roman"/>
                <w:sz w:val="32"/>
                <w:szCs w:val="32"/>
              </w:rPr>
              <m:t xml:space="preserve">6,738 </m:t>
            </m:r>
          </m:den>
        </m:f>
      </m:oMath>
      <w:r w:rsidRPr="00C773F6">
        <w:rPr>
          <w:rFonts w:eastAsiaTheme="minorEastAsia" w:cs="Times New Roman"/>
          <w:sz w:val="32"/>
          <w:szCs w:val="32"/>
        </w:rPr>
        <w:t xml:space="preserve"> *100</w:t>
      </w:r>
    </w:p>
    <w:p w14:paraId="10332617" w14:textId="437E4E10" w:rsidR="00C773F6" w:rsidRDefault="00C773F6" w:rsidP="00C773F6">
      <w:r>
        <w:rPr>
          <w:rFonts w:eastAsiaTheme="minorEastAsia" w:cs="Times New Roman"/>
          <w:szCs w:val="24"/>
        </w:rPr>
        <w:t>= 6.40%</w:t>
      </w:r>
    </w:p>
    <w:p w14:paraId="1B20862F" w14:textId="77777777" w:rsidR="00C773F6" w:rsidRPr="00C773F6" w:rsidRDefault="00C773F6" w:rsidP="00C773F6"/>
    <w:p w14:paraId="357F8FA4" w14:textId="1DC2149C" w:rsidR="00C773F6" w:rsidRDefault="00C773F6" w:rsidP="00C773F6">
      <w:pPr>
        <w:rPr>
          <w:b/>
          <w:bCs/>
        </w:rPr>
      </w:pPr>
      <w:r w:rsidRPr="00C773F6">
        <w:rPr>
          <w:b/>
          <w:bCs/>
        </w:rPr>
        <w:t>Asset Turnover:</w:t>
      </w:r>
    </w:p>
    <w:p w14:paraId="30A2C884" w14:textId="14F7C27B" w:rsidR="00C773F6" w:rsidRDefault="00C773F6" w:rsidP="00C773F6">
      <w:pPr>
        <w:jc w:val="center"/>
        <w:rPr>
          <w:b/>
          <w:bCs/>
        </w:rPr>
      </w:pPr>
      <w:r w:rsidRPr="00C773F6">
        <w:rPr>
          <w:b/>
          <w:bCs/>
        </w:rPr>
        <w:t>Asset turnover = Net sales / total assets</w:t>
      </w:r>
    </w:p>
    <w:p w14:paraId="7FEC9E7B" w14:textId="5D8C2532" w:rsidR="00C773F6" w:rsidRDefault="006A3B2F" w:rsidP="00C773F6">
      <w:r w:rsidRPr="006A3B2F">
        <w:t>A company's inventory turnover rate indicates how quickly it can turn stock into cash. It evaluates a business's liquidity, financial health, and operational efficiency (Welc, 2022). A more accurate allocation of storage costs may be a boon for distribution companies if they had some idea of how many days' worth of goods they had on hand. This statistic represents the average weekly frequency with which the company's items were sold. If the corporation can reduce the amount of time it takes to sell off its stock, it will be to its advantage (Welc, 2022). The asset turnover of a company is a common efficiency statistic used to evaluate the effectiveness of the company's management in allocating and using the company's assets to maximize profit.</w:t>
      </w:r>
    </w:p>
    <w:tbl>
      <w:tblPr>
        <w:tblStyle w:val="TableGrid"/>
        <w:tblW w:w="9377" w:type="dxa"/>
        <w:tblInd w:w="0" w:type="dxa"/>
        <w:tblLook w:val="04A0" w:firstRow="1" w:lastRow="0" w:firstColumn="1" w:lastColumn="0" w:noHBand="0" w:noVBand="1"/>
      </w:tblPr>
      <w:tblGrid>
        <w:gridCol w:w="3125"/>
        <w:gridCol w:w="3126"/>
        <w:gridCol w:w="3126"/>
      </w:tblGrid>
      <w:tr w:rsidR="006A3B2F" w14:paraId="439B5994" w14:textId="77777777" w:rsidTr="006A3B2F">
        <w:trPr>
          <w:trHeight w:val="1160"/>
        </w:trPr>
        <w:tc>
          <w:tcPr>
            <w:tcW w:w="3125" w:type="dxa"/>
            <w:tcBorders>
              <w:top w:val="single" w:sz="4" w:space="0" w:color="auto"/>
              <w:left w:val="single" w:sz="4" w:space="0" w:color="auto"/>
              <w:bottom w:val="single" w:sz="4" w:space="0" w:color="auto"/>
              <w:right w:val="single" w:sz="4" w:space="0" w:color="auto"/>
            </w:tcBorders>
            <w:hideMark/>
          </w:tcPr>
          <w:p w14:paraId="1298C21D" w14:textId="77777777" w:rsidR="006A3B2F" w:rsidRDefault="006A3B2F" w:rsidP="006A3B2F">
            <w:r>
              <w:t>Particulars</w:t>
            </w:r>
          </w:p>
        </w:tc>
        <w:tc>
          <w:tcPr>
            <w:tcW w:w="3126" w:type="dxa"/>
            <w:tcBorders>
              <w:top w:val="single" w:sz="4" w:space="0" w:color="auto"/>
              <w:left w:val="single" w:sz="4" w:space="0" w:color="auto"/>
              <w:bottom w:val="single" w:sz="4" w:space="0" w:color="auto"/>
              <w:right w:val="single" w:sz="4" w:space="0" w:color="auto"/>
            </w:tcBorders>
            <w:hideMark/>
          </w:tcPr>
          <w:p w14:paraId="095B809F" w14:textId="77777777" w:rsidR="006A3B2F" w:rsidRDefault="006A3B2F" w:rsidP="006A3B2F">
            <w:r>
              <w:t>2020</w:t>
            </w:r>
          </w:p>
          <w:p w14:paraId="1661FC13" w14:textId="77777777" w:rsidR="006A3B2F" w:rsidRDefault="006A3B2F" w:rsidP="006A3B2F">
            <w:r w:rsidRPr="00A42FF0">
              <w:t>(</w:t>
            </w:r>
            <w:r>
              <w:t>A</w:t>
            </w:r>
            <w:r w:rsidRPr="00A42FF0">
              <w:t>mount in £ millions)</w:t>
            </w:r>
          </w:p>
        </w:tc>
        <w:tc>
          <w:tcPr>
            <w:tcW w:w="3126" w:type="dxa"/>
            <w:tcBorders>
              <w:top w:val="single" w:sz="4" w:space="0" w:color="auto"/>
              <w:left w:val="single" w:sz="4" w:space="0" w:color="auto"/>
              <w:bottom w:val="single" w:sz="4" w:space="0" w:color="auto"/>
              <w:right w:val="single" w:sz="4" w:space="0" w:color="auto"/>
            </w:tcBorders>
            <w:hideMark/>
          </w:tcPr>
          <w:p w14:paraId="4810341A" w14:textId="77777777" w:rsidR="006A3B2F" w:rsidRDefault="006A3B2F" w:rsidP="006A3B2F">
            <w:r>
              <w:t>2021</w:t>
            </w:r>
          </w:p>
          <w:p w14:paraId="30ABA310" w14:textId="77777777" w:rsidR="006A3B2F" w:rsidRDefault="006A3B2F" w:rsidP="006A3B2F">
            <w:r w:rsidRPr="00A42FF0">
              <w:t>(</w:t>
            </w:r>
            <w:r>
              <w:t>A</w:t>
            </w:r>
            <w:r w:rsidRPr="00A42FF0">
              <w:t>mount in £ millions)</w:t>
            </w:r>
          </w:p>
        </w:tc>
      </w:tr>
      <w:tr w:rsidR="006A3B2F" w14:paraId="2396F2DF" w14:textId="77777777" w:rsidTr="006A3B2F">
        <w:trPr>
          <w:trHeight w:val="804"/>
        </w:trPr>
        <w:tc>
          <w:tcPr>
            <w:tcW w:w="3125" w:type="dxa"/>
            <w:tcBorders>
              <w:top w:val="single" w:sz="4" w:space="0" w:color="auto"/>
              <w:left w:val="single" w:sz="4" w:space="0" w:color="auto"/>
              <w:bottom w:val="single" w:sz="4" w:space="0" w:color="auto"/>
              <w:right w:val="single" w:sz="4" w:space="0" w:color="auto"/>
            </w:tcBorders>
            <w:hideMark/>
          </w:tcPr>
          <w:p w14:paraId="39C86885" w14:textId="77777777" w:rsidR="006A3B2F" w:rsidRDefault="006A3B2F" w:rsidP="006A3B2F">
            <w:r>
              <w:t>Revenue</w:t>
            </w:r>
          </w:p>
        </w:tc>
        <w:tc>
          <w:tcPr>
            <w:tcW w:w="3126" w:type="dxa"/>
            <w:tcBorders>
              <w:top w:val="single" w:sz="4" w:space="0" w:color="auto"/>
              <w:left w:val="single" w:sz="4" w:space="0" w:color="auto"/>
              <w:bottom w:val="single" w:sz="4" w:space="0" w:color="auto"/>
              <w:right w:val="single" w:sz="4" w:space="0" w:color="auto"/>
            </w:tcBorders>
            <w:hideMark/>
          </w:tcPr>
          <w:p w14:paraId="585E836B" w14:textId="77777777" w:rsidR="006A3B2F" w:rsidRDefault="006A3B2F" w:rsidP="006A3B2F">
            <w:r>
              <w:t xml:space="preserve">6,441 </w:t>
            </w:r>
          </w:p>
        </w:tc>
        <w:tc>
          <w:tcPr>
            <w:tcW w:w="3126" w:type="dxa"/>
            <w:tcBorders>
              <w:top w:val="single" w:sz="4" w:space="0" w:color="auto"/>
              <w:left w:val="single" w:sz="4" w:space="0" w:color="auto"/>
              <w:bottom w:val="single" w:sz="4" w:space="0" w:color="auto"/>
              <w:right w:val="single" w:sz="4" w:space="0" w:color="auto"/>
            </w:tcBorders>
            <w:hideMark/>
          </w:tcPr>
          <w:p w14:paraId="3CE47630" w14:textId="77777777" w:rsidR="006A3B2F" w:rsidRDefault="006A3B2F" w:rsidP="006A3B2F">
            <w:r>
              <w:t>6,738</w:t>
            </w:r>
            <w:r>
              <w:rPr>
                <w:rFonts w:eastAsiaTheme="minorEastAsia"/>
              </w:rPr>
              <w:t xml:space="preserve"> </w:t>
            </w:r>
          </w:p>
        </w:tc>
      </w:tr>
      <w:tr w:rsidR="006A3B2F" w14:paraId="2B32E1C4" w14:textId="77777777" w:rsidTr="006A3B2F">
        <w:trPr>
          <w:trHeight w:val="885"/>
        </w:trPr>
        <w:tc>
          <w:tcPr>
            <w:tcW w:w="3125" w:type="dxa"/>
            <w:tcBorders>
              <w:top w:val="single" w:sz="4" w:space="0" w:color="auto"/>
              <w:left w:val="single" w:sz="4" w:space="0" w:color="auto"/>
              <w:bottom w:val="single" w:sz="4" w:space="0" w:color="auto"/>
              <w:right w:val="single" w:sz="4" w:space="0" w:color="auto"/>
            </w:tcBorders>
            <w:hideMark/>
          </w:tcPr>
          <w:p w14:paraId="70F009E9" w14:textId="77777777" w:rsidR="006A3B2F" w:rsidRDefault="006A3B2F" w:rsidP="006A3B2F">
            <w:r>
              <w:t>Total Asset</w:t>
            </w:r>
          </w:p>
        </w:tc>
        <w:tc>
          <w:tcPr>
            <w:tcW w:w="3126" w:type="dxa"/>
            <w:tcBorders>
              <w:top w:val="single" w:sz="4" w:space="0" w:color="auto"/>
              <w:left w:val="single" w:sz="4" w:space="0" w:color="auto"/>
              <w:bottom w:val="single" w:sz="4" w:space="0" w:color="auto"/>
              <w:right w:val="single" w:sz="4" w:space="0" w:color="auto"/>
            </w:tcBorders>
            <w:hideMark/>
          </w:tcPr>
          <w:p w14:paraId="43B912A0" w14:textId="77777777" w:rsidR="006A3B2F" w:rsidRDefault="006A3B2F" w:rsidP="006A3B2F">
            <w:r>
              <w:t xml:space="preserve">10,087 </w:t>
            </w:r>
          </w:p>
        </w:tc>
        <w:tc>
          <w:tcPr>
            <w:tcW w:w="3126" w:type="dxa"/>
            <w:tcBorders>
              <w:top w:val="single" w:sz="4" w:space="0" w:color="auto"/>
              <w:left w:val="single" w:sz="4" w:space="0" w:color="auto"/>
              <w:bottom w:val="single" w:sz="4" w:space="0" w:color="auto"/>
              <w:right w:val="single" w:sz="4" w:space="0" w:color="auto"/>
            </w:tcBorders>
            <w:hideMark/>
          </w:tcPr>
          <w:p w14:paraId="2E0C5C04" w14:textId="77777777" w:rsidR="006A3B2F" w:rsidRDefault="006A3B2F" w:rsidP="006A3B2F">
            <w:r>
              <w:t xml:space="preserve">9,736 </w:t>
            </w:r>
          </w:p>
        </w:tc>
      </w:tr>
    </w:tbl>
    <w:p w14:paraId="647BCB8C" w14:textId="77777777" w:rsidR="006A3B2F" w:rsidRPr="00C773F6" w:rsidRDefault="006A3B2F" w:rsidP="00C773F6"/>
    <w:p w14:paraId="399D675C" w14:textId="76E942FB" w:rsidR="00C773F6" w:rsidRDefault="006A3B2F" w:rsidP="00C773F6">
      <w:pPr>
        <w:rPr>
          <w:b/>
          <w:bCs/>
        </w:rPr>
      </w:pPr>
      <w:r>
        <w:rPr>
          <w:b/>
          <w:bCs/>
        </w:rPr>
        <w:t>2020</w:t>
      </w:r>
    </w:p>
    <w:p w14:paraId="646CA5EE" w14:textId="77777777" w:rsidR="006A3B2F" w:rsidRPr="006A3B2F" w:rsidRDefault="006A3B2F" w:rsidP="006A3B2F">
      <w:pPr>
        <w:rPr>
          <w:rFonts w:eastAsiaTheme="minorEastAsia" w:cs="Times New Roman"/>
          <w:sz w:val="32"/>
          <w:szCs w:val="32"/>
        </w:rPr>
      </w:pPr>
      <w:r w:rsidRPr="006A3B2F">
        <w:rPr>
          <w:rFonts w:cs="Times New Roman"/>
          <w:sz w:val="32"/>
          <w:szCs w:val="32"/>
        </w:rPr>
        <w:t>=</w:t>
      </w:r>
      <m:oMath>
        <m:f>
          <m:fPr>
            <m:ctrlPr>
              <w:rPr>
                <w:rFonts w:ascii="Cambria Math" w:hAnsi="Cambria Math" w:cs="Times New Roman"/>
                <w:i/>
                <w:sz w:val="32"/>
                <w:szCs w:val="32"/>
              </w:rPr>
            </m:ctrlPr>
          </m:fPr>
          <m:num>
            <m:r>
              <w:rPr>
                <w:rFonts w:ascii="Cambria Math" w:hAnsi="Cambria Math" w:cs="Times New Roman"/>
                <w:sz w:val="32"/>
                <w:szCs w:val="32"/>
              </w:rPr>
              <m:t xml:space="preserve">6,441 </m:t>
            </m:r>
          </m:num>
          <m:den>
            <m:r>
              <w:rPr>
                <w:rFonts w:ascii="Cambria Math" w:hAnsi="Cambria Math" w:cs="Times New Roman"/>
                <w:sz w:val="32"/>
                <w:szCs w:val="32"/>
              </w:rPr>
              <m:t xml:space="preserve">10,087 </m:t>
            </m:r>
          </m:den>
        </m:f>
      </m:oMath>
    </w:p>
    <w:p w14:paraId="6DBB84CD" w14:textId="1D5F19C7" w:rsidR="006A3B2F" w:rsidRDefault="006A3B2F" w:rsidP="006A3B2F">
      <w:pPr>
        <w:rPr>
          <w:rFonts w:eastAsiaTheme="minorEastAsia" w:cs="Times New Roman"/>
          <w:szCs w:val="24"/>
        </w:rPr>
      </w:pPr>
      <w:r>
        <w:rPr>
          <w:rFonts w:eastAsiaTheme="minorEastAsia" w:cs="Times New Roman"/>
          <w:szCs w:val="24"/>
        </w:rPr>
        <w:t>= 0.64</w:t>
      </w:r>
    </w:p>
    <w:p w14:paraId="08A36EFA" w14:textId="31757A7F" w:rsidR="006A3B2F" w:rsidRPr="006A3B2F" w:rsidRDefault="006A3B2F" w:rsidP="006A3B2F">
      <w:pPr>
        <w:rPr>
          <w:rFonts w:eastAsiaTheme="minorEastAsia" w:cs="Times New Roman"/>
          <w:b/>
          <w:bCs/>
          <w:szCs w:val="24"/>
        </w:rPr>
      </w:pPr>
      <w:r w:rsidRPr="006A3B2F">
        <w:rPr>
          <w:rFonts w:eastAsiaTheme="minorEastAsia" w:cs="Times New Roman"/>
          <w:b/>
          <w:bCs/>
          <w:szCs w:val="24"/>
        </w:rPr>
        <w:lastRenderedPageBreak/>
        <w:t>2021</w:t>
      </w:r>
    </w:p>
    <w:p w14:paraId="04D52CF1" w14:textId="77777777" w:rsidR="006A3B2F" w:rsidRPr="006A3B2F" w:rsidRDefault="006A3B2F" w:rsidP="006A3B2F">
      <w:pPr>
        <w:rPr>
          <w:rFonts w:eastAsiaTheme="minorEastAsia" w:cs="Times New Roman"/>
          <w:sz w:val="32"/>
          <w:szCs w:val="32"/>
        </w:rPr>
      </w:pPr>
      <w:r w:rsidRPr="006A3B2F">
        <w:rPr>
          <w:rFonts w:cs="Times New Roman"/>
          <w:sz w:val="32"/>
          <w:szCs w:val="32"/>
        </w:rPr>
        <w:t>=</w:t>
      </w:r>
      <m:oMath>
        <m:f>
          <m:fPr>
            <m:ctrlPr>
              <w:rPr>
                <w:rFonts w:ascii="Cambria Math" w:hAnsi="Cambria Math" w:cs="Times New Roman"/>
                <w:i/>
                <w:sz w:val="32"/>
                <w:szCs w:val="32"/>
              </w:rPr>
            </m:ctrlPr>
          </m:fPr>
          <m:num>
            <m:r>
              <w:rPr>
                <w:rFonts w:ascii="Cambria Math" w:hAnsi="Cambria Math" w:cs="Times New Roman"/>
                <w:sz w:val="32"/>
                <w:szCs w:val="32"/>
              </w:rPr>
              <m:t xml:space="preserve">6,738 </m:t>
            </m:r>
          </m:num>
          <m:den>
            <m:r>
              <w:rPr>
                <w:rFonts w:ascii="Cambria Math" w:hAnsi="Cambria Math" w:cs="Times New Roman"/>
                <w:sz w:val="32"/>
                <w:szCs w:val="32"/>
              </w:rPr>
              <m:t xml:space="preserve">9,736  </m:t>
            </m:r>
          </m:den>
        </m:f>
      </m:oMath>
    </w:p>
    <w:p w14:paraId="02E92A8A" w14:textId="281746B7" w:rsidR="006A3B2F" w:rsidRPr="00C773F6" w:rsidRDefault="006A3B2F" w:rsidP="006A3B2F">
      <w:pPr>
        <w:rPr>
          <w:b/>
          <w:bCs/>
        </w:rPr>
      </w:pPr>
      <w:r>
        <w:rPr>
          <w:rFonts w:eastAsiaTheme="minorEastAsia" w:cs="Times New Roman"/>
          <w:szCs w:val="24"/>
        </w:rPr>
        <w:t>= 0.69</w:t>
      </w:r>
    </w:p>
    <w:p w14:paraId="33C475EF" w14:textId="520D8C58" w:rsidR="00C773F6" w:rsidRDefault="00C773F6" w:rsidP="00C773F6"/>
    <w:p w14:paraId="46853E65" w14:textId="114A8607" w:rsidR="006A3B2F" w:rsidRDefault="006A3B2F" w:rsidP="006A3B2F">
      <w:pPr>
        <w:rPr>
          <w:b/>
          <w:bCs/>
        </w:rPr>
      </w:pPr>
      <w:r w:rsidRPr="006A3B2F">
        <w:rPr>
          <w:b/>
          <w:bCs/>
        </w:rPr>
        <w:t>Stock Holding Days:</w:t>
      </w:r>
    </w:p>
    <w:p w14:paraId="7ECF5C53" w14:textId="7E0720B7" w:rsidR="006A3B2F" w:rsidRDefault="006A3B2F" w:rsidP="006A3B2F">
      <w:pPr>
        <w:jc w:val="center"/>
        <w:rPr>
          <w:b/>
          <w:bCs/>
        </w:rPr>
      </w:pPr>
      <w:r w:rsidRPr="006A3B2F">
        <w:rPr>
          <w:b/>
          <w:bCs/>
        </w:rPr>
        <w:t xml:space="preserve">Stock holding days = (average inventory / cost of goods sold) </w:t>
      </w:r>
      <w:r w:rsidRPr="006A3B2F">
        <w:rPr>
          <w:rFonts w:cs="Times New Roman"/>
          <w:b/>
          <w:bCs/>
        </w:rPr>
        <w:t>×</w:t>
      </w:r>
      <w:r w:rsidRPr="006A3B2F">
        <w:rPr>
          <w:b/>
          <w:bCs/>
        </w:rPr>
        <w:t xml:space="preserve"> 365</w:t>
      </w:r>
    </w:p>
    <w:p w14:paraId="727F0AE2" w14:textId="008C3F55" w:rsidR="006A3B2F" w:rsidRDefault="006A3B2F" w:rsidP="006A3B2F">
      <w:r w:rsidRPr="006A3B2F">
        <w:t>It is a measure of a company's inventory management team's efficiency in turning inventory into sales. Average time it takes to collect debts from customers is measured by a key accounting metric called the Debtor Collection Period. Simply speaking, a shorter time frame is indicative of more efficiency. The time it takes to collect payment may be weighed against the time it took to issue and use credit (Welc, 2022). With increased productivity, you can need less time to get the same amount of work done. Using this data, the company might evaluate the practical time it takes to collect vs the notional credit period that is extended (Welc, 2022).</w:t>
      </w:r>
    </w:p>
    <w:tbl>
      <w:tblPr>
        <w:tblStyle w:val="TableGrid"/>
        <w:tblW w:w="9632" w:type="dxa"/>
        <w:tblInd w:w="0" w:type="dxa"/>
        <w:tblLook w:val="04A0" w:firstRow="1" w:lastRow="0" w:firstColumn="1" w:lastColumn="0" w:noHBand="0" w:noVBand="1"/>
      </w:tblPr>
      <w:tblGrid>
        <w:gridCol w:w="3210"/>
        <w:gridCol w:w="3211"/>
        <w:gridCol w:w="3211"/>
      </w:tblGrid>
      <w:tr w:rsidR="006A3B2F" w14:paraId="15C95C87" w14:textId="77777777" w:rsidTr="006A3B2F">
        <w:trPr>
          <w:trHeight w:val="1313"/>
        </w:trPr>
        <w:tc>
          <w:tcPr>
            <w:tcW w:w="3210" w:type="dxa"/>
            <w:tcBorders>
              <w:top w:val="single" w:sz="4" w:space="0" w:color="auto"/>
              <w:left w:val="single" w:sz="4" w:space="0" w:color="auto"/>
              <w:bottom w:val="single" w:sz="4" w:space="0" w:color="auto"/>
              <w:right w:val="single" w:sz="4" w:space="0" w:color="auto"/>
            </w:tcBorders>
            <w:hideMark/>
          </w:tcPr>
          <w:p w14:paraId="3154411B" w14:textId="77777777" w:rsidR="006A3B2F" w:rsidRDefault="006A3B2F" w:rsidP="006A3B2F">
            <w:r>
              <w:t>Particulars</w:t>
            </w:r>
          </w:p>
        </w:tc>
        <w:tc>
          <w:tcPr>
            <w:tcW w:w="3211" w:type="dxa"/>
            <w:tcBorders>
              <w:top w:val="single" w:sz="4" w:space="0" w:color="auto"/>
              <w:left w:val="single" w:sz="4" w:space="0" w:color="auto"/>
              <w:bottom w:val="single" w:sz="4" w:space="0" w:color="auto"/>
              <w:right w:val="single" w:sz="4" w:space="0" w:color="auto"/>
            </w:tcBorders>
            <w:hideMark/>
          </w:tcPr>
          <w:p w14:paraId="0852807A" w14:textId="77777777" w:rsidR="006A3B2F" w:rsidRDefault="006A3B2F" w:rsidP="006A3B2F">
            <w:r>
              <w:t>2020</w:t>
            </w:r>
          </w:p>
          <w:p w14:paraId="60178FBA" w14:textId="77777777" w:rsidR="006A3B2F" w:rsidRDefault="006A3B2F" w:rsidP="006A3B2F">
            <w:r w:rsidRPr="00A42FF0">
              <w:t>(</w:t>
            </w:r>
            <w:r>
              <w:t>A</w:t>
            </w:r>
            <w:r w:rsidRPr="00A42FF0">
              <w:t>mount in £ millions)</w:t>
            </w:r>
          </w:p>
        </w:tc>
        <w:tc>
          <w:tcPr>
            <w:tcW w:w="3211" w:type="dxa"/>
            <w:tcBorders>
              <w:top w:val="single" w:sz="4" w:space="0" w:color="auto"/>
              <w:left w:val="single" w:sz="4" w:space="0" w:color="auto"/>
              <w:bottom w:val="single" w:sz="4" w:space="0" w:color="auto"/>
              <w:right w:val="single" w:sz="4" w:space="0" w:color="auto"/>
            </w:tcBorders>
            <w:hideMark/>
          </w:tcPr>
          <w:p w14:paraId="02F1B062" w14:textId="77777777" w:rsidR="006A3B2F" w:rsidRDefault="006A3B2F" w:rsidP="006A3B2F">
            <w:r>
              <w:t>2021</w:t>
            </w:r>
          </w:p>
          <w:p w14:paraId="0D0862F7" w14:textId="77777777" w:rsidR="006A3B2F" w:rsidRDefault="006A3B2F" w:rsidP="006A3B2F">
            <w:r w:rsidRPr="00A42FF0">
              <w:t>(</w:t>
            </w:r>
            <w:r>
              <w:t>A</w:t>
            </w:r>
            <w:r w:rsidRPr="00A42FF0">
              <w:t>mount in £ millions)</w:t>
            </w:r>
          </w:p>
        </w:tc>
      </w:tr>
      <w:tr w:rsidR="006A3B2F" w14:paraId="3D3CF836" w14:textId="77777777" w:rsidTr="006A3B2F">
        <w:trPr>
          <w:trHeight w:val="808"/>
        </w:trPr>
        <w:tc>
          <w:tcPr>
            <w:tcW w:w="3210" w:type="dxa"/>
            <w:tcBorders>
              <w:top w:val="single" w:sz="4" w:space="0" w:color="auto"/>
              <w:left w:val="single" w:sz="4" w:space="0" w:color="auto"/>
              <w:bottom w:val="single" w:sz="4" w:space="0" w:color="auto"/>
              <w:right w:val="single" w:sz="4" w:space="0" w:color="auto"/>
            </w:tcBorders>
            <w:hideMark/>
          </w:tcPr>
          <w:p w14:paraId="68EF5364" w14:textId="77777777" w:rsidR="006A3B2F" w:rsidRDefault="006A3B2F" w:rsidP="006A3B2F">
            <w:r>
              <w:t>Closing stock</w:t>
            </w:r>
          </w:p>
        </w:tc>
        <w:tc>
          <w:tcPr>
            <w:tcW w:w="3211" w:type="dxa"/>
            <w:tcBorders>
              <w:top w:val="single" w:sz="4" w:space="0" w:color="auto"/>
              <w:left w:val="single" w:sz="4" w:space="0" w:color="auto"/>
              <w:bottom w:val="single" w:sz="4" w:space="0" w:color="auto"/>
              <w:right w:val="single" w:sz="4" w:space="0" w:color="auto"/>
            </w:tcBorders>
            <w:hideMark/>
          </w:tcPr>
          <w:p w14:paraId="405F024D" w14:textId="77777777" w:rsidR="006A3B2F" w:rsidRDefault="006A3B2F" w:rsidP="006A3B2F">
            <w:r>
              <w:t xml:space="preserve">659 </w:t>
            </w:r>
          </w:p>
        </w:tc>
        <w:tc>
          <w:tcPr>
            <w:tcW w:w="3211" w:type="dxa"/>
            <w:tcBorders>
              <w:top w:val="single" w:sz="4" w:space="0" w:color="auto"/>
              <w:left w:val="single" w:sz="4" w:space="0" w:color="auto"/>
              <w:bottom w:val="single" w:sz="4" w:space="0" w:color="auto"/>
              <w:right w:val="single" w:sz="4" w:space="0" w:color="auto"/>
            </w:tcBorders>
            <w:hideMark/>
          </w:tcPr>
          <w:p w14:paraId="17E81366" w14:textId="77777777" w:rsidR="006A3B2F" w:rsidRDefault="006A3B2F" w:rsidP="006A3B2F">
            <w:r>
              <w:t>708</w:t>
            </w:r>
            <w:r>
              <w:rPr>
                <w:rFonts w:eastAsiaTheme="minorEastAsia"/>
              </w:rPr>
              <w:t xml:space="preserve"> </w:t>
            </w:r>
          </w:p>
        </w:tc>
      </w:tr>
      <w:tr w:rsidR="006A3B2F" w14:paraId="38FDFA93" w14:textId="77777777" w:rsidTr="006A3B2F">
        <w:trPr>
          <w:trHeight w:val="889"/>
        </w:trPr>
        <w:tc>
          <w:tcPr>
            <w:tcW w:w="3210" w:type="dxa"/>
            <w:tcBorders>
              <w:top w:val="single" w:sz="4" w:space="0" w:color="auto"/>
              <w:left w:val="single" w:sz="4" w:space="0" w:color="auto"/>
              <w:bottom w:val="single" w:sz="4" w:space="0" w:color="auto"/>
              <w:right w:val="single" w:sz="4" w:space="0" w:color="auto"/>
            </w:tcBorders>
            <w:hideMark/>
          </w:tcPr>
          <w:p w14:paraId="670B0662" w14:textId="77777777" w:rsidR="006A3B2F" w:rsidRDefault="006A3B2F" w:rsidP="006A3B2F">
            <w:r>
              <w:t>Cost of goods sold</w:t>
            </w:r>
          </w:p>
        </w:tc>
        <w:tc>
          <w:tcPr>
            <w:tcW w:w="3211" w:type="dxa"/>
            <w:tcBorders>
              <w:top w:val="single" w:sz="4" w:space="0" w:color="auto"/>
              <w:left w:val="single" w:sz="4" w:space="0" w:color="auto"/>
              <w:bottom w:val="single" w:sz="4" w:space="0" w:color="auto"/>
              <w:right w:val="single" w:sz="4" w:space="0" w:color="auto"/>
            </w:tcBorders>
            <w:hideMark/>
          </w:tcPr>
          <w:p w14:paraId="2D00C47B" w14:textId="77777777" w:rsidR="006A3B2F" w:rsidRDefault="006A3B2F" w:rsidP="006A3B2F">
            <w:r>
              <w:t xml:space="preserve">3,096 </w:t>
            </w:r>
          </w:p>
        </w:tc>
        <w:tc>
          <w:tcPr>
            <w:tcW w:w="3211" w:type="dxa"/>
            <w:tcBorders>
              <w:top w:val="single" w:sz="4" w:space="0" w:color="auto"/>
              <w:left w:val="single" w:sz="4" w:space="0" w:color="auto"/>
              <w:bottom w:val="single" w:sz="4" w:space="0" w:color="auto"/>
              <w:right w:val="single" w:sz="4" w:space="0" w:color="auto"/>
            </w:tcBorders>
            <w:hideMark/>
          </w:tcPr>
          <w:p w14:paraId="117E6539" w14:textId="77777777" w:rsidR="006A3B2F" w:rsidRDefault="006A3B2F" w:rsidP="006A3B2F">
            <w:r>
              <w:t xml:space="preserve">3,235 </w:t>
            </w:r>
          </w:p>
        </w:tc>
      </w:tr>
    </w:tbl>
    <w:p w14:paraId="1F6645F2" w14:textId="77777777" w:rsidR="006A3B2F" w:rsidRPr="006A3B2F" w:rsidRDefault="006A3B2F" w:rsidP="006A3B2F"/>
    <w:p w14:paraId="7304682C" w14:textId="2FA92719" w:rsidR="006A3B2F" w:rsidRDefault="006A3B2F" w:rsidP="006A3B2F">
      <w:pPr>
        <w:rPr>
          <w:b/>
          <w:bCs/>
        </w:rPr>
      </w:pPr>
      <w:r>
        <w:rPr>
          <w:b/>
          <w:bCs/>
        </w:rPr>
        <w:t>2020</w:t>
      </w:r>
    </w:p>
    <w:p w14:paraId="4B3FDEFA" w14:textId="77777777" w:rsidR="006A3B2F" w:rsidRPr="006A3B2F" w:rsidRDefault="006A3B2F" w:rsidP="006A3B2F">
      <w:pPr>
        <w:rPr>
          <w:rFonts w:eastAsiaTheme="minorEastAsia" w:cs="Times New Roman"/>
          <w:sz w:val="32"/>
          <w:szCs w:val="32"/>
        </w:rPr>
      </w:pPr>
      <w:r w:rsidRPr="006A3B2F">
        <w:rPr>
          <w:rFonts w:cs="Times New Roman"/>
          <w:sz w:val="32"/>
          <w:szCs w:val="32"/>
        </w:rPr>
        <w:t>=</w:t>
      </w:r>
      <m:oMath>
        <m:f>
          <m:fPr>
            <m:ctrlPr>
              <w:rPr>
                <w:rFonts w:ascii="Cambria Math" w:hAnsi="Cambria Math" w:cs="Times New Roman"/>
                <w:i/>
                <w:sz w:val="32"/>
                <w:szCs w:val="32"/>
              </w:rPr>
            </m:ctrlPr>
          </m:fPr>
          <m:num>
            <m:r>
              <w:rPr>
                <w:rFonts w:ascii="Cambria Math" w:hAnsi="Cambria Math" w:cs="Times New Roman"/>
                <w:sz w:val="32"/>
                <w:szCs w:val="32"/>
              </w:rPr>
              <m:t xml:space="preserve">659 </m:t>
            </m:r>
          </m:num>
          <m:den>
            <m:r>
              <w:rPr>
                <w:rFonts w:ascii="Cambria Math" w:hAnsi="Cambria Math" w:cs="Times New Roman"/>
                <w:sz w:val="32"/>
                <w:szCs w:val="32"/>
              </w:rPr>
              <m:t xml:space="preserve">3,096 </m:t>
            </m:r>
          </m:den>
        </m:f>
        <m:r>
          <w:rPr>
            <w:rFonts w:ascii="Cambria Math" w:hAnsi="Cambria Math" w:cs="Times New Roman"/>
            <w:sz w:val="32"/>
            <w:szCs w:val="32"/>
          </w:rPr>
          <m:t>*365 days</m:t>
        </m:r>
      </m:oMath>
    </w:p>
    <w:p w14:paraId="074DB5B0" w14:textId="459158F4" w:rsidR="006A3B2F" w:rsidRDefault="006A3B2F" w:rsidP="006A3B2F">
      <w:pPr>
        <w:rPr>
          <w:rFonts w:eastAsiaTheme="minorEastAsia" w:cs="Times New Roman"/>
          <w:szCs w:val="24"/>
        </w:rPr>
      </w:pPr>
      <w:r>
        <w:rPr>
          <w:rFonts w:eastAsiaTheme="minorEastAsia" w:cs="Times New Roman"/>
          <w:szCs w:val="24"/>
        </w:rPr>
        <w:t xml:space="preserve">= 78 days </w:t>
      </w:r>
    </w:p>
    <w:p w14:paraId="740E573D" w14:textId="6535ADC1" w:rsidR="006A3B2F" w:rsidRDefault="006A3B2F" w:rsidP="006A3B2F">
      <w:pPr>
        <w:rPr>
          <w:rFonts w:eastAsiaTheme="minorEastAsia" w:cs="Times New Roman"/>
          <w:szCs w:val="24"/>
        </w:rPr>
      </w:pPr>
    </w:p>
    <w:p w14:paraId="5757A2D9" w14:textId="6982D61A" w:rsidR="006A3B2F" w:rsidRPr="006A3B2F" w:rsidRDefault="006A3B2F" w:rsidP="006A3B2F">
      <w:pPr>
        <w:rPr>
          <w:rFonts w:eastAsiaTheme="minorEastAsia" w:cs="Times New Roman"/>
          <w:b/>
          <w:bCs/>
          <w:szCs w:val="24"/>
        </w:rPr>
      </w:pPr>
      <w:r w:rsidRPr="006A3B2F">
        <w:rPr>
          <w:rFonts w:eastAsiaTheme="minorEastAsia" w:cs="Times New Roman"/>
          <w:b/>
          <w:bCs/>
          <w:szCs w:val="24"/>
        </w:rPr>
        <w:lastRenderedPageBreak/>
        <w:t xml:space="preserve">2021 </w:t>
      </w:r>
    </w:p>
    <w:p w14:paraId="49E64692" w14:textId="77777777" w:rsidR="006A3B2F" w:rsidRPr="006A3B2F" w:rsidRDefault="006A3B2F" w:rsidP="006A3B2F">
      <w:pPr>
        <w:rPr>
          <w:rFonts w:eastAsiaTheme="minorEastAsia" w:cs="Times New Roman"/>
          <w:sz w:val="32"/>
          <w:szCs w:val="32"/>
        </w:rPr>
      </w:pPr>
      <w:r w:rsidRPr="006A3B2F">
        <w:rPr>
          <w:rFonts w:cs="Times New Roman"/>
          <w:sz w:val="32"/>
          <w:szCs w:val="32"/>
        </w:rPr>
        <w:t>=</w:t>
      </w:r>
      <m:oMath>
        <m:f>
          <m:fPr>
            <m:ctrlPr>
              <w:rPr>
                <w:rFonts w:ascii="Cambria Math" w:hAnsi="Cambria Math" w:cs="Times New Roman"/>
                <w:i/>
                <w:sz w:val="32"/>
                <w:szCs w:val="32"/>
              </w:rPr>
            </m:ctrlPr>
          </m:fPr>
          <m:num>
            <m:r>
              <w:rPr>
                <w:rFonts w:ascii="Cambria Math" w:hAnsi="Cambria Math" w:cs="Times New Roman"/>
                <w:sz w:val="32"/>
                <w:szCs w:val="32"/>
              </w:rPr>
              <m:t xml:space="preserve">708 </m:t>
            </m:r>
          </m:num>
          <m:den>
            <m:r>
              <w:rPr>
                <w:rFonts w:ascii="Cambria Math" w:hAnsi="Cambria Math" w:cs="Times New Roman"/>
                <w:sz w:val="32"/>
                <w:szCs w:val="32"/>
              </w:rPr>
              <m:t xml:space="preserve">3,235  </m:t>
            </m:r>
          </m:den>
        </m:f>
        <m:r>
          <w:rPr>
            <w:rFonts w:ascii="Cambria Math" w:eastAsiaTheme="minorEastAsia" w:hAnsi="Cambria Math" w:cs="Times New Roman"/>
            <w:sz w:val="32"/>
            <w:szCs w:val="32"/>
          </w:rPr>
          <m:t>*365 days</m:t>
        </m:r>
      </m:oMath>
    </w:p>
    <w:p w14:paraId="5B5CA36C" w14:textId="0B53AA81" w:rsidR="006A3B2F" w:rsidRDefault="006A3B2F" w:rsidP="006A3B2F">
      <w:pPr>
        <w:rPr>
          <w:rFonts w:eastAsiaTheme="minorEastAsia" w:cs="Times New Roman"/>
          <w:szCs w:val="24"/>
        </w:rPr>
      </w:pPr>
      <w:r>
        <w:rPr>
          <w:rFonts w:eastAsiaTheme="minorEastAsia" w:cs="Times New Roman"/>
          <w:szCs w:val="24"/>
        </w:rPr>
        <w:t>= 80 days (rounded figure)</w:t>
      </w:r>
    </w:p>
    <w:p w14:paraId="23C0D56E" w14:textId="37C8AA23" w:rsidR="006A3B2F" w:rsidRDefault="006A3B2F" w:rsidP="006A3B2F">
      <w:pPr>
        <w:rPr>
          <w:rFonts w:eastAsiaTheme="minorEastAsia" w:cs="Times New Roman"/>
          <w:szCs w:val="24"/>
        </w:rPr>
      </w:pPr>
    </w:p>
    <w:p w14:paraId="04AFD9B4" w14:textId="0D501FDF" w:rsidR="006A3B2F" w:rsidRDefault="006A3B2F" w:rsidP="006A3B2F">
      <w:pPr>
        <w:rPr>
          <w:b/>
          <w:bCs/>
        </w:rPr>
      </w:pPr>
      <w:r w:rsidRPr="006A3B2F">
        <w:rPr>
          <w:b/>
          <w:bCs/>
        </w:rPr>
        <w:t>Debtors Collection Period:</w:t>
      </w:r>
    </w:p>
    <w:p w14:paraId="34E0B5C9" w14:textId="66CC1761" w:rsidR="006A3B2F" w:rsidRDefault="006A3B2F" w:rsidP="006A3B2F">
      <w:pPr>
        <w:jc w:val="center"/>
        <w:rPr>
          <w:b/>
          <w:bCs/>
        </w:rPr>
      </w:pPr>
      <w:r w:rsidRPr="006A3B2F">
        <w:rPr>
          <w:b/>
          <w:bCs/>
        </w:rPr>
        <w:t xml:space="preserve">Debtor collection period = (accounts receivables / total sales) </w:t>
      </w:r>
      <w:r w:rsidRPr="006A3B2F">
        <w:rPr>
          <w:rFonts w:cs="Times New Roman"/>
          <w:b/>
          <w:bCs/>
        </w:rPr>
        <w:t>×</w:t>
      </w:r>
      <w:r w:rsidRPr="006A3B2F">
        <w:rPr>
          <w:b/>
          <w:bCs/>
        </w:rPr>
        <w:t xml:space="preserve"> 365</w:t>
      </w:r>
    </w:p>
    <w:p w14:paraId="3EA9C7BE" w14:textId="4F7A0DC5" w:rsidR="006A3B2F" w:rsidRDefault="006A3B2F" w:rsidP="006A3B2F">
      <w:r w:rsidRPr="006A3B2F">
        <w:t>Another efficiency ratio for gauging a business's ability to turn credit sales into cold hard cash. When calculating the average time business takes to collect debts from customers, accountants use a metric called the Debtor Collection Period. An effective time frame is one that can accomplish the desired result in as little time as possible. Time spent collecting against time spent extending credit may be weighed by the firm (Welc, 2022). As a result of increased productivity, it may take less time to get the job done. Company officials might use this data to evaluate the practical time it takes to collect vs the notional credit term that is extended (Welc, 2022).</w:t>
      </w:r>
    </w:p>
    <w:tbl>
      <w:tblPr>
        <w:tblStyle w:val="TableGrid"/>
        <w:tblW w:w="9647" w:type="dxa"/>
        <w:tblInd w:w="0" w:type="dxa"/>
        <w:tblLook w:val="04A0" w:firstRow="1" w:lastRow="0" w:firstColumn="1" w:lastColumn="0" w:noHBand="0" w:noVBand="1"/>
      </w:tblPr>
      <w:tblGrid>
        <w:gridCol w:w="3215"/>
        <w:gridCol w:w="3216"/>
        <w:gridCol w:w="3216"/>
      </w:tblGrid>
      <w:tr w:rsidR="006A3B2F" w14:paraId="1761A684" w14:textId="77777777" w:rsidTr="006A3B2F">
        <w:trPr>
          <w:trHeight w:val="1313"/>
        </w:trPr>
        <w:tc>
          <w:tcPr>
            <w:tcW w:w="3215" w:type="dxa"/>
            <w:tcBorders>
              <w:top w:val="single" w:sz="4" w:space="0" w:color="auto"/>
              <w:left w:val="single" w:sz="4" w:space="0" w:color="auto"/>
              <w:bottom w:val="single" w:sz="4" w:space="0" w:color="auto"/>
              <w:right w:val="single" w:sz="4" w:space="0" w:color="auto"/>
            </w:tcBorders>
            <w:hideMark/>
          </w:tcPr>
          <w:p w14:paraId="26019302" w14:textId="77777777" w:rsidR="006A3B2F" w:rsidRDefault="006A3B2F" w:rsidP="006A3B2F">
            <w:r>
              <w:t>Particulars</w:t>
            </w:r>
          </w:p>
        </w:tc>
        <w:tc>
          <w:tcPr>
            <w:tcW w:w="3216" w:type="dxa"/>
            <w:tcBorders>
              <w:top w:val="single" w:sz="4" w:space="0" w:color="auto"/>
              <w:left w:val="single" w:sz="4" w:space="0" w:color="auto"/>
              <w:bottom w:val="single" w:sz="4" w:space="0" w:color="auto"/>
              <w:right w:val="single" w:sz="4" w:space="0" w:color="auto"/>
            </w:tcBorders>
            <w:hideMark/>
          </w:tcPr>
          <w:p w14:paraId="2571882C" w14:textId="77777777" w:rsidR="006A3B2F" w:rsidRDefault="006A3B2F" w:rsidP="006A3B2F">
            <w:r>
              <w:t>2020</w:t>
            </w:r>
          </w:p>
          <w:p w14:paraId="0F81CEAA" w14:textId="77777777" w:rsidR="006A3B2F" w:rsidRDefault="006A3B2F" w:rsidP="006A3B2F">
            <w:r w:rsidRPr="00A42FF0">
              <w:t>(</w:t>
            </w:r>
            <w:r>
              <w:t>A</w:t>
            </w:r>
            <w:r w:rsidRPr="00A42FF0">
              <w:t>mount in £ millions)</w:t>
            </w:r>
          </w:p>
        </w:tc>
        <w:tc>
          <w:tcPr>
            <w:tcW w:w="3216" w:type="dxa"/>
            <w:tcBorders>
              <w:top w:val="single" w:sz="4" w:space="0" w:color="auto"/>
              <w:left w:val="single" w:sz="4" w:space="0" w:color="auto"/>
              <w:bottom w:val="single" w:sz="4" w:space="0" w:color="auto"/>
              <w:right w:val="single" w:sz="4" w:space="0" w:color="auto"/>
            </w:tcBorders>
            <w:hideMark/>
          </w:tcPr>
          <w:p w14:paraId="01E1F899" w14:textId="77777777" w:rsidR="006A3B2F" w:rsidRDefault="006A3B2F" w:rsidP="006A3B2F">
            <w:r>
              <w:t>2021</w:t>
            </w:r>
          </w:p>
          <w:p w14:paraId="550AB8D5" w14:textId="77777777" w:rsidR="006A3B2F" w:rsidRDefault="006A3B2F" w:rsidP="006A3B2F">
            <w:r w:rsidRPr="00A42FF0">
              <w:t>(</w:t>
            </w:r>
            <w:r>
              <w:t>A</w:t>
            </w:r>
            <w:r w:rsidRPr="00A42FF0">
              <w:t>mount in £ millions)</w:t>
            </w:r>
          </w:p>
        </w:tc>
      </w:tr>
      <w:tr w:rsidR="006A3B2F" w14:paraId="2AB3B16C" w14:textId="77777777" w:rsidTr="006A3B2F">
        <w:trPr>
          <w:trHeight w:val="778"/>
        </w:trPr>
        <w:tc>
          <w:tcPr>
            <w:tcW w:w="3215" w:type="dxa"/>
            <w:tcBorders>
              <w:top w:val="single" w:sz="4" w:space="0" w:color="auto"/>
              <w:left w:val="single" w:sz="4" w:space="0" w:color="auto"/>
              <w:bottom w:val="single" w:sz="4" w:space="0" w:color="auto"/>
              <w:right w:val="single" w:sz="4" w:space="0" w:color="auto"/>
            </w:tcBorders>
            <w:hideMark/>
          </w:tcPr>
          <w:p w14:paraId="183DC5FC" w14:textId="77777777" w:rsidR="006A3B2F" w:rsidRDefault="006A3B2F" w:rsidP="006A3B2F">
            <w:r>
              <w:t>Trade debtors</w:t>
            </w:r>
          </w:p>
        </w:tc>
        <w:tc>
          <w:tcPr>
            <w:tcW w:w="3216" w:type="dxa"/>
            <w:tcBorders>
              <w:top w:val="single" w:sz="4" w:space="0" w:color="auto"/>
              <w:left w:val="single" w:sz="4" w:space="0" w:color="auto"/>
              <w:bottom w:val="single" w:sz="4" w:space="0" w:color="auto"/>
              <w:right w:val="single" w:sz="4" w:space="0" w:color="auto"/>
            </w:tcBorders>
            <w:hideMark/>
          </w:tcPr>
          <w:p w14:paraId="14E11896" w14:textId="77777777" w:rsidR="006A3B2F" w:rsidRDefault="006A3B2F" w:rsidP="006A3B2F">
            <w:r>
              <w:t xml:space="preserve">1,287 </w:t>
            </w:r>
          </w:p>
        </w:tc>
        <w:tc>
          <w:tcPr>
            <w:tcW w:w="3216" w:type="dxa"/>
            <w:tcBorders>
              <w:top w:val="single" w:sz="4" w:space="0" w:color="auto"/>
              <w:left w:val="single" w:sz="4" w:space="0" w:color="auto"/>
              <w:bottom w:val="single" w:sz="4" w:space="0" w:color="auto"/>
              <w:right w:val="single" w:sz="4" w:space="0" w:color="auto"/>
            </w:tcBorders>
            <w:hideMark/>
          </w:tcPr>
          <w:p w14:paraId="1A78E346" w14:textId="77777777" w:rsidR="006A3B2F" w:rsidRDefault="006A3B2F" w:rsidP="006A3B2F">
            <w:r>
              <w:t>1,249</w:t>
            </w:r>
            <w:r>
              <w:rPr>
                <w:rFonts w:eastAsiaTheme="minorEastAsia"/>
              </w:rPr>
              <w:t xml:space="preserve"> </w:t>
            </w:r>
          </w:p>
        </w:tc>
      </w:tr>
      <w:tr w:rsidR="006A3B2F" w14:paraId="405992F8" w14:textId="77777777" w:rsidTr="006A3B2F">
        <w:trPr>
          <w:trHeight w:val="856"/>
        </w:trPr>
        <w:tc>
          <w:tcPr>
            <w:tcW w:w="3215" w:type="dxa"/>
            <w:tcBorders>
              <w:top w:val="single" w:sz="4" w:space="0" w:color="auto"/>
              <w:left w:val="single" w:sz="4" w:space="0" w:color="auto"/>
              <w:bottom w:val="single" w:sz="4" w:space="0" w:color="auto"/>
              <w:right w:val="single" w:sz="4" w:space="0" w:color="auto"/>
            </w:tcBorders>
            <w:hideMark/>
          </w:tcPr>
          <w:p w14:paraId="4AAA5087" w14:textId="77777777" w:rsidR="006A3B2F" w:rsidRDefault="006A3B2F" w:rsidP="006A3B2F">
            <w:r>
              <w:t>Revenue</w:t>
            </w:r>
          </w:p>
        </w:tc>
        <w:tc>
          <w:tcPr>
            <w:tcW w:w="3216" w:type="dxa"/>
            <w:tcBorders>
              <w:top w:val="single" w:sz="4" w:space="0" w:color="auto"/>
              <w:left w:val="single" w:sz="4" w:space="0" w:color="auto"/>
              <w:bottom w:val="single" w:sz="4" w:space="0" w:color="auto"/>
              <w:right w:val="single" w:sz="4" w:space="0" w:color="auto"/>
            </w:tcBorders>
            <w:hideMark/>
          </w:tcPr>
          <w:p w14:paraId="02E03226" w14:textId="77777777" w:rsidR="006A3B2F" w:rsidRDefault="006A3B2F" w:rsidP="006A3B2F">
            <w:r>
              <w:t xml:space="preserve">6,441 </w:t>
            </w:r>
          </w:p>
        </w:tc>
        <w:tc>
          <w:tcPr>
            <w:tcW w:w="3216" w:type="dxa"/>
            <w:tcBorders>
              <w:top w:val="single" w:sz="4" w:space="0" w:color="auto"/>
              <w:left w:val="single" w:sz="4" w:space="0" w:color="auto"/>
              <w:bottom w:val="single" w:sz="4" w:space="0" w:color="auto"/>
              <w:right w:val="single" w:sz="4" w:space="0" w:color="auto"/>
            </w:tcBorders>
            <w:hideMark/>
          </w:tcPr>
          <w:p w14:paraId="6DF08CE1" w14:textId="77777777" w:rsidR="006A3B2F" w:rsidRDefault="006A3B2F" w:rsidP="006A3B2F">
            <w:r>
              <w:t>6,738</w:t>
            </w:r>
            <w:r>
              <w:rPr>
                <w:rFonts w:eastAsiaTheme="minorEastAsia"/>
              </w:rPr>
              <w:t xml:space="preserve"> </w:t>
            </w:r>
          </w:p>
        </w:tc>
      </w:tr>
    </w:tbl>
    <w:p w14:paraId="186F16D6" w14:textId="77777777" w:rsidR="006A3B2F" w:rsidRPr="006A3B2F" w:rsidRDefault="006A3B2F" w:rsidP="006A3B2F"/>
    <w:p w14:paraId="55E3653C" w14:textId="1741F5A3" w:rsidR="006A3B2F" w:rsidRDefault="006A3B2F" w:rsidP="006A3B2F">
      <w:pPr>
        <w:rPr>
          <w:b/>
          <w:bCs/>
        </w:rPr>
      </w:pPr>
      <w:r>
        <w:rPr>
          <w:b/>
          <w:bCs/>
        </w:rPr>
        <w:t>2020</w:t>
      </w:r>
    </w:p>
    <w:p w14:paraId="3C1C5D4E" w14:textId="77777777" w:rsidR="006A3B2F" w:rsidRPr="007B75F0" w:rsidRDefault="006A3B2F" w:rsidP="006A3B2F">
      <w:pPr>
        <w:rPr>
          <w:rFonts w:eastAsiaTheme="minorEastAsia" w:cs="Times New Roman"/>
          <w:sz w:val="32"/>
          <w:szCs w:val="32"/>
        </w:rPr>
      </w:pPr>
      <w:r w:rsidRPr="007B75F0">
        <w:rPr>
          <w:rFonts w:cs="Times New Roman"/>
          <w:sz w:val="32"/>
          <w:szCs w:val="32"/>
        </w:rPr>
        <w:t>=</w:t>
      </w:r>
      <m:oMath>
        <m:f>
          <m:fPr>
            <m:ctrlPr>
              <w:rPr>
                <w:rFonts w:ascii="Cambria Math" w:hAnsi="Cambria Math" w:cs="Times New Roman"/>
                <w:i/>
                <w:sz w:val="28"/>
                <w:szCs w:val="28"/>
              </w:rPr>
            </m:ctrlPr>
          </m:fPr>
          <m:num>
            <m:r>
              <w:rPr>
                <w:rFonts w:ascii="Cambria Math" w:hAnsi="Cambria Math" w:cs="Times New Roman"/>
                <w:sz w:val="28"/>
                <w:szCs w:val="28"/>
              </w:rPr>
              <m:t xml:space="preserve">1,287 </m:t>
            </m:r>
          </m:num>
          <m:den>
            <m:r>
              <w:rPr>
                <w:rFonts w:ascii="Cambria Math" w:hAnsi="Cambria Math" w:cs="Times New Roman"/>
                <w:sz w:val="28"/>
                <w:szCs w:val="28"/>
              </w:rPr>
              <m:t xml:space="preserve">6,441  </m:t>
            </m:r>
          </m:den>
        </m:f>
        <m:r>
          <w:rPr>
            <w:rFonts w:ascii="Cambria Math" w:hAnsi="Cambria Math" w:cs="Times New Roman"/>
            <w:sz w:val="28"/>
            <w:szCs w:val="28"/>
          </w:rPr>
          <m:t>*365 days</m:t>
        </m:r>
      </m:oMath>
    </w:p>
    <w:p w14:paraId="58792F67" w14:textId="677ED5C8" w:rsidR="006A3B2F" w:rsidRDefault="006A3B2F" w:rsidP="006A3B2F">
      <w:pPr>
        <w:rPr>
          <w:rFonts w:eastAsiaTheme="minorEastAsia" w:cs="Times New Roman"/>
          <w:szCs w:val="24"/>
        </w:rPr>
      </w:pPr>
      <w:r>
        <w:rPr>
          <w:rFonts w:eastAsiaTheme="minorEastAsia" w:cs="Times New Roman"/>
          <w:szCs w:val="24"/>
        </w:rPr>
        <w:t xml:space="preserve"> = 73 days </w:t>
      </w:r>
    </w:p>
    <w:p w14:paraId="651C78A5" w14:textId="6A2355F4" w:rsidR="006A3B2F" w:rsidRPr="007B75F0" w:rsidRDefault="006A3B2F" w:rsidP="006A3B2F">
      <w:pPr>
        <w:rPr>
          <w:rFonts w:eastAsiaTheme="minorEastAsia" w:cs="Times New Roman"/>
          <w:b/>
          <w:bCs/>
          <w:szCs w:val="24"/>
        </w:rPr>
      </w:pPr>
      <w:r w:rsidRPr="007B75F0">
        <w:rPr>
          <w:rFonts w:eastAsiaTheme="minorEastAsia" w:cs="Times New Roman"/>
          <w:b/>
          <w:bCs/>
          <w:szCs w:val="24"/>
        </w:rPr>
        <w:t>2021</w:t>
      </w:r>
    </w:p>
    <w:p w14:paraId="07EC3201" w14:textId="77777777" w:rsidR="006A3B2F" w:rsidRPr="007B75F0" w:rsidRDefault="006A3B2F" w:rsidP="006A3B2F">
      <w:pPr>
        <w:rPr>
          <w:rFonts w:eastAsiaTheme="minorEastAsia" w:cs="Times New Roman"/>
          <w:sz w:val="32"/>
          <w:szCs w:val="32"/>
        </w:rPr>
      </w:pPr>
      <w:r w:rsidRPr="007B75F0">
        <w:rPr>
          <w:rFonts w:cs="Times New Roman"/>
          <w:sz w:val="32"/>
          <w:szCs w:val="32"/>
        </w:rPr>
        <w:lastRenderedPageBreak/>
        <w:t>=</w:t>
      </w:r>
      <m:oMath>
        <m:f>
          <m:fPr>
            <m:ctrlPr>
              <w:rPr>
                <w:rFonts w:ascii="Cambria Math" w:hAnsi="Cambria Math" w:cs="Times New Roman"/>
                <w:i/>
                <w:sz w:val="28"/>
                <w:szCs w:val="28"/>
              </w:rPr>
            </m:ctrlPr>
          </m:fPr>
          <m:num>
            <m:r>
              <w:rPr>
                <w:rFonts w:ascii="Cambria Math" w:hAnsi="Cambria Math" w:cs="Times New Roman"/>
                <w:sz w:val="28"/>
                <w:szCs w:val="28"/>
              </w:rPr>
              <m:t xml:space="preserve">1,249 </m:t>
            </m:r>
          </m:num>
          <m:den>
            <m:r>
              <w:rPr>
                <w:rFonts w:ascii="Cambria Math" w:hAnsi="Cambria Math" w:cs="Times New Roman"/>
                <w:sz w:val="28"/>
                <w:szCs w:val="28"/>
              </w:rPr>
              <m:t xml:space="preserve">6,738  </m:t>
            </m:r>
          </m:den>
        </m:f>
        <m:r>
          <w:rPr>
            <w:rFonts w:ascii="Cambria Math" w:eastAsiaTheme="minorEastAsia" w:hAnsi="Cambria Math" w:cs="Times New Roman"/>
            <w:sz w:val="28"/>
            <w:szCs w:val="28"/>
          </w:rPr>
          <m:t>*365 days</m:t>
        </m:r>
      </m:oMath>
    </w:p>
    <w:p w14:paraId="68A554FF" w14:textId="79BE50C1" w:rsidR="006A3B2F" w:rsidRDefault="006A3B2F" w:rsidP="006A3B2F">
      <w:pPr>
        <w:rPr>
          <w:rFonts w:eastAsiaTheme="minorEastAsia" w:cs="Times New Roman"/>
          <w:szCs w:val="24"/>
        </w:rPr>
      </w:pPr>
      <w:r>
        <w:rPr>
          <w:rFonts w:eastAsiaTheme="minorEastAsia" w:cs="Times New Roman"/>
          <w:szCs w:val="24"/>
        </w:rPr>
        <w:t xml:space="preserve">= 68 days </w:t>
      </w:r>
    </w:p>
    <w:p w14:paraId="0130F4EA" w14:textId="3C84AE8C" w:rsidR="007B75F0" w:rsidRDefault="007B75F0" w:rsidP="007B75F0">
      <w:pPr>
        <w:rPr>
          <w:b/>
          <w:bCs/>
        </w:rPr>
      </w:pPr>
      <w:r w:rsidRPr="007B75F0">
        <w:rPr>
          <w:b/>
          <w:bCs/>
        </w:rPr>
        <w:t>Current Ratio:</w:t>
      </w:r>
    </w:p>
    <w:p w14:paraId="511D364C" w14:textId="50B53772" w:rsidR="007B75F0" w:rsidRDefault="007B75F0" w:rsidP="007B75F0">
      <w:pPr>
        <w:jc w:val="center"/>
        <w:rPr>
          <w:b/>
          <w:bCs/>
        </w:rPr>
      </w:pPr>
      <w:r w:rsidRPr="007B75F0">
        <w:rPr>
          <w:b/>
          <w:bCs/>
        </w:rPr>
        <w:t>Current ratio = (current assets / current liabilities)</w:t>
      </w:r>
    </w:p>
    <w:p w14:paraId="531CE0A9" w14:textId="3AF81190" w:rsidR="007B75F0" w:rsidRDefault="007B75F0" w:rsidP="007B75F0">
      <w:r w:rsidRPr="007B75F0">
        <w:t>It's a measure of the proportion of a company's assets that can be quickly converted into cash to meet its short-term obligations; hence, it's a short-term solvency ratio. Because it measures a company's capacity to pay its short-term debts, the current ratio is a subclass of the liquidity ratio. "(Schroeder et al., 2022). Potential investors might examine how well a business is able to service its brief borrowing using its cash reserves by looking at the current ratio. Inability to conduct meaningful comparisons of performance metrics across different sectors is a weakness of the existing ratio (Schroeder, 2022).</w:t>
      </w:r>
    </w:p>
    <w:tbl>
      <w:tblPr>
        <w:tblStyle w:val="TableGrid"/>
        <w:tblW w:w="9872" w:type="dxa"/>
        <w:tblInd w:w="0" w:type="dxa"/>
        <w:tblLook w:val="04A0" w:firstRow="1" w:lastRow="0" w:firstColumn="1" w:lastColumn="0" w:noHBand="0" w:noVBand="1"/>
      </w:tblPr>
      <w:tblGrid>
        <w:gridCol w:w="3290"/>
        <w:gridCol w:w="3291"/>
        <w:gridCol w:w="3291"/>
      </w:tblGrid>
      <w:tr w:rsidR="007B75F0" w14:paraId="2E62AF89" w14:textId="77777777" w:rsidTr="007B75F0">
        <w:trPr>
          <w:trHeight w:val="1160"/>
        </w:trPr>
        <w:tc>
          <w:tcPr>
            <w:tcW w:w="3290" w:type="dxa"/>
            <w:tcBorders>
              <w:top w:val="single" w:sz="4" w:space="0" w:color="auto"/>
              <w:left w:val="single" w:sz="4" w:space="0" w:color="auto"/>
              <w:bottom w:val="single" w:sz="4" w:space="0" w:color="auto"/>
              <w:right w:val="single" w:sz="4" w:space="0" w:color="auto"/>
            </w:tcBorders>
            <w:hideMark/>
          </w:tcPr>
          <w:p w14:paraId="1992F141" w14:textId="77777777" w:rsidR="007B75F0" w:rsidRDefault="007B75F0" w:rsidP="007B75F0">
            <w:r>
              <w:t>Particulars</w:t>
            </w:r>
          </w:p>
        </w:tc>
        <w:tc>
          <w:tcPr>
            <w:tcW w:w="3291" w:type="dxa"/>
            <w:tcBorders>
              <w:top w:val="single" w:sz="4" w:space="0" w:color="auto"/>
              <w:left w:val="single" w:sz="4" w:space="0" w:color="auto"/>
              <w:bottom w:val="single" w:sz="4" w:space="0" w:color="auto"/>
              <w:right w:val="single" w:sz="4" w:space="0" w:color="auto"/>
            </w:tcBorders>
            <w:hideMark/>
          </w:tcPr>
          <w:p w14:paraId="353E02F6" w14:textId="77777777" w:rsidR="007B75F0" w:rsidRDefault="007B75F0" w:rsidP="007B75F0">
            <w:r>
              <w:t>2020</w:t>
            </w:r>
          </w:p>
          <w:p w14:paraId="2704619F" w14:textId="77777777" w:rsidR="007B75F0" w:rsidRDefault="007B75F0" w:rsidP="007B75F0">
            <w:r w:rsidRPr="00A42FF0">
              <w:t>(</w:t>
            </w:r>
            <w:r>
              <w:t>A</w:t>
            </w:r>
            <w:r w:rsidRPr="00A42FF0">
              <w:t>mount in £ millions)</w:t>
            </w:r>
          </w:p>
        </w:tc>
        <w:tc>
          <w:tcPr>
            <w:tcW w:w="3291" w:type="dxa"/>
            <w:tcBorders>
              <w:top w:val="single" w:sz="4" w:space="0" w:color="auto"/>
              <w:left w:val="single" w:sz="4" w:space="0" w:color="auto"/>
              <w:bottom w:val="single" w:sz="4" w:space="0" w:color="auto"/>
              <w:right w:val="single" w:sz="4" w:space="0" w:color="auto"/>
            </w:tcBorders>
            <w:hideMark/>
          </w:tcPr>
          <w:p w14:paraId="6E21EAD3" w14:textId="77777777" w:rsidR="007B75F0" w:rsidRDefault="007B75F0" w:rsidP="007B75F0">
            <w:r>
              <w:t>2021</w:t>
            </w:r>
          </w:p>
          <w:p w14:paraId="263A873B" w14:textId="77777777" w:rsidR="007B75F0" w:rsidRDefault="007B75F0" w:rsidP="007B75F0">
            <w:r w:rsidRPr="00A42FF0">
              <w:t>(</w:t>
            </w:r>
            <w:r>
              <w:t>A</w:t>
            </w:r>
            <w:r w:rsidRPr="00A42FF0">
              <w:t>mount in £ millions)</w:t>
            </w:r>
          </w:p>
        </w:tc>
      </w:tr>
      <w:tr w:rsidR="007B75F0" w14:paraId="0DA1291F" w14:textId="77777777" w:rsidTr="007B75F0">
        <w:trPr>
          <w:trHeight w:val="745"/>
        </w:trPr>
        <w:tc>
          <w:tcPr>
            <w:tcW w:w="3290" w:type="dxa"/>
            <w:tcBorders>
              <w:top w:val="single" w:sz="4" w:space="0" w:color="auto"/>
              <w:left w:val="single" w:sz="4" w:space="0" w:color="auto"/>
              <w:bottom w:val="single" w:sz="4" w:space="0" w:color="auto"/>
              <w:right w:val="single" w:sz="4" w:space="0" w:color="auto"/>
            </w:tcBorders>
            <w:hideMark/>
          </w:tcPr>
          <w:p w14:paraId="1AF4F117" w14:textId="77777777" w:rsidR="007B75F0" w:rsidRDefault="007B75F0" w:rsidP="007B75F0">
            <w:r>
              <w:t>Current Asset</w:t>
            </w:r>
          </w:p>
        </w:tc>
        <w:tc>
          <w:tcPr>
            <w:tcW w:w="3291" w:type="dxa"/>
            <w:tcBorders>
              <w:top w:val="single" w:sz="4" w:space="0" w:color="auto"/>
              <w:left w:val="single" w:sz="4" w:space="0" w:color="auto"/>
              <w:bottom w:val="single" w:sz="4" w:space="0" w:color="auto"/>
              <w:right w:val="single" w:sz="4" w:space="0" w:color="auto"/>
            </w:tcBorders>
            <w:hideMark/>
          </w:tcPr>
          <w:p w14:paraId="41D1BC6C" w14:textId="77777777" w:rsidR="007B75F0" w:rsidRDefault="007B75F0" w:rsidP="007B75F0">
            <w:r>
              <w:t xml:space="preserve">2,355 </w:t>
            </w:r>
          </w:p>
        </w:tc>
        <w:tc>
          <w:tcPr>
            <w:tcW w:w="3291" w:type="dxa"/>
            <w:tcBorders>
              <w:top w:val="single" w:sz="4" w:space="0" w:color="auto"/>
              <w:left w:val="single" w:sz="4" w:space="0" w:color="auto"/>
              <w:bottom w:val="single" w:sz="4" w:space="0" w:color="auto"/>
              <w:right w:val="single" w:sz="4" w:space="0" w:color="auto"/>
            </w:tcBorders>
            <w:hideMark/>
          </w:tcPr>
          <w:p w14:paraId="26365680" w14:textId="77777777" w:rsidR="007B75F0" w:rsidRDefault="007B75F0" w:rsidP="007B75F0">
            <w:r>
              <w:t>£2,303</w:t>
            </w:r>
            <w:r>
              <w:rPr>
                <w:rFonts w:eastAsiaTheme="minorEastAsia"/>
              </w:rPr>
              <w:t xml:space="preserve"> </w:t>
            </w:r>
          </w:p>
        </w:tc>
      </w:tr>
      <w:tr w:rsidR="007B75F0" w14:paraId="29A682B0" w14:textId="77777777" w:rsidTr="007B75F0">
        <w:trPr>
          <w:trHeight w:val="820"/>
        </w:trPr>
        <w:tc>
          <w:tcPr>
            <w:tcW w:w="3290" w:type="dxa"/>
            <w:tcBorders>
              <w:top w:val="single" w:sz="4" w:space="0" w:color="auto"/>
              <w:left w:val="single" w:sz="4" w:space="0" w:color="auto"/>
              <w:bottom w:val="single" w:sz="4" w:space="0" w:color="auto"/>
              <w:right w:val="single" w:sz="4" w:space="0" w:color="auto"/>
            </w:tcBorders>
            <w:hideMark/>
          </w:tcPr>
          <w:p w14:paraId="7AB33BB6" w14:textId="77777777" w:rsidR="007B75F0" w:rsidRDefault="007B75F0" w:rsidP="007B75F0">
            <w:r>
              <w:t>Current Liability</w:t>
            </w:r>
          </w:p>
        </w:tc>
        <w:tc>
          <w:tcPr>
            <w:tcW w:w="3291" w:type="dxa"/>
            <w:tcBorders>
              <w:top w:val="single" w:sz="4" w:space="0" w:color="auto"/>
              <w:left w:val="single" w:sz="4" w:space="0" w:color="auto"/>
              <w:bottom w:val="single" w:sz="4" w:space="0" w:color="auto"/>
              <w:right w:val="single" w:sz="4" w:space="0" w:color="auto"/>
            </w:tcBorders>
            <w:hideMark/>
          </w:tcPr>
          <w:p w14:paraId="4906B0D3" w14:textId="77777777" w:rsidR="007B75F0" w:rsidRDefault="007B75F0" w:rsidP="007B75F0">
            <w:r>
              <w:t xml:space="preserve">3,046 </w:t>
            </w:r>
          </w:p>
        </w:tc>
        <w:tc>
          <w:tcPr>
            <w:tcW w:w="3291" w:type="dxa"/>
            <w:tcBorders>
              <w:top w:val="single" w:sz="4" w:space="0" w:color="auto"/>
              <w:left w:val="single" w:sz="4" w:space="0" w:color="auto"/>
              <w:bottom w:val="single" w:sz="4" w:space="0" w:color="auto"/>
              <w:right w:val="single" w:sz="4" w:space="0" w:color="auto"/>
            </w:tcBorders>
            <w:hideMark/>
          </w:tcPr>
          <w:p w14:paraId="20BA644C" w14:textId="77777777" w:rsidR="007B75F0" w:rsidRDefault="007B75F0" w:rsidP="007B75F0">
            <w:r>
              <w:t xml:space="preserve">2,511 </w:t>
            </w:r>
          </w:p>
        </w:tc>
      </w:tr>
    </w:tbl>
    <w:p w14:paraId="59C691B6" w14:textId="77777777" w:rsidR="007B75F0" w:rsidRPr="007B75F0" w:rsidRDefault="007B75F0" w:rsidP="007B75F0"/>
    <w:p w14:paraId="4929187C" w14:textId="4E2D34EB" w:rsidR="007B75F0" w:rsidRDefault="007B75F0" w:rsidP="007B75F0">
      <w:pPr>
        <w:rPr>
          <w:b/>
          <w:bCs/>
        </w:rPr>
      </w:pPr>
      <w:r>
        <w:rPr>
          <w:b/>
          <w:bCs/>
        </w:rPr>
        <w:t>2020</w:t>
      </w:r>
    </w:p>
    <w:p w14:paraId="546161A7" w14:textId="77777777" w:rsidR="007B75F0" w:rsidRPr="007B75F0" w:rsidRDefault="007B75F0" w:rsidP="007B75F0">
      <w:pPr>
        <w:rPr>
          <w:rFonts w:eastAsiaTheme="minorEastAsia" w:cs="Times New Roman"/>
          <w:sz w:val="32"/>
          <w:szCs w:val="32"/>
        </w:rPr>
      </w:pPr>
      <w:r w:rsidRPr="007B75F0">
        <w:rPr>
          <w:rFonts w:cs="Times New Roman"/>
          <w:sz w:val="32"/>
          <w:szCs w:val="32"/>
        </w:rPr>
        <w:t>=</w:t>
      </w:r>
      <m:oMath>
        <m:f>
          <m:fPr>
            <m:ctrlPr>
              <w:rPr>
                <w:rFonts w:ascii="Cambria Math" w:hAnsi="Cambria Math" w:cs="Times New Roman"/>
                <w:i/>
                <w:sz w:val="32"/>
                <w:szCs w:val="32"/>
              </w:rPr>
            </m:ctrlPr>
          </m:fPr>
          <m:num>
            <m:r>
              <w:rPr>
                <w:rFonts w:ascii="Cambria Math" w:hAnsi="Cambria Math" w:cs="Times New Roman"/>
                <w:sz w:val="32"/>
                <w:szCs w:val="32"/>
              </w:rPr>
              <m:t xml:space="preserve">2,355 </m:t>
            </m:r>
          </m:num>
          <m:den>
            <m:r>
              <w:rPr>
                <w:rFonts w:ascii="Cambria Math" w:hAnsi="Cambria Math" w:cs="Times New Roman"/>
                <w:sz w:val="32"/>
                <w:szCs w:val="32"/>
              </w:rPr>
              <m:t xml:space="preserve">3,046 </m:t>
            </m:r>
          </m:den>
        </m:f>
      </m:oMath>
    </w:p>
    <w:p w14:paraId="37540ADE" w14:textId="4DA9027C" w:rsidR="007B75F0" w:rsidRDefault="007B75F0" w:rsidP="007B75F0">
      <w:pPr>
        <w:rPr>
          <w:rFonts w:eastAsiaTheme="minorEastAsia" w:cs="Times New Roman"/>
          <w:szCs w:val="24"/>
        </w:rPr>
      </w:pPr>
      <w:r>
        <w:rPr>
          <w:rFonts w:eastAsiaTheme="minorEastAsia" w:cs="Times New Roman"/>
          <w:szCs w:val="24"/>
        </w:rPr>
        <w:t>= 0.77</w:t>
      </w:r>
    </w:p>
    <w:p w14:paraId="67D12FC7" w14:textId="060F8E8E" w:rsidR="007B75F0" w:rsidRPr="007B75F0" w:rsidRDefault="007B75F0" w:rsidP="007B75F0">
      <w:pPr>
        <w:rPr>
          <w:rFonts w:eastAsiaTheme="minorEastAsia" w:cs="Times New Roman"/>
          <w:b/>
          <w:bCs/>
          <w:szCs w:val="24"/>
        </w:rPr>
      </w:pPr>
      <w:r w:rsidRPr="007B75F0">
        <w:rPr>
          <w:rFonts w:eastAsiaTheme="minorEastAsia" w:cs="Times New Roman"/>
          <w:b/>
          <w:bCs/>
          <w:szCs w:val="24"/>
        </w:rPr>
        <w:t>2021</w:t>
      </w:r>
    </w:p>
    <w:p w14:paraId="69848F40" w14:textId="77777777" w:rsidR="007B75F0" w:rsidRPr="007B75F0" w:rsidRDefault="007B75F0" w:rsidP="007B75F0">
      <w:pPr>
        <w:rPr>
          <w:rFonts w:eastAsiaTheme="minorEastAsia" w:cs="Times New Roman"/>
          <w:sz w:val="32"/>
          <w:szCs w:val="32"/>
        </w:rPr>
      </w:pPr>
      <w:r w:rsidRPr="007B75F0">
        <w:rPr>
          <w:rFonts w:cs="Times New Roman"/>
          <w:sz w:val="32"/>
          <w:szCs w:val="32"/>
        </w:rPr>
        <w:t>=</w:t>
      </w:r>
      <m:oMath>
        <m:f>
          <m:fPr>
            <m:ctrlPr>
              <w:rPr>
                <w:rFonts w:ascii="Cambria Math" w:hAnsi="Cambria Math" w:cs="Times New Roman"/>
                <w:i/>
                <w:sz w:val="32"/>
                <w:szCs w:val="32"/>
              </w:rPr>
            </m:ctrlPr>
          </m:fPr>
          <m:num>
            <m:r>
              <w:rPr>
                <w:rFonts w:ascii="Cambria Math" w:hAnsi="Cambria Math" w:cs="Times New Roman"/>
                <w:sz w:val="32"/>
                <w:szCs w:val="32"/>
              </w:rPr>
              <m:t xml:space="preserve">2,303 </m:t>
            </m:r>
          </m:num>
          <m:den>
            <m:r>
              <w:rPr>
                <w:rFonts w:ascii="Cambria Math" w:hAnsi="Cambria Math" w:cs="Times New Roman"/>
                <w:sz w:val="32"/>
                <w:szCs w:val="32"/>
              </w:rPr>
              <m:t xml:space="preserve">2,511  </m:t>
            </m:r>
          </m:den>
        </m:f>
      </m:oMath>
    </w:p>
    <w:p w14:paraId="1DDC84A0" w14:textId="5983550C" w:rsidR="007B75F0" w:rsidRDefault="007B75F0" w:rsidP="007B75F0">
      <w:pPr>
        <w:rPr>
          <w:rFonts w:eastAsiaTheme="minorEastAsia" w:cs="Times New Roman"/>
          <w:szCs w:val="24"/>
        </w:rPr>
      </w:pPr>
      <w:r>
        <w:rPr>
          <w:rFonts w:eastAsiaTheme="minorEastAsia" w:cs="Times New Roman"/>
          <w:szCs w:val="24"/>
        </w:rPr>
        <w:t xml:space="preserve">= 0.92 </w:t>
      </w:r>
    </w:p>
    <w:p w14:paraId="41DC89DB" w14:textId="7CEFA98F" w:rsidR="007F0A0A" w:rsidRDefault="007F0A0A" w:rsidP="007F0A0A">
      <w:pPr>
        <w:rPr>
          <w:b/>
          <w:bCs/>
        </w:rPr>
      </w:pPr>
      <w:bookmarkStart w:id="5" w:name="_Toc118846851"/>
      <w:r w:rsidRPr="007F0A0A">
        <w:rPr>
          <w:b/>
          <w:bCs/>
        </w:rPr>
        <w:lastRenderedPageBreak/>
        <w:t>Gearing ratio</w:t>
      </w:r>
      <w:bookmarkEnd w:id="5"/>
      <w:r>
        <w:rPr>
          <w:b/>
          <w:bCs/>
        </w:rPr>
        <w:t>:</w:t>
      </w:r>
    </w:p>
    <w:p w14:paraId="1148CAC3" w14:textId="0C6F7445" w:rsidR="007F0A0A" w:rsidRPr="007F0A0A" w:rsidRDefault="007F0A0A" w:rsidP="007F0A0A">
      <w:pPr>
        <w:jc w:val="center"/>
        <w:rPr>
          <w:b/>
          <w:bCs/>
        </w:rPr>
      </w:pPr>
      <w:r w:rsidRPr="007F0A0A">
        <w:rPr>
          <w:b/>
          <w:bCs/>
        </w:rPr>
        <w:t>Gearing ratio = total debt / total equity</w:t>
      </w:r>
    </w:p>
    <w:p w14:paraId="55531208" w14:textId="027AD31B" w:rsidR="007F0A0A" w:rsidRDefault="007F0A0A" w:rsidP="007F0A0A">
      <w:r w:rsidRPr="007F0A0A">
        <w:t>It's a popular measure of a company's long-term financial health that indicates how much debt financing it has utilized to finance its asset structure in order to take advantage of development opportunities. The gearing ratio measures the level of debt in relation to the value of a company's equity. To get a sense of how financially stable a business is, one might look at its gearing ratios (or borrowed money). Gearing is a measure of financial leverage that indicates how much of a company's resources are being provided by equity investors as opposed to debt investors. The extent to which a firm's operations are funded by equity investors determines whether the company has positive or negative gearing. Robinson (Robinson, 2020). (Robinson, 2020). The gearing ratio may be used as a useful predictor of a company's potential for financial distress. Too much debt may put a firm in serious financial peril. On the other side, a low gearing ratio suggests a large amount of equity relative to debt.</w:t>
      </w:r>
      <w:r>
        <w:t xml:space="preserve">  </w:t>
      </w:r>
    </w:p>
    <w:tbl>
      <w:tblPr>
        <w:tblStyle w:val="TableGrid"/>
        <w:tblW w:w="9827" w:type="dxa"/>
        <w:tblInd w:w="0" w:type="dxa"/>
        <w:tblLook w:val="04A0" w:firstRow="1" w:lastRow="0" w:firstColumn="1" w:lastColumn="0" w:noHBand="0" w:noVBand="1"/>
      </w:tblPr>
      <w:tblGrid>
        <w:gridCol w:w="3275"/>
        <w:gridCol w:w="3276"/>
        <w:gridCol w:w="3276"/>
      </w:tblGrid>
      <w:tr w:rsidR="007F0A0A" w14:paraId="7CEE319F" w14:textId="77777777" w:rsidTr="007F0A0A">
        <w:trPr>
          <w:trHeight w:val="1115"/>
        </w:trPr>
        <w:tc>
          <w:tcPr>
            <w:tcW w:w="3275" w:type="dxa"/>
            <w:tcBorders>
              <w:top w:val="single" w:sz="4" w:space="0" w:color="auto"/>
              <w:left w:val="single" w:sz="4" w:space="0" w:color="auto"/>
              <w:bottom w:val="single" w:sz="4" w:space="0" w:color="auto"/>
              <w:right w:val="single" w:sz="4" w:space="0" w:color="auto"/>
            </w:tcBorders>
            <w:hideMark/>
          </w:tcPr>
          <w:p w14:paraId="69BEC776" w14:textId="77777777" w:rsidR="007F0A0A" w:rsidRDefault="007F0A0A" w:rsidP="007F0A0A">
            <w:r>
              <w:t>Particulars</w:t>
            </w:r>
          </w:p>
        </w:tc>
        <w:tc>
          <w:tcPr>
            <w:tcW w:w="3276" w:type="dxa"/>
            <w:tcBorders>
              <w:top w:val="single" w:sz="4" w:space="0" w:color="auto"/>
              <w:left w:val="single" w:sz="4" w:space="0" w:color="auto"/>
              <w:bottom w:val="single" w:sz="4" w:space="0" w:color="auto"/>
              <w:right w:val="single" w:sz="4" w:space="0" w:color="auto"/>
            </w:tcBorders>
            <w:hideMark/>
          </w:tcPr>
          <w:p w14:paraId="56F6D760" w14:textId="77777777" w:rsidR="007F0A0A" w:rsidRDefault="007F0A0A" w:rsidP="007F0A0A">
            <w:r>
              <w:t>2020</w:t>
            </w:r>
          </w:p>
          <w:p w14:paraId="56B17216" w14:textId="77777777" w:rsidR="007F0A0A" w:rsidRDefault="007F0A0A" w:rsidP="007F0A0A">
            <w:r w:rsidRPr="00A42FF0">
              <w:t>(</w:t>
            </w:r>
            <w:r>
              <w:t>A</w:t>
            </w:r>
            <w:r w:rsidRPr="00A42FF0">
              <w:t>mount in £ millions)</w:t>
            </w:r>
          </w:p>
        </w:tc>
        <w:tc>
          <w:tcPr>
            <w:tcW w:w="3276" w:type="dxa"/>
            <w:tcBorders>
              <w:top w:val="single" w:sz="4" w:space="0" w:color="auto"/>
              <w:left w:val="single" w:sz="4" w:space="0" w:color="auto"/>
              <w:bottom w:val="single" w:sz="4" w:space="0" w:color="auto"/>
              <w:right w:val="single" w:sz="4" w:space="0" w:color="auto"/>
            </w:tcBorders>
            <w:hideMark/>
          </w:tcPr>
          <w:p w14:paraId="7072ABA1" w14:textId="77777777" w:rsidR="007F0A0A" w:rsidRDefault="007F0A0A" w:rsidP="007F0A0A">
            <w:r>
              <w:t>2021</w:t>
            </w:r>
          </w:p>
          <w:p w14:paraId="7A2F2011" w14:textId="77777777" w:rsidR="007F0A0A" w:rsidRDefault="007F0A0A" w:rsidP="007F0A0A">
            <w:r w:rsidRPr="00A42FF0">
              <w:t>(</w:t>
            </w:r>
            <w:r>
              <w:t>A</w:t>
            </w:r>
            <w:r w:rsidRPr="00A42FF0">
              <w:t>mount in £ millions)</w:t>
            </w:r>
          </w:p>
        </w:tc>
      </w:tr>
      <w:tr w:rsidR="007F0A0A" w14:paraId="08CF2ED1" w14:textId="77777777" w:rsidTr="007F0A0A">
        <w:trPr>
          <w:trHeight w:val="759"/>
        </w:trPr>
        <w:tc>
          <w:tcPr>
            <w:tcW w:w="3275" w:type="dxa"/>
            <w:tcBorders>
              <w:top w:val="single" w:sz="4" w:space="0" w:color="auto"/>
              <w:left w:val="single" w:sz="4" w:space="0" w:color="auto"/>
              <w:bottom w:val="single" w:sz="4" w:space="0" w:color="auto"/>
              <w:right w:val="single" w:sz="4" w:space="0" w:color="auto"/>
            </w:tcBorders>
            <w:hideMark/>
          </w:tcPr>
          <w:p w14:paraId="58F28DEE" w14:textId="77777777" w:rsidR="007F0A0A" w:rsidRDefault="007F0A0A" w:rsidP="007F0A0A">
            <w:r>
              <w:t>Current liabilities</w:t>
            </w:r>
          </w:p>
        </w:tc>
        <w:tc>
          <w:tcPr>
            <w:tcW w:w="3276" w:type="dxa"/>
            <w:tcBorders>
              <w:top w:val="single" w:sz="4" w:space="0" w:color="auto"/>
              <w:left w:val="single" w:sz="4" w:space="0" w:color="auto"/>
              <w:bottom w:val="single" w:sz="4" w:space="0" w:color="auto"/>
              <w:right w:val="single" w:sz="4" w:space="0" w:color="auto"/>
            </w:tcBorders>
            <w:hideMark/>
          </w:tcPr>
          <w:p w14:paraId="6C3BD653" w14:textId="77777777" w:rsidR="007F0A0A" w:rsidRDefault="007F0A0A" w:rsidP="007F0A0A">
            <w:r>
              <w:t xml:space="preserve">3,046 </w:t>
            </w:r>
          </w:p>
        </w:tc>
        <w:tc>
          <w:tcPr>
            <w:tcW w:w="3276" w:type="dxa"/>
            <w:tcBorders>
              <w:top w:val="single" w:sz="4" w:space="0" w:color="auto"/>
              <w:left w:val="single" w:sz="4" w:space="0" w:color="auto"/>
              <w:bottom w:val="single" w:sz="4" w:space="0" w:color="auto"/>
              <w:right w:val="single" w:sz="4" w:space="0" w:color="auto"/>
            </w:tcBorders>
            <w:hideMark/>
          </w:tcPr>
          <w:p w14:paraId="4E9A1973" w14:textId="77777777" w:rsidR="007F0A0A" w:rsidRDefault="007F0A0A" w:rsidP="007F0A0A">
            <w:r>
              <w:t xml:space="preserve">2,511 </w:t>
            </w:r>
          </w:p>
        </w:tc>
      </w:tr>
      <w:tr w:rsidR="007F0A0A" w14:paraId="118AC85B" w14:textId="77777777" w:rsidTr="007F0A0A">
        <w:trPr>
          <w:trHeight w:val="759"/>
        </w:trPr>
        <w:tc>
          <w:tcPr>
            <w:tcW w:w="3275" w:type="dxa"/>
            <w:tcBorders>
              <w:top w:val="single" w:sz="4" w:space="0" w:color="auto"/>
              <w:left w:val="single" w:sz="4" w:space="0" w:color="auto"/>
              <w:bottom w:val="single" w:sz="4" w:space="0" w:color="auto"/>
              <w:right w:val="single" w:sz="4" w:space="0" w:color="auto"/>
            </w:tcBorders>
            <w:hideMark/>
          </w:tcPr>
          <w:p w14:paraId="0F43B9D5" w14:textId="77777777" w:rsidR="007F0A0A" w:rsidRDefault="007F0A0A" w:rsidP="007F0A0A">
            <w:r>
              <w:t>Non-current liabilities</w:t>
            </w:r>
          </w:p>
        </w:tc>
        <w:tc>
          <w:tcPr>
            <w:tcW w:w="3276" w:type="dxa"/>
            <w:tcBorders>
              <w:top w:val="single" w:sz="4" w:space="0" w:color="auto"/>
              <w:left w:val="single" w:sz="4" w:space="0" w:color="auto"/>
              <w:bottom w:val="single" w:sz="4" w:space="0" w:color="auto"/>
              <w:right w:val="single" w:sz="4" w:space="0" w:color="auto"/>
            </w:tcBorders>
            <w:hideMark/>
          </w:tcPr>
          <w:p w14:paraId="343CD2CF" w14:textId="77777777" w:rsidR="007F0A0A" w:rsidRDefault="007F0A0A" w:rsidP="007F0A0A">
            <w:r>
              <w:t xml:space="preserve">4,129 </w:t>
            </w:r>
          </w:p>
        </w:tc>
        <w:tc>
          <w:tcPr>
            <w:tcW w:w="3276" w:type="dxa"/>
            <w:tcBorders>
              <w:top w:val="single" w:sz="4" w:space="0" w:color="auto"/>
              <w:left w:val="single" w:sz="4" w:space="0" w:color="auto"/>
              <w:bottom w:val="single" w:sz="4" w:space="0" w:color="auto"/>
              <w:right w:val="single" w:sz="4" w:space="0" w:color="auto"/>
            </w:tcBorders>
            <w:hideMark/>
          </w:tcPr>
          <w:p w14:paraId="1C700C0B" w14:textId="77777777" w:rsidR="007F0A0A" w:rsidRDefault="007F0A0A" w:rsidP="007F0A0A">
            <w:r>
              <w:t xml:space="preserve">4,137 </w:t>
            </w:r>
          </w:p>
        </w:tc>
      </w:tr>
      <w:tr w:rsidR="007F0A0A" w14:paraId="0B8A2679" w14:textId="77777777" w:rsidTr="007F0A0A">
        <w:trPr>
          <w:trHeight w:val="759"/>
        </w:trPr>
        <w:tc>
          <w:tcPr>
            <w:tcW w:w="3275" w:type="dxa"/>
            <w:tcBorders>
              <w:top w:val="single" w:sz="4" w:space="0" w:color="auto"/>
              <w:left w:val="single" w:sz="4" w:space="0" w:color="auto"/>
              <w:bottom w:val="single" w:sz="4" w:space="0" w:color="auto"/>
              <w:right w:val="single" w:sz="4" w:space="0" w:color="auto"/>
            </w:tcBorders>
            <w:hideMark/>
          </w:tcPr>
          <w:p w14:paraId="1435140B" w14:textId="77777777" w:rsidR="007F0A0A" w:rsidRDefault="007F0A0A" w:rsidP="007F0A0A">
            <w:r>
              <w:t>Total Debt</w:t>
            </w:r>
          </w:p>
        </w:tc>
        <w:tc>
          <w:tcPr>
            <w:tcW w:w="3276" w:type="dxa"/>
            <w:tcBorders>
              <w:top w:val="single" w:sz="4" w:space="0" w:color="auto"/>
              <w:left w:val="single" w:sz="4" w:space="0" w:color="auto"/>
              <w:bottom w:val="single" w:sz="4" w:space="0" w:color="auto"/>
              <w:right w:val="single" w:sz="4" w:space="0" w:color="auto"/>
            </w:tcBorders>
            <w:hideMark/>
          </w:tcPr>
          <w:p w14:paraId="534E9A53" w14:textId="77777777" w:rsidR="007F0A0A" w:rsidRDefault="007F0A0A" w:rsidP="007F0A0A">
            <w:r>
              <w:t xml:space="preserve">7,175 </w:t>
            </w:r>
          </w:p>
        </w:tc>
        <w:tc>
          <w:tcPr>
            <w:tcW w:w="3276" w:type="dxa"/>
            <w:tcBorders>
              <w:top w:val="single" w:sz="4" w:space="0" w:color="auto"/>
              <w:left w:val="single" w:sz="4" w:space="0" w:color="auto"/>
              <w:bottom w:val="single" w:sz="4" w:space="0" w:color="auto"/>
              <w:right w:val="single" w:sz="4" w:space="0" w:color="auto"/>
            </w:tcBorders>
            <w:hideMark/>
          </w:tcPr>
          <w:p w14:paraId="09834210" w14:textId="77777777" w:rsidR="007F0A0A" w:rsidRDefault="007F0A0A" w:rsidP="007F0A0A">
            <w:r>
              <w:rPr>
                <w:rFonts w:eastAsiaTheme="minorEastAsia"/>
              </w:rPr>
              <w:t xml:space="preserve">6,648 </w:t>
            </w:r>
          </w:p>
        </w:tc>
      </w:tr>
      <w:tr w:rsidR="007F0A0A" w14:paraId="38E83293" w14:textId="77777777" w:rsidTr="007F0A0A">
        <w:trPr>
          <w:trHeight w:val="836"/>
        </w:trPr>
        <w:tc>
          <w:tcPr>
            <w:tcW w:w="3275" w:type="dxa"/>
            <w:tcBorders>
              <w:top w:val="single" w:sz="4" w:space="0" w:color="auto"/>
              <w:left w:val="single" w:sz="4" w:space="0" w:color="auto"/>
              <w:bottom w:val="single" w:sz="4" w:space="0" w:color="auto"/>
              <w:right w:val="single" w:sz="4" w:space="0" w:color="auto"/>
            </w:tcBorders>
            <w:hideMark/>
          </w:tcPr>
          <w:p w14:paraId="4DF2AE72" w14:textId="77777777" w:rsidR="007F0A0A" w:rsidRDefault="007F0A0A" w:rsidP="007F0A0A">
            <w:r>
              <w:t>Total Equity</w:t>
            </w:r>
          </w:p>
        </w:tc>
        <w:tc>
          <w:tcPr>
            <w:tcW w:w="3276" w:type="dxa"/>
            <w:tcBorders>
              <w:top w:val="single" w:sz="4" w:space="0" w:color="auto"/>
              <w:left w:val="single" w:sz="4" w:space="0" w:color="auto"/>
              <w:bottom w:val="single" w:sz="4" w:space="0" w:color="auto"/>
              <w:right w:val="single" w:sz="4" w:space="0" w:color="auto"/>
            </w:tcBorders>
            <w:hideMark/>
          </w:tcPr>
          <w:p w14:paraId="721B37FC" w14:textId="77777777" w:rsidR="007F0A0A" w:rsidRDefault="007F0A0A" w:rsidP="007F0A0A">
            <w:r>
              <w:t xml:space="preserve">2,912 </w:t>
            </w:r>
          </w:p>
        </w:tc>
        <w:tc>
          <w:tcPr>
            <w:tcW w:w="3276" w:type="dxa"/>
            <w:tcBorders>
              <w:top w:val="single" w:sz="4" w:space="0" w:color="auto"/>
              <w:left w:val="single" w:sz="4" w:space="0" w:color="auto"/>
              <w:bottom w:val="single" w:sz="4" w:space="0" w:color="auto"/>
              <w:right w:val="single" w:sz="4" w:space="0" w:color="auto"/>
            </w:tcBorders>
            <w:hideMark/>
          </w:tcPr>
          <w:p w14:paraId="193F9FF5" w14:textId="77777777" w:rsidR="007F0A0A" w:rsidRDefault="007F0A0A" w:rsidP="007F0A0A">
            <w:r>
              <w:t xml:space="preserve">3,088 </w:t>
            </w:r>
          </w:p>
        </w:tc>
      </w:tr>
    </w:tbl>
    <w:p w14:paraId="3D015461" w14:textId="4C61EAD5" w:rsidR="007F0A0A" w:rsidRDefault="007F0A0A" w:rsidP="007F0A0A"/>
    <w:p w14:paraId="637ABD7A" w14:textId="6ABBF3E6" w:rsidR="007F0A0A" w:rsidRDefault="007F0A0A" w:rsidP="007F0A0A">
      <w:r>
        <w:t>2020</w:t>
      </w:r>
    </w:p>
    <w:p w14:paraId="5E39C55E" w14:textId="77777777" w:rsidR="007F0A0A" w:rsidRPr="007F0A0A" w:rsidRDefault="007F0A0A" w:rsidP="007F0A0A">
      <w:pPr>
        <w:rPr>
          <w:rFonts w:eastAsiaTheme="minorEastAsia" w:cs="Times New Roman"/>
          <w:sz w:val="32"/>
          <w:szCs w:val="32"/>
        </w:rPr>
      </w:pPr>
      <w:r w:rsidRPr="007F0A0A">
        <w:rPr>
          <w:rFonts w:cs="Times New Roman"/>
          <w:sz w:val="32"/>
          <w:szCs w:val="32"/>
        </w:rPr>
        <w:t>=</w:t>
      </w:r>
      <m:oMath>
        <m:f>
          <m:fPr>
            <m:ctrlPr>
              <w:rPr>
                <w:rFonts w:ascii="Cambria Math" w:hAnsi="Cambria Math" w:cs="Times New Roman"/>
                <w:i/>
                <w:sz w:val="32"/>
                <w:szCs w:val="32"/>
              </w:rPr>
            </m:ctrlPr>
          </m:fPr>
          <m:num>
            <m:r>
              <w:rPr>
                <w:rFonts w:ascii="Cambria Math" w:hAnsi="Cambria Math" w:cs="Times New Roman"/>
                <w:sz w:val="32"/>
                <w:szCs w:val="32"/>
              </w:rPr>
              <m:t xml:space="preserve">7,175 </m:t>
            </m:r>
          </m:num>
          <m:den>
            <m:r>
              <w:rPr>
                <w:rFonts w:ascii="Cambria Math" w:hAnsi="Cambria Math" w:cs="Times New Roman"/>
                <w:sz w:val="32"/>
                <w:szCs w:val="32"/>
              </w:rPr>
              <m:t xml:space="preserve">2,912  </m:t>
            </m:r>
          </m:den>
        </m:f>
      </m:oMath>
    </w:p>
    <w:p w14:paraId="4788B8D6" w14:textId="1E90D807" w:rsidR="007F0A0A" w:rsidRDefault="007F0A0A" w:rsidP="007F0A0A">
      <w:pPr>
        <w:rPr>
          <w:rFonts w:eastAsiaTheme="minorEastAsia" w:cs="Times New Roman"/>
          <w:szCs w:val="24"/>
        </w:rPr>
      </w:pPr>
      <w:r>
        <w:rPr>
          <w:rFonts w:eastAsiaTheme="minorEastAsia" w:cs="Times New Roman"/>
          <w:szCs w:val="24"/>
        </w:rPr>
        <w:t>= 2.46</w:t>
      </w:r>
    </w:p>
    <w:p w14:paraId="35BC4462" w14:textId="58117D24" w:rsidR="007F0A0A" w:rsidRPr="007F0A0A" w:rsidRDefault="007F0A0A" w:rsidP="007F0A0A">
      <w:pPr>
        <w:rPr>
          <w:rFonts w:eastAsiaTheme="minorEastAsia" w:cs="Times New Roman"/>
          <w:b/>
          <w:bCs/>
          <w:szCs w:val="24"/>
        </w:rPr>
      </w:pPr>
      <w:r w:rsidRPr="007F0A0A">
        <w:rPr>
          <w:rFonts w:eastAsiaTheme="minorEastAsia" w:cs="Times New Roman"/>
          <w:b/>
          <w:bCs/>
          <w:szCs w:val="24"/>
        </w:rPr>
        <w:lastRenderedPageBreak/>
        <w:t>2021</w:t>
      </w:r>
    </w:p>
    <w:p w14:paraId="74321C33" w14:textId="77777777" w:rsidR="007F0A0A" w:rsidRPr="007F0A0A" w:rsidRDefault="007F0A0A" w:rsidP="007F0A0A">
      <w:pPr>
        <w:rPr>
          <w:rFonts w:eastAsiaTheme="minorEastAsia" w:cs="Times New Roman"/>
          <w:sz w:val="32"/>
          <w:szCs w:val="32"/>
        </w:rPr>
      </w:pPr>
      <w:r w:rsidRPr="007F0A0A">
        <w:rPr>
          <w:rFonts w:cs="Times New Roman"/>
          <w:sz w:val="32"/>
          <w:szCs w:val="32"/>
        </w:rPr>
        <w:t>=</w:t>
      </w:r>
      <m:oMath>
        <m:f>
          <m:fPr>
            <m:ctrlPr>
              <w:rPr>
                <w:rFonts w:ascii="Cambria Math" w:hAnsi="Cambria Math" w:cs="Times New Roman"/>
                <w:i/>
                <w:sz w:val="32"/>
                <w:szCs w:val="32"/>
              </w:rPr>
            </m:ctrlPr>
          </m:fPr>
          <m:num>
            <m:r>
              <w:rPr>
                <w:rFonts w:ascii="Cambria Math" w:hAnsi="Cambria Math" w:cs="Times New Roman"/>
                <w:sz w:val="32"/>
                <w:szCs w:val="32"/>
              </w:rPr>
              <m:t xml:space="preserve">6,648 </m:t>
            </m:r>
          </m:num>
          <m:den>
            <m:r>
              <w:rPr>
                <w:rFonts w:ascii="Cambria Math" w:hAnsi="Cambria Math" w:cs="Times New Roman"/>
                <w:sz w:val="32"/>
                <w:szCs w:val="32"/>
              </w:rPr>
              <m:t xml:space="preserve">3,088  </m:t>
            </m:r>
          </m:den>
        </m:f>
      </m:oMath>
    </w:p>
    <w:p w14:paraId="31FAB40F" w14:textId="0514332F" w:rsidR="007F0A0A" w:rsidRDefault="007F0A0A" w:rsidP="007F0A0A">
      <w:pPr>
        <w:rPr>
          <w:rFonts w:eastAsiaTheme="minorEastAsia" w:cs="Times New Roman"/>
          <w:szCs w:val="24"/>
        </w:rPr>
      </w:pPr>
      <w:r>
        <w:rPr>
          <w:rFonts w:eastAsiaTheme="minorEastAsia" w:cs="Times New Roman"/>
          <w:szCs w:val="24"/>
        </w:rPr>
        <w:t>= 2.15</w:t>
      </w:r>
    </w:p>
    <w:p w14:paraId="0ACC0CC3" w14:textId="67348A31" w:rsidR="007F0A0A" w:rsidRDefault="007F0A0A" w:rsidP="007F0A0A">
      <w:pPr>
        <w:rPr>
          <w:b/>
          <w:bCs/>
        </w:rPr>
      </w:pPr>
      <w:bookmarkStart w:id="6" w:name="_Toc118846852"/>
      <w:r w:rsidRPr="007F0A0A">
        <w:rPr>
          <w:b/>
          <w:bCs/>
        </w:rPr>
        <w:t>Interest cover</w:t>
      </w:r>
      <w:bookmarkEnd w:id="6"/>
      <w:r w:rsidRPr="007F0A0A">
        <w:rPr>
          <w:b/>
          <w:bCs/>
        </w:rPr>
        <w:t xml:space="preserve">: </w:t>
      </w:r>
    </w:p>
    <w:p w14:paraId="3B83EE59" w14:textId="27533C0C" w:rsidR="007F0A0A" w:rsidRDefault="007F0A0A" w:rsidP="007F0A0A">
      <w:pPr>
        <w:jc w:val="center"/>
        <w:rPr>
          <w:b/>
          <w:bCs/>
        </w:rPr>
      </w:pPr>
      <w:r w:rsidRPr="007F0A0A">
        <w:rPr>
          <w:b/>
          <w:bCs/>
        </w:rPr>
        <w:t>Interest coverage ratio = EBIT / total interest expense</w:t>
      </w:r>
    </w:p>
    <w:p w14:paraId="3F334E29" w14:textId="4478910A" w:rsidR="007F0A0A" w:rsidRDefault="007F0A0A" w:rsidP="007F0A0A">
      <w:r w:rsidRPr="007F0A0A">
        <w:t>It's a measure of a company's financial health that indicates whether or not its operating profit is adequate to cover its financing costs. To calculate the interest coverage ratio, net income before interest and taxes must be subtracted from total interest paid. The resulting metric is known as the coverage ratio of interest (EBIT) (Welc, 2022). The profitability ratio may be quickly calculated and may provide important info about a company's ability to satisfy its interest obligations. To analysts, this score represents the company's financial health as a whole. A larger percentage of interest paid to total debt is preferable in most cases (Welc, 2022).</w:t>
      </w:r>
    </w:p>
    <w:tbl>
      <w:tblPr>
        <w:tblStyle w:val="TableGrid"/>
        <w:tblW w:w="9797" w:type="dxa"/>
        <w:tblInd w:w="0" w:type="dxa"/>
        <w:tblLook w:val="04A0" w:firstRow="1" w:lastRow="0" w:firstColumn="1" w:lastColumn="0" w:noHBand="0" w:noVBand="1"/>
      </w:tblPr>
      <w:tblGrid>
        <w:gridCol w:w="3265"/>
        <w:gridCol w:w="3266"/>
        <w:gridCol w:w="3266"/>
      </w:tblGrid>
      <w:tr w:rsidR="007F0A0A" w14:paraId="2F15BBB5" w14:textId="77777777" w:rsidTr="007F0A0A">
        <w:trPr>
          <w:trHeight w:val="1223"/>
        </w:trPr>
        <w:tc>
          <w:tcPr>
            <w:tcW w:w="3265" w:type="dxa"/>
            <w:tcBorders>
              <w:top w:val="single" w:sz="4" w:space="0" w:color="auto"/>
              <w:left w:val="single" w:sz="4" w:space="0" w:color="auto"/>
              <w:bottom w:val="single" w:sz="4" w:space="0" w:color="auto"/>
              <w:right w:val="single" w:sz="4" w:space="0" w:color="auto"/>
            </w:tcBorders>
            <w:hideMark/>
          </w:tcPr>
          <w:p w14:paraId="06577CD1" w14:textId="77777777" w:rsidR="007F0A0A" w:rsidRDefault="007F0A0A" w:rsidP="007F0A0A">
            <w:r>
              <w:t>Particulars</w:t>
            </w:r>
          </w:p>
        </w:tc>
        <w:tc>
          <w:tcPr>
            <w:tcW w:w="3266" w:type="dxa"/>
            <w:tcBorders>
              <w:top w:val="single" w:sz="4" w:space="0" w:color="auto"/>
              <w:left w:val="single" w:sz="4" w:space="0" w:color="auto"/>
              <w:bottom w:val="single" w:sz="4" w:space="0" w:color="auto"/>
              <w:right w:val="single" w:sz="4" w:space="0" w:color="auto"/>
            </w:tcBorders>
            <w:hideMark/>
          </w:tcPr>
          <w:p w14:paraId="655C0DBA" w14:textId="77777777" w:rsidR="007F0A0A" w:rsidRDefault="007F0A0A" w:rsidP="007F0A0A">
            <w:r>
              <w:t>2020</w:t>
            </w:r>
          </w:p>
          <w:p w14:paraId="1787946E" w14:textId="77777777" w:rsidR="007F0A0A" w:rsidRDefault="007F0A0A" w:rsidP="007F0A0A">
            <w:r w:rsidRPr="00A42FF0">
              <w:t>(</w:t>
            </w:r>
            <w:r>
              <w:t>A</w:t>
            </w:r>
            <w:r w:rsidRPr="00A42FF0">
              <w:t>mount in £ millions)</w:t>
            </w:r>
          </w:p>
        </w:tc>
        <w:tc>
          <w:tcPr>
            <w:tcW w:w="3266" w:type="dxa"/>
            <w:tcBorders>
              <w:top w:val="single" w:sz="4" w:space="0" w:color="auto"/>
              <w:left w:val="single" w:sz="4" w:space="0" w:color="auto"/>
              <w:bottom w:val="single" w:sz="4" w:space="0" w:color="auto"/>
              <w:right w:val="single" w:sz="4" w:space="0" w:color="auto"/>
            </w:tcBorders>
            <w:hideMark/>
          </w:tcPr>
          <w:p w14:paraId="4755FD1A" w14:textId="77777777" w:rsidR="007F0A0A" w:rsidRDefault="007F0A0A" w:rsidP="007F0A0A">
            <w:r>
              <w:t>2021</w:t>
            </w:r>
          </w:p>
          <w:p w14:paraId="48DBB0AD" w14:textId="77777777" w:rsidR="007F0A0A" w:rsidRDefault="007F0A0A" w:rsidP="007F0A0A">
            <w:r w:rsidRPr="00A42FF0">
              <w:t>(</w:t>
            </w:r>
            <w:r>
              <w:t>A</w:t>
            </w:r>
            <w:r w:rsidRPr="00A42FF0">
              <w:t>mount in £ millions)</w:t>
            </w:r>
          </w:p>
        </w:tc>
      </w:tr>
      <w:tr w:rsidR="007F0A0A" w14:paraId="37A7A22F" w14:textId="77777777" w:rsidTr="007F0A0A">
        <w:trPr>
          <w:trHeight w:val="775"/>
        </w:trPr>
        <w:tc>
          <w:tcPr>
            <w:tcW w:w="3265" w:type="dxa"/>
            <w:tcBorders>
              <w:top w:val="single" w:sz="4" w:space="0" w:color="auto"/>
              <w:left w:val="single" w:sz="4" w:space="0" w:color="auto"/>
              <w:bottom w:val="single" w:sz="4" w:space="0" w:color="auto"/>
              <w:right w:val="single" w:sz="4" w:space="0" w:color="auto"/>
            </w:tcBorders>
            <w:hideMark/>
          </w:tcPr>
          <w:p w14:paraId="6FCEE6F1" w14:textId="77777777" w:rsidR="007F0A0A" w:rsidRDefault="007F0A0A" w:rsidP="007F0A0A">
            <w:r>
              <w:t xml:space="preserve">Earnings before interest &amp; tax/Operating profit </w:t>
            </w:r>
          </w:p>
        </w:tc>
        <w:tc>
          <w:tcPr>
            <w:tcW w:w="3266" w:type="dxa"/>
            <w:tcBorders>
              <w:top w:val="single" w:sz="4" w:space="0" w:color="auto"/>
              <w:left w:val="single" w:sz="4" w:space="0" w:color="auto"/>
              <w:bottom w:val="single" w:sz="4" w:space="0" w:color="auto"/>
              <w:right w:val="single" w:sz="4" w:space="0" w:color="auto"/>
            </w:tcBorders>
            <w:hideMark/>
          </w:tcPr>
          <w:p w14:paraId="6F7EA3BC" w14:textId="77777777" w:rsidR="007F0A0A" w:rsidRDefault="007F0A0A" w:rsidP="007F0A0A">
            <w:r>
              <w:t xml:space="preserve">699 </w:t>
            </w:r>
          </w:p>
        </w:tc>
        <w:tc>
          <w:tcPr>
            <w:tcW w:w="3266" w:type="dxa"/>
            <w:tcBorders>
              <w:top w:val="single" w:sz="4" w:space="0" w:color="auto"/>
              <w:left w:val="single" w:sz="4" w:space="0" w:color="auto"/>
              <w:bottom w:val="single" w:sz="4" w:space="0" w:color="auto"/>
              <w:right w:val="single" w:sz="4" w:space="0" w:color="auto"/>
            </w:tcBorders>
            <w:hideMark/>
          </w:tcPr>
          <w:p w14:paraId="685C4A9F" w14:textId="77777777" w:rsidR="007F0A0A" w:rsidRDefault="007F0A0A" w:rsidP="007F0A0A">
            <w:r>
              <w:t xml:space="preserve">805 </w:t>
            </w:r>
          </w:p>
        </w:tc>
      </w:tr>
      <w:tr w:rsidR="007F0A0A" w14:paraId="16F824F0" w14:textId="77777777" w:rsidTr="007F0A0A">
        <w:trPr>
          <w:trHeight w:val="853"/>
        </w:trPr>
        <w:tc>
          <w:tcPr>
            <w:tcW w:w="3265" w:type="dxa"/>
            <w:tcBorders>
              <w:top w:val="single" w:sz="4" w:space="0" w:color="auto"/>
              <w:left w:val="single" w:sz="4" w:space="0" w:color="auto"/>
              <w:bottom w:val="single" w:sz="4" w:space="0" w:color="auto"/>
              <w:right w:val="single" w:sz="4" w:space="0" w:color="auto"/>
            </w:tcBorders>
            <w:hideMark/>
          </w:tcPr>
          <w:p w14:paraId="3505B88C" w14:textId="77777777" w:rsidR="007F0A0A" w:rsidRDefault="007F0A0A" w:rsidP="007F0A0A">
            <w:r>
              <w:t>Total interest expense</w:t>
            </w:r>
          </w:p>
        </w:tc>
        <w:tc>
          <w:tcPr>
            <w:tcW w:w="3266" w:type="dxa"/>
            <w:tcBorders>
              <w:top w:val="single" w:sz="4" w:space="0" w:color="auto"/>
              <w:left w:val="single" w:sz="4" w:space="0" w:color="auto"/>
              <w:bottom w:val="single" w:sz="4" w:space="0" w:color="auto"/>
              <w:right w:val="single" w:sz="4" w:space="0" w:color="auto"/>
            </w:tcBorders>
            <w:hideMark/>
          </w:tcPr>
          <w:p w14:paraId="378593AC" w14:textId="77777777" w:rsidR="007F0A0A" w:rsidRDefault="007F0A0A" w:rsidP="007F0A0A">
            <w:r>
              <w:t xml:space="preserve">181 </w:t>
            </w:r>
          </w:p>
        </w:tc>
        <w:tc>
          <w:tcPr>
            <w:tcW w:w="3266" w:type="dxa"/>
            <w:tcBorders>
              <w:top w:val="single" w:sz="4" w:space="0" w:color="auto"/>
              <w:left w:val="single" w:sz="4" w:space="0" w:color="auto"/>
              <w:bottom w:val="single" w:sz="4" w:space="0" w:color="auto"/>
              <w:right w:val="single" w:sz="4" w:space="0" w:color="auto"/>
            </w:tcBorders>
            <w:hideMark/>
          </w:tcPr>
          <w:p w14:paraId="1A7F0BE6" w14:textId="77777777" w:rsidR="007F0A0A" w:rsidRDefault="007F0A0A" w:rsidP="007F0A0A">
            <w:r>
              <w:t xml:space="preserve">226 </w:t>
            </w:r>
          </w:p>
        </w:tc>
      </w:tr>
    </w:tbl>
    <w:p w14:paraId="606103C6" w14:textId="77777777" w:rsidR="007F0A0A" w:rsidRPr="007F0A0A" w:rsidRDefault="007F0A0A" w:rsidP="007F0A0A"/>
    <w:p w14:paraId="65A65ECD" w14:textId="66B5D298" w:rsidR="007F0A0A" w:rsidRDefault="007F0A0A" w:rsidP="007F0A0A">
      <w:pPr>
        <w:rPr>
          <w:b/>
          <w:bCs/>
        </w:rPr>
      </w:pPr>
      <w:r>
        <w:rPr>
          <w:b/>
          <w:bCs/>
        </w:rPr>
        <w:t>2020</w:t>
      </w:r>
    </w:p>
    <w:p w14:paraId="505EE85C" w14:textId="77777777" w:rsidR="007F0A0A" w:rsidRPr="007F0A0A" w:rsidRDefault="007F0A0A" w:rsidP="007F0A0A">
      <w:pPr>
        <w:rPr>
          <w:rFonts w:eastAsiaTheme="minorEastAsia" w:cs="Times New Roman"/>
          <w:sz w:val="32"/>
          <w:szCs w:val="32"/>
        </w:rPr>
      </w:pPr>
      <w:r w:rsidRPr="007F0A0A">
        <w:rPr>
          <w:rFonts w:cs="Times New Roman"/>
          <w:sz w:val="32"/>
          <w:szCs w:val="32"/>
        </w:rPr>
        <w:t>=</w:t>
      </w:r>
      <m:oMath>
        <m:f>
          <m:fPr>
            <m:ctrlPr>
              <w:rPr>
                <w:rFonts w:ascii="Cambria Math" w:hAnsi="Cambria Math" w:cs="Times New Roman"/>
                <w:i/>
                <w:sz w:val="32"/>
                <w:szCs w:val="32"/>
              </w:rPr>
            </m:ctrlPr>
          </m:fPr>
          <m:num>
            <m:r>
              <w:rPr>
                <w:rFonts w:ascii="Cambria Math" w:hAnsi="Cambria Math" w:cs="Times New Roman"/>
                <w:sz w:val="32"/>
                <w:szCs w:val="32"/>
              </w:rPr>
              <m:t xml:space="preserve">699 </m:t>
            </m:r>
          </m:num>
          <m:den>
            <m:r>
              <w:rPr>
                <w:rFonts w:ascii="Cambria Math" w:hAnsi="Cambria Math" w:cs="Times New Roman"/>
                <w:sz w:val="32"/>
                <w:szCs w:val="32"/>
              </w:rPr>
              <m:t xml:space="preserve">181 </m:t>
            </m:r>
          </m:den>
        </m:f>
      </m:oMath>
    </w:p>
    <w:p w14:paraId="685CEF8D" w14:textId="1F0E9B35" w:rsidR="007F0A0A" w:rsidRDefault="007F0A0A" w:rsidP="007F0A0A">
      <w:pPr>
        <w:rPr>
          <w:rFonts w:eastAsiaTheme="minorEastAsia" w:cs="Times New Roman"/>
          <w:szCs w:val="24"/>
        </w:rPr>
      </w:pPr>
      <w:r>
        <w:rPr>
          <w:rFonts w:eastAsiaTheme="minorEastAsia" w:cs="Times New Roman"/>
          <w:szCs w:val="24"/>
        </w:rPr>
        <w:t>= 3.86</w:t>
      </w:r>
    </w:p>
    <w:p w14:paraId="0E64FDC6" w14:textId="5D6FF296" w:rsidR="007F0A0A" w:rsidRPr="007F0A0A" w:rsidRDefault="007F0A0A" w:rsidP="007F0A0A">
      <w:pPr>
        <w:rPr>
          <w:rFonts w:eastAsiaTheme="minorEastAsia" w:cs="Times New Roman"/>
          <w:b/>
          <w:bCs/>
          <w:szCs w:val="24"/>
        </w:rPr>
      </w:pPr>
      <w:r w:rsidRPr="007F0A0A">
        <w:rPr>
          <w:rFonts w:eastAsiaTheme="minorEastAsia" w:cs="Times New Roman"/>
          <w:b/>
          <w:bCs/>
          <w:szCs w:val="24"/>
        </w:rPr>
        <w:t>2021</w:t>
      </w:r>
    </w:p>
    <w:p w14:paraId="004E5A5D" w14:textId="77777777" w:rsidR="007F0A0A" w:rsidRPr="007F0A0A" w:rsidRDefault="007F0A0A" w:rsidP="007F0A0A">
      <w:pPr>
        <w:rPr>
          <w:rFonts w:eastAsiaTheme="minorEastAsia" w:cs="Times New Roman"/>
          <w:sz w:val="32"/>
          <w:szCs w:val="32"/>
        </w:rPr>
      </w:pPr>
      <w:r w:rsidRPr="007F0A0A">
        <w:rPr>
          <w:rFonts w:cs="Times New Roman"/>
          <w:sz w:val="32"/>
          <w:szCs w:val="32"/>
        </w:rPr>
        <w:t>=</w:t>
      </w:r>
      <m:oMath>
        <m:f>
          <m:fPr>
            <m:ctrlPr>
              <w:rPr>
                <w:rFonts w:ascii="Cambria Math" w:hAnsi="Cambria Math" w:cs="Times New Roman"/>
                <w:i/>
                <w:sz w:val="32"/>
                <w:szCs w:val="32"/>
              </w:rPr>
            </m:ctrlPr>
          </m:fPr>
          <m:num>
            <m:r>
              <w:rPr>
                <w:rFonts w:ascii="Cambria Math" w:hAnsi="Cambria Math" w:cs="Times New Roman"/>
                <w:sz w:val="32"/>
                <w:szCs w:val="32"/>
              </w:rPr>
              <m:t xml:space="preserve">805 </m:t>
            </m:r>
          </m:num>
          <m:den>
            <m:r>
              <w:rPr>
                <w:rFonts w:ascii="Cambria Math" w:hAnsi="Cambria Math" w:cs="Times New Roman"/>
                <w:sz w:val="32"/>
                <w:szCs w:val="32"/>
              </w:rPr>
              <m:t xml:space="preserve"> 226  </m:t>
            </m:r>
          </m:den>
        </m:f>
      </m:oMath>
    </w:p>
    <w:p w14:paraId="2ABA5A35" w14:textId="7A79E118" w:rsidR="007F0A0A" w:rsidRDefault="007F0A0A" w:rsidP="007F0A0A">
      <w:pPr>
        <w:rPr>
          <w:rFonts w:eastAsiaTheme="minorEastAsia" w:cs="Times New Roman"/>
          <w:szCs w:val="24"/>
        </w:rPr>
      </w:pPr>
      <w:r>
        <w:rPr>
          <w:rFonts w:eastAsiaTheme="minorEastAsia" w:cs="Times New Roman"/>
          <w:szCs w:val="24"/>
        </w:rPr>
        <w:lastRenderedPageBreak/>
        <w:t>= 3.56</w:t>
      </w:r>
    </w:p>
    <w:p w14:paraId="30BD5C24" w14:textId="6B84A5D2" w:rsidR="007F0A0A" w:rsidRDefault="007F0A0A" w:rsidP="007F0A0A">
      <w:pPr>
        <w:rPr>
          <w:rFonts w:eastAsiaTheme="minorEastAsia" w:cs="Times New Roman"/>
          <w:szCs w:val="24"/>
        </w:rPr>
      </w:pPr>
    </w:p>
    <w:p w14:paraId="04CF1DF9" w14:textId="76DB9F54" w:rsidR="007F0A0A" w:rsidRDefault="007F0A0A" w:rsidP="007F0A0A">
      <w:pPr>
        <w:pStyle w:val="Heading1"/>
      </w:pPr>
      <w:bookmarkStart w:id="7" w:name="_Toc123723406"/>
      <w:r>
        <w:t>Answer to Question no 2 (b)</w:t>
      </w:r>
      <w:bookmarkEnd w:id="7"/>
    </w:p>
    <w:p w14:paraId="627C4D6E" w14:textId="6BB5C910" w:rsidR="007F0A0A" w:rsidRDefault="00E62A59" w:rsidP="00E62A59">
      <w:r w:rsidRPr="00E62A59">
        <w:t>The Return on Capital Employed (ROCE) for Sweets Plc increased from 9.93% in 2020 to 11.14% in 2021. Due to rising demand for sugary snacks in the midst of the ongoing covid-19 pandemic, the company's operating income grew by £106 million in 2021. The increase in operating earnings for the firm is reflected in this number. The rising trend in ROCE suggests that management at Sweets Plc is making good use of the firm's available capital to create profits, which contributes to the achievement of capital efficiency.</w:t>
      </w:r>
    </w:p>
    <w:p w14:paraId="37EF4CBF" w14:textId="3D1087CD" w:rsidR="00E62A59" w:rsidRDefault="00E62A59" w:rsidP="00E62A59">
      <w:r w:rsidRPr="00E62A59">
        <w:t>The return on equity was 0.13 in 2020 and 0.14 in 2021, both increases over the previous year. If Sweets PLC is able to generate a healthy return on equity, it will be able to successfully convert the capital it raised from investors into operating cash flow. If Sweets PLC's return on equity is high, then means the company's management has spent money well to expand operations. Boosts in ROE show that the money invested by shareholders has been put to good use.</w:t>
      </w:r>
    </w:p>
    <w:p w14:paraId="3E368AF4" w14:textId="6626C979" w:rsidR="00E62A59" w:rsidRDefault="00E62A59" w:rsidP="00E62A59">
      <w:r w:rsidRPr="00E62A59">
        <w:t>The 2020 EPS was $1.65, and the 2021 EPS is projected to be $3, both increases over the 2019 EPS. Investors will pay a greater price for a company's stock if they determine that the stock is undervalued relative to the company's profits.</w:t>
      </w:r>
    </w:p>
    <w:p w14:paraId="0C369A91" w14:textId="790C0C7B" w:rsidR="00E62A59" w:rsidRDefault="00E62A59" w:rsidP="00E62A59">
      <w:r w:rsidRPr="00E62A59">
        <w:t>The net profit margin for Sweets Plc has improved from 5.68 percent in 2020 to 6.40 percent in 2021, continuing an upward trend over the last two fiscal years. Higher sales in 2021 may explain the net profit margin improvement from £366 million in 2020 to £431 million in 2021, a 17.8 percent jump. This ongoing trend indicates that management at Sweets Plc is not only unable to take advantage of rising demand for its products by increasing sales revenue, but also unable to exert sufficient control over the cost structure, resulting in lower profits.</w:t>
      </w:r>
    </w:p>
    <w:p w14:paraId="5E47CF9B" w14:textId="4687A300" w:rsidR="00E62A59" w:rsidRDefault="00E62A59" w:rsidP="00E62A59">
      <w:r w:rsidRPr="00E62A59">
        <w:t>Predictions suggest an increase in asset turnover from 0.64 in 2020 to 0.69 in 2021. In 2021, the company's sales is projected to expand by 4.61 percent due to rising demand for its confectionary products. This upward trend is indicative of smart financial management on the part of Sweets Plc's leadership, who are using the company's potential to boost earnings.</w:t>
      </w:r>
    </w:p>
    <w:p w14:paraId="5C8517F5" w14:textId="365E13BD" w:rsidR="00E62A59" w:rsidRDefault="00E62A59" w:rsidP="00E62A59">
      <w:r w:rsidRPr="00E62A59">
        <w:lastRenderedPageBreak/>
        <w:t>With a rise from 78 days in 2020 to 80 days in 2021, the stock holding days ratio has been on the rise over the last two fiscal years. The 2 day increase in stock holding days in 2021 implies that it took Sweets Plc's management on average 2 days to transfer raw materials into revenue for the business in 2021. This highlights Sweets Plc's organizational inefficiency in inventory management in recent years.</w:t>
      </w:r>
    </w:p>
    <w:p w14:paraId="3AD58B36" w14:textId="3206D1E7" w:rsidR="00E62A59" w:rsidRDefault="00E62A59" w:rsidP="00E62A59">
      <w:r w:rsidRPr="00E62A59">
        <w:t>The average number of days it took to collect from debtors was 37.34 in 2020 and 38.35 in 2021, both increases from the prior year. Given Sweets PLC's lengthy collection period, it's likely that payments are being held up. Please don't take this as a representation of how things really work here. Clients of Sweets PLC may be to blame for the prolonged collection period due to their tardiness in making payments.</w:t>
      </w:r>
    </w:p>
    <w:p w14:paraId="4AAF5E2A" w14:textId="2A6FB4D7" w:rsidR="00E62A59" w:rsidRDefault="00E62A59" w:rsidP="00E62A59">
      <w:r w:rsidRPr="00E62A59">
        <w:t>Sweet Plc's current ratio should rise from 0.77 in 2020 to 0.92 in 2021. Despite a good trend, Sweet Plc's current ratio has been below 1.0 over the previous two years. Despite improving profitability over the previous two fiscal years due to a rigorous working capital program, Sweets Plc will face significant liquidity limits and financial issues amid dropping sales and cashflows (Palepu et al, 2020).</w:t>
      </w:r>
    </w:p>
    <w:p w14:paraId="1A79719A" w14:textId="47BCB578" w:rsidR="00E62A59" w:rsidRDefault="00E62A59" w:rsidP="00E62A59">
      <w:r w:rsidRPr="00E62A59">
        <w:t>In 2019, the gearing ratio was 2.46; in 2020 and 2021, it was 2.15. If gearing is low, debt isn't pinching equity too much. Low gearing doesn't ensure a company's financial soundness.</w:t>
      </w:r>
    </w:p>
    <w:p w14:paraId="2D8AA3EC" w14:textId="165E0F36" w:rsidR="00E62A59" w:rsidRDefault="00E62A59" w:rsidP="00E62A59">
      <w:r w:rsidRPr="00E62A59">
        <w:t>In 2021, the interest coverage ratio fell from 3.86x to 3.56x. Higher finance expenditures (24.9%) and lower operating earnings (15.2%) will cause a deficit in 2021. Despite a minor reduction, Sweets Plc's debt-to-equity ratio was above 2.0x in each of the last two fiscal years, showing that management produced enough income from operations to fund debt financing.</w:t>
      </w:r>
    </w:p>
    <w:p w14:paraId="317A412B" w14:textId="77777777" w:rsidR="00E62A59" w:rsidRDefault="00E62A59" w:rsidP="007F0A0A"/>
    <w:p w14:paraId="5C81A381" w14:textId="7C651E87" w:rsidR="00E62A59" w:rsidRDefault="00E62A59" w:rsidP="00E62A59">
      <w:pPr>
        <w:pStyle w:val="Heading1"/>
      </w:pPr>
      <w:bookmarkStart w:id="8" w:name="_Toc123723407"/>
      <w:r>
        <w:t>Conclusion</w:t>
      </w:r>
      <w:bookmarkEnd w:id="8"/>
      <w:r>
        <w:t xml:space="preserve"> </w:t>
      </w:r>
    </w:p>
    <w:p w14:paraId="4E510E96" w14:textId="60E34355" w:rsidR="00E62A59" w:rsidRDefault="00E62A59" w:rsidP="007F0A0A">
      <w:r w:rsidRPr="00E62A59">
        <w:t xml:space="preserve">To increase shareholder wealth is the fundamental goal of financial management. Therefore, in the case of publicly traded companies, it represents the stock price, and in the case of privately held companies, it represents the market value of the owners' equity. Business financiers often look for ways to maximize profit while reducing loss. Based on the findings of this study, it is clear that the use of a variety of managerial and financial accounting tools and processes not only aids in the </w:t>
      </w:r>
      <w:r w:rsidRPr="00E62A59">
        <w:lastRenderedPageBreak/>
        <w:t>optimization of organizational decision-making, but also increases the quality and accuracy of management decisions.</w:t>
      </w:r>
    </w:p>
    <w:p w14:paraId="099AEC73" w14:textId="176D9FB8" w:rsidR="00C64672" w:rsidRDefault="00C64672" w:rsidP="007F0A0A"/>
    <w:p w14:paraId="63950233" w14:textId="04A2B6F1" w:rsidR="00C64672" w:rsidRDefault="00C64672" w:rsidP="007F0A0A"/>
    <w:p w14:paraId="7150FC96" w14:textId="733BF34E" w:rsidR="00C64672" w:rsidRDefault="00C64672" w:rsidP="007F0A0A"/>
    <w:p w14:paraId="5DF1F43D" w14:textId="11318244" w:rsidR="00C64672" w:rsidRDefault="00C64672" w:rsidP="007F0A0A"/>
    <w:p w14:paraId="335F3854" w14:textId="2D901944" w:rsidR="00C64672" w:rsidRDefault="00C64672" w:rsidP="007F0A0A"/>
    <w:p w14:paraId="0C261009" w14:textId="346C9758" w:rsidR="00C64672" w:rsidRDefault="00C64672" w:rsidP="007F0A0A"/>
    <w:p w14:paraId="44F6D6CC" w14:textId="739FD5B9" w:rsidR="00C64672" w:rsidRDefault="00C64672" w:rsidP="007F0A0A"/>
    <w:p w14:paraId="55D712C4" w14:textId="5E6C3CDC" w:rsidR="00C64672" w:rsidRDefault="00C64672" w:rsidP="007F0A0A"/>
    <w:p w14:paraId="79679DFC" w14:textId="5E1478E3" w:rsidR="00C64672" w:rsidRDefault="00C64672" w:rsidP="007F0A0A"/>
    <w:p w14:paraId="526E7FE5" w14:textId="0F349528" w:rsidR="00C64672" w:rsidRDefault="00C64672" w:rsidP="007F0A0A"/>
    <w:p w14:paraId="6F4AD57A" w14:textId="66FC2133" w:rsidR="00C64672" w:rsidRDefault="00C64672" w:rsidP="007F0A0A"/>
    <w:p w14:paraId="71928E65" w14:textId="5A9CA7F0" w:rsidR="00C64672" w:rsidRDefault="00C64672" w:rsidP="007F0A0A"/>
    <w:p w14:paraId="46E38851" w14:textId="1C2C80FE" w:rsidR="00C64672" w:rsidRDefault="00C64672" w:rsidP="007F0A0A"/>
    <w:p w14:paraId="725D59ED" w14:textId="16700A1E" w:rsidR="00C64672" w:rsidRDefault="00C64672" w:rsidP="007F0A0A"/>
    <w:p w14:paraId="6340CE74" w14:textId="72EFA174" w:rsidR="00C64672" w:rsidRDefault="00C64672" w:rsidP="007F0A0A"/>
    <w:p w14:paraId="6E11DAFF" w14:textId="578A7652" w:rsidR="00C64672" w:rsidRDefault="00C64672" w:rsidP="007F0A0A"/>
    <w:p w14:paraId="75E9FC3B" w14:textId="6B473CE2" w:rsidR="00C64672" w:rsidRDefault="00C64672" w:rsidP="007F0A0A"/>
    <w:p w14:paraId="26F7AB5B" w14:textId="38CD4BDB" w:rsidR="00C64672" w:rsidRDefault="00C64672" w:rsidP="007F0A0A"/>
    <w:p w14:paraId="36E3D1BF" w14:textId="34BF6CE2" w:rsidR="00C64672" w:rsidRDefault="00C64672" w:rsidP="007F0A0A"/>
    <w:p w14:paraId="2EC0ED93" w14:textId="41D2A612" w:rsidR="00C64672" w:rsidRDefault="00C64672" w:rsidP="007F0A0A"/>
    <w:p w14:paraId="35F4F7B7" w14:textId="77777777" w:rsidR="00C64672" w:rsidRDefault="00C64672" w:rsidP="007F0A0A"/>
    <w:p w14:paraId="354E42E3" w14:textId="11D34274" w:rsidR="00E62A59" w:rsidRDefault="00E62A59" w:rsidP="00F47CD7">
      <w:pPr>
        <w:pStyle w:val="Heading1"/>
      </w:pPr>
      <w:bookmarkStart w:id="9" w:name="_Toc123723408"/>
      <w:r>
        <w:lastRenderedPageBreak/>
        <w:t>References</w:t>
      </w:r>
      <w:bookmarkEnd w:id="9"/>
      <w:r>
        <w:t xml:space="preserve"> </w:t>
      </w:r>
    </w:p>
    <w:p w14:paraId="20B1F31B" w14:textId="77777777" w:rsidR="00DA37E9" w:rsidRDefault="00DA37E9" w:rsidP="00DA37E9">
      <w:r w:rsidRPr="0031344E">
        <w:t>Hilkevics, S. and Semakina, V., 2019. The classification and comparison of business ratios analysis methods. </w:t>
      </w:r>
      <w:r w:rsidRPr="00E17793">
        <w:rPr>
          <w:i/>
          <w:iCs/>
        </w:rPr>
        <w:t>Insights into Regional Development</w:t>
      </w:r>
      <w:r w:rsidRPr="0031344E">
        <w:t>, </w:t>
      </w:r>
      <w:r w:rsidRPr="00E17793">
        <w:rPr>
          <w:i/>
          <w:iCs/>
        </w:rPr>
        <w:t>1</w:t>
      </w:r>
      <w:r w:rsidRPr="0031344E">
        <w:t>(1), pp.47-56.</w:t>
      </w:r>
    </w:p>
    <w:p w14:paraId="70A90F04" w14:textId="4A8B37CE" w:rsidR="00DA37E9" w:rsidRPr="00DA37E9" w:rsidRDefault="00DA37E9" w:rsidP="00DA37E9">
      <w:r w:rsidRPr="00DD6681">
        <w:t>Jurakulovna, J.G., 2021. The Necessity and Theoretical Basis of Financial Statement Analysis in Modern Management. </w:t>
      </w:r>
      <w:r w:rsidRPr="00E17793">
        <w:rPr>
          <w:i/>
          <w:iCs/>
        </w:rPr>
        <w:t>Academic Journal of Digital Economics and Stability</w:t>
      </w:r>
      <w:r w:rsidRPr="00DD6681">
        <w:t>, </w:t>
      </w:r>
      <w:r w:rsidRPr="00E17793">
        <w:rPr>
          <w:i/>
          <w:iCs/>
        </w:rPr>
        <w:t>7</w:t>
      </w:r>
      <w:r w:rsidRPr="00DD6681">
        <w:t>, pp.89-95.</w:t>
      </w:r>
    </w:p>
    <w:p w14:paraId="03E06C61" w14:textId="77777777" w:rsidR="00F47CD7" w:rsidRDefault="00F47CD7" w:rsidP="00F47CD7">
      <w:r w:rsidRPr="00713BD5">
        <w:t>Easton, P.D., McAnally, M.L., Sommers, G.A. and Zhang, X.J., 2018. </w:t>
      </w:r>
      <w:r w:rsidRPr="00E17793">
        <w:rPr>
          <w:i/>
          <w:iCs/>
        </w:rPr>
        <w:t>Financial statement analysis &amp; valuation</w:t>
      </w:r>
      <w:r w:rsidRPr="00713BD5">
        <w:t>. Boston, MA: Cambridge Business Publishers.</w:t>
      </w:r>
    </w:p>
    <w:p w14:paraId="53AA7ABC" w14:textId="77777777" w:rsidR="00F47CD7" w:rsidRDefault="00F47CD7" w:rsidP="00F47CD7">
      <w:r w:rsidRPr="007F1658">
        <w:t>Godfrey, J., Hodgson, A., Tarca, A., Hamilton, J. and Holmen, S., 2010. </w:t>
      </w:r>
      <w:r w:rsidRPr="00E17793">
        <w:rPr>
          <w:i/>
          <w:iCs/>
        </w:rPr>
        <w:t>Accounting</w:t>
      </w:r>
      <w:r w:rsidRPr="007F1658">
        <w:t>. John Wiley &amp; Sons, Inc.</w:t>
      </w:r>
    </w:p>
    <w:p w14:paraId="12B204A7" w14:textId="77777777" w:rsidR="00F47CD7" w:rsidRDefault="00F47CD7" w:rsidP="00F47CD7">
      <w:r w:rsidRPr="0031344E">
        <w:t>Kimmel, P.D., Weygandt, J.J. and Kieso, D.E., 2020. </w:t>
      </w:r>
      <w:r w:rsidRPr="00E17793">
        <w:rPr>
          <w:i/>
          <w:iCs/>
        </w:rPr>
        <w:t>Financial accounting: tools for business decision-making</w:t>
      </w:r>
      <w:r w:rsidRPr="0031344E">
        <w:t>. John Wiley &amp; Sons.</w:t>
      </w:r>
    </w:p>
    <w:p w14:paraId="52693410" w14:textId="77777777" w:rsidR="00F47CD7" w:rsidRPr="00C54160" w:rsidRDefault="00F47CD7" w:rsidP="00F47CD7">
      <w:r w:rsidRPr="00E17793">
        <w:t>Robinson, T.R., 2020. </w:t>
      </w:r>
      <w:r w:rsidRPr="00E17793">
        <w:rPr>
          <w:i/>
          <w:iCs/>
        </w:rPr>
        <w:t>International financial statement analysis</w:t>
      </w:r>
      <w:r w:rsidRPr="00E17793">
        <w:t>. John Wiley &amp; Sons.</w:t>
      </w:r>
    </w:p>
    <w:p w14:paraId="28FF28E6" w14:textId="77777777" w:rsidR="00F47CD7" w:rsidRDefault="00F47CD7" w:rsidP="00F47CD7">
      <w:r w:rsidRPr="00057A34">
        <w:t>Sangster, A., 2016. The genesis of double entry bookkeeping. </w:t>
      </w:r>
      <w:r w:rsidRPr="00E17793">
        <w:rPr>
          <w:i/>
          <w:iCs/>
        </w:rPr>
        <w:t>The Accounting Review</w:t>
      </w:r>
      <w:r w:rsidRPr="00057A34">
        <w:t>, </w:t>
      </w:r>
      <w:r w:rsidRPr="00E17793">
        <w:rPr>
          <w:i/>
          <w:iCs/>
        </w:rPr>
        <w:t>91</w:t>
      </w:r>
      <w:r w:rsidRPr="00057A34">
        <w:t>(1), pp.299-315.</w:t>
      </w:r>
    </w:p>
    <w:p w14:paraId="5FD0C649" w14:textId="77777777" w:rsidR="00F47CD7" w:rsidRDefault="00F47CD7" w:rsidP="00F47CD7">
      <w:r w:rsidRPr="005E2BFF">
        <w:t>Schroeder, R.G., Clark, M.W. and Cathey, J.M., 2022. </w:t>
      </w:r>
      <w:r w:rsidRPr="00E17793">
        <w:rPr>
          <w:i/>
          <w:iCs/>
        </w:rPr>
        <w:t>Financial accounting theory and analysis: text and cases</w:t>
      </w:r>
      <w:r w:rsidRPr="005E2BFF">
        <w:t>. John Wiley &amp; Sons.</w:t>
      </w:r>
    </w:p>
    <w:p w14:paraId="6753CA57" w14:textId="77777777" w:rsidR="00F47CD7" w:rsidRDefault="00F47CD7" w:rsidP="00F47CD7">
      <w:r w:rsidRPr="007C3F9E">
        <w:t>Welc, J., 2022. Financial statement analysis. In </w:t>
      </w:r>
      <w:r w:rsidRPr="00E17793">
        <w:rPr>
          <w:i/>
          <w:iCs/>
        </w:rPr>
        <w:t>Evaluating Corporate Financial Performance</w:t>
      </w:r>
      <w:r w:rsidRPr="007C3F9E">
        <w:t> (pp. 131-212). Palgrave Macmillan, Cham.</w:t>
      </w:r>
    </w:p>
    <w:p w14:paraId="1486540F" w14:textId="77777777" w:rsidR="00F47CD7" w:rsidRDefault="00F47CD7" w:rsidP="00F47CD7">
      <w:r w:rsidRPr="00D562C5">
        <w:t>Wen, T., Leung, X.Y., Li, B. and Hu, L., 2021. Examining framing effect in travel package purchase: An application of double-entry mental accounting theory. </w:t>
      </w:r>
      <w:r w:rsidRPr="00E17793">
        <w:rPr>
          <w:i/>
          <w:iCs/>
        </w:rPr>
        <w:t>Annals of Tourism Research</w:t>
      </w:r>
      <w:r w:rsidRPr="00D562C5">
        <w:t>, </w:t>
      </w:r>
      <w:r w:rsidRPr="00E17793">
        <w:rPr>
          <w:i/>
          <w:iCs/>
        </w:rPr>
        <w:t>90</w:t>
      </w:r>
      <w:r w:rsidRPr="00D562C5">
        <w:t>, p.103265.</w:t>
      </w:r>
    </w:p>
    <w:p w14:paraId="12531444" w14:textId="77777777" w:rsidR="00DA37E9" w:rsidRDefault="00DA37E9" w:rsidP="00DA37E9">
      <w:pPr>
        <w:rPr>
          <w:shd w:val="clear" w:color="auto" w:fill="FFFFFF"/>
        </w:rPr>
      </w:pPr>
      <w:r>
        <w:rPr>
          <w:shd w:val="clear" w:color="auto" w:fill="FFFFFF"/>
        </w:rPr>
        <w:t>Palepu, K.G., Healy, P.M., Wright, S., Bradbury, M. and Coulton, J., 2020. </w:t>
      </w:r>
      <w:r>
        <w:rPr>
          <w:i/>
          <w:iCs/>
          <w:shd w:val="clear" w:color="auto" w:fill="FFFFFF"/>
        </w:rPr>
        <w:t>Business analysis and valuation: Using financial statements</w:t>
      </w:r>
      <w:r>
        <w:rPr>
          <w:shd w:val="clear" w:color="auto" w:fill="FFFFFF"/>
        </w:rPr>
        <w:t>. Cengage AU.</w:t>
      </w:r>
    </w:p>
    <w:p w14:paraId="4830AE39" w14:textId="77777777" w:rsidR="00F47CD7" w:rsidRPr="00F47CD7" w:rsidRDefault="00F47CD7" w:rsidP="00F47CD7"/>
    <w:p w14:paraId="512DFFA1" w14:textId="77777777" w:rsidR="00E62A59" w:rsidRPr="007F0A0A" w:rsidRDefault="00E62A59" w:rsidP="007F0A0A"/>
    <w:p w14:paraId="5ADA53D6" w14:textId="77777777" w:rsidR="007F0A0A" w:rsidRDefault="007F0A0A" w:rsidP="007F0A0A">
      <w:pPr>
        <w:rPr>
          <w:rFonts w:eastAsiaTheme="minorEastAsia" w:cs="Times New Roman"/>
          <w:szCs w:val="24"/>
        </w:rPr>
      </w:pPr>
    </w:p>
    <w:p w14:paraId="3869925D" w14:textId="77777777" w:rsidR="007F0A0A" w:rsidRPr="007F0A0A" w:rsidRDefault="007F0A0A" w:rsidP="007F0A0A">
      <w:pPr>
        <w:rPr>
          <w:b/>
          <w:bCs/>
        </w:rPr>
      </w:pPr>
    </w:p>
    <w:p w14:paraId="72FC4FBA" w14:textId="77777777" w:rsidR="007F0A0A" w:rsidRDefault="007F0A0A" w:rsidP="007F0A0A"/>
    <w:p w14:paraId="77644DAE" w14:textId="77777777" w:rsidR="007F0A0A" w:rsidRDefault="007F0A0A" w:rsidP="007F0A0A"/>
    <w:p w14:paraId="1E7EAE41" w14:textId="77777777" w:rsidR="007F0A0A" w:rsidRPr="007F0A0A" w:rsidRDefault="007F0A0A" w:rsidP="007F0A0A"/>
    <w:p w14:paraId="1E629716" w14:textId="77777777" w:rsidR="007B75F0" w:rsidRPr="007B75F0" w:rsidRDefault="007B75F0" w:rsidP="007B75F0">
      <w:pPr>
        <w:rPr>
          <w:b/>
          <w:bCs/>
        </w:rPr>
      </w:pPr>
    </w:p>
    <w:p w14:paraId="152CFC3E" w14:textId="77777777" w:rsidR="007B75F0" w:rsidRPr="006A3B2F" w:rsidRDefault="007B75F0" w:rsidP="006A3B2F">
      <w:pPr>
        <w:rPr>
          <w:rFonts w:eastAsiaTheme="minorEastAsia" w:cs="Times New Roman"/>
          <w:szCs w:val="24"/>
        </w:rPr>
      </w:pPr>
    </w:p>
    <w:p w14:paraId="2833DE01" w14:textId="77777777" w:rsidR="006A3B2F" w:rsidRPr="006A3B2F" w:rsidRDefault="006A3B2F" w:rsidP="006A3B2F">
      <w:pPr>
        <w:rPr>
          <w:rFonts w:eastAsiaTheme="minorEastAsia" w:cs="Times New Roman"/>
          <w:szCs w:val="24"/>
        </w:rPr>
      </w:pPr>
    </w:p>
    <w:p w14:paraId="6CCDDF10" w14:textId="77777777" w:rsidR="006A3B2F" w:rsidRPr="00C773F6" w:rsidRDefault="006A3B2F" w:rsidP="00C773F6"/>
    <w:p w14:paraId="7BE14345" w14:textId="77777777" w:rsidR="00C773F6" w:rsidRPr="00C773F6" w:rsidRDefault="00C773F6" w:rsidP="00C773F6">
      <w:pPr>
        <w:rPr>
          <w:rFonts w:cs="Times New Roman"/>
          <w:szCs w:val="24"/>
        </w:rPr>
      </w:pPr>
    </w:p>
    <w:sectPr w:rsidR="00C773F6" w:rsidRPr="00C773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0329A"/>
    <w:multiLevelType w:val="hybridMultilevel"/>
    <w:tmpl w:val="FA701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A2AA0"/>
    <w:multiLevelType w:val="hybridMultilevel"/>
    <w:tmpl w:val="5A9C9EC0"/>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BA31588"/>
    <w:multiLevelType w:val="hybridMultilevel"/>
    <w:tmpl w:val="7DD6D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AC3CA3"/>
    <w:multiLevelType w:val="hybridMultilevel"/>
    <w:tmpl w:val="E264C368"/>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67603102">
    <w:abstractNumId w:val="3"/>
  </w:num>
  <w:num w:numId="2" w16cid:durableId="1393191178">
    <w:abstractNumId w:val="1"/>
  </w:num>
  <w:num w:numId="3" w16cid:durableId="1439788032">
    <w:abstractNumId w:val="2"/>
  </w:num>
  <w:num w:numId="4" w16cid:durableId="1648388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B24"/>
    <w:rsid w:val="00113728"/>
    <w:rsid w:val="0015692D"/>
    <w:rsid w:val="001C4764"/>
    <w:rsid w:val="001E7039"/>
    <w:rsid w:val="002841FE"/>
    <w:rsid w:val="00342342"/>
    <w:rsid w:val="00346C85"/>
    <w:rsid w:val="00371683"/>
    <w:rsid w:val="00397F5F"/>
    <w:rsid w:val="00421E43"/>
    <w:rsid w:val="00491E06"/>
    <w:rsid w:val="006925B4"/>
    <w:rsid w:val="006A3B2F"/>
    <w:rsid w:val="007B5EE3"/>
    <w:rsid w:val="007B75F0"/>
    <w:rsid w:val="007C2E93"/>
    <w:rsid w:val="007F0A0A"/>
    <w:rsid w:val="008E5F21"/>
    <w:rsid w:val="008F0F20"/>
    <w:rsid w:val="008F20F4"/>
    <w:rsid w:val="009931E2"/>
    <w:rsid w:val="009F02A2"/>
    <w:rsid w:val="00A12B24"/>
    <w:rsid w:val="00A7777E"/>
    <w:rsid w:val="00A931D2"/>
    <w:rsid w:val="00AF3A5A"/>
    <w:rsid w:val="00BB29BD"/>
    <w:rsid w:val="00C64672"/>
    <w:rsid w:val="00C773F6"/>
    <w:rsid w:val="00D061C0"/>
    <w:rsid w:val="00D50EE4"/>
    <w:rsid w:val="00DA37E9"/>
    <w:rsid w:val="00E04E78"/>
    <w:rsid w:val="00E62A59"/>
    <w:rsid w:val="00E65E13"/>
    <w:rsid w:val="00F47CD7"/>
    <w:rsid w:val="00FA5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A2092"/>
  <w15:chartTrackingRefBased/>
  <w15:docId w15:val="{F4D4FFAF-817E-4E22-B0CB-747AF9877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1F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C2E93"/>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346C85"/>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semiHidden/>
    <w:unhideWhenUsed/>
    <w:qFormat/>
    <w:rsid w:val="007F0A0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E93"/>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semiHidden/>
    <w:rsid w:val="00346C85"/>
    <w:rPr>
      <w:rFonts w:ascii="Times New Roman" w:eastAsiaTheme="majorEastAsia" w:hAnsi="Times New Roman" w:cstheme="majorBidi"/>
      <w:b/>
      <w:color w:val="2F5496" w:themeColor="accent1" w:themeShade="BF"/>
      <w:sz w:val="26"/>
      <w:szCs w:val="26"/>
    </w:rPr>
  </w:style>
  <w:style w:type="table" w:styleId="GridTable5Dark-Accent6">
    <w:name w:val="Grid Table 5 Dark Accent 6"/>
    <w:basedOn w:val="TableNormal"/>
    <w:uiPriority w:val="50"/>
    <w:rsid w:val="00A12B2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ListParagraph">
    <w:name w:val="List Paragraph"/>
    <w:basedOn w:val="Normal"/>
    <w:uiPriority w:val="34"/>
    <w:qFormat/>
    <w:rsid w:val="00113728"/>
    <w:pPr>
      <w:spacing w:line="256" w:lineRule="auto"/>
      <w:ind w:left="720"/>
      <w:contextualSpacing/>
      <w:jc w:val="left"/>
    </w:pPr>
    <w:rPr>
      <w:rFonts w:asciiTheme="minorHAnsi" w:hAnsiTheme="minorHAnsi"/>
      <w:sz w:val="22"/>
      <w:lang w:val="en-GB"/>
    </w:rPr>
  </w:style>
  <w:style w:type="paragraph" w:customStyle="1" w:styleId="Default">
    <w:name w:val="Default"/>
    <w:rsid w:val="00113728"/>
    <w:pPr>
      <w:autoSpaceDE w:val="0"/>
      <w:autoSpaceDN w:val="0"/>
      <w:adjustRightInd w:val="0"/>
      <w:spacing w:after="0" w:line="240" w:lineRule="auto"/>
    </w:pPr>
    <w:rPr>
      <w:rFonts w:ascii="Times New Roman" w:hAnsi="Times New Roman" w:cs="Times New Roman"/>
      <w:color w:val="000000"/>
      <w:sz w:val="24"/>
      <w:szCs w:val="24"/>
      <w:lang w:val="en-GB"/>
    </w:rPr>
  </w:style>
  <w:style w:type="table" w:styleId="TableGrid">
    <w:name w:val="Table Grid"/>
    <w:basedOn w:val="TableNormal"/>
    <w:uiPriority w:val="39"/>
    <w:rsid w:val="00113728"/>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7F0A0A"/>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E62A59"/>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DA37E9"/>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DA37E9"/>
    <w:pPr>
      <w:spacing w:after="100"/>
    </w:pPr>
  </w:style>
  <w:style w:type="character" w:styleId="Hyperlink">
    <w:name w:val="Hyperlink"/>
    <w:basedOn w:val="DefaultParagraphFont"/>
    <w:uiPriority w:val="99"/>
    <w:unhideWhenUsed/>
    <w:rsid w:val="00DA37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649807">
      <w:bodyDiv w:val="1"/>
      <w:marLeft w:val="0"/>
      <w:marRight w:val="0"/>
      <w:marTop w:val="0"/>
      <w:marBottom w:val="0"/>
      <w:divBdr>
        <w:top w:val="none" w:sz="0" w:space="0" w:color="auto"/>
        <w:left w:val="none" w:sz="0" w:space="0" w:color="auto"/>
        <w:bottom w:val="none" w:sz="0" w:space="0" w:color="auto"/>
        <w:right w:val="none" w:sz="0" w:space="0" w:color="auto"/>
      </w:divBdr>
    </w:div>
    <w:div w:id="69214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6B60E-8703-4255-AAEE-4044E4528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21</Pages>
  <Words>3243</Words>
  <Characters>18491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Iurie Nita</cp:lastModifiedBy>
  <cp:revision>24</cp:revision>
  <dcterms:created xsi:type="dcterms:W3CDTF">2023-01-04T21:26:00Z</dcterms:created>
  <dcterms:modified xsi:type="dcterms:W3CDTF">2023-01-05T16:06:00Z</dcterms:modified>
</cp:coreProperties>
</file>