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187800460"/>
        <w:docPartObj>
          <w:docPartGallery w:val="Cover Pages"/>
          <w:docPartUnique/>
        </w:docPartObj>
      </w:sdtPr>
      <w:sdtEndPr/>
      <w:sdtContent>
        <w:p w14:paraId="727DFF06" w14:textId="630D057E" w:rsidR="009F7DD7" w:rsidRDefault="009F7DD7">
          <w:pPr>
            <w:rPr>
              <w:rFonts w:ascii="Arial" w:hAnsi="Arial" w:cs="Arial"/>
              <w:sz w:val="24"/>
              <w:szCs w:val="24"/>
            </w:rPr>
          </w:pPr>
          <w:r w:rsidRPr="009F7DD7">
            <w:rPr>
              <w:rFonts w:ascii="Arial" w:hAnsi="Arial" w:cs="Arial"/>
              <w:noProof/>
              <w:sz w:val="24"/>
              <w:szCs w:val="24"/>
            </w:rPr>
            <mc:AlternateContent>
              <mc:Choice Requires="wps">
                <w:drawing>
                  <wp:anchor distT="0" distB="0" distL="114300" distR="114300" simplePos="0" relativeHeight="251659264" behindDoc="0" locked="0" layoutInCell="1" allowOverlap="1" wp14:anchorId="332EB1E1" wp14:editId="216AC32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102"/>
                                </w:tblGrid>
                                <w:tr w:rsidR="009F7DD7" w14:paraId="78FD9FD3" w14:textId="77777777">
                                  <w:trPr>
                                    <w:jc w:val="center"/>
                                  </w:trPr>
                                  <w:tc>
                                    <w:tcPr>
                                      <w:tcW w:w="2568" w:type="pct"/>
                                      <w:vAlign w:val="center"/>
                                    </w:tcPr>
                                    <w:p w14:paraId="2AE0E1E6" w14:textId="361AD982" w:rsidR="009F7DD7" w:rsidRDefault="00D2299D">
                                      <w:pPr>
                                        <w:jc w:val="right"/>
                                      </w:pPr>
                                      <w:r>
                                        <w:rPr>
                                          <w:noProof/>
                                        </w:rPr>
                                        <w:drawing>
                                          <wp:inline distT="0" distB="0" distL="0" distR="0" wp14:anchorId="3F172D4A" wp14:editId="773145BF">
                                            <wp:extent cx="3381375" cy="1352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1375" cy="13525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46FEBD" w14:textId="3BBE3053" w:rsidR="009F7DD7" w:rsidRDefault="009F7DD7">
                                          <w:pPr>
                                            <w:pStyle w:val="NoSpacing"/>
                                            <w:spacing w:line="312" w:lineRule="auto"/>
                                            <w:jc w:val="right"/>
                                            <w:rPr>
                                              <w:caps/>
                                              <w:color w:val="191919" w:themeColor="text1" w:themeTint="E6"/>
                                              <w:sz w:val="72"/>
                                              <w:szCs w:val="72"/>
                                            </w:rPr>
                                          </w:pPr>
                                          <w:r>
                                            <w:rPr>
                                              <w:caps/>
                                              <w:color w:val="191919" w:themeColor="text1" w:themeTint="E6"/>
                                              <w:sz w:val="72"/>
                                              <w:szCs w:val="72"/>
                                            </w:rPr>
                                            <w:t>Moxibustion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74565" w14:textId="7A4EC5F9" w:rsidR="009F7DD7" w:rsidRDefault="009F7DD7">
                                          <w:pPr>
                                            <w:jc w:val="right"/>
                                            <w:rPr>
                                              <w:sz w:val="24"/>
                                              <w:szCs w:val="24"/>
                                            </w:rPr>
                                          </w:pPr>
                                          <w:r>
                                            <w:rPr>
                                              <w:color w:val="000000" w:themeColor="text1"/>
                                              <w:sz w:val="24"/>
                                              <w:szCs w:val="24"/>
                                            </w:rPr>
                                            <w:t>Joanna Walsh</w:t>
                                          </w:r>
                                        </w:p>
                                      </w:sdtContent>
                                    </w:sdt>
                                  </w:tc>
                                  <w:tc>
                                    <w:tcPr>
                                      <w:tcW w:w="2432" w:type="pct"/>
                                      <w:vAlign w:val="center"/>
                                    </w:tcPr>
                                    <w:p w14:paraId="12C0F133" w14:textId="06C49E57" w:rsidR="009F7DD7" w:rsidRDefault="009F7DD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EF1DE0A" w14:textId="1DB144CF" w:rsidR="009F7DD7" w:rsidRDefault="009F7DD7">
                                          <w:pPr>
                                            <w:pStyle w:val="NoSpacing"/>
                                            <w:rPr>
                                              <w:color w:val="ED7D31" w:themeColor="accent2"/>
                                              <w:sz w:val="26"/>
                                              <w:szCs w:val="26"/>
                                            </w:rPr>
                                          </w:pPr>
                                          <w:r>
                                            <w:rPr>
                                              <w:color w:val="ED7D31" w:themeColor="accent2"/>
                                              <w:sz w:val="26"/>
                                              <w:szCs w:val="26"/>
                                            </w:rPr>
                                            <w:t>Hyacinth Thomas (1810167)</w:t>
                                          </w:r>
                                        </w:p>
                                      </w:sdtContent>
                                    </w:sdt>
                                    <w:p w14:paraId="6FDFD50F" w14:textId="1645CD2C" w:rsidR="009F7DD7" w:rsidRDefault="00A071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F7DD7">
                                            <w:rPr>
                                              <w:color w:val="44546A" w:themeColor="text2"/>
                                            </w:rPr>
                                            <w:t>Complimentary Therapies</w:t>
                                          </w:r>
                                          <w:r w:rsidR="00D402FF">
                                            <w:rPr>
                                              <w:color w:val="44546A" w:themeColor="text2"/>
                                            </w:rPr>
                                            <w:t xml:space="preserve">    BMHP5001</w:t>
                                          </w:r>
                                        </w:sdtContent>
                                      </w:sdt>
                                    </w:p>
                                  </w:tc>
                                </w:tr>
                              </w:tbl>
                              <w:p w14:paraId="34E959C3" w14:textId="77777777" w:rsidR="009F7DD7" w:rsidRDefault="009F7DD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2EB1E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0"/>
                            <w:gridCol w:w="2102"/>
                          </w:tblGrid>
                          <w:tr w:rsidR="009F7DD7" w14:paraId="78FD9FD3" w14:textId="77777777">
                            <w:trPr>
                              <w:jc w:val="center"/>
                            </w:trPr>
                            <w:tc>
                              <w:tcPr>
                                <w:tcW w:w="2568" w:type="pct"/>
                                <w:vAlign w:val="center"/>
                              </w:tcPr>
                              <w:p w14:paraId="2AE0E1E6" w14:textId="361AD982" w:rsidR="009F7DD7" w:rsidRDefault="00D2299D">
                                <w:pPr>
                                  <w:jc w:val="right"/>
                                </w:pPr>
                                <w:r>
                                  <w:rPr>
                                    <w:noProof/>
                                  </w:rPr>
                                  <w:drawing>
                                    <wp:inline distT="0" distB="0" distL="0" distR="0" wp14:anchorId="3F172D4A" wp14:editId="773145BF">
                                      <wp:extent cx="3381375" cy="1352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81375" cy="13525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46FEBD" w14:textId="3BBE3053" w:rsidR="009F7DD7" w:rsidRDefault="009F7DD7">
                                    <w:pPr>
                                      <w:pStyle w:val="NoSpacing"/>
                                      <w:spacing w:line="312" w:lineRule="auto"/>
                                      <w:jc w:val="right"/>
                                      <w:rPr>
                                        <w:caps/>
                                        <w:color w:val="191919" w:themeColor="text1" w:themeTint="E6"/>
                                        <w:sz w:val="72"/>
                                        <w:szCs w:val="72"/>
                                      </w:rPr>
                                    </w:pPr>
                                    <w:r>
                                      <w:rPr>
                                        <w:caps/>
                                        <w:color w:val="191919" w:themeColor="text1" w:themeTint="E6"/>
                                        <w:sz w:val="72"/>
                                        <w:szCs w:val="72"/>
                                      </w:rPr>
                                      <w:t>Moxibustion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A74565" w14:textId="7A4EC5F9" w:rsidR="009F7DD7" w:rsidRDefault="009F7DD7">
                                    <w:pPr>
                                      <w:jc w:val="right"/>
                                      <w:rPr>
                                        <w:sz w:val="24"/>
                                        <w:szCs w:val="24"/>
                                      </w:rPr>
                                    </w:pPr>
                                    <w:r>
                                      <w:rPr>
                                        <w:color w:val="000000" w:themeColor="text1"/>
                                        <w:sz w:val="24"/>
                                        <w:szCs w:val="24"/>
                                      </w:rPr>
                                      <w:t>Joanna Walsh</w:t>
                                    </w:r>
                                  </w:p>
                                </w:sdtContent>
                              </w:sdt>
                            </w:tc>
                            <w:tc>
                              <w:tcPr>
                                <w:tcW w:w="2432" w:type="pct"/>
                                <w:vAlign w:val="center"/>
                              </w:tcPr>
                              <w:p w14:paraId="12C0F133" w14:textId="06C49E57" w:rsidR="009F7DD7" w:rsidRDefault="009F7DD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EF1DE0A" w14:textId="1DB144CF" w:rsidR="009F7DD7" w:rsidRDefault="009F7DD7">
                                    <w:pPr>
                                      <w:pStyle w:val="NoSpacing"/>
                                      <w:rPr>
                                        <w:color w:val="ED7D31" w:themeColor="accent2"/>
                                        <w:sz w:val="26"/>
                                        <w:szCs w:val="26"/>
                                      </w:rPr>
                                    </w:pPr>
                                    <w:r>
                                      <w:rPr>
                                        <w:color w:val="ED7D31" w:themeColor="accent2"/>
                                        <w:sz w:val="26"/>
                                        <w:szCs w:val="26"/>
                                      </w:rPr>
                                      <w:t>Hyacinth Thomas (1810167)</w:t>
                                    </w:r>
                                  </w:p>
                                </w:sdtContent>
                              </w:sdt>
                              <w:p w14:paraId="6FDFD50F" w14:textId="1645CD2C" w:rsidR="009F7DD7" w:rsidRDefault="00A071A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F7DD7">
                                      <w:rPr>
                                        <w:color w:val="44546A" w:themeColor="text2"/>
                                      </w:rPr>
                                      <w:t>Complimentary Therapies</w:t>
                                    </w:r>
                                    <w:r w:rsidR="00D402FF">
                                      <w:rPr>
                                        <w:color w:val="44546A" w:themeColor="text2"/>
                                      </w:rPr>
                                      <w:t xml:space="preserve">    BMHP5001</w:t>
                                    </w:r>
                                  </w:sdtContent>
                                </w:sdt>
                              </w:p>
                            </w:tc>
                          </w:tr>
                        </w:tbl>
                        <w:p w14:paraId="34E959C3" w14:textId="77777777" w:rsidR="009F7DD7" w:rsidRDefault="009F7DD7"/>
                      </w:txbxContent>
                    </v:textbox>
                    <w10:wrap anchorx="page" anchory="page"/>
                  </v:shape>
                </w:pict>
              </mc:Fallback>
            </mc:AlternateContent>
          </w:r>
          <w:r>
            <w:rPr>
              <w:rFonts w:ascii="Arial" w:hAnsi="Arial" w:cs="Arial"/>
              <w:sz w:val="24"/>
              <w:szCs w:val="24"/>
            </w:rPr>
            <w:br w:type="page"/>
          </w:r>
        </w:p>
      </w:sdtContent>
    </w:sdt>
    <w:p w14:paraId="54EF8A83" w14:textId="632A8D5C" w:rsidR="00BD4477" w:rsidRPr="00A925AF" w:rsidRDefault="00586271" w:rsidP="00A925AF">
      <w:pPr>
        <w:spacing w:line="360" w:lineRule="auto"/>
        <w:rPr>
          <w:rFonts w:ascii="Arial" w:hAnsi="Arial" w:cs="Arial"/>
          <w:sz w:val="24"/>
          <w:szCs w:val="24"/>
        </w:rPr>
      </w:pPr>
      <w:r w:rsidRPr="00A925AF">
        <w:rPr>
          <w:rFonts w:ascii="Arial" w:hAnsi="Arial" w:cs="Arial"/>
          <w:sz w:val="24"/>
          <w:szCs w:val="24"/>
        </w:rPr>
        <w:lastRenderedPageBreak/>
        <w:t>Moxibustion</w:t>
      </w:r>
    </w:p>
    <w:p w14:paraId="445CE447" w14:textId="3D97EE64" w:rsidR="008C4E9C" w:rsidRPr="00A925AF" w:rsidRDefault="000500BF" w:rsidP="00A925AF">
      <w:pPr>
        <w:spacing w:line="360" w:lineRule="auto"/>
        <w:rPr>
          <w:rFonts w:ascii="Arial" w:hAnsi="Arial" w:cs="Arial"/>
          <w:sz w:val="24"/>
          <w:szCs w:val="24"/>
        </w:rPr>
      </w:pPr>
      <w:r w:rsidRPr="00A925AF">
        <w:rPr>
          <w:rFonts w:ascii="Arial" w:hAnsi="Arial" w:cs="Arial"/>
          <w:sz w:val="24"/>
          <w:szCs w:val="24"/>
        </w:rPr>
        <w:t xml:space="preserve">Moxibustion is an alternative method of </w:t>
      </w:r>
      <w:r w:rsidR="00A4500F" w:rsidRPr="00A925AF">
        <w:rPr>
          <w:rFonts w:ascii="Arial" w:hAnsi="Arial" w:cs="Arial"/>
          <w:sz w:val="24"/>
          <w:szCs w:val="24"/>
        </w:rPr>
        <w:t>treatment b</w:t>
      </w:r>
      <w:r w:rsidRPr="00A925AF">
        <w:rPr>
          <w:rFonts w:ascii="Arial" w:hAnsi="Arial" w:cs="Arial"/>
          <w:sz w:val="24"/>
          <w:szCs w:val="24"/>
        </w:rPr>
        <w:t xml:space="preserve">ased on traditional Chinese medicine (TCM) theory and typically </w:t>
      </w:r>
      <w:r w:rsidR="00A4500F" w:rsidRPr="00A925AF">
        <w:rPr>
          <w:rFonts w:ascii="Arial" w:hAnsi="Arial" w:cs="Arial"/>
          <w:sz w:val="24"/>
          <w:szCs w:val="24"/>
        </w:rPr>
        <w:t>is constituted of heating acupoints</w:t>
      </w:r>
      <w:r w:rsidRPr="00A925AF">
        <w:rPr>
          <w:rFonts w:ascii="Arial" w:hAnsi="Arial" w:cs="Arial"/>
          <w:sz w:val="24"/>
          <w:szCs w:val="24"/>
        </w:rPr>
        <w:t xml:space="preserve"> with</w:t>
      </w:r>
      <w:r w:rsidR="00A4500F" w:rsidRPr="00A925AF">
        <w:rPr>
          <w:rFonts w:ascii="Arial" w:hAnsi="Arial" w:cs="Arial"/>
          <w:sz w:val="24"/>
          <w:szCs w:val="24"/>
        </w:rPr>
        <w:t xml:space="preserve"> burning </w:t>
      </w:r>
      <w:r w:rsidRPr="00A925AF">
        <w:rPr>
          <w:rFonts w:ascii="Arial" w:hAnsi="Arial" w:cs="Arial"/>
          <w:sz w:val="24"/>
          <w:szCs w:val="24"/>
        </w:rPr>
        <w:t xml:space="preserve">moxa </w:t>
      </w:r>
      <w:r w:rsidR="00A4500F" w:rsidRPr="00A925AF">
        <w:rPr>
          <w:rFonts w:ascii="Arial" w:hAnsi="Arial" w:cs="Arial"/>
          <w:sz w:val="24"/>
          <w:szCs w:val="24"/>
        </w:rPr>
        <w:t>wool</w:t>
      </w:r>
      <w:r w:rsidRPr="00A925AF">
        <w:rPr>
          <w:rFonts w:ascii="Arial" w:hAnsi="Arial" w:cs="Arial"/>
          <w:sz w:val="24"/>
          <w:szCs w:val="24"/>
        </w:rPr>
        <w:t xml:space="preserve">. </w:t>
      </w:r>
      <w:r w:rsidR="008C4E9C" w:rsidRPr="00A925AF">
        <w:rPr>
          <w:rFonts w:ascii="Arial" w:hAnsi="Arial" w:cs="Arial"/>
          <w:sz w:val="24"/>
          <w:szCs w:val="24"/>
        </w:rPr>
        <w:t xml:space="preserve">Moxibustion is the burning of </w:t>
      </w:r>
      <w:proofErr w:type="gramStart"/>
      <w:r w:rsidR="008C4E9C" w:rsidRPr="00A925AF">
        <w:rPr>
          <w:rFonts w:ascii="Arial" w:hAnsi="Arial" w:cs="Arial"/>
          <w:sz w:val="24"/>
          <w:szCs w:val="24"/>
        </w:rPr>
        <w:t>a</w:t>
      </w:r>
      <w:proofErr w:type="gramEnd"/>
      <w:r w:rsidR="008C4E9C" w:rsidRPr="00A925AF">
        <w:rPr>
          <w:rFonts w:ascii="Arial" w:hAnsi="Arial" w:cs="Arial"/>
          <w:sz w:val="24"/>
          <w:szCs w:val="24"/>
        </w:rPr>
        <w:t xml:space="preserve"> herb known as Moxa that grows in many climates. The therapy is a bit like acupuncture but there are no needles involved in the treatment.  </w:t>
      </w:r>
      <w:r w:rsidRPr="00A925AF">
        <w:rPr>
          <w:rFonts w:ascii="Arial" w:hAnsi="Arial" w:cs="Arial"/>
          <w:sz w:val="24"/>
          <w:szCs w:val="24"/>
        </w:rPr>
        <w:t xml:space="preserve">Moxibustion </w:t>
      </w:r>
      <w:r w:rsidR="00A4500F" w:rsidRPr="00A925AF">
        <w:rPr>
          <w:rFonts w:ascii="Arial" w:hAnsi="Arial" w:cs="Arial"/>
          <w:sz w:val="24"/>
          <w:szCs w:val="24"/>
        </w:rPr>
        <w:t xml:space="preserve">can be used both for purification and </w:t>
      </w:r>
      <w:r w:rsidR="008C4E9C" w:rsidRPr="00A925AF">
        <w:rPr>
          <w:rFonts w:ascii="Arial" w:hAnsi="Arial" w:cs="Arial"/>
          <w:sz w:val="24"/>
          <w:szCs w:val="24"/>
        </w:rPr>
        <w:t>detoxification</w:t>
      </w:r>
      <w:r w:rsidR="00A4500F" w:rsidRPr="00A925AF">
        <w:rPr>
          <w:rFonts w:ascii="Arial" w:hAnsi="Arial" w:cs="Arial"/>
          <w:sz w:val="24"/>
          <w:szCs w:val="24"/>
        </w:rPr>
        <w:t xml:space="preserve"> of the body because it can </w:t>
      </w:r>
      <w:r w:rsidRPr="00A925AF">
        <w:rPr>
          <w:rFonts w:ascii="Arial" w:hAnsi="Arial" w:cs="Arial"/>
          <w:sz w:val="24"/>
          <w:szCs w:val="24"/>
        </w:rPr>
        <w:t>dredge meridians and control qi-</w:t>
      </w:r>
      <w:r w:rsidR="005A08FB" w:rsidRPr="00A925AF">
        <w:rPr>
          <w:rFonts w:ascii="Arial" w:hAnsi="Arial" w:cs="Arial"/>
          <w:sz w:val="24"/>
          <w:szCs w:val="24"/>
        </w:rPr>
        <w:t>blood and</w:t>
      </w:r>
      <w:r w:rsidRPr="00A925AF">
        <w:rPr>
          <w:rFonts w:ascii="Arial" w:hAnsi="Arial" w:cs="Arial"/>
          <w:sz w:val="24"/>
          <w:szCs w:val="24"/>
        </w:rPr>
        <w:t xml:space="preserve"> has been used for more than 2500 years to prevent and cure </w:t>
      </w:r>
      <w:r w:rsidR="00A4500F" w:rsidRPr="00A925AF">
        <w:rPr>
          <w:rFonts w:ascii="Arial" w:hAnsi="Arial" w:cs="Arial"/>
          <w:sz w:val="24"/>
          <w:szCs w:val="24"/>
        </w:rPr>
        <w:t>diseases (Deng and Shen,</w:t>
      </w:r>
      <w:r w:rsidR="00586271" w:rsidRPr="00A925AF">
        <w:rPr>
          <w:rFonts w:ascii="Arial" w:hAnsi="Arial" w:cs="Arial"/>
          <w:sz w:val="24"/>
          <w:szCs w:val="24"/>
        </w:rPr>
        <w:t xml:space="preserve"> </w:t>
      </w:r>
      <w:r w:rsidR="00A4500F" w:rsidRPr="00A925AF">
        <w:rPr>
          <w:rFonts w:ascii="Arial" w:hAnsi="Arial" w:cs="Arial"/>
          <w:sz w:val="24"/>
          <w:szCs w:val="24"/>
        </w:rPr>
        <w:t>2012)</w:t>
      </w:r>
      <w:r w:rsidRPr="00A925AF">
        <w:rPr>
          <w:rFonts w:ascii="Arial" w:hAnsi="Arial" w:cs="Arial"/>
          <w:sz w:val="24"/>
          <w:szCs w:val="24"/>
        </w:rPr>
        <w:t>.</w:t>
      </w:r>
    </w:p>
    <w:p w14:paraId="56814D9F" w14:textId="5D94F2B6" w:rsidR="00A4500F" w:rsidRPr="00A925AF" w:rsidRDefault="000500BF" w:rsidP="00A925AF">
      <w:pPr>
        <w:spacing w:line="360" w:lineRule="auto"/>
        <w:rPr>
          <w:rFonts w:ascii="Arial" w:hAnsi="Arial" w:cs="Arial"/>
          <w:sz w:val="24"/>
          <w:szCs w:val="24"/>
        </w:rPr>
      </w:pPr>
      <w:r w:rsidRPr="00A925AF">
        <w:rPr>
          <w:rFonts w:ascii="Arial" w:hAnsi="Arial" w:cs="Arial"/>
          <w:sz w:val="24"/>
          <w:szCs w:val="24"/>
        </w:rPr>
        <w:t xml:space="preserve">Since the 1950s, the variety of illnesses that can be treated by Moxibustion has increased and the healing methods of Moxibustion have become progressively diverse. Moxibustion became very popular in Europe after its usage spread to the West in the seventeenth century and it was during this period that </w:t>
      </w:r>
      <w:r w:rsidR="00A4500F" w:rsidRPr="00A925AF">
        <w:rPr>
          <w:rFonts w:ascii="Arial" w:hAnsi="Arial" w:cs="Arial"/>
          <w:sz w:val="24"/>
          <w:szCs w:val="24"/>
        </w:rPr>
        <w:t>the modern applications of</w:t>
      </w:r>
      <w:r w:rsidRPr="00A925AF">
        <w:rPr>
          <w:rFonts w:ascii="Arial" w:hAnsi="Arial" w:cs="Arial"/>
          <w:sz w:val="24"/>
          <w:szCs w:val="24"/>
        </w:rPr>
        <w:t xml:space="preserve"> Moxibustion were developed. </w:t>
      </w:r>
    </w:p>
    <w:p w14:paraId="36300696" w14:textId="4E4574DA" w:rsidR="00A4500F" w:rsidRPr="00A925AF" w:rsidRDefault="00A4500F" w:rsidP="00A925AF">
      <w:pPr>
        <w:spacing w:line="360" w:lineRule="auto"/>
        <w:rPr>
          <w:rFonts w:ascii="Arial" w:hAnsi="Arial" w:cs="Arial"/>
          <w:sz w:val="24"/>
          <w:szCs w:val="24"/>
        </w:rPr>
      </w:pPr>
      <w:r w:rsidRPr="00A925AF">
        <w:rPr>
          <w:rFonts w:ascii="Arial" w:hAnsi="Arial" w:cs="Arial"/>
          <w:sz w:val="24"/>
          <w:szCs w:val="24"/>
        </w:rPr>
        <w:t xml:space="preserve">Currently, Moxibustion is widely used for chronic ailments such as lower backache, pain caused by injury, arthritis, digestive </w:t>
      </w:r>
      <w:proofErr w:type="gramStart"/>
      <w:r w:rsidRPr="00A925AF">
        <w:rPr>
          <w:rFonts w:ascii="Arial" w:hAnsi="Arial" w:cs="Arial"/>
          <w:sz w:val="24"/>
          <w:szCs w:val="24"/>
        </w:rPr>
        <w:t>problems</w:t>
      </w:r>
      <w:proofErr w:type="gramEnd"/>
      <w:r w:rsidRPr="00A925AF">
        <w:rPr>
          <w:rFonts w:ascii="Arial" w:hAnsi="Arial" w:cs="Arial"/>
          <w:sz w:val="24"/>
          <w:szCs w:val="24"/>
        </w:rPr>
        <w:t xml:space="preserve"> and irregular elimination. Furthermore, cold and flu strains, obstetrical conditions such as breech presentation in late-term pregnancy can also be treated with Moxibustion. </w:t>
      </w:r>
    </w:p>
    <w:p w14:paraId="59A0BCBD" w14:textId="6735ED3E"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t xml:space="preserve">Moxibustion has been used in both clinical settings in hospitals and private </w:t>
      </w:r>
      <w:r w:rsidR="00586271" w:rsidRPr="00A925AF">
        <w:rPr>
          <w:rFonts w:ascii="Arial" w:hAnsi="Arial" w:cs="Arial"/>
          <w:sz w:val="24"/>
          <w:szCs w:val="24"/>
        </w:rPr>
        <w:t>doctors’</w:t>
      </w:r>
      <w:r w:rsidRPr="00A925AF">
        <w:rPr>
          <w:rFonts w:ascii="Arial" w:hAnsi="Arial" w:cs="Arial"/>
          <w:sz w:val="24"/>
          <w:szCs w:val="24"/>
        </w:rPr>
        <w:t xml:space="preserve"> practices as well as spas.</w:t>
      </w:r>
    </w:p>
    <w:p w14:paraId="3D10612F" w14:textId="5D3F1EF2" w:rsidR="003C150F" w:rsidRPr="00A925AF" w:rsidRDefault="000500BF" w:rsidP="00A925AF">
      <w:pPr>
        <w:spacing w:line="360" w:lineRule="auto"/>
        <w:rPr>
          <w:rFonts w:ascii="Arial" w:hAnsi="Arial" w:cs="Arial"/>
          <w:sz w:val="24"/>
          <w:szCs w:val="24"/>
        </w:rPr>
      </w:pPr>
      <w:r w:rsidRPr="00A925AF">
        <w:rPr>
          <w:rFonts w:ascii="Arial" w:hAnsi="Arial" w:cs="Arial"/>
          <w:sz w:val="24"/>
          <w:szCs w:val="24"/>
        </w:rPr>
        <w:t xml:space="preserve">Nowadays, scientists </w:t>
      </w:r>
      <w:r w:rsidR="00A4500F" w:rsidRPr="00A925AF">
        <w:rPr>
          <w:rFonts w:ascii="Arial" w:hAnsi="Arial" w:cs="Arial"/>
          <w:sz w:val="24"/>
          <w:szCs w:val="24"/>
        </w:rPr>
        <w:t xml:space="preserve">and patients </w:t>
      </w:r>
      <w:r w:rsidRPr="00A925AF">
        <w:rPr>
          <w:rFonts w:ascii="Arial" w:hAnsi="Arial" w:cs="Arial"/>
          <w:sz w:val="24"/>
          <w:szCs w:val="24"/>
        </w:rPr>
        <w:t>are paying great attention to the experiments done on Moxibustion (Zhang,</w:t>
      </w:r>
      <w:r w:rsidR="00586271" w:rsidRPr="00A925AF">
        <w:rPr>
          <w:rFonts w:ascii="Arial" w:hAnsi="Arial" w:cs="Arial"/>
          <w:sz w:val="24"/>
          <w:szCs w:val="24"/>
        </w:rPr>
        <w:t xml:space="preserve"> </w:t>
      </w:r>
      <w:r w:rsidRPr="00A925AF">
        <w:rPr>
          <w:rFonts w:ascii="Arial" w:hAnsi="Arial" w:cs="Arial"/>
          <w:sz w:val="24"/>
          <w:szCs w:val="24"/>
        </w:rPr>
        <w:t>2004)</w:t>
      </w:r>
      <w:r w:rsidR="008C4E9C" w:rsidRPr="00A925AF">
        <w:rPr>
          <w:rFonts w:ascii="Arial" w:hAnsi="Arial" w:cs="Arial"/>
          <w:sz w:val="24"/>
          <w:szCs w:val="24"/>
        </w:rPr>
        <w:t>.</w:t>
      </w:r>
    </w:p>
    <w:p w14:paraId="154EB5A7" w14:textId="29BDDB21"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t xml:space="preserve">The British Acupuncture Council is a Regulatory body whose main task is to ensure that all patients are treated professionally and that the patients also obtain the best standard of professional care during the acupuncture treatment. Moxibustion practitioners </w:t>
      </w:r>
      <w:proofErr w:type="gramStart"/>
      <w:r w:rsidRPr="00A925AF">
        <w:rPr>
          <w:rFonts w:ascii="Arial" w:hAnsi="Arial" w:cs="Arial"/>
          <w:sz w:val="24"/>
          <w:szCs w:val="24"/>
        </w:rPr>
        <w:t>have to</w:t>
      </w:r>
      <w:proofErr w:type="gramEnd"/>
      <w:r w:rsidRPr="00A925AF">
        <w:rPr>
          <w:rFonts w:ascii="Arial" w:hAnsi="Arial" w:cs="Arial"/>
          <w:sz w:val="24"/>
          <w:szCs w:val="24"/>
        </w:rPr>
        <w:t xml:space="preserve"> abide by its code.</w:t>
      </w:r>
    </w:p>
    <w:p w14:paraId="1083EE74" w14:textId="74D5365A"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t xml:space="preserve">The British Acupuncture Council’s Code of Professional Conduct governs the ethical and professional behaviour of its members, while the Code of Safe Practise sets standards for best practise in acupuncture. For the British Acupuncture Council, the patient’s safety is extremely vital. Therefore, all British Acupuncture Council members are mandated by the Council to abide by these codes.  </w:t>
      </w:r>
    </w:p>
    <w:p w14:paraId="305F8AB8" w14:textId="77777777"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lastRenderedPageBreak/>
        <w:t>All members are answerable to the British Acupuncture Council for their professional behaviour and the codes are rigorously enforced. If members break the British Acupuncture Council rules, they can be given a fine, reprimanded or have restrictions placed on their practice. In extremely serious cases, members might be suspended or removed from the British Acupuncture Council register altogether.</w:t>
      </w:r>
    </w:p>
    <w:p w14:paraId="5C597F9F" w14:textId="77777777"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t xml:space="preserve">Even though the </w:t>
      </w:r>
      <w:proofErr w:type="spellStart"/>
      <w:r w:rsidRPr="00A925AF">
        <w:rPr>
          <w:rFonts w:ascii="Arial" w:hAnsi="Arial" w:cs="Arial"/>
          <w:sz w:val="24"/>
          <w:szCs w:val="24"/>
        </w:rPr>
        <w:t>BAcC</w:t>
      </w:r>
      <w:proofErr w:type="spellEnd"/>
      <w:r w:rsidRPr="00A925AF">
        <w:rPr>
          <w:rFonts w:ascii="Arial" w:hAnsi="Arial" w:cs="Arial"/>
          <w:sz w:val="24"/>
          <w:szCs w:val="24"/>
        </w:rPr>
        <w:t xml:space="preserve"> is a voluntary self-regulated body, it is recognised as the lead body for acupuncture in the UK, which means that any sanctions imposed will be taken seriously. </w:t>
      </w:r>
    </w:p>
    <w:p w14:paraId="23BFEF5E" w14:textId="32930C23" w:rsidR="008C4E9C" w:rsidRPr="00A925AF" w:rsidRDefault="008C4E9C" w:rsidP="00A925AF">
      <w:pPr>
        <w:spacing w:line="360" w:lineRule="auto"/>
        <w:rPr>
          <w:rFonts w:ascii="Arial" w:hAnsi="Arial" w:cs="Arial"/>
          <w:sz w:val="24"/>
          <w:szCs w:val="24"/>
        </w:rPr>
      </w:pPr>
      <w:r w:rsidRPr="00A925AF">
        <w:rPr>
          <w:rFonts w:ascii="Arial" w:hAnsi="Arial" w:cs="Arial"/>
          <w:sz w:val="24"/>
          <w:szCs w:val="24"/>
        </w:rPr>
        <w:t xml:space="preserve">Should there be any apprehensions about the safety of acupuncture, one should contact the </w:t>
      </w:r>
      <w:proofErr w:type="spellStart"/>
      <w:r w:rsidRPr="00A925AF">
        <w:rPr>
          <w:rFonts w:ascii="Arial" w:hAnsi="Arial" w:cs="Arial"/>
          <w:sz w:val="24"/>
          <w:szCs w:val="24"/>
        </w:rPr>
        <w:t>BAcC's</w:t>
      </w:r>
      <w:proofErr w:type="spellEnd"/>
      <w:r w:rsidRPr="00A925AF">
        <w:rPr>
          <w:rFonts w:ascii="Arial" w:hAnsi="Arial" w:cs="Arial"/>
          <w:sz w:val="24"/>
          <w:szCs w:val="24"/>
        </w:rPr>
        <w:t xml:space="preserve"> Safe Practise Officer who can advise on all facets of best practice. Concerns about a member’s behaviour should be communicated to the </w:t>
      </w:r>
      <w:proofErr w:type="spellStart"/>
      <w:r w:rsidRPr="00A925AF">
        <w:rPr>
          <w:rFonts w:ascii="Arial" w:hAnsi="Arial" w:cs="Arial"/>
          <w:sz w:val="24"/>
          <w:szCs w:val="24"/>
        </w:rPr>
        <w:t>BAcC’s</w:t>
      </w:r>
      <w:proofErr w:type="spellEnd"/>
      <w:r w:rsidRPr="00A925AF">
        <w:rPr>
          <w:rFonts w:ascii="Arial" w:hAnsi="Arial" w:cs="Arial"/>
          <w:sz w:val="24"/>
          <w:szCs w:val="24"/>
        </w:rPr>
        <w:t xml:space="preserve"> Professional Conduct Officer who will then explain the formal complaints procedure and collect the initial details. Depending on the difficulty of the case, it may cost some time to resolve the issue, as it is necessary to conduct an in-depth and unbiased investigation. </w:t>
      </w:r>
    </w:p>
    <w:p w14:paraId="64580284" w14:textId="4713CA27" w:rsidR="00A4500F" w:rsidRPr="00A925AF" w:rsidRDefault="001944D4" w:rsidP="00A925AF">
      <w:pPr>
        <w:spacing w:line="360" w:lineRule="auto"/>
        <w:rPr>
          <w:rFonts w:ascii="Arial" w:hAnsi="Arial" w:cs="Arial"/>
          <w:sz w:val="24"/>
          <w:szCs w:val="24"/>
        </w:rPr>
      </w:pPr>
      <w:r w:rsidRPr="00A925AF">
        <w:rPr>
          <w:rFonts w:ascii="Arial" w:hAnsi="Arial" w:cs="Arial"/>
          <w:sz w:val="24"/>
          <w:szCs w:val="24"/>
        </w:rPr>
        <w:t>According to (Lee et al</w:t>
      </w:r>
      <w:r w:rsidR="00F76D54" w:rsidRPr="00A925AF">
        <w:rPr>
          <w:rFonts w:ascii="Arial" w:hAnsi="Arial" w:cs="Arial"/>
          <w:sz w:val="24"/>
          <w:szCs w:val="24"/>
        </w:rPr>
        <w:t>.</w:t>
      </w:r>
      <w:r w:rsidRPr="00A925AF">
        <w:rPr>
          <w:rFonts w:ascii="Arial" w:hAnsi="Arial" w:cs="Arial"/>
          <w:sz w:val="24"/>
          <w:szCs w:val="24"/>
        </w:rPr>
        <w:t>,</w:t>
      </w:r>
      <w:r w:rsidR="00F76D54" w:rsidRPr="00A925AF">
        <w:rPr>
          <w:rFonts w:ascii="Arial" w:hAnsi="Arial" w:cs="Arial"/>
          <w:sz w:val="24"/>
          <w:szCs w:val="24"/>
        </w:rPr>
        <w:t xml:space="preserve"> </w:t>
      </w:r>
      <w:r w:rsidRPr="00A925AF">
        <w:rPr>
          <w:rFonts w:ascii="Arial" w:hAnsi="Arial" w:cs="Arial"/>
          <w:sz w:val="24"/>
          <w:szCs w:val="24"/>
        </w:rPr>
        <w:t>2017) m</w:t>
      </w:r>
      <w:r w:rsidR="009F2586" w:rsidRPr="00A925AF">
        <w:rPr>
          <w:rFonts w:ascii="Arial" w:hAnsi="Arial" w:cs="Arial"/>
          <w:sz w:val="24"/>
          <w:szCs w:val="24"/>
        </w:rPr>
        <w:t xml:space="preserve">any people </w:t>
      </w:r>
      <w:r w:rsidR="00F76D54" w:rsidRPr="00A925AF">
        <w:rPr>
          <w:rFonts w:ascii="Arial" w:hAnsi="Arial" w:cs="Arial"/>
          <w:sz w:val="24"/>
          <w:szCs w:val="24"/>
        </w:rPr>
        <w:t>suffering</w:t>
      </w:r>
      <w:r w:rsidR="009F2586" w:rsidRPr="00A925AF">
        <w:rPr>
          <w:rFonts w:ascii="Arial" w:hAnsi="Arial" w:cs="Arial"/>
          <w:sz w:val="24"/>
          <w:szCs w:val="24"/>
        </w:rPr>
        <w:t xml:space="preserve"> from chronic ailments are seeking alternatives to </w:t>
      </w:r>
      <w:r w:rsidR="00BD4477" w:rsidRPr="00A925AF">
        <w:rPr>
          <w:rFonts w:ascii="Arial" w:hAnsi="Arial" w:cs="Arial"/>
          <w:sz w:val="24"/>
          <w:szCs w:val="24"/>
        </w:rPr>
        <w:t>allopathic</w:t>
      </w:r>
      <w:r w:rsidR="009F2586" w:rsidRPr="00A925AF">
        <w:rPr>
          <w:rFonts w:ascii="Arial" w:hAnsi="Arial" w:cs="Arial"/>
          <w:sz w:val="24"/>
          <w:szCs w:val="24"/>
        </w:rPr>
        <w:t xml:space="preserve"> medicine to alleviate their pain and to have a better quality of life. Alternative medicine has been gaining more popularity recently because many traditional pain medications are highly addictive and have numerous side effects.</w:t>
      </w:r>
      <w:r w:rsidR="00183EA5" w:rsidRPr="00A925AF">
        <w:rPr>
          <w:rFonts w:ascii="Arial" w:hAnsi="Arial" w:cs="Arial"/>
          <w:sz w:val="24"/>
          <w:szCs w:val="24"/>
        </w:rPr>
        <w:t xml:space="preserve"> (Drugabuse.gov,</w:t>
      </w:r>
      <w:r w:rsidR="00586271" w:rsidRPr="00A925AF">
        <w:rPr>
          <w:rFonts w:ascii="Arial" w:hAnsi="Arial" w:cs="Arial"/>
          <w:sz w:val="24"/>
          <w:szCs w:val="24"/>
        </w:rPr>
        <w:t xml:space="preserve"> </w:t>
      </w:r>
      <w:r w:rsidR="00183EA5" w:rsidRPr="00A925AF">
        <w:rPr>
          <w:rFonts w:ascii="Arial" w:hAnsi="Arial" w:cs="Arial"/>
          <w:sz w:val="24"/>
          <w:szCs w:val="24"/>
        </w:rPr>
        <w:t>2018)</w:t>
      </w:r>
      <w:r w:rsidR="00760337" w:rsidRPr="00A925AF">
        <w:rPr>
          <w:rFonts w:ascii="Arial" w:hAnsi="Arial" w:cs="Arial"/>
          <w:sz w:val="24"/>
          <w:szCs w:val="24"/>
        </w:rPr>
        <w:t xml:space="preserve"> and (NHS.UK,</w:t>
      </w:r>
      <w:r w:rsidR="00586271" w:rsidRPr="00A925AF">
        <w:rPr>
          <w:rFonts w:ascii="Arial" w:hAnsi="Arial" w:cs="Arial"/>
          <w:sz w:val="24"/>
          <w:szCs w:val="24"/>
        </w:rPr>
        <w:t xml:space="preserve"> </w:t>
      </w:r>
      <w:r w:rsidR="00760337" w:rsidRPr="00A925AF">
        <w:rPr>
          <w:rFonts w:ascii="Arial" w:hAnsi="Arial" w:cs="Arial"/>
          <w:sz w:val="24"/>
          <w:szCs w:val="24"/>
        </w:rPr>
        <w:t>2019)</w:t>
      </w:r>
      <w:r w:rsidR="00A4500F" w:rsidRPr="00A925AF">
        <w:rPr>
          <w:rFonts w:ascii="Arial" w:hAnsi="Arial" w:cs="Arial"/>
          <w:sz w:val="24"/>
          <w:szCs w:val="24"/>
        </w:rPr>
        <w:t>.</w:t>
      </w:r>
    </w:p>
    <w:p w14:paraId="7264AEE8" w14:textId="6AA4BE93" w:rsidR="0048302F" w:rsidRPr="00A925AF" w:rsidRDefault="0048302F" w:rsidP="00A925AF">
      <w:pPr>
        <w:spacing w:line="360" w:lineRule="auto"/>
        <w:rPr>
          <w:rFonts w:ascii="Arial" w:hAnsi="Arial" w:cs="Arial"/>
          <w:sz w:val="24"/>
          <w:szCs w:val="24"/>
        </w:rPr>
      </w:pPr>
      <w:r w:rsidRPr="00A925AF">
        <w:rPr>
          <w:rFonts w:ascii="Arial" w:hAnsi="Arial" w:cs="Arial"/>
          <w:sz w:val="24"/>
          <w:szCs w:val="24"/>
        </w:rPr>
        <w:t>A trial was conducted for allergic rhinitis and infantile repeate</w:t>
      </w:r>
      <w:r w:rsidR="003404BF" w:rsidRPr="00A925AF">
        <w:rPr>
          <w:rFonts w:ascii="Arial" w:hAnsi="Arial" w:cs="Arial"/>
          <w:sz w:val="24"/>
          <w:szCs w:val="24"/>
        </w:rPr>
        <w:t>d respiratory tract infection, M</w:t>
      </w:r>
      <w:r w:rsidRPr="00A925AF">
        <w:rPr>
          <w:rFonts w:ascii="Arial" w:hAnsi="Arial" w:cs="Arial"/>
          <w:sz w:val="24"/>
          <w:szCs w:val="24"/>
        </w:rPr>
        <w:t xml:space="preserve">oxa </w:t>
      </w:r>
      <w:r w:rsidR="003404BF" w:rsidRPr="00A925AF">
        <w:rPr>
          <w:rFonts w:ascii="Arial" w:hAnsi="Arial" w:cs="Arial"/>
          <w:sz w:val="24"/>
          <w:szCs w:val="24"/>
        </w:rPr>
        <w:t>s</w:t>
      </w:r>
      <w:r w:rsidRPr="00A925AF">
        <w:rPr>
          <w:rFonts w:ascii="Arial" w:hAnsi="Arial" w:cs="Arial"/>
          <w:sz w:val="24"/>
          <w:szCs w:val="24"/>
        </w:rPr>
        <w:t xml:space="preserve">tick was used for one month which they found more effective </w:t>
      </w:r>
      <w:r w:rsidR="00F76D54" w:rsidRPr="00A925AF">
        <w:rPr>
          <w:rFonts w:ascii="Arial" w:hAnsi="Arial" w:cs="Arial"/>
          <w:sz w:val="24"/>
          <w:szCs w:val="24"/>
        </w:rPr>
        <w:t>than</w:t>
      </w:r>
      <w:r w:rsidR="009D662C" w:rsidRPr="00A925AF">
        <w:rPr>
          <w:rFonts w:ascii="Arial" w:hAnsi="Arial" w:cs="Arial"/>
          <w:sz w:val="24"/>
          <w:szCs w:val="24"/>
        </w:rPr>
        <w:t xml:space="preserve"> allopathic </w:t>
      </w:r>
      <w:r w:rsidRPr="00A925AF">
        <w:rPr>
          <w:rFonts w:ascii="Arial" w:hAnsi="Arial" w:cs="Arial"/>
          <w:sz w:val="24"/>
          <w:szCs w:val="24"/>
        </w:rPr>
        <w:t xml:space="preserve">medication </w:t>
      </w:r>
      <w:r w:rsidR="009D662C" w:rsidRPr="00A925AF">
        <w:rPr>
          <w:rFonts w:ascii="Arial" w:hAnsi="Arial" w:cs="Arial"/>
          <w:sz w:val="24"/>
          <w:szCs w:val="24"/>
        </w:rPr>
        <w:t xml:space="preserve">(Yi </w:t>
      </w:r>
      <w:r w:rsidR="00F96D05" w:rsidRPr="00A925AF">
        <w:rPr>
          <w:rFonts w:ascii="Arial" w:hAnsi="Arial" w:cs="Arial"/>
          <w:sz w:val="24"/>
          <w:szCs w:val="24"/>
        </w:rPr>
        <w:t>Kim</w:t>
      </w:r>
      <w:r w:rsidR="009D662C" w:rsidRPr="00A925AF">
        <w:rPr>
          <w:rFonts w:ascii="Arial" w:hAnsi="Arial" w:cs="Arial"/>
          <w:sz w:val="24"/>
          <w:szCs w:val="24"/>
        </w:rPr>
        <w:t xml:space="preserve"> et al</w:t>
      </w:r>
      <w:r w:rsidR="00586271" w:rsidRPr="00A925AF">
        <w:rPr>
          <w:rFonts w:ascii="Arial" w:hAnsi="Arial" w:cs="Arial"/>
          <w:sz w:val="24"/>
          <w:szCs w:val="24"/>
        </w:rPr>
        <w:t>.</w:t>
      </w:r>
      <w:r w:rsidR="009D662C" w:rsidRPr="00A925AF">
        <w:rPr>
          <w:rFonts w:ascii="Arial" w:hAnsi="Arial" w:cs="Arial"/>
          <w:sz w:val="24"/>
          <w:szCs w:val="24"/>
        </w:rPr>
        <w:t xml:space="preserve">, 2011). In </w:t>
      </w:r>
      <w:r w:rsidR="0031498B" w:rsidRPr="00A925AF">
        <w:rPr>
          <w:rFonts w:ascii="Arial" w:hAnsi="Arial" w:cs="Arial"/>
          <w:sz w:val="24"/>
          <w:szCs w:val="24"/>
        </w:rPr>
        <w:t xml:space="preserve">another </w:t>
      </w:r>
      <w:r w:rsidR="004F5489" w:rsidRPr="00A925AF">
        <w:rPr>
          <w:rFonts w:ascii="Arial" w:hAnsi="Arial" w:cs="Arial"/>
          <w:sz w:val="24"/>
          <w:szCs w:val="24"/>
        </w:rPr>
        <w:t>study</w:t>
      </w:r>
      <w:r w:rsidR="00F76D54" w:rsidRPr="00A925AF">
        <w:rPr>
          <w:rFonts w:ascii="Arial" w:hAnsi="Arial" w:cs="Arial"/>
          <w:sz w:val="24"/>
          <w:szCs w:val="24"/>
        </w:rPr>
        <w:t>,</w:t>
      </w:r>
      <w:r w:rsidR="004F5489" w:rsidRPr="00A925AF">
        <w:rPr>
          <w:rFonts w:ascii="Arial" w:hAnsi="Arial" w:cs="Arial"/>
          <w:sz w:val="24"/>
          <w:szCs w:val="24"/>
        </w:rPr>
        <w:t xml:space="preserve"> direct </w:t>
      </w:r>
      <w:r w:rsidR="003404BF" w:rsidRPr="00A925AF">
        <w:rPr>
          <w:rFonts w:ascii="Arial" w:hAnsi="Arial" w:cs="Arial"/>
          <w:sz w:val="24"/>
          <w:szCs w:val="24"/>
        </w:rPr>
        <w:t>Moxibustion</w:t>
      </w:r>
      <w:r w:rsidR="004F5489" w:rsidRPr="00A925AF">
        <w:rPr>
          <w:rFonts w:ascii="Arial" w:hAnsi="Arial" w:cs="Arial"/>
          <w:sz w:val="24"/>
          <w:szCs w:val="24"/>
        </w:rPr>
        <w:t xml:space="preserve"> </w:t>
      </w:r>
      <w:r w:rsidR="00F76D54" w:rsidRPr="00A925AF">
        <w:rPr>
          <w:rFonts w:ascii="Arial" w:hAnsi="Arial" w:cs="Arial"/>
          <w:sz w:val="24"/>
          <w:szCs w:val="24"/>
        </w:rPr>
        <w:t>was administered</w:t>
      </w:r>
      <w:r w:rsidR="004F5489" w:rsidRPr="00A925AF">
        <w:rPr>
          <w:rFonts w:ascii="Arial" w:hAnsi="Arial" w:cs="Arial"/>
          <w:sz w:val="24"/>
          <w:szCs w:val="24"/>
        </w:rPr>
        <w:t xml:space="preserve"> for 20 days which provided improvement for the patient with ischemic </w:t>
      </w:r>
      <w:r w:rsidR="00F96D05" w:rsidRPr="00A925AF">
        <w:rPr>
          <w:rFonts w:ascii="Arial" w:hAnsi="Arial" w:cs="Arial"/>
          <w:sz w:val="24"/>
          <w:szCs w:val="24"/>
        </w:rPr>
        <w:t>apoplexy</w:t>
      </w:r>
      <w:r w:rsidR="009D662C" w:rsidRPr="00A925AF">
        <w:rPr>
          <w:rFonts w:ascii="Arial" w:hAnsi="Arial" w:cs="Arial"/>
          <w:sz w:val="24"/>
          <w:szCs w:val="24"/>
        </w:rPr>
        <w:t xml:space="preserve"> </w:t>
      </w:r>
      <w:r w:rsidR="004F5489" w:rsidRPr="00A925AF">
        <w:rPr>
          <w:rFonts w:ascii="Arial" w:hAnsi="Arial" w:cs="Arial"/>
          <w:sz w:val="24"/>
          <w:szCs w:val="24"/>
        </w:rPr>
        <w:t xml:space="preserve">(Yi </w:t>
      </w:r>
      <w:r w:rsidR="00F96D05" w:rsidRPr="00A925AF">
        <w:rPr>
          <w:rFonts w:ascii="Arial" w:hAnsi="Arial" w:cs="Arial"/>
          <w:sz w:val="24"/>
          <w:szCs w:val="24"/>
        </w:rPr>
        <w:t>Kim</w:t>
      </w:r>
      <w:r w:rsidR="004F5489" w:rsidRPr="00A925AF">
        <w:rPr>
          <w:rFonts w:ascii="Arial" w:hAnsi="Arial" w:cs="Arial"/>
          <w:sz w:val="24"/>
          <w:szCs w:val="24"/>
        </w:rPr>
        <w:t xml:space="preserve"> et al</w:t>
      </w:r>
      <w:r w:rsidR="00586271" w:rsidRPr="00A925AF">
        <w:rPr>
          <w:rFonts w:ascii="Arial" w:hAnsi="Arial" w:cs="Arial"/>
          <w:sz w:val="24"/>
          <w:szCs w:val="24"/>
        </w:rPr>
        <w:t>.</w:t>
      </w:r>
      <w:r w:rsidR="004F5489" w:rsidRPr="00A925AF">
        <w:rPr>
          <w:rFonts w:ascii="Arial" w:hAnsi="Arial" w:cs="Arial"/>
          <w:sz w:val="24"/>
          <w:szCs w:val="24"/>
        </w:rPr>
        <w:t>,</w:t>
      </w:r>
      <w:r w:rsidR="00586271" w:rsidRPr="00A925AF">
        <w:rPr>
          <w:rFonts w:ascii="Arial" w:hAnsi="Arial" w:cs="Arial"/>
          <w:sz w:val="24"/>
          <w:szCs w:val="24"/>
        </w:rPr>
        <w:t xml:space="preserve"> </w:t>
      </w:r>
      <w:r w:rsidR="004F5489" w:rsidRPr="00A925AF">
        <w:rPr>
          <w:rFonts w:ascii="Arial" w:hAnsi="Arial" w:cs="Arial"/>
          <w:sz w:val="24"/>
          <w:szCs w:val="24"/>
        </w:rPr>
        <w:t>2011)</w:t>
      </w:r>
      <w:r w:rsidR="00845209" w:rsidRPr="00A925AF">
        <w:rPr>
          <w:rFonts w:ascii="Arial" w:hAnsi="Arial" w:cs="Arial"/>
          <w:sz w:val="24"/>
          <w:szCs w:val="24"/>
        </w:rPr>
        <w:t xml:space="preserve"> </w:t>
      </w:r>
    </w:p>
    <w:p w14:paraId="7E23ED2C" w14:textId="7516115B" w:rsidR="00885B08" w:rsidRPr="00A925AF" w:rsidRDefault="00E1663A" w:rsidP="00A925AF">
      <w:pPr>
        <w:spacing w:line="360" w:lineRule="auto"/>
        <w:rPr>
          <w:rFonts w:ascii="Arial" w:hAnsi="Arial" w:cs="Arial"/>
          <w:sz w:val="24"/>
          <w:szCs w:val="24"/>
        </w:rPr>
      </w:pPr>
      <w:r w:rsidRPr="00A925AF">
        <w:rPr>
          <w:rFonts w:ascii="Arial" w:hAnsi="Arial" w:cs="Arial"/>
          <w:sz w:val="24"/>
          <w:szCs w:val="24"/>
        </w:rPr>
        <w:t>According to (Wang,</w:t>
      </w:r>
      <w:r w:rsidR="00586271" w:rsidRPr="00A925AF">
        <w:rPr>
          <w:rFonts w:ascii="Arial" w:hAnsi="Arial" w:cs="Arial"/>
          <w:sz w:val="24"/>
          <w:szCs w:val="24"/>
        </w:rPr>
        <w:t xml:space="preserve"> </w:t>
      </w:r>
      <w:r w:rsidRPr="00A925AF">
        <w:rPr>
          <w:rFonts w:ascii="Arial" w:hAnsi="Arial" w:cs="Arial"/>
          <w:sz w:val="24"/>
          <w:szCs w:val="24"/>
        </w:rPr>
        <w:t xml:space="preserve">2017) and (Lee </w:t>
      </w:r>
      <w:r w:rsidR="00F96D05" w:rsidRPr="00A925AF">
        <w:rPr>
          <w:rFonts w:ascii="Arial" w:hAnsi="Arial" w:cs="Arial"/>
          <w:sz w:val="24"/>
          <w:szCs w:val="24"/>
        </w:rPr>
        <w:t>et al</w:t>
      </w:r>
      <w:r w:rsidR="00586271" w:rsidRPr="00A925AF">
        <w:rPr>
          <w:rFonts w:ascii="Arial" w:hAnsi="Arial" w:cs="Arial"/>
          <w:sz w:val="24"/>
          <w:szCs w:val="24"/>
        </w:rPr>
        <w:t>.</w:t>
      </w:r>
      <w:r w:rsidR="00F96D05" w:rsidRPr="00A925AF">
        <w:rPr>
          <w:rFonts w:ascii="Arial" w:hAnsi="Arial" w:cs="Arial"/>
          <w:sz w:val="24"/>
          <w:szCs w:val="24"/>
        </w:rPr>
        <w:t>,</w:t>
      </w:r>
      <w:r w:rsidRPr="00A925AF">
        <w:rPr>
          <w:rFonts w:ascii="Arial" w:hAnsi="Arial" w:cs="Arial"/>
          <w:sz w:val="24"/>
          <w:szCs w:val="24"/>
        </w:rPr>
        <w:t xml:space="preserve"> </w:t>
      </w:r>
      <w:r w:rsidR="00F96D05" w:rsidRPr="00A925AF">
        <w:rPr>
          <w:rFonts w:ascii="Arial" w:hAnsi="Arial" w:cs="Arial"/>
          <w:sz w:val="24"/>
          <w:szCs w:val="24"/>
        </w:rPr>
        <w:t>2016)</w:t>
      </w:r>
      <w:r w:rsidRPr="00A925AF">
        <w:rPr>
          <w:rFonts w:ascii="Arial" w:hAnsi="Arial" w:cs="Arial"/>
          <w:sz w:val="24"/>
          <w:szCs w:val="24"/>
        </w:rPr>
        <w:t xml:space="preserve"> </w:t>
      </w:r>
      <w:r w:rsidR="00107AC2" w:rsidRPr="00A925AF">
        <w:rPr>
          <w:rFonts w:ascii="Arial" w:hAnsi="Arial" w:cs="Arial"/>
          <w:sz w:val="24"/>
          <w:szCs w:val="24"/>
        </w:rPr>
        <w:t>c</w:t>
      </w:r>
      <w:r w:rsidRPr="00A925AF">
        <w:rPr>
          <w:rFonts w:ascii="Arial" w:hAnsi="Arial" w:cs="Arial"/>
          <w:sz w:val="24"/>
          <w:szCs w:val="24"/>
        </w:rPr>
        <w:t xml:space="preserve">ombining allopathic medicine and </w:t>
      </w:r>
      <w:r w:rsidR="003404BF" w:rsidRPr="00A925AF">
        <w:rPr>
          <w:rFonts w:ascii="Arial" w:hAnsi="Arial" w:cs="Arial"/>
          <w:sz w:val="24"/>
          <w:szCs w:val="24"/>
        </w:rPr>
        <w:t>Moxibustion</w:t>
      </w:r>
      <w:r w:rsidRPr="00A925AF">
        <w:rPr>
          <w:rFonts w:ascii="Arial" w:hAnsi="Arial" w:cs="Arial"/>
          <w:sz w:val="24"/>
          <w:szCs w:val="24"/>
        </w:rPr>
        <w:t xml:space="preserve"> </w:t>
      </w:r>
      <w:r w:rsidR="003404BF" w:rsidRPr="00A925AF">
        <w:rPr>
          <w:rFonts w:ascii="Arial" w:hAnsi="Arial" w:cs="Arial"/>
          <w:sz w:val="24"/>
          <w:szCs w:val="24"/>
        </w:rPr>
        <w:t>w</w:t>
      </w:r>
      <w:r w:rsidRPr="00A925AF">
        <w:rPr>
          <w:rFonts w:ascii="Arial" w:hAnsi="Arial" w:cs="Arial"/>
          <w:sz w:val="24"/>
          <w:szCs w:val="24"/>
        </w:rPr>
        <w:t>ould be beneficial to the patient</w:t>
      </w:r>
      <w:r w:rsidR="00107AC2" w:rsidRPr="00A925AF">
        <w:rPr>
          <w:rFonts w:ascii="Arial" w:hAnsi="Arial" w:cs="Arial"/>
          <w:sz w:val="24"/>
          <w:szCs w:val="24"/>
        </w:rPr>
        <w:t>.</w:t>
      </w:r>
      <w:r w:rsidRPr="00A925AF">
        <w:rPr>
          <w:rFonts w:ascii="Arial" w:hAnsi="Arial" w:cs="Arial"/>
          <w:sz w:val="24"/>
          <w:szCs w:val="24"/>
        </w:rPr>
        <w:t xml:space="preserve"> </w:t>
      </w:r>
      <w:r w:rsidR="00107AC2" w:rsidRPr="00A925AF">
        <w:rPr>
          <w:rFonts w:ascii="Arial" w:hAnsi="Arial" w:cs="Arial"/>
          <w:sz w:val="24"/>
          <w:szCs w:val="24"/>
        </w:rPr>
        <w:t>A</w:t>
      </w:r>
      <w:r w:rsidRPr="00A925AF">
        <w:rPr>
          <w:rFonts w:ascii="Arial" w:hAnsi="Arial" w:cs="Arial"/>
          <w:sz w:val="24"/>
          <w:szCs w:val="24"/>
        </w:rPr>
        <w:t>llopathic medicine focuses on the patient</w:t>
      </w:r>
      <w:r w:rsidR="00107AC2" w:rsidRPr="00A925AF">
        <w:rPr>
          <w:rFonts w:ascii="Arial" w:hAnsi="Arial" w:cs="Arial"/>
          <w:sz w:val="24"/>
          <w:szCs w:val="24"/>
        </w:rPr>
        <w:t xml:space="preserve">’s </w:t>
      </w:r>
      <w:r w:rsidRPr="00A925AF">
        <w:rPr>
          <w:rFonts w:ascii="Arial" w:hAnsi="Arial" w:cs="Arial"/>
          <w:sz w:val="24"/>
          <w:szCs w:val="24"/>
        </w:rPr>
        <w:t>symptoms and with the information</w:t>
      </w:r>
      <w:r w:rsidR="008C4E9C" w:rsidRPr="00A925AF">
        <w:rPr>
          <w:rFonts w:ascii="Arial" w:hAnsi="Arial" w:cs="Arial"/>
          <w:sz w:val="24"/>
          <w:szCs w:val="24"/>
        </w:rPr>
        <w:t>,</w:t>
      </w:r>
      <w:r w:rsidRPr="00A925AF">
        <w:rPr>
          <w:rFonts w:ascii="Arial" w:hAnsi="Arial" w:cs="Arial"/>
          <w:sz w:val="24"/>
          <w:szCs w:val="24"/>
        </w:rPr>
        <w:t xml:space="preserve"> </w:t>
      </w:r>
      <w:r w:rsidR="00107AC2" w:rsidRPr="00A925AF">
        <w:rPr>
          <w:rFonts w:ascii="Arial" w:hAnsi="Arial" w:cs="Arial"/>
          <w:sz w:val="24"/>
          <w:szCs w:val="24"/>
        </w:rPr>
        <w:t>a</w:t>
      </w:r>
      <w:r w:rsidRPr="00A925AF">
        <w:rPr>
          <w:rFonts w:ascii="Arial" w:hAnsi="Arial" w:cs="Arial"/>
          <w:sz w:val="24"/>
          <w:szCs w:val="24"/>
        </w:rPr>
        <w:t xml:space="preserve"> diagnosis is made</w:t>
      </w:r>
      <w:r w:rsidR="00107AC2" w:rsidRPr="00A925AF">
        <w:rPr>
          <w:rFonts w:ascii="Arial" w:hAnsi="Arial" w:cs="Arial"/>
          <w:sz w:val="24"/>
          <w:szCs w:val="24"/>
        </w:rPr>
        <w:t xml:space="preserve">, similarly, </w:t>
      </w:r>
      <w:r w:rsidR="008C4E9C" w:rsidRPr="00A925AF">
        <w:rPr>
          <w:rFonts w:ascii="Arial" w:hAnsi="Arial" w:cs="Arial"/>
          <w:sz w:val="24"/>
          <w:szCs w:val="24"/>
        </w:rPr>
        <w:t>t</w:t>
      </w:r>
      <w:r w:rsidRPr="00A925AF">
        <w:rPr>
          <w:rFonts w:ascii="Arial" w:hAnsi="Arial" w:cs="Arial"/>
          <w:sz w:val="24"/>
          <w:szCs w:val="24"/>
        </w:rPr>
        <w:t>raditional Chinese medicine examines a patient</w:t>
      </w:r>
      <w:r w:rsidR="003404BF" w:rsidRPr="00A925AF">
        <w:rPr>
          <w:rFonts w:ascii="Arial" w:hAnsi="Arial" w:cs="Arial"/>
          <w:sz w:val="24"/>
          <w:szCs w:val="24"/>
        </w:rPr>
        <w:t>’s</w:t>
      </w:r>
      <w:r w:rsidRPr="00A925AF">
        <w:rPr>
          <w:rFonts w:ascii="Arial" w:hAnsi="Arial" w:cs="Arial"/>
          <w:sz w:val="24"/>
          <w:szCs w:val="24"/>
        </w:rPr>
        <w:t xml:space="preserve"> symptoms</w:t>
      </w:r>
      <w:r w:rsidR="00B56E33" w:rsidRPr="00A925AF">
        <w:rPr>
          <w:rFonts w:ascii="Arial" w:hAnsi="Arial" w:cs="Arial"/>
          <w:sz w:val="24"/>
          <w:szCs w:val="24"/>
        </w:rPr>
        <w:t xml:space="preserve">, </w:t>
      </w:r>
      <w:r w:rsidR="00107AC2" w:rsidRPr="00A925AF">
        <w:rPr>
          <w:rFonts w:ascii="Arial" w:hAnsi="Arial" w:cs="Arial"/>
          <w:sz w:val="24"/>
          <w:szCs w:val="24"/>
        </w:rPr>
        <w:t>to determine</w:t>
      </w:r>
      <w:r w:rsidRPr="00A925AF">
        <w:rPr>
          <w:rFonts w:ascii="Arial" w:hAnsi="Arial" w:cs="Arial"/>
          <w:sz w:val="24"/>
          <w:szCs w:val="24"/>
        </w:rPr>
        <w:t xml:space="preserve"> </w:t>
      </w:r>
      <w:r w:rsidR="00107AC2" w:rsidRPr="00A925AF">
        <w:rPr>
          <w:rFonts w:ascii="Arial" w:hAnsi="Arial" w:cs="Arial"/>
          <w:sz w:val="24"/>
          <w:szCs w:val="24"/>
        </w:rPr>
        <w:t xml:space="preserve">a </w:t>
      </w:r>
      <w:r w:rsidRPr="00A925AF">
        <w:rPr>
          <w:rFonts w:ascii="Arial" w:hAnsi="Arial" w:cs="Arial"/>
          <w:sz w:val="24"/>
          <w:szCs w:val="24"/>
        </w:rPr>
        <w:t>diagnosis</w:t>
      </w:r>
      <w:r w:rsidR="00107AC2" w:rsidRPr="00A925AF">
        <w:rPr>
          <w:rFonts w:ascii="Arial" w:hAnsi="Arial" w:cs="Arial"/>
          <w:sz w:val="24"/>
          <w:szCs w:val="24"/>
        </w:rPr>
        <w:t xml:space="preserve">. </w:t>
      </w:r>
      <w:r w:rsidR="003404BF" w:rsidRPr="00A925AF">
        <w:rPr>
          <w:rFonts w:ascii="Arial" w:hAnsi="Arial" w:cs="Arial"/>
          <w:sz w:val="24"/>
          <w:szCs w:val="24"/>
        </w:rPr>
        <w:t>Moxibustion</w:t>
      </w:r>
      <w:r w:rsidRPr="00A925AF">
        <w:rPr>
          <w:rFonts w:ascii="Arial" w:hAnsi="Arial" w:cs="Arial"/>
          <w:sz w:val="24"/>
          <w:szCs w:val="24"/>
        </w:rPr>
        <w:t xml:space="preserve"> is </w:t>
      </w:r>
      <w:r w:rsidR="00F76D54" w:rsidRPr="00A925AF">
        <w:rPr>
          <w:rFonts w:ascii="Arial" w:hAnsi="Arial" w:cs="Arial"/>
          <w:sz w:val="24"/>
          <w:szCs w:val="24"/>
        </w:rPr>
        <w:t xml:space="preserve">a </w:t>
      </w:r>
      <w:r w:rsidRPr="00A925AF">
        <w:rPr>
          <w:rFonts w:ascii="Arial" w:hAnsi="Arial" w:cs="Arial"/>
          <w:sz w:val="24"/>
          <w:szCs w:val="24"/>
        </w:rPr>
        <w:t>non</w:t>
      </w:r>
      <w:r w:rsidR="00F96D05" w:rsidRPr="00A925AF">
        <w:rPr>
          <w:rFonts w:ascii="Arial" w:hAnsi="Arial" w:cs="Arial"/>
          <w:sz w:val="24"/>
          <w:szCs w:val="24"/>
        </w:rPr>
        <w:t>-invasive</w:t>
      </w:r>
      <w:r w:rsidRPr="00A925AF">
        <w:rPr>
          <w:rFonts w:ascii="Arial" w:hAnsi="Arial" w:cs="Arial"/>
          <w:sz w:val="24"/>
          <w:szCs w:val="24"/>
        </w:rPr>
        <w:t xml:space="preserve"> form of treatment that uses natural products and </w:t>
      </w:r>
      <w:r w:rsidR="00F76D54" w:rsidRPr="00A925AF">
        <w:rPr>
          <w:rFonts w:ascii="Arial" w:hAnsi="Arial" w:cs="Arial"/>
          <w:sz w:val="24"/>
          <w:szCs w:val="24"/>
        </w:rPr>
        <w:t>technology</w:t>
      </w:r>
      <w:r w:rsidRPr="00A925AF">
        <w:rPr>
          <w:rFonts w:ascii="Arial" w:hAnsi="Arial" w:cs="Arial"/>
          <w:sz w:val="24"/>
          <w:szCs w:val="24"/>
        </w:rPr>
        <w:t xml:space="preserve"> to deliver its purpose</w:t>
      </w:r>
      <w:r w:rsidR="008C4E9C" w:rsidRPr="00A925AF">
        <w:rPr>
          <w:rFonts w:ascii="Arial" w:hAnsi="Arial" w:cs="Arial"/>
          <w:sz w:val="24"/>
          <w:szCs w:val="24"/>
        </w:rPr>
        <w:t>,</w:t>
      </w:r>
      <w:r w:rsidRPr="00A925AF">
        <w:rPr>
          <w:rFonts w:ascii="Arial" w:hAnsi="Arial" w:cs="Arial"/>
          <w:sz w:val="24"/>
          <w:szCs w:val="24"/>
        </w:rPr>
        <w:t xml:space="preserve"> this </w:t>
      </w:r>
      <w:proofErr w:type="gramStart"/>
      <w:r w:rsidRPr="00A925AF">
        <w:rPr>
          <w:rFonts w:ascii="Arial" w:hAnsi="Arial" w:cs="Arial"/>
          <w:sz w:val="24"/>
          <w:szCs w:val="24"/>
        </w:rPr>
        <w:t>is in contrast to</w:t>
      </w:r>
      <w:proofErr w:type="gramEnd"/>
      <w:r w:rsidRPr="00A925AF">
        <w:rPr>
          <w:rFonts w:ascii="Arial" w:hAnsi="Arial" w:cs="Arial"/>
          <w:sz w:val="24"/>
          <w:szCs w:val="24"/>
        </w:rPr>
        <w:t xml:space="preserve"> allopathic medicine </w:t>
      </w:r>
      <w:r w:rsidR="008C4E9C" w:rsidRPr="00A925AF">
        <w:rPr>
          <w:rFonts w:ascii="Arial" w:hAnsi="Arial" w:cs="Arial"/>
          <w:sz w:val="24"/>
          <w:szCs w:val="24"/>
        </w:rPr>
        <w:t>which</w:t>
      </w:r>
      <w:r w:rsidRPr="00A925AF">
        <w:rPr>
          <w:rFonts w:ascii="Arial" w:hAnsi="Arial" w:cs="Arial"/>
          <w:sz w:val="24"/>
          <w:szCs w:val="24"/>
        </w:rPr>
        <w:t xml:space="preserve"> </w:t>
      </w:r>
      <w:r w:rsidR="003404BF" w:rsidRPr="00A925AF">
        <w:rPr>
          <w:rFonts w:ascii="Arial" w:hAnsi="Arial" w:cs="Arial"/>
          <w:sz w:val="24"/>
          <w:szCs w:val="24"/>
        </w:rPr>
        <w:t>merges</w:t>
      </w:r>
      <w:r w:rsidRPr="00A925AF">
        <w:rPr>
          <w:rFonts w:ascii="Arial" w:hAnsi="Arial" w:cs="Arial"/>
          <w:sz w:val="24"/>
          <w:szCs w:val="24"/>
        </w:rPr>
        <w:t xml:space="preserve"> with science and </w:t>
      </w:r>
      <w:r w:rsidR="003404BF" w:rsidRPr="00A925AF">
        <w:rPr>
          <w:rFonts w:ascii="Arial" w:hAnsi="Arial" w:cs="Arial"/>
          <w:sz w:val="24"/>
          <w:szCs w:val="24"/>
        </w:rPr>
        <w:t>technology.</w:t>
      </w:r>
    </w:p>
    <w:p w14:paraId="2E0CB5E4" w14:textId="7E077063" w:rsidR="00384BDB" w:rsidRPr="00A925AF" w:rsidRDefault="003404BF" w:rsidP="00A925AF">
      <w:pPr>
        <w:spacing w:line="360" w:lineRule="auto"/>
        <w:rPr>
          <w:rFonts w:ascii="Arial" w:hAnsi="Arial" w:cs="Arial"/>
          <w:sz w:val="24"/>
          <w:szCs w:val="24"/>
        </w:rPr>
      </w:pPr>
      <w:r w:rsidRPr="00A925AF">
        <w:rPr>
          <w:rFonts w:ascii="Arial" w:hAnsi="Arial" w:cs="Arial"/>
          <w:sz w:val="24"/>
          <w:szCs w:val="24"/>
        </w:rPr>
        <w:lastRenderedPageBreak/>
        <w:t>Moxibustion</w:t>
      </w:r>
      <w:r w:rsidR="00A133C8" w:rsidRPr="00A925AF">
        <w:rPr>
          <w:rFonts w:ascii="Arial" w:hAnsi="Arial" w:cs="Arial"/>
          <w:sz w:val="24"/>
          <w:szCs w:val="24"/>
        </w:rPr>
        <w:t xml:space="preserve"> helps to strengthen the patient’s immune system it also can be used to prevent diseases and maintain good health as part of </w:t>
      </w:r>
      <w:r w:rsidR="00B56E33" w:rsidRPr="00A925AF">
        <w:rPr>
          <w:rFonts w:ascii="Arial" w:hAnsi="Arial" w:cs="Arial"/>
          <w:sz w:val="24"/>
          <w:szCs w:val="24"/>
        </w:rPr>
        <w:t>detox</w:t>
      </w:r>
      <w:r w:rsidR="00EE0CB6" w:rsidRPr="00A925AF">
        <w:rPr>
          <w:rFonts w:ascii="Arial" w:hAnsi="Arial" w:cs="Arial"/>
          <w:sz w:val="24"/>
          <w:szCs w:val="24"/>
        </w:rPr>
        <w:t>ification</w:t>
      </w:r>
      <w:r w:rsidR="00A133C8" w:rsidRPr="00A925AF">
        <w:rPr>
          <w:rFonts w:ascii="Arial" w:hAnsi="Arial" w:cs="Arial"/>
          <w:sz w:val="24"/>
          <w:szCs w:val="24"/>
        </w:rPr>
        <w:t xml:space="preserve"> treatment. </w:t>
      </w:r>
      <w:r w:rsidRPr="00A925AF">
        <w:rPr>
          <w:rFonts w:ascii="Arial" w:hAnsi="Arial" w:cs="Arial"/>
          <w:sz w:val="24"/>
          <w:szCs w:val="24"/>
        </w:rPr>
        <w:t>Moxibustion</w:t>
      </w:r>
      <w:r w:rsidR="00A133C8" w:rsidRPr="00A925AF">
        <w:rPr>
          <w:rFonts w:ascii="Arial" w:hAnsi="Arial" w:cs="Arial"/>
          <w:sz w:val="24"/>
          <w:szCs w:val="24"/>
        </w:rPr>
        <w:t xml:space="preserve"> is beneficial in the treatment of chronic pain and poor circulation. When a patient suffers from pain due to cold weather </w:t>
      </w:r>
      <w:r w:rsidRPr="00A925AF">
        <w:rPr>
          <w:rFonts w:ascii="Arial" w:hAnsi="Arial" w:cs="Arial"/>
          <w:sz w:val="24"/>
          <w:szCs w:val="24"/>
        </w:rPr>
        <w:t>Moxibustion</w:t>
      </w:r>
      <w:r w:rsidR="00C45337" w:rsidRPr="00A925AF">
        <w:rPr>
          <w:rFonts w:ascii="Arial" w:hAnsi="Arial" w:cs="Arial"/>
          <w:sz w:val="24"/>
          <w:szCs w:val="24"/>
        </w:rPr>
        <w:t xml:space="preserve"> c</w:t>
      </w:r>
      <w:r w:rsidR="00A133C8" w:rsidRPr="00A925AF">
        <w:rPr>
          <w:rFonts w:ascii="Arial" w:hAnsi="Arial" w:cs="Arial"/>
          <w:sz w:val="24"/>
          <w:szCs w:val="24"/>
        </w:rPr>
        <w:t xml:space="preserve">ould also be beneficial this is also the case in </w:t>
      </w:r>
      <w:r w:rsidR="00F76D54" w:rsidRPr="00A925AF">
        <w:rPr>
          <w:rFonts w:ascii="Arial" w:hAnsi="Arial" w:cs="Arial"/>
          <w:sz w:val="24"/>
          <w:szCs w:val="24"/>
        </w:rPr>
        <w:t xml:space="preserve">the </w:t>
      </w:r>
      <w:r w:rsidR="00A133C8" w:rsidRPr="00A925AF">
        <w:rPr>
          <w:rFonts w:ascii="Arial" w:hAnsi="Arial" w:cs="Arial"/>
          <w:sz w:val="24"/>
          <w:szCs w:val="24"/>
        </w:rPr>
        <w:t>treatment of arthritis.</w:t>
      </w:r>
    </w:p>
    <w:p w14:paraId="055D6A1C" w14:textId="43C76408" w:rsidR="00527103" w:rsidRPr="00A925AF" w:rsidRDefault="003404BF" w:rsidP="00A925AF">
      <w:pPr>
        <w:spacing w:line="360" w:lineRule="auto"/>
        <w:rPr>
          <w:rFonts w:ascii="Arial" w:hAnsi="Arial" w:cs="Arial"/>
          <w:sz w:val="24"/>
          <w:szCs w:val="24"/>
        </w:rPr>
      </w:pPr>
      <w:r w:rsidRPr="00A925AF">
        <w:rPr>
          <w:rFonts w:ascii="Arial" w:hAnsi="Arial" w:cs="Arial"/>
          <w:sz w:val="24"/>
          <w:szCs w:val="24"/>
        </w:rPr>
        <w:t>Moxibustion</w:t>
      </w:r>
      <w:r w:rsidR="00B56E33" w:rsidRPr="00A925AF">
        <w:rPr>
          <w:rFonts w:ascii="Arial" w:hAnsi="Arial" w:cs="Arial"/>
          <w:sz w:val="24"/>
          <w:szCs w:val="24"/>
        </w:rPr>
        <w:t xml:space="preserve"> c</w:t>
      </w:r>
      <w:r w:rsidR="00384BDB" w:rsidRPr="00A925AF">
        <w:rPr>
          <w:rFonts w:ascii="Arial" w:hAnsi="Arial" w:cs="Arial"/>
          <w:sz w:val="24"/>
          <w:szCs w:val="24"/>
        </w:rPr>
        <w:t xml:space="preserve">ombined with allopathic medicine could be used as complementary or alternative medicine in human cancers related </w:t>
      </w:r>
      <w:r w:rsidR="00F76D54" w:rsidRPr="00A925AF">
        <w:rPr>
          <w:rFonts w:ascii="Arial" w:hAnsi="Arial" w:cs="Arial"/>
          <w:sz w:val="24"/>
          <w:szCs w:val="24"/>
        </w:rPr>
        <w:t xml:space="preserve">to </w:t>
      </w:r>
      <w:r w:rsidR="00384BDB" w:rsidRPr="00A925AF">
        <w:rPr>
          <w:rFonts w:ascii="Arial" w:hAnsi="Arial" w:cs="Arial"/>
          <w:sz w:val="24"/>
          <w:szCs w:val="24"/>
        </w:rPr>
        <w:t xml:space="preserve">fatigue (CRF). </w:t>
      </w:r>
      <w:r w:rsidR="00F76D54" w:rsidRPr="00A925AF">
        <w:rPr>
          <w:rFonts w:ascii="Arial" w:hAnsi="Arial" w:cs="Arial"/>
          <w:sz w:val="24"/>
          <w:szCs w:val="24"/>
        </w:rPr>
        <w:t>Patients</w:t>
      </w:r>
      <w:r w:rsidR="00384BDB" w:rsidRPr="00A925AF">
        <w:rPr>
          <w:rFonts w:ascii="Arial" w:hAnsi="Arial" w:cs="Arial"/>
          <w:sz w:val="24"/>
          <w:szCs w:val="24"/>
        </w:rPr>
        <w:t xml:space="preserve"> with cancer </w:t>
      </w:r>
      <w:r w:rsidR="00F76D54" w:rsidRPr="00A925AF">
        <w:rPr>
          <w:rFonts w:ascii="Arial" w:hAnsi="Arial" w:cs="Arial"/>
          <w:sz w:val="24"/>
          <w:szCs w:val="24"/>
        </w:rPr>
        <w:t>require</w:t>
      </w:r>
      <w:r w:rsidR="00384BDB" w:rsidRPr="00A925AF">
        <w:rPr>
          <w:rFonts w:ascii="Arial" w:hAnsi="Arial" w:cs="Arial"/>
          <w:sz w:val="24"/>
          <w:szCs w:val="24"/>
        </w:rPr>
        <w:t xml:space="preserve"> support to cope with the disease</w:t>
      </w:r>
      <w:r w:rsidR="00107AC2" w:rsidRPr="00A925AF">
        <w:rPr>
          <w:rFonts w:ascii="Arial" w:hAnsi="Arial" w:cs="Arial"/>
          <w:sz w:val="24"/>
          <w:szCs w:val="24"/>
        </w:rPr>
        <w:t>,</w:t>
      </w:r>
      <w:r w:rsidR="00384BDB" w:rsidRPr="00A925AF">
        <w:rPr>
          <w:rFonts w:ascii="Arial" w:hAnsi="Arial" w:cs="Arial"/>
          <w:sz w:val="24"/>
          <w:szCs w:val="24"/>
        </w:rPr>
        <w:t xml:space="preserve"> its </w:t>
      </w:r>
      <w:proofErr w:type="gramStart"/>
      <w:r w:rsidR="00384BDB" w:rsidRPr="00A925AF">
        <w:rPr>
          <w:rFonts w:ascii="Arial" w:hAnsi="Arial" w:cs="Arial"/>
          <w:sz w:val="24"/>
          <w:szCs w:val="24"/>
        </w:rPr>
        <w:t>symptoms</w:t>
      </w:r>
      <w:proofErr w:type="gramEnd"/>
      <w:r w:rsidR="00384BDB" w:rsidRPr="00A925AF">
        <w:rPr>
          <w:rFonts w:ascii="Arial" w:hAnsi="Arial" w:cs="Arial"/>
          <w:sz w:val="24"/>
          <w:szCs w:val="24"/>
        </w:rPr>
        <w:t xml:space="preserve"> and the side effects of their </w:t>
      </w:r>
      <w:r w:rsidR="00011E98" w:rsidRPr="00A925AF">
        <w:rPr>
          <w:rFonts w:ascii="Arial" w:hAnsi="Arial" w:cs="Arial"/>
          <w:sz w:val="24"/>
          <w:szCs w:val="24"/>
        </w:rPr>
        <w:t>treatment.</w:t>
      </w:r>
      <w:r w:rsidR="00384BDB" w:rsidRPr="00A925AF">
        <w:rPr>
          <w:rFonts w:ascii="Arial" w:hAnsi="Arial" w:cs="Arial"/>
          <w:sz w:val="24"/>
          <w:szCs w:val="24"/>
        </w:rPr>
        <w:t xml:space="preserve"> </w:t>
      </w:r>
      <w:r w:rsidRPr="00A925AF">
        <w:rPr>
          <w:rFonts w:ascii="Arial" w:hAnsi="Arial" w:cs="Arial"/>
          <w:sz w:val="24"/>
          <w:szCs w:val="24"/>
        </w:rPr>
        <w:t>Moxibustion</w:t>
      </w:r>
      <w:r w:rsidR="00384BDB" w:rsidRPr="00A925AF">
        <w:rPr>
          <w:rFonts w:ascii="Arial" w:hAnsi="Arial" w:cs="Arial"/>
          <w:sz w:val="24"/>
          <w:szCs w:val="24"/>
        </w:rPr>
        <w:t xml:space="preserve"> Is an excellent treatment for </w:t>
      </w:r>
      <w:r w:rsidR="00F76D54" w:rsidRPr="00A925AF">
        <w:rPr>
          <w:rFonts w:ascii="Arial" w:hAnsi="Arial" w:cs="Arial"/>
          <w:sz w:val="24"/>
          <w:szCs w:val="24"/>
        </w:rPr>
        <w:t xml:space="preserve">the </w:t>
      </w:r>
      <w:r w:rsidR="00384BDB" w:rsidRPr="00A925AF">
        <w:rPr>
          <w:rFonts w:ascii="Arial" w:hAnsi="Arial" w:cs="Arial"/>
          <w:sz w:val="24"/>
          <w:szCs w:val="24"/>
        </w:rPr>
        <w:t xml:space="preserve">lessening of the side effects of radiotherapy and chemotherapy </w:t>
      </w:r>
      <w:r w:rsidR="00EE0CB6" w:rsidRPr="00A925AF">
        <w:rPr>
          <w:rFonts w:ascii="Arial" w:hAnsi="Arial" w:cs="Arial"/>
          <w:sz w:val="24"/>
          <w:szCs w:val="24"/>
        </w:rPr>
        <w:t>(Wang et al</w:t>
      </w:r>
      <w:r w:rsidR="008C4E9C" w:rsidRPr="00A925AF">
        <w:rPr>
          <w:rFonts w:ascii="Arial" w:hAnsi="Arial" w:cs="Arial"/>
          <w:sz w:val="24"/>
          <w:szCs w:val="24"/>
        </w:rPr>
        <w:t>.</w:t>
      </w:r>
      <w:r w:rsidR="00384BDB" w:rsidRPr="00A925AF">
        <w:rPr>
          <w:rFonts w:ascii="Arial" w:hAnsi="Arial" w:cs="Arial"/>
          <w:sz w:val="24"/>
          <w:szCs w:val="24"/>
        </w:rPr>
        <w:t>,</w:t>
      </w:r>
      <w:r w:rsidR="008C4E9C" w:rsidRPr="00A925AF">
        <w:rPr>
          <w:rFonts w:ascii="Arial" w:hAnsi="Arial" w:cs="Arial"/>
          <w:sz w:val="24"/>
          <w:szCs w:val="24"/>
        </w:rPr>
        <w:t xml:space="preserve"> </w:t>
      </w:r>
      <w:r w:rsidR="00EE0CB6" w:rsidRPr="00A925AF">
        <w:rPr>
          <w:rFonts w:ascii="Arial" w:hAnsi="Arial" w:cs="Arial"/>
          <w:sz w:val="24"/>
          <w:szCs w:val="24"/>
        </w:rPr>
        <w:t>2019)</w:t>
      </w:r>
      <w:r w:rsidR="00384BDB" w:rsidRPr="00A925AF">
        <w:rPr>
          <w:rFonts w:ascii="Arial" w:hAnsi="Arial" w:cs="Arial"/>
          <w:sz w:val="24"/>
          <w:szCs w:val="24"/>
        </w:rPr>
        <w:t xml:space="preserve"> such as nausea </w:t>
      </w:r>
      <w:r w:rsidRPr="00A925AF">
        <w:rPr>
          <w:rFonts w:ascii="Arial" w:hAnsi="Arial" w:cs="Arial"/>
          <w:sz w:val="24"/>
          <w:szCs w:val="24"/>
        </w:rPr>
        <w:t>and vomiting</w:t>
      </w:r>
      <w:r w:rsidR="00384BDB" w:rsidRPr="00A925AF">
        <w:rPr>
          <w:rFonts w:ascii="Arial" w:hAnsi="Arial" w:cs="Arial"/>
          <w:sz w:val="24"/>
          <w:szCs w:val="24"/>
        </w:rPr>
        <w:t xml:space="preserve"> (Lee </w:t>
      </w:r>
      <w:r w:rsidR="00DD7D95" w:rsidRPr="00A925AF">
        <w:rPr>
          <w:rFonts w:ascii="Arial" w:hAnsi="Arial" w:cs="Arial"/>
          <w:sz w:val="24"/>
          <w:szCs w:val="24"/>
        </w:rPr>
        <w:t>et</w:t>
      </w:r>
      <w:r w:rsidR="00384BDB" w:rsidRPr="00A925AF">
        <w:rPr>
          <w:rFonts w:ascii="Arial" w:hAnsi="Arial" w:cs="Arial"/>
          <w:sz w:val="24"/>
          <w:szCs w:val="24"/>
        </w:rPr>
        <w:t xml:space="preserve"> al</w:t>
      </w:r>
      <w:r w:rsidR="008C4E9C" w:rsidRPr="00A925AF">
        <w:rPr>
          <w:rFonts w:ascii="Arial" w:hAnsi="Arial" w:cs="Arial"/>
          <w:sz w:val="24"/>
          <w:szCs w:val="24"/>
        </w:rPr>
        <w:t>.</w:t>
      </w:r>
      <w:r w:rsidR="00384BDB" w:rsidRPr="00A925AF">
        <w:rPr>
          <w:rFonts w:ascii="Arial" w:hAnsi="Arial" w:cs="Arial"/>
          <w:sz w:val="24"/>
          <w:szCs w:val="24"/>
        </w:rPr>
        <w:t>,</w:t>
      </w:r>
      <w:r w:rsidR="00586271" w:rsidRPr="00A925AF">
        <w:rPr>
          <w:rFonts w:ascii="Arial" w:hAnsi="Arial" w:cs="Arial"/>
          <w:sz w:val="24"/>
          <w:szCs w:val="24"/>
        </w:rPr>
        <w:t xml:space="preserve"> </w:t>
      </w:r>
      <w:r w:rsidR="00384BDB" w:rsidRPr="00A925AF">
        <w:rPr>
          <w:rFonts w:ascii="Arial" w:hAnsi="Arial" w:cs="Arial"/>
          <w:sz w:val="24"/>
          <w:szCs w:val="24"/>
        </w:rPr>
        <w:t>2016)</w:t>
      </w:r>
      <w:r w:rsidR="00107AC2" w:rsidRPr="00A925AF">
        <w:rPr>
          <w:rFonts w:ascii="Arial" w:hAnsi="Arial" w:cs="Arial"/>
          <w:sz w:val="24"/>
          <w:szCs w:val="24"/>
        </w:rPr>
        <w:t>. S</w:t>
      </w:r>
      <w:r w:rsidR="00547D94" w:rsidRPr="00A925AF">
        <w:rPr>
          <w:rFonts w:ascii="Arial" w:hAnsi="Arial" w:cs="Arial"/>
          <w:sz w:val="24"/>
          <w:szCs w:val="24"/>
        </w:rPr>
        <w:t>everal</w:t>
      </w:r>
      <w:r w:rsidR="00384BDB" w:rsidRPr="00A925AF">
        <w:rPr>
          <w:rFonts w:ascii="Arial" w:hAnsi="Arial" w:cs="Arial"/>
          <w:sz w:val="24"/>
          <w:szCs w:val="24"/>
        </w:rPr>
        <w:t xml:space="preserve"> </w:t>
      </w:r>
      <w:r w:rsidR="00F76D54" w:rsidRPr="00A925AF">
        <w:rPr>
          <w:rFonts w:ascii="Arial" w:hAnsi="Arial" w:cs="Arial"/>
          <w:sz w:val="24"/>
          <w:szCs w:val="24"/>
        </w:rPr>
        <w:t>randomized</w:t>
      </w:r>
      <w:r w:rsidR="00384BDB" w:rsidRPr="00A925AF">
        <w:rPr>
          <w:rFonts w:ascii="Arial" w:hAnsi="Arial" w:cs="Arial"/>
          <w:sz w:val="24"/>
          <w:szCs w:val="24"/>
        </w:rPr>
        <w:t xml:space="preserve"> trials have shown that </w:t>
      </w:r>
      <w:r w:rsidRPr="00A925AF">
        <w:rPr>
          <w:rFonts w:ascii="Arial" w:hAnsi="Arial" w:cs="Arial"/>
          <w:sz w:val="24"/>
          <w:szCs w:val="24"/>
        </w:rPr>
        <w:t>Moxibustion</w:t>
      </w:r>
      <w:r w:rsidR="00384BDB" w:rsidRPr="00A925AF">
        <w:rPr>
          <w:rFonts w:ascii="Arial" w:hAnsi="Arial" w:cs="Arial"/>
          <w:sz w:val="24"/>
          <w:szCs w:val="24"/>
        </w:rPr>
        <w:t xml:space="preserve"> is also invaluable in the treatment of cancer (</w:t>
      </w:r>
      <w:r w:rsidR="00EE0CB6" w:rsidRPr="00A925AF">
        <w:rPr>
          <w:rFonts w:ascii="Arial" w:hAnsi="Arial" w:cs="Arial"/>
          <w:sz w:val="24"/>
          <w:szCs w:val="24"/>
        </w:rPr>
        <w:t>C</w:t>
      </w:r>
      <w:r w:rsidR="00384BDB" w:rsidRPr="00A925AF">
        <w:rPr>
          <w:rFonts w:ascii="Arial" w:hAnsi="Arial" w:cs="Arial"/>
          <w:sz w:val="24"/>
          <w:szCs w:val="24"/>
        </w:rPr>
        <w:t>ao and Brown,</w:t>
      </w:r>
      <w:r w:rsidR="00586271" w:rsidRPr="00A925AF">
        <w:rPr>
          <w:rFonts w:ascii="Arial" w:hAnsi="Arial" w:cs="Arial"/>
          <w:sz w:val="24"/>
          <w:szCs w:val="24"/>
        </w:rPr>
        <w:t xml:space="preserve"> </w:t>
      </w:r>
      <w:r w:rsidR="00384BDB" w:rsidRPr="00A925AF">
        <w:rPr>
          <w:rFonts w:ascii="Arial" w:hAnsi="Arial" w:cs="Arial"/>
          <w:sz w:val="24"/>
          <w:szCs w:val="24"/>
        </w:rPr>
        <w:t xml:space="preserve">2019). </w:t>
      </w:r>
    </w:p>
    <w:p w14:paraId="3AD8F8A5" w14:textId="5F1C36EA" w:rsidR="00107AC2" w:rsidRPr="00A925AF" w:rsidRDefault="00107AC2" w:rsidP="00A925AF">
      <w:pPr>
        <w:spacing w:line="360" w:lineRule="auto"/>
        <w:rPr>
          <w:rFonts w:ascii="Arial" w:hAnsi="Arial" w:cs="Arial"/>
          <w:sz w:val="24"/>
          <w:szCs w:val="24"/>
        </w:rPr>
      </w:pPr>
      <w:r w:rsidRPr="00A925AF">
        <w:rPr>
          <w:rFonts w:ascii="Arial" w:hAnsi="Arial" w:cs="Arial"/>
          <w:sz w:val="24"/>
          <w:szCs w:val="24"/>
        </w:rPr>
        <w:t xml:space="preserve">It is important to note that though Moxibustion is one of the most long-standing alternative medicine methods, its efficacy has yet to be fully proven. This is due to many factors such as the limited number of studies done, the low quality of said studies and the insufficient usage of controls. Many of the studies done were in China and some cases, it has not been proven that Moxibustion is a safe and effective therapy, but to provide unquestionable evidence regarding the effectiveness of Moxibustion, more arduous clinical trials, using appropriate controls, are necessary. </w:t>
      </w:r>
    </w:p>
    <w:p w14:paraId="40DA14D4" w14:textId="4BACAF96" w:rsidR="00107AC2" w:rsidRPr="00A925AF" w:rsidRDefault="00AE492F" w:rsidP="00A925AF">
      <w:pPr>
        <w:spacing w:line="360" w:lineRule="auto"/>
        <w:rPr>
          <w:rFonts w:ascii="Arial" w:hAnsi="Arial" w:cs="Arial"/>
          <w:sz w:val="24"/>
          <w:szCs w:val="24"/>
        </w:rPr>
      </w:pPr>
      <w:r w:rsidRPr="00A925AF">
        <w:rPr>
          <w:rFonts w:ascii="Arial" w:hAnsi="Arial" w:cs="Arial"/>
          <w:sz w:val="24"/>
          <w:szCs w:val="24"/>
        </w:rPr>
        <w:t>Research has shown that moxi</w:t>
      </w:r>
      <w:r w:rsidR="00D8722E" w:rsidRPr="00A925AF">
        <w:rPr>
          <w:rFonts w:ascii="Arial" w:hAnsi="Arial" w:cs="Arial"/>
          <w:sz w:val="24"/>
          <w:szCs w:val="24"/>
        </w:rPr>
        <w:t>bustion</w:t>
      </w:r>
      <w:r w:rsidRPr="00A925AF">
        <w:rPr>
          <w:rFonts w:ascii="Arial" w:hAnsi="Arial" w:cs="Arial"/>
          <w:sz w:val="24"/>
          <w:szCs w:val="24"/>
        </w:rPr>
        <w:t xml:space="preserve"> is not a homoeopathic therapy that can be used on everyone. Patients with cardiovascular disease, neurological impairment, fevers and or bacterial infections should not be treated with </w:t>
      </w:r>
      <w:r w:rsidR="00D8722E" w:rsidRPr="00A925AF">
        <w:rPr>
          <w:rFonts w:ascii="Arial" w:hAnsi="Arial" w:cs="Arial"/>
          <w:sz w:val="24"/>
          <w:szCs w:val="24"/>
        </w:rPr>
        <w:t>moxibustion.</w:t>
      </w:r>
      <w:r w:rsidRPr="00A925AF">
        <w:rPr>
          <w:rFonts w:ascii="Arial" w:hAnsi="Arial" w:cs="Arial"/>
          <w:sz w:val="24"/>
          <w:szCs w:val="24"/>
        </w:rPr>
        <w:t xml:space="preserve"> </w:t>
      </w:r>
      <w:r w:rsidR="00D8722E" w:rsidRPr="00A925AF">
        <w:rPr>
          <w:rFonts w:ascii="Arial" w:hAnsi="Arial" w:cs="Arial"/>
          <w:sz w:val="24"/>
          <w:szCs w:val="24"/>
        </w:rPr>
        <w:t>Moreover,</w:t>
      </w:r>
      <w:r w:rsidRPr="00A925AF">
        <w:rPr>
          <w:rFonts w:ascii="Arial" w:hAnsi="Arial" w:cs="Arial"/>
          <w:sz w:val="24"/>
          <w:szCs w:val="24"/>
        </w:rPr>
        <w:t xml:space="preserve"> the usage of moxibustion </w:t>
      </w:r>
      <w:r w:rsidR="00107AC2" w:rsidRPr="00A925AF">
        <w:rPr>
          <w:rFonts w:ascii="Arial" w:hAnsi="Arial" w:cs="Arial"/>
          <w:sz w:val="24"/>
          <w:szCs w:val="24"/>
        </w:rPr>
        <w:t>s</w:t>
      </w:r>
      <w:r w:rsidRPr="00A925AF">
        <w:rPr>
          <w:rFonts w:ascii="Arial" w:hAnsi="Arial" w:cs="Arial"/>
          <w:sz w:val="24"/>
          <w:szCs w:val="24"/>
        </w:rPr>
        <w:t xml:space="preserve">hould be avoided during pregnancy </w:t>
      </w:r>
      <w:r w:rsidR="00A41B39" w:rsidRPr="00A925AF">
        <w:rPr>
          <w:rFonts w:ascii="Arial" w:hAnsi="Arial" w:cs="Arial"/>
          <w:sz w:val="24"/>
          <w:szCs w:val="24"/>
        </w:rPr>
        <w:t>for</w:t>
      </w:r>
      <w:r w:rsidR="00D8722E" w:rsidRPr="00A925AF">
        <w:rPr>
          <w:rFonts w:ascii="Arial" w:hAnsi="Arial" w:cs="Arial"/>
          <w:sz w:val="24"/>
          <w:szCs w:val="24"/>
        </w:rPr>
        <w:t xml:space="preserve"> the first five </w:t>
      </w:r>
      <w:r w:rsidR="00A41B39" w:rsidRPr="00A925AF">
        <w:rPr>
          <w:rFonts w:ascii="Arial" w:hAnsi="Arial" w:cs="Arial"/>
          <w:sz w:val="24"/>
          <w:szCs w:val="24"/>
        </w:rPr>
        <w:t>months</w:t>
      </w:r>
      <w:r w:rsidR="00107AC2" w:rsidRPr="00A925AF">
        <w:rPr>
          <w:rFonts w:ascii="Arial" w:hAnsi="Arial" w:cs="Arial"/>
          <w:sz w:val="24"/>
          <w:szCs w:val="24"/>
        </w:rPr>
        <w:t xml:space="preserve"> </w:t>
      </w:r>
      <w:r w:rsidR="00A41B39" w:rsidRPr="00A925AF">
        <w:rPr>
          <w:rFonts w:ascii="Arial" w:hAnsi="Arial" w:cs="Arial"/>
          <w:sz w:val="24"/>
          <w:szCs w:val="24"/>
        </w:rPr>
        <w:t>(Pritchard S, 2010)</w:t>
      </w:r>
      <w:r w:rsidR="00107AC2" w:rsidRPr="00A925AF">
        <w:rPr>
          <w:rFonts w:ascii="Arial" w:hAnsi="Arial" w:cs="Arial"/>
          <w:sz w:val="24"/>
          <w:szCs w:val="24"/>
        </w:rPr>
        <w:t xml:space="preserve">. </w:t>
      </w:r>
    </w:p>
    <w:p w14:paraId="5678D239" w14:textId="64F8797A" w:rsidR="00A41B39" w:rsidRPr="00A925AF" w:rsidRDefault="00107AC2" w:rsidP="00A925AF">
      <w:pPr>
        <w:spacing w:line="360" w:lineRule="auto"/>
        <w:rPr>
          <w:rFonts w:ascii="Arial" w:hAnsi="Arial" w:cs="Arial"/>
          <w:sz w:val="24"/>
          <w:szCs w:val="24"/>
        </w:rPr>
      </w:pPr>
      <w:r w:rsidRPr="00A925AF">
        <w:rPr>
          <w:rFonts w:ascii="Arial" w:hAnsi="Arial" w:cs="Arial"/>
          <w:sz w:val="24"/>
          <w:szCs w:val="24"/>
        </w:rPr>
        <w:t>I</w:t>
      </w:r>
      <w:r w:rsidR="00A41B39" w:rsidRPr="00A925AF">
        <w:rPr>
          <w:rFonts w:ascii="Arial" w:hAnsi="Arial" w:cs="Arial"/>
          <w:sz w:val="24"/>
          <w:szCs w:val="24"/>
        </w:rPr>
        <w:t>n the moxibustion treatment</w:t>
      </w:r>
      <w:r w:rsidR="008C4E9C" w:rsidRPr="00A925AF">
        <w:rPr>
          <w:rFonts w:ascii="Arial" w:hAnsi="Arial" w:cs="Arial"/>
          <w:sz w:val="24"/>
          <w:szCs w:val="24"/>
        </w:rPr>
        <w:t>,</w:t>
      </w:r>
      <w:r w:rsidR="00A41B39" w:rsidRPr="00A925AF">
        <w:rPr>
          <w:rFonts w:ascii="Arial" w:hAnsi="Arial" w:cs="Arial"/>
          <w:sz w:val="24"/>
          <w:szCs w:val="24"/>
        </w:rPr>
        <w:t xml:space="preserve"> some quantities of damaging substances are released when the moxibustion is ignited, but this is below maximum levels and it is</w:t>
      </w:r>
      <w:r w:rsidR="00F76D54" w:rsidRPr="00A925AF">
        <w:rPr>
          <w:rFonts w:ascii="Arial" w:hAnsi="Arial" w:cs="Arial"/>
          <w:sz w:val="24"/>
          <w:szCs w:val="24"/>
        </w:rPr>
        <w:t>,</w:t>
      </w:r>
      <w:r w:rsidR="00A41B39" w:rsidRPr="00A925AF">
        <w:rPr>
          <w:rFonts w:ascii="Arial" w:hAnsi="Arial" w:cs="Arial"/>
          <w:sz w:val="24"/>
          <w:szCs w:val="24"/>
        </w:rPr>
        <w:t xml:space="preserve"> therefore, deemed safe for both the patient and the specialist. Despite this, every caution should be taken to ensure the safety and the well-being of both the patient and the specialists. (Matsumoto et al,2016).</w:t>
      </w:r>
    </w:p>
    <w:p w14:paraId="17B61337" w14:textId="3C49F0C1" w:rsidR="00A41B39" w:rsidRPr="00A925AF" w:rsidRDefault="008C4E9C" w:rsidP="00A925AF">
      <w:pPr>
        <w:spacing w:line="360" w:lineRule="auto"/>
        <w:rPr>
          <w:rFonts w:ascii="Arial" w:hAnsi="Arial" w:cs="Arial"/>
          <w:sz w:val="24"/>
          <w:szCs w:val="24"/>
        </w:rPr>
      </w:pPr>
      <w:r w:rsidRPr="00A925AF">
        <w:rPr>
          <w:rFonts w:ascii="Arial" w:hAnsi="Arial" w:cs="Arial"/>
          <w:sz w:val="24"/>
          <w:szCs w:val="24"/>
        </w:rPr>
        <w:t>In conclusion,</w:t>
      </w:r>
      <w:r w:rsidR="00A41B39" w:rsidRPr="00A925AF">
        <w:rPr>
          <w:rFonts w:ascii="Arial" w:hAnsi="Arial" w:cs="Arial"/>
          <w:sz w:val="24"/>
          <w:szCs w:val="24"/>
        </w:rPr>
        <w:t xml:space="preserve"> </w:t>
      </w:r>
      <w:r w:rsidRPr="00A925AF">
        <w:rPr>
          <w:rFonts w:ascii="Arial" w:hAnsi="Arial" w:cs="Arial"/>
          <w:sz w:val="24"/>
          <w:szCs w:val="24"/>
        </w:rPr>
        <w:t>moxibustion is an invaluable aid in the treatment of certain types of illnesses if used</w:t>
      </w:r>
      <w:r w:rsidR="00A41B39" w:rsidRPr="00A925AF">
        <w:rPr>
          <w:rFonts w:ascii="Arial" w:hAnsi="Arial" w:cs="Arial"/>
          <w:sz w:val="24"/>
          <w:szCs w:val="24"/>
        </w:rPr>
        <w:t xml:space="preserve"> in combination with allopathic medicine. However, </w:t>
      </w:r>
      <w:r w:rsidRPr="00A925AF">
        <w:rPr>
          <w:rFonts w:ascii="Arial" w:hAnsi="Arial" w:cs="Arial"/>
          <w:sz w:val="24"/>
          <w:szCs w:val="24"/>
        </w:rPr>
        <w:t>more</w:t>
      </w:r>
      <w:r w:rsidR="00A41B39" w:rsidRPr="00A925AF">
        <w:rPr>
          <w:rFonts w:ascii="Arial" w:hAnsi="Arial" w:cs="Arial"/>
          <w:sz w:val="24"/>
          <w:szCs w:val="24"/>
        </w:rPr>
        <w:t xml:space="preserve"> research </w:t>
      </w:r>
      <w:r w:rsidR="00A41B39" w:rsidRPr="00A925AF">
        <w:rPr>
          <w:rFonts w:ascii="Arial" w:hAnsi="Arial" w:cs="Arial"/>
          <w:sz w:val="24"/>
          <w:szCs w:val="24"/>
        </w:rPr>
        <w:lastRenderedPageBreak/>
        <w:t xml:space="preserve">and clinical trials need to be done to further ensure the safety of both patients and practitioner and to understand the full spectrum of the efficacy of moxibustion.  </w:t>
      </w:r>
    </w:p>
    <w:p w14:paraId="2CDD63DE" w14:textId="24C0E8F7" w:rsidR="00AE492F" w:rsidRPr="00A925AF" w:rsidRDefault="00D8722E" w:rsidP="00A925AF">
      <w:pPr>
        <w:spacing w:line="360" w:lineRule="auto"/>
        <w:rPr>
          <w:rFonts w:ascii="Arial" w:hAnsi="Arial" w:cs="Arial"/>
          <w:sz w:val="24"/>
          <w:szCs w:val="24"/>
        </w:rPr>
      </w:pPr>
      <w:r w:rsidRPr="00A925AF">
        <w:rPr>
          <w:rFonts w:ascii="Arial" w:hAnsi="Arial" w:cs="Arial"/>
          <w:sz w:val="24"/>
          <w:szCs w:val="24"/>
        </w:rPr>
        <w:t xml:space="preserve"> </w:t>
      </w:r>
    </w:p>
    <w:p w14:paraId="329120E8" w14:textId="77777777" w:rsidR="00586271" w:rsidRPr="00A925AF" w:rsidRDefault="00586271" w:rsidP="00A925AF">
      <w:pPr>
        <w:spacing w:line="360" w:lineRule="auto"/>
        <w:rPr>
          <w:rFonts w:ascii="Arial" w:hAnsi="Arial" w:cs="Arial"/>
          <w:sz w:val="24"/>
          <w:szCs w:val="24"/>
        </w:rPr>
      </w:pPr>
    </w:p>
    <w:p w14:paraId="50B4C601" w14:textId="424D826B" w:rsidR="009D0D55" w:rsidRPr="00A925AF" w:rsidRDefault="00586271" w:rsidP="00A925AF">
      <w:pPr>
        <w:spacing w:line="360" w:lineRule="auto"/>
        <w:rPr>
          <w:rFonts w:ascii="Arial" w:hAnsi="Arial" w:cs="Arial"/>
          <w:sz w:val="24"/>
          <w:szCs w:val="24"/>
        </w:rPr>
      </w:pPr>
      <w:r w:rsidRPr="00A925AF">
        <w:rPr>
          <w:rFonts w:ascii="Arial" w:hAnsi="Arial" w:cs="Arial"/>
          <w:sz w:val="24"/>
          <w:szCs w:val="24"/>
        </w:rPr>
        <w:t>References</w:t>
      </w:r>
    </w:p>
    <w:p w14:paraId="0AAE2829" w14:textId="3841EF15" w:rsidR="001627E8" w:rsidRPr="00A925AF" w:rsidRDefault="001627E8" w:rsidP="00A925AF">
      <w:pPr>
        <w:tabs>
          <w:tab w:val="num" w:pos="720"/>
        </w:tabs>
        <w:spacing w:line="360" w:lineRule="auto"/>
        <w:rPr>
          <w:rFonts w:ascii="Arial" w:hAnsi="Arial" w:cs="Arial"/>
          <w:sz w:val="24"/>
          <w:szCs w:val="24"/>
          <w:lang w:val="en-US"/>
        </w:rPr>
      </w:pPr>
      <w:r w:rsidRPr="00A925AF">
        <w:rPr>
          <w:rFonts w:ascii="Arial" w:hAnsi="Arial" w:cs="Arial"/>
          <w:sz w:val="24"/>
          <w:szCs w:val="24"/>
          <w:lang w:val="en-US"/>
        </w:rPr>
        <w:t>Acupuncture.org.uk. 2020. </w:t>
      </w:r>
      <w:r w:rsidRPr="00A925AF">
        <w:rPr>
          <w:rFonts w:ascii="Arial" w:hAnsi="Arial" w:cs="Arial"/>
          <w:i/>
          <w:iCs/>
          <w:sz w:val="24"/>
          <w:szCs w:val="24"/>
          <w:lang w:val="en-US"/>
        </w:rPr>
        <w:t>Moxa and Moxibustion</w:t>
      </w:r>
      <w:r w:rsidRPr="00A925AF">
        <w:rPr>
          <w:rFonts w:ascii="Arial" w:hAnsi="Arial" w:cs="Arial"/>
          <w:sz w:val="24"/>
          <w:szCs w:val="24"/>
          <w:lang w:val="en-US"/>
        </w:rPr>
        <w:t>. [online] Available at: &lt;https://www.acupuncture.org.uk/public-content/public-styles/1124-moxa-and-moxibustion.html&gt; [Accessed 10 August 2020].</w:t>
      </w:r>
    </w:p>
    <w:p w14:paraId="547DC7C1" w14:textId="65776048" w:rsidR="00B520E0" w:rsidRPr="00A925AF" w:rsidRDefault="00B520E0" w:rsidP="00A925AF">
      <w:pPr>
        <w:spacing w:line="360" w:lineRule="auto"/>
        <w:rPr>
          <w:rFonts w:ascii="Arial" w:hAnsi="Arial" w:cs="Arial"/>
          <w:sz w:val="24"/>
          <w:szCs w:val="24"/>
        </w:rPr>
      </w:pPr>
      <w:proofErr w:type="spellStart"/>
      <w:r w:rsidRPr="00A925AF">
        <w:rPr>
          <w:rFonts w:ascii="Arial" w:hAnsi="Arial" w:cs="Arial"/>
          <w:sz w:val="24"/>
          <w:szCs w:val="24"/>
        </w:rPr>
        <w:t>BAcC</w:t>
      </w:r>
      <w:proofErr w:type="spellEnd"/>
      <w:r w:rsidRPr="00A925AF">
        <w:rPr>
          <w:rFonts w:ascii="Arial" w:hAnsi="Arial" w:cs="Arial"/>
          <w:sz w:val="24"/>
          <w:szCs w:val="24"/>
        </w:rPr>
        <w:t xml:space="preserve"> (2016) Welcome to the British Acupuncture Council. Available at: https://www.acupuncture.org.uk/ (Accessed: 25 August 2020).</w:t>
      </w:r>
    </w:p>
    <w:p w14:paraId="564766BD" w14:textId="77777777" w:rsidR="001627E8" w:rsidRPr="00A925AF" w:rsidRDefault="001627E8" w:rsidP="00A925AF">
      <w:pPr>
        <w:tabs>
          <w:tab w:val="num" w:pos="720"/>
        </w:tabs>
        <w:spacing w:line="360" w:lineRule="auto"/>
        <w:rPr>
          <w:rFonts w:ascii="Arial" w:hAnsi="Arial" w:cs="Arial"/>
          <w:sz w:val="24"/>
          <w:szCs w:val="24"/>
        </w:rPr>
      </w:pPr>
      <w:r w:rsidRPr="00A925AF">
        <w:rPr>
          <w:rFonts w:ascii="Arial" w:hAnsi="Arial" w:cs="Arial"/>
          <w:sz w:val="24"/>
          <w:szCs w:val="24"/>
          <w:lang w:val="en-US"/>
        </w:rPr>
        <w:t>Brown, B. and Cao, C. (2019) ‘Understanding Chinese medicine and western medicine to reach the maximum treatment benefit’, Journal of translational science. Available at: https://www.oatext.com/pdf/JTS-5-334.pdf (Accessed: 2 August 2020).</w:t>
      </w:r>
    </w:p>
    <w:p w14:paraId="0C3D4332" w14:textId="77777777" w:rsidR="001627E8" w:rsidRPr="00A925AF" w:rsidRDefault="001627E8" w:rsidP="00A925AF">
      <w:pPr>
        <w:tabs>
          <w:tab w:val="num" w:pos="720"/>
        </w:tabs>
        <w:spacing w:line="360" w:lineRule="auto"/>
        <w:rPr>
          <w:rFonts w:ascii="Arial" w:hAnsi="Arial" w:cs="Arial"/>
          <w:sz w:val="24"/>
          <w:szCs w:val="24"/>
        </w:rPr>
      </w:pPr>
      <w:r w:rsidRPr="00A925AF">
        <w:rPr>
          <w:rFonts w:ascii="Arial" w:hAnsi="Arial" w:cs="Arial"/>
          <w:sz w:val="24"/>
          <w:szCs w:val="24"/>
        </w:rPr>
        <w:t>Chelwest.nhs.uk. 2020. </w:t>
      </w:r>
      <w:r w:rsidRPr="00A925AF">
        <w:rPr>
          <w:rFonts w:ascii="Arial" w:hAnsi="Arial" w:cs="Arial"/>
          <w:i/>
          <w:iCs/>
          <w:sz w:val="24"/>
          <w:szCs w:val="24"/>
        </w:rPr>
        <w:t>Breech Baby — Chelsea And Westminster Hospital NHS Foundation Trust</w:t>
      </w:r>
      <w:r w:rsidRPr="00A925AF">
        <w:rPr>
          <w:rFonts w:ascii="Arial" w:hAnsi="Arial" w:cs="Arial"/>
          <w:sz w:val="24"/>
          <w:szCs w:val="24"/>
        </w:rPr>
        <w:t>. (online) Available at: &lt;https://www.chelwest.nhs.uk/services/maternity/our-services/your-pregnancy/a-breech-baby&gt; (Accessed 3 August 2020).</w:t>
      </w:r>
    </w:p>
    <w:p w14:paraId="2547832C" w14:textId="63618A9D" w:rsidR="001627E8" w:rsidRPr="00A925AF" w:rsidRDefault="001627E8" w:rsidP="00A925AF">
      <w:pPr>
        <w:tabs>
          <w:tab w:val="num" w:pos="720"/>
        </w:tabs>
        <w:spacing w:line="360" w:lineRule="auto"/>
        <w:rPr>
          <w:rFonts w:ascii="Arial" w:hAnsi="Arial" w:cs="Arial"/>
          <w:sz w:val="24"/>
          <w:szCs w:val="24"/>
          <w:lang w:val="en-US"/>
        </w:rPr>
      </w:pPr>
      <w:r w:rsidRPr="00A925AF">
        <w:rPr>
          <w:rFonts w:ascii="Arial" w:hAnsi="Arial" w:cs="Arial"/>
          <w:sz w:val="24"/>
          <w:szCs w:val="24"/>
          <w:lang w:val="en-US"/>
        </w:rPr>
        <w:t xml:space="preserve">Jafari, S., </w:t>
      </w:r>
      <w:proofErr w:type="spellStart"/>
      <w:r w:rsidRPr="00A925AF">
        <w:rPr>
          <w:rFonts w:ascii="Arial" w:hAnsi="Arial" w:cs="Arial"/>
          <w:sz w:val="24"/>
          <w:szCs w:val="24"/>
          <w:lang w:val="en-US"/>
        </w:rPr>
        <w:t>Abdollahi</w:t>
      </w:r>
      <w:proofErr w:type="spellEnd"/>
      <w:r w:rsidRPr="00A925AF">
        <w:rPr>
          <w:rFonts w:ascii="Arial" w:hAnsi="Arial" w:cs="Arial"/>
          <w:sz w:val="24"/>
          <w:szCs w:val="24"/>
          <w:lang w:val="en-US"/>
        </w:rPr>
        <w:t xml:space="preserve">, M. and </w:t>
      </w:r>
      <w:proofErr w:type="spellStart"/>
      <w:r w:rsidRPr="00A925AF">
        <w:rPr>
          <w:rFonts w:ascii="Arial" w:hAnsi="Arial" w:cs="Arial"/>
          <w:sz w:val="24"/>
          <w:szCs w:val="24"/>
          <w:lang w:val="en-US"/>
        </w:rPr>
        <w:t>Saeidnia</w:t>
      </w:r>
      <w:proofErr w:type="spellEnd"/>
      <w:r w:rsidRPr="00A925AF">
        <w:rPr>
          <w:rFonts w:ascii="Arial" w:hAnsi="Arial" w:cs="Arial"/>
          <w:sz w:val="24"/>
          <w:szCs w:val="24"/>
          <w:lang w:val="en-US"/>
        </w:rPr>
        <w:t>, S. (2014) ‘Personalized medicine: a confluence of traditional and contemporary medicine’, Alternative Therapies in Health and Medicine, 20(5), pp. 31–40.</w:t>
      </w:r>
    </w:p>
    <w:p w14:paraId="300FA199" w14:textId="278745EC" w:rsidR="00B520E0" w:rsidRPr="00A925AF" w:rsidRDefault="00B520E0" w:rsidP="00A925AF">
      <w:pPr>
        <w:spacing w:line="360" w:lineRule="auto"/>
        <w:rPr>
          <w:rFonts w:ascii="Arial" w:hAnsi="Arial" w:cs="Arial"/>
          <w:sz w:val="24"/>
          <w:szCs w:val="24"/>
        </w:rPr>
      </w:pPr>
      <w:proofErr w:type="spellStart"/>
      <w:r w:rsidRPr="00A925AF">
        <w:rPr>
          <w:rFonts w:ascii="Arial" w:hAnsi="Arial" w:cs="Arial"/>
          <w:sz w:val="24"/>
          <w:szCs w:val="24"/>
        </w:rPr>
        <w:t>Leem</w:t>
      </w:r>
      <w:proofErr w:type="spellEnd"/>
      <w:r w:rsidRPr="00A925AF">
        <w:rPr>
          <w:rFonts w:ascii="Arial" w:hAnsi="Arial" w:cs="Arial"/>
          <w:sz w:val="24"/>
          <w:szCs w:val="24"/>
        </w:rPr>
        <w:t xml:space="preserve">, J. et al. (2017) ‘Effectiveness and safety of moxibustion treatment for non-specific lower back pain: protocol for a systematic review’, BMJ Open, 7(6). </w:t>
      </w:r>
      <w:proofErr w:type="spellStart"/>
      <w:r w:rsidRPr="00A925AF">
        <w:rPr>
          <w:rFonts w:ascii="Arial" w:hAnsi="Arial" w:cs="Arial"/>
          <w:sz w:val="24"/>
          <w:szCs w:val="24"/>
        </w:rPr>
        <w:t>doi</w:t>
      </w:r>
      <w:proofErr w:type="spellEnd"/>
      <w:r w:rsidRPr="00A925AF">
        <w:rPr>
          <w:rFonts w:ascii="Arial" w:hAnsi="Arial" w:cs="Arial"/>
          <w:sz w:val="24"/>
          <w:szCs w:val="24"/>
        </w:rPr>
        <w:t>: 10.1136/bmjopen-2016-014936.</w:t>
      </w:r>
    </w:p>
    <w:p w14:paraId="437FF6B1" w14:textId="0B923D1D" w:rsidR="001627E8" w:rsidRPr="00A925AF" w:rsidRDefault="001627E8" w:rsidP="00A925AF">
      <w:pPr>
        <w:tabs>
          <w:tab w:val="num" w:pos="720"/>
        </w:tabs>
        <w:spacing w:line="360" w:lineRule="auto"/>
        <w:rPr>
          <w:rFonts w:ascii="Arial" w:hAnsi="Arial" w:cs="Arial"/>
          <w:sz w:val="24"/>
          <w:szCs w:val="24"/>
          <w:lang w:val="en-US"/>
        </w:rPr>
      </w:pPr>
      <w:r w:rsidRPr="00A925AF">
        <w:rPr>
          <w:rFonts w:ascii="Arial" w:hAnsi="Arial" w:cs="Arial"/>
          <w:sz w:val="24"/>
          <w:szCs w:val="24"/>
          <w:lang w:val="en-US"/>
        </w:rPr>
        <w:t>Li, L. et al. (2019) ‘The Role of Chinese Medicine in Health Maintenance and Disease Prevention: Application of Constitution Theory’, The American Journal of Chinese Medicine, 47(03), pp. 495–506.</w:t>
      </w:r>
    </w:p>
    <w:p w14:paraId="15488F73" w14:textId="77777777"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 xml:space="preserve">Matsumoto, T., </w:t>
      </w:r>
      <w:proofErr w:type="spellStart"/>
      <w:r w:rsidRPr="00A925AF">
        <w:rPr>
          <w:rFonts w:ascii="Arial" w:hAnsi="Arial" w:cs="Arial"/>
          <w:sz w:val="24"/>
          <w:szCs w:val="24"/>
        </w:rPr>
        <w:t>Katai</w:t>
      </w:r>
      <w:proofErr w:type="spellEnd"/>
      <w:r w:rsidRPr="00A925AF">
        <w:rPr>
          <w:rFonts w:ascii="Arial" w:hAnsi="Arial" w:cs="Arial"/>
          <w:sz w:val="24"/>
          <w:szCs w:val="24"/>
        </w:rPr>
        <w:t xml:space="preserve">, S. and </w:t>
      </w:r>
      <w:proofErr w:type="spellStart"/>
      <w:r w:rsidRPr="00A925AF">
        <w:rPr>
          <w:rFonts w:ascii="Arial" w:hAnsi="Arial" w:cs="Arial"/>
          <w:sz w:val="24"/>
          <w:szCs w:val="24"/>
        </w:rPr>
        <w:t>Namiki</w:t>
      </w:r>
      <w:proofErr w:type="spellEnd"/>
      <w:r w:rsidRPr="00A925AF">
        <w:rPr>
          <w:rFonts w:ascii="Arial" w:hAnsi="Arial" w:cs="Arial"/>
          <w:sz w:val="24"/>
          <w:szCs w:val="24"/>
        </w:rPr>
        <w:t xml:space="preserve">, T. (2016) ‘Safety of smoke generated by Japanese moxa upon combustion’, European Journal of Integrative Medicine, 8(4), pp. 414–422. </w:t>
      </w:r>
      <w:proofErr w:type="spellStart"/>
      <w:r w:rsidRPr="00A925AF">
        <w:rPr>
          <w:rFonts w:ascii="Arial" w:hAnsi="Arial" w:cs="Arial"/>
          <w:sz w:val="24"/>
          <w:szCs w:val="24"/>
        </w:rPr>
        <w:t>doi</w:t>
      </w:r>
      <w:proofErr w:type="spellEnd"/>
      <w:r w:rsidRPr="00A925AF">
        <w:rPr>
          <w:rFonts w:ascii="Arial" w:hAnsi="Arial" w:cs="Arial"/>
          <w:sz w:val="24"/>
          <w:szCs w:val="24"/>
        </w:rPr>
        <w:t>: 10.1016/j.eujim.2016.03.005.</w:t>
      </w:r>
    </w:p>
    <w:p w14:paraId="043F34DD" w14:textId="1ADC19E2"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lastRenderedPageBreak/>
        <w:t xml:space="preserve">National Institute on Drug abuse (2018) Can a person become addicted to medications prescribed by a </w:t>
      </w:r>
      <w:proofErr w:type="gramStart"/>
      <w:r w:rsidRPr="00A925AF">
        <w:rPr>
          <w:rFonts w:ascii="Arial" w:hAnsi="Arial" w:cs="Arial"/>
          <w:sz w:val="24"/>
          <w:szCs w:val="24"/>
        </w:rPr>
        <w:t>doctor?,</w:t>
      </w:r>
      <w:proofErr w:type="gramEnd"/>
      <w:r w:rsidRPr="00A925AF">
        <w:rPr>
          <w:rFonts w:ascii="Arial" w:hAnsi="Arial" w:cs="Arial"/>
          <w:sz w:val="24"/>
          <w:szCs w:val="24"/>
        </w:rPr>
        <w:t xml:space="preserve"> National Institute on Drug Abuse. Available at: https://www.drugabuse.gov/publications/principles-drug-addiction-treatment-research-based-guide-third-edition/frequently-asked-questions/can-person-become-addicted-to-medications-prescribed-by (Accessed: 16 August 2020).</w:t>
      </w:r>
    </w:p>
    <w:p w14:paraId="08D9B797" w14:textId="4929D25D"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NHS, (2019) 1 in 4 people take ‘addictive’ medicines, finds review, nhs.uk. Available at: https://www.nhs.uk/news/medication/1-4-people-take-addictive-medicines-finds-review/ (Accessed: 16 August 2020).</w:t>
      </w:r>
    </w:p>
    <w:p w14:paraId="64780FA7" w14:textId="4E65294B"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Nowakowski (2016) ‘The Healing Power of Moxa’, Daoist Traditions College, 5 October. Available at: https://daoisttraditions.edu/healing-power-moxa/ (Accessed: 30 July 2020).</w:t>
      </w:r>
    </w:p>
    <w:p w14:paraId="1F27B7A0" w14:textId="4D14AD4B" w:rsidR="001627E8" w:rsidRPr="00A925AF" w:rsidRDefault="001627E8" w:rsidP="00A925AF">
      <w:pPr>
        <w:tabs>
          <w:tab w:val="num" w:pos="720"/>
        </w:tabs>
        <w:spacing w:line="360" w:lineRule="auto"/>
        <w:rPr>
          <w:rFonts w:ascii="Arial" w:hAnsi="Arial" w:cs="Arial"/>
          <w:sz w:val="24"/>
          <w:szCs w:val="24"/>
        </w:rPr>
      </w:pPr>
      <w:r w:rsidRPr="00A925AF">
        <w:rPr>
          <w:rFonts w:ascii="Arial" w:hAnsi="Arial" w:cs="Arial"/>
          <w:sz w:val="24"/>
          <w:szCs w:val="24"/>
        </w:rPr>
        <w:t>NICE. 2020. </w:t>
      </w:r>
      <w:r w:rsidRPr="00A925AF">
        <w:rPr>
          <w:rFonts w:ascii="Arial" w:hAnsi="Arial" w:cs="Arial"/>
          <w:i/>
          <w:iCs/>
          <w:sz w:val="24"/>
          <w:szCs w:val="24"/>
        </w:rPr>
        <w:t>Find Guidance</w:t>
      </w:r>
      <w:r w:rsidRPr="00A925AF">
        <w:rPr>
          <w:rFonts w:ascii="Arial" w:hAnsi="Arial" w:cs="Arial"/>
          <w:sz w:val="24"/>
          <w:szCs w:val="24"/>
        </w:rPr>
        <w:t>. [online] Available at: &lt;https://www.nice.org.uk/guidance&gt; [Accessed 10 August 2020].</w:t>
      </w:r>
    </w:p>
    <w:p w14:paraId="51BC2800" w14:textId="19EE02FB" w:rsidR="001627E8" w:rsidRPr="00A925AF" w:rsidRDefault="001627E8" w:rsidP="00A925AF">
      <w:pPr>
        <w:tabs>
          <w:tab w:val="num" w:pos="720"/>
        </w:tabs>
        <w:spacing w:line="360" w:lineRule="auto"/>
        <w:rPr>
          <w:rFonts w:ascii="Arial" w:hAnsi="Arial" w:cs="Arial"/>
          <w:sz w:val="24"/>
          <w:szCs w:val="24"/>
          <w:lang w:val="en-US"/>
        </w:rPr>
      </w:pPr>
      <w:r w:rsidRPr="00A925AF">
        <w:rPr>
          <w:rFonts w:ascii="Arial" w:hAnsi="Arial" w:cs="Arial"/>
          <w:sz w:val="24"/>
          <w:szCs w:val="24"/>
          <w:lang w:val="en-US"/>
        </w:rPr>
        <w:t>Personalcaremagazine.com. 2020. </w:t>
      </w:r>
      <w:r w:rsidRPr="00A925AF">
        <w:rPr>
          <w:rFonts w:ascii="Arial" w:hAnsi="Arial" w:cs="Arial"/>
          <w:i/>
          <w:iCs/>
          <w:sz w:val="24"/>
          <w:szCs w:val="24"/>
          <w:lang w:val="en-US"/>
        </w:rPr>
        <w:t>Personal Care Magazine Latest Feature Articles</w:t>
      </w:r>
      <w:r w:rsidRPr="00A925AF">
        <w:rPr>
          <w:rFonts w:ascii="Arial" w:hAnsi="Arial" w:cs="Arial"/>
          <w:sz w:val="24"/>
          <w:szCs w:val="24"/>
          <w:lang w:val="en-US"/>
        </w:rPr>
        <w:t>. [online] Available at: &lt;https://www.personalcaremagazine.com/features&gt; [Accessed 11 August 2020].</w:t>
      </w:r>
    </w:p>
    <w:p w14:paraId="5AF51DC4" w14:textId="0B995C9C"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 xml:space="preserve">Pritchard S (2010) </w:t>
      </w:r>
      <w:proofErr w:type="spellStart"/>
      <w:r w:rsidRPr="00A925AF">
        <w:rPr>
          <w:rFonts w:ascii="Arial" w:hAnsi="Arial" w:cs="Arial"/>
          <w:sz w:val="24"/>
          <w:szCs w:val="24"/>
        </w:rPr>
        <w:t>Tui</w:t>
      </w:r>
      <w:proofErr w:type="spellEnd"/>
      <w:r w:rsidRPr="00A925AF">
        <w:rPr>
          <w:rFonts w:ascii="Arial" w:hAnsi="Arial" w:cs="Arial"/>
          <w:sz w:val="24"/>
          <w:szCs w:val="24"/>
        </w:rPr>
        <w:t xml:space="preserve"> Na - an overview | ScienceDirect Topics. Available at: https://www-sciencedirect-com.ezproxy.uwtsd.ac.uk/topics/medicine-and-dentistry/tui-na (Accessed: 20 August 2020).</w:t>
      </w:r>
    </w:p>
    <w:p w14:paraId="3A576EA7" w14:textId="630F6E4B" w:rsidR="001627E8" w:rsidRPr="00A925AF" w:rsidRDefault="00B520E0" w:rsidP="00A925AF">
      <w:pPr>
        <w:spacing w:line="360" w:lineRule="auto"/>
        <w:rPr>
          <w:rFonts w:ascii="Arial" w:hAnsi="Arial" w:cs="Arial"/>
          <w:sz w:val="24"/>
          <w:szCs w:val="24"/>
          <w:lang w:val="en-US"/>
        </w:rPr>
      </w:pPr>
      <w:r w:rsidRPr="00A925AF">
        <w:rPr>
          <w:rFonts w:ascii="Arial" w:hAnsi="Arial" w:cs="Arial"/>
          <w:sz w:val="24"/>
          <w:szCs w:val="24"/>
          <w:lang w:val="en-US"/>
        </w:rPr>
        <w:t>Taking Charge of Your Health &amp; Wellbeing. 2020. </w:t>
      </w:r>
      <w:r w:rsidRPr="00A925AF">
        <w:rPr>
          <w:rFonts w:ascii="Arial" w:hAnsi="Arial" w:cs="Arial"/>
          <w:i/>
          <w:iCs/>
          <w:sz w:val="24"/>
          <w:szCs w:val="24"/>
          <w:lang w:val="en-US"/>
        </w:rPr>
        <w:t xml:space="preserve">Moxibustion | Taking Charge </w:t>
      </w:r>
      <w:proofErr w:type="gramStart"/>
      <w:r w:rsidRPr="00A925AF">
        <w:rPr>
          <w:rFonts w:ascii="Arial" w:hAnsi="Arial" w:cs="Arial"/>
          <w:i/>
          <w:iCs/>
          <w:sz w:val="24"/>
          <w:szCs w:val="24"/>
          <w:lang w:val="en-US"/>
        </w:rPr>
        <w:t>Of</w:t>
      </w:r>
      <w:proofErr w:type="gramEnd"/>
      <w:r w:rsidRPr="00A925AF">
        <w:rPr>
          <w:rFonts w:ascii="Arial" w:hAnsi="Arial" w:cs="Arial"/>
          <w:i/>
          <w:iCs/>
          <w:sz w:val="24"/>
          <w:szCs w:val="24"/>
          <w:lang w:val="en-US"/>
        </w:rPr>
        <w:t xml:space="preserve"> Your Health &amp;      Wellbeing</w:t>
      </w:r>
      <w:r w:rsidRPr="00A925AF">
        <w:rPr>
          <w:rFonts w:ascii="Arial" w:hAnsi="Arial" w:cs="Arial"/>
          <w:sz w:val="24"/>
          <w:szCs w:val="24"/>
          <w:lang w:val="en-US"/>
        </w:rPr>
        <w:t>. (online) Available at: </w:t>
      </w:r>
      <w:hyperlink r:id="rId8" w:history="1">
        <w:r w:rsidRPr="00A925AF">
          <w:rPr>
            <w:rStyle w:val="Hyperlink"/>
            <w:rFonts w:ascii="Arial" w:hAnsi="Arial" w:cs="Arial"/>
            <w:sz w:val="24"/>
            <w:szCs w:val="24"/>
            <w:lang w:val="en-US"/>
          </w:rPr>
          <w:t>https://www.takingcharge.csh.umn.edu/explore-healing-practices/moxibustion</w:t>
        </w:r>
      </w:hyperlink>
      <w:r w:rsidRPr="00A925AF">
        <w:rPr>
          <w:rFonts w:ascii="Arial" w:hAnsi="Arial" w:cs="Arial"/>
          <w:sz w:val="24"/>
          <w:szCs w:val="24"/>
          <w:lang w:val="en-US"/>
        </w:rPr>
        <w:t xml:space="preserve"> (Accessed 4 August 2020).</w:t>
      </w:r>
    </w:p>
    <w:p w14:paraId="6207279C" w14:textId="30CF7E71"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 xml:space="preserve">Wang, C. et al. (2019) ‘Moxibustion as a Therapy for Breast Cancer–Related Lymphedema in Female Adults: A Preliminary Randomized Controlled Trial’, Integrative Cancer Therapies. SAGE Publications Inc STM, 18, p. 1534735419866919. </w:t>
      </w:r>
      <w:proofErr w:type="spellStart"/>
      <w:r w:rsidRPr="00A925AF">
        <w:rPr>
          <w:rFonts w:ascii="Arial" w:hAnsi="Arial" w:cs="Arial"/>
          <w:sz w:val="24"/>
          <w:szCs w:val="24"/>
        </w:rPr>
        <w:t>doi</w:t>
      </w:r>
      <w:proofErr w:type="spellEnd"/>
      <w:r w:rsidRPr="00A925AF">
        <w:rPr>
          <w:rFonts w:ascii="Arial" w:hAnsi="Arial" w:cs="Arial"/>
          <w:sz w:val="24"/>
          <w:szCs w:val="24"/>
        </w:rPr>
        <w:t>: 10.1177/1534735419866919.</w:t>
      </w:r>
    </w:p>
    <w:p w14:paraId="473CD0AA" w14:textId="77777777" w:rsidR="001627E8" w:rsidRPr="00A925AF" w:rsidRDefault="001627E8" w:rsidP="00A925AF">
      <w:pPr>
        <w:spacing w:line="360" w:lineRule="auto"/>
        <w:rPr>
          <w:rFonts w:ascii="Arial" w:hAnsi="Arial" w:cs="Arial"/>
          <w:sz w:val="24"/>
          <w:szCs w:val="24"/>
        </w:rPr>
      </w:pPr>
      <w:r w:rsidRPr="00A925AF">
        <w:rPr>
          <w:rFonts w:ascii="Arial" w:hAnsi="Arial" w:cs="Arial"/>
          <w:sz w:val="24"/>
          <w:szCs w:val="24"/>
          <w:lang w:val="en-US"/>
        </w:rPr>
        <w:t>Wang, S., Long, S. and Wu, W. (2018) ‘Application of Traditional Chinese Medicines as Personalized Therapy in Human Cancers’, The American Journal of Chinese Medicine, 46(5), pp. 953–970.</w:t>
      </w:r>
    </w:p>
    <w:p w14:paraId="2A80AF79" w14:textId="77777777" w:rsidR="001627E8" w:rsidRPr="00A925AF" w:rsidRDefault="001627E8" w:rsidP="00A925AF">
      <w:pPr>
        <w:spacing w:line="360" w:lineRule="auto"/>
        <w:rPr>
          <w:rFonts w:ascii="Arial" w:hAnsi="Arial" w:cs="Arial"/>
          <w:sz w:val="24"/>
          <w:szCs w:val="24"/>
        </w:rPr>
      </w:pPr>
      <w:proofErr w:type="spellStart"/>
      <w:r w:rsidRPr="00A925AF">
        <w:rPr>
          <w:rFonts w:ascii="Arial" w:hAnsi="Arial" w:cs="Arial"/>
          <w:sz w:val="24"/>
          <w:szCs w:val="24"/>
          <w:lang w:val="en-US"/>
        </w:rPr>
        <w:lastRenderedPageBreak/>
        <w:t>Xiaoxiang</w:t>
      </w:r>
      <w:proofErr w:type="spellEnd"/>
      <w:r w:rsidRPr="00A925AF">
        <w:rPr>
          <w:rFonts w:ascii="Arial" w:hAnsi="Arial" w:cs="Arial"/>
          <w:sz w:val="24"/>
          <w:szCs w:val="24"/>
          <w:lang w:val="en-US"/>
        </w:rPr>
        <w:t xml:space="preserve">, Z., 2020. </w:t>
      </w:r>
      <w:r w:rsidRPr="00A925AF">
        <w:rPr>
          <w:rFonts w:ascii="Arial" w:hAnsi="Arial" w:cs="Arial"/>
          <w:i/>
          <w:iCs/>
          <w:sz w:val="24"/>
          <w:szCs w:val="24"/>
          <w:lang w:val="en-US"/>
        </w:rPr>
        <w:t xml:space="preserve">Ginger Moxibustion For the Treatment </w:t>
      </w:r>
      <w:proofErr w:type="gramStart"/>
      <w:r w:rsidRPr="00A925AF">
        <w:rPr>
          <w:rFonts w:ascii="Arial" w:hAnsi="Arial" w:cs="Arial"/>
          <w:i/>
          <w:iCs/>
          <w:sz w:val="24"/>
          <w:szCs w:val="24"/>
          <w:lang w:val="en-US"/>
        </w:rPr>
        <w:t>Of</w:t>
      </w:r>
      <w:proofErr w:type="gramEnd"/>
      <w:r w:rsidRPr="00A925AF">
        <w:rPr>
          <w:rFonts w:ascii="Arial" w:hAnsi="Arial" w:cs="Arial"/>
          <w:i/>
          <w:iCs/>
          <w:sz w:val="24"/>
          <w:szCs w:val="24"/>
          <w:lang w:val="en-US"/>
        </w:rPr>
        <w:t xml:space="preserve"> Cervical Vertigo--A Report Of 40 Cases</w:t>
      </w:r>
      <w:r w:rsidRPr="00A925AF">
        <w:rPr>
          <w:rFonts w:ascii="Arial" w:hAnsi="Arial" w:cs="Arial"/>
          <w:sz w:val="24"/>
          <w:szCs w:val="24"/>
          <w:lang w:val="en-US"/>
        </w:rPr>
        <w:t xml:space="preserve">. [online] Go.gale.com. Available at: </w:t>
      </w:r>
      <w:hyperlink r:id="rId9" w:history="1">
        <w:r w:rsidRPr="00A925AF">
          <w:rPr>
            <w:rStyle w:val="Hyperlink"/>
            <w:rFonts w:ascii="Arial" w:hAnsi="Arial" w:cs="Arial"/>
            <w:sz w:val="24"/>
            <w:szCs w:val="24"/>
            <w:lang w:val="en-US"/>
          </w:rPr>
          <w:t>http://go.gale.com/ps/anonymous?id=GALE%7CA154007092&amp;sid=googlescholar&amp;v=2.1&amp;it=r&amp;linkaccess=abs&amp;issn=01438042&amp;p=AONE&amp;sw=w</w:t>
        </w:r>
      </w:hyperlink>
      <w:r w:rsidRPr="00A925AF">
        <w:rPr>
          <w:rFonts w:ascii="Arial" w:hAnsi="Arial" w:cs="Arial"/>
          <w:sz w:val="24"/>
          <w:szCs w:val="24"/>
          <w:lang w:val="en-US"/>
        </w:rPr>
        <w:t xml:space="preserve">  [Accessed 11 August 2020].</w:t>
      </w:r>
    </w:p>
    <w:p w14:paraId="25D88C54" w14:textId="77777777" w:rsidR="001627E8" w:rsidRPr="00A925AF" w:rsidRDefault="001627E8" w:rsidP="00A925AF">
      <w:pPr>
        <w:spacing w:line="360" w:lineRule="auto"/>
        <w:rPr>
          <w:rFonts w:ascii="Arial" w:hAnsi="Arial" w:cs="Arial"/>
          <w:sz w:val="24"/>
          <w:szCs w:val="24"/>
        </w:rPr>
      </w:pPr>
      <w:r w:rsidRPr="00A925AF">
        <w:rPr>
          <w:rFonts w:ascii="Arial" w:hAnsi="Arial" w:cs="Arial"/>
          <w:sz w:val="24"/>
          <w:szCs w:val="24"/>
        </w:rPr>
        <w:t>Xu, J., Deng, H. and Shen, X., 2014. </w:t>
      </w:r>
      <w:r w:rsidRPr="00A925AF">
        <w:rPr>
          <w:rFonts w:ascii="Arial" w:hAnsi="Arial" w:cs="Arial"/>
          <w:i/>
          <w:iCs/>
          <w:sz w:val="24"/>
          <w:szCs w:val="24"/>
        </w:rPr>
        <w:t xml:space="preserve">Safety of Moxibustion: A Systematic Review </w:t>
      </w:r>
      <w:proofErr w:type="gramStart"/>
      <w:r w:rsidRPr="00A925AF">
        <w:rPr>
          <w:rFonts w:ascii="Arial" w:hAnsi="Arial" w:cs="Arial"/>
          <w:i/>
          <w:iCs/>
          <w:sz w:val="24"/>
          <w:szCs w:val="24"/>
        </w:rPr>
        <w:t>Of</w:t>
      </w:r>
      <w:proofErr w:type="gramEnd"/>
      <w:r w:rsidRPr="00A925AF">
        <w:rPr>
          <w:rFonts w:ascii="Arial" w:hAnsi="Arial" w:cs="Arial"/>
          <w:i/>
          <w:iCs/>
          <w:sz w:val="24"/>
          <w:szCs w:val="24"/>
        </w:rPr>
        <w:t xml:space="preserve"> Case Reports</w:t>
      </w:r>
      <w:r w:rsidRPr="00A925AF">
        <w:rPr>
          <w:rFonts w:ascii="Arial" w:hAnsi="Arial" w:cs="Arial"/>
          <w:sz w:val="24"/>
          <w:szCs w:val="24"/>
        </w:rPr>
        <w:t>. [online] Downloads.hindawi.com. Available at: &lt;</w:t>
      </w:r>
      <w:hyperlink r:id="rId10" w:history="1">
        <w:r w:rsidRPr="00A925AF">
          <w:rPr>
            <w:rStyle w:val="Hyperlink"/>
            <w:rFonts w:ascii="Arial" w:hAnsi="Arial" w:cs="Arial"/>
            <w:sz w:val="24"/>
            <w:szCs w:val="24"/>
          </w:rPr>
          <w:t>http://downloads.hindawi.com/journals/ecam/2014/783704.pdf</w:t>
        </w:r>
      </w:hyperlink>
      <w:r w:rsidRPr="00A925AF">
        <w:rPr>
          <w:rFonts w:ascii="Arial" w:hAnsi="Arial" w:cs="Arial"/>
          <w:sz w:val="24"/>
          <w:szCs w:val="24"/>
        </w:rPr>
        <w:t>&gt; [Accessed 11 August 2020].</w:t>
      </w:r>
    </w:p>
    <w:p w14:paraId="75E2CA22" w14:textId="77777777"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 xml:space="preserve">Zhang, R. (2004) ‘[History and current state of moxibustion]’, Zhong Xi Yi </w:t>
      </w:r>
      <w:proofErr w:type="spellStart"/>
      <w:r w:rsidRPr="00A925AF">
        <w:rPr>
          <w:rFonts w:ascii="Arial" w:hAnsi="Arial" w:cs="Arial"/>
          <w:sz w:val="24"/>
          <w:szCs w:val="24"/>
        </w:rPr>
        <w:t>Jie</w:t>
      </w:r>
      <w:proofErr w:type="spellEnd"/>
      <w:r w:rsidRPr="00A925AF">
        <w:rPr>
          <w:rFonts w:ascii="Arial" w:hAnsi="Arial" w:cs="Arial"/>
          <w:sz w:val="24"/>
          <w:szCs w:val="24"/>
        </w:rPr>
        <w:t xml:space="preserve"> He </w:t>
      </w:r>
      <w:proofErr w:type="spellStart"/>
      <w:r w:rsidRPr="00A925AF">
        <w:rPr>
          <w:rFonts w:ascii="Arial" w:hAnsi="Arial" w:cs="Arial"/>
          <w:sz w:val="24"/>
          <w:szCs w:val="24"/>
        </w:rPr>
        <w:t>Xue</w:t>
      </w:r>
      <w:proofErr w:type="spellEnd"/>
      <w:r w:rsidRPr="00A925AF">
        <w:rPr>
          <w:rFonts w:ascii="Arial" w:hAnsi="Arial" w:cs="Arial"/>
          <w:sz w:val="24"/>
          <w:szCs w:val="24"/>
        </w:rPr>
        <w:t xml:space="preserve"> Bao = Journal of Chinese Integrative Medicine, 2(6), pp. 466–473. </w:t>
      </w:r>
      <w:proofErr w:type="spellStart"/>
      <w:r w:rsidRPr="00A925AF">
        <w:rPr>
          <w:rFonts w:ascii="Arial" w:hAnsi="Arial" w:cs="Arial"/>
          <w:sz w:val="24"/>
          <w:szCs w:val="24"/>
        </w:rPr>
        <w:t>doi</w:t>
      </w:r>
      <w:proofErr w:type="spellEnd"/>
      <w:r w:rsidRPr="00A925AF">
        <w:rPr>
          <w:rFonts w:ascii="Arial" w:hAnsi="Arial" w:cs="Arial"/>
          <w:sz w:val="24"/>
          <w:szCs w:val="24"/>
        </w:rPr>
        <w:t>: 10.3736/jcim20040621.</w:t>
      </w:r>
    </w:p>
    <w:p w14:paraId="187173AA" w14:textId="77777777" w:rsidR="00B520E0" w:rsidRPr="00A925AF" w:rsidRDefault="00B520E0" w:rsidP="00A925AF">
      <w:pPr>
        <w:spacing w:line="360" w:lineRule="auto"/>
        <w:rPr>
          <w:rFonts w:ascii="Arial" w:hAnsi="Arial" w:cs="Arial"/>
          <w:sz w:val="24"/>
          <w:szCs w:val="24"/>
        </w:rPr>
      </w:pPr>
      <w:r w:rsidRPr="00A925AF">
        <w:rPr>
          <w:rFonts w:ascii="Arial" w:hAnsi="Arial" w:cs="Arial"/>
          <w:sz w:val="24"/>
          <w:szCs w:val="24"/>
        </w:rPr>
        <w:t xml:space="preserve">Zhu, L.-L. et al. (2017) ‘Comparison of the efficacy between conventional moxibustion and smoke-free moxibustion on knee osteoarthritis: study protocol of a randomized controlled trial’, Trials, 18(1), p. 188. </w:t>
      </w:r>
      <w:proofErr w:type="spellStart"/>
      <w:r w:rsidRPr="00A925AF">
        <w:rPr>
          <w:rFonts w:ascii="Arial" w:hAnsi="Arial" w:cs="Arial"/>
          <w:sz w:val="24"/>
          <w:szCs w:val="24"/>
        </w:rPr>
        <w:t>doi</w:t>
      </w:r>
      <w:proofErr w:type="spellEnd"/>
      <w:r w:rsidRPr="00A925AF">
        <w:rPr>
          <w:rFonts w:ascii="Arial" w:hAnsi="Arial" w:cs="Arial"/>
          <w:sz w:val="24"/>
          <w:szCs w:val="24"/>
        </w:rPr>
        <w:t>: 10.1186/s13063-017-1846-2.</w:t>
      </w:r>
    </w:p>
    <w:p w14:paraId="4B054F94" w14:textId="77777777" w:rsidR="009F2586" w:rsidRPr="00A925AF" w:rsidRDefault="009F2586" w:rsidP="00A925AF">
      <w:pPr>
        <w:spacing w:line="360" w:lineRule="auto"/>
        <w:rPr>
          <w:rFonts w:ascii="Arial" w:hAnsi="Arial" w:cs="Arial"/>
          <w:sz w:val="24"/>
          <w:szCs w:val="24"/>
        </w:rPr>
      </w:pPr>
    </w:p>
    <w:p w14:paraId="1D8C3756" w14:textId="77777777" w:rsidR="009F2586" w:rsidRPr="00A925AF" w:rsidRDefault="009F2586" w:rsidP="00A925AF">
      <w:pPr>
        <w:spacing w:line="360" w:lineRule="auto"/>
        <w:rPr>
          <w:rFonts w:ascii="Arial" w:hAnsi="Arial" w:cs="Arial"/>
          <w:sz w:val="24"/>
          <w:szCs w:val="24"/>
          <w:lang w:val="en-US"/>
        </w:rPr>
      </w:pPr>
    </w:p>
    <w:sectPr w:rsidR="009F2586" w:rsidRPr="00A925AF" w:rsidSect="009F7D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586"/>
    <w:rsid w:val="00011E98"/>
    <w:rsid w:val="000500BF"/>
    <w:rsid w:val="00107AC2"/>
    <w:rsid w:val="001627E8"/>
    <w:rsid w:val="00183EA5"/>
    <w:rsid w:val="001944D4"/>
    <w:rsid w:val="002158C4"/>
    <w:rsid w:val="00244048"/>
    <w:rsid w:val="0031498B"/>
    <w:rsid w:val="00331289"/>
    <w:rsid w:val="003404BF"/>
    <w:rsid w:val="0036407D"/>
    <w:rsid w:val="00384BDB"/>
    <w:rsid w:val="003C150F"/>
    <w:rsid w:val="00430086"/>
    <w:rsid w:val="00444F47"/>
    <w:rsid w:val="00446E3A"/>
    <w:rsid w:val="0048302F"/>
    <w:rsid w:val="0048640A"/>
    <w:rsid w:val="004F5489"/>
    <w:rsid w:val="00506E83"/>
    <w:rsid w:val="00527103"/>
    <w:rsid w:val="00547D94"/>
    <w:rsid w:val="005520C7"/>
    <w:rsid w:val="00586271"/>
    <w:rsid w:val="005A08FB"/>
    <w:rsid w:val="00673590"/>
    <w:rsid w:val="00725EAC"/>
    <w:rsid w:val="00760337"/>
    <w:rsid w:val="00775CDB"/>
    <w:rsid w:val="00845209"/>
    <w:rsid w:val="00885B08"/>
    <w:rsid w:val="008B29C9"/>
    <w:rsid w:val="008C4E9C"/>
    <w:rsid w:val="009D0D55"/>
    <w:rsid w:val="009D662C"/>
    <w:rsid w:val="009F2586"/>
    <w:rsid w:val="009F7DD7"/>
    <w:rsid w:val="00A071A7"/>
    <w:rsid w:val="00A133C8"/>
    <w:rsid w:val="00A41B39"/>
    <w:rsid w:val="00A4500F"/>
    <w:rsid w:val="00A925AF"/>
    <w:rsid w:val="00AE492F"/>
    <w:rsid w:val="00B108CB"/>
    <w:rsid w:val="00B520E0"/>
    <w:rsid w:val="00B56E33"/>
    <w:rsid w:val="00BD4477"/>
    <w:rsid w:val="00BE4958"/>
    <w:rsid w:val="00C45337"/>
    <w:rsid w:val="00CC31AA"/>
    <w:rsid w:val="00D2299D"/>
    <w:rsid w:val="00D402FF"/>
    <w:rsid w:val="00D8722E"/>
    <w:rsid w:val="00DD7D95"/>
    <w:rsid w:val="00DE7575"/>
    <w:rsid w:val="00E1663A"/>
    <w:rsid w:val="00E575B6"/>
    <w:rsid w:val="00EB007A"/>
    <w:rsid w:val="00EE0CB6"/>
    <w:rsid w:val="00F76D54"/>
    <w:rsid w:val="00F96D05"/>
    <w:rsid w:val="00FB2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03D16"/>
  <w15:chartTrackingRefBased/>
  <w15:docId w15:val="{87917046-B01C-4D26-82A9-5435747C7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7E8"/>
    <w:rPr>
      <w:color w:val="0563C1" w:themeColor="hyperlink"/>
      <w:u w:val="single"/>
    </w:rPr>
  </w:style>
  <w:style w:type="character" w:styleId="UnresolvedMention">
    <w:name w:val="Unresolved Mention"/>
    <w:basedOn w:val="DefaultParagraphFont"/>
    <w:uiPriority w:val="99"/>
    <w:semiHidden/>
    <w:unhideWhenUsed/>
    <w:rsid w:val="00B520E0"/>
    <w:rPr>
      <w:color w:val="605E5C"/>
      <w:shd w:val="clear" w:color="auto" w:fill="E1DFDD"/>
    </w:rPr>
  </w:style>
  <w:style w:type="character" w:styleId="FollowedHyperlink">
    <w:name w:val="FollowedHyperlink"/>
    <w:basedOn w:val="DefaultParagraphFont"/>
    <w:uiPriority w:val="99"/>
    <w:semiHidden/>
    <w:unhideWhenUsed/>
    <w:rsid w:val="00B520E0"/>
    <w:rPr>
      <w:color w:val="954F72" w:themeColor="followedHyperlink"/>
      <w:u w:val="single"/>
    </w:rPr>
  </w:style>
  <w:style w:type="paragraph" w:styleId="NoSpacing">
    <w:name w:val="No Spacing"/>
    <w:link w:val="NoSpacingChar"/>
    <w:uiPriority w:val="1"/>
    <w:qFormat/>
    <w:rsid w:val="009F7D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7DD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774294">
      <w:bodyDiv w:val="1"/>
      <w:marLeft w:val="0"/>
      <w:marRight w:val="0"/>
      <w:marTop w:val="0"/>
      <w:marBottom w:val="0"/>
      <w:divBdr>
        <w:top w:val="none" w:sz="0" w:space="0" w:color="auto"/>
        <w:left w:val="none" w:sz="0" w:space="0" w:color="auto"/>
        <w:bottom w:val="none" w:sz="0" w:space="0" w:color="auto"/>
        <w:right w:val="none" w:sz="0" w:space="0" w:color="auto"/>
      </w:divBdr>
      <w:divsChild>
        <w:div w:id="1590189752">
          <w:marLeft w:val="0"/>
          <w:marRight w:val="0"/>
          <w:marTop w:val="0"/>
          <w:marBottom w:val="0"/>
          <w:divBdr>
            <w:top w:val="none" w:sz="0" w:space="0" w:color="auto"/>
            <w:left w:val="none" w:sz="0" w:space="0" w:color="auto"/>
            <w:bottom w:val="none" w:sz="0" w:space="0" w:color="auto"/>
            <w:right w:val="none" w:sz="0" w:space="0" w:color="auto"/>
          </w:divBdr>
        </w:div>
        <w:div w:id="1816071779">
          <w:marLeft w:val="0"/>
          <w:marRight w:val="0"/>
          <w:marTop w:val="0"/>
          <w:marBottom w:val="0"/>
          <w:divBdr>
            <w:top w:val="none" w:sz="0" w:space="0" w:color="auto"/>
            <w:left w:val="none" w:sz="0" w:space="0" w:color="auto"/>
            <w:bottom w:val="none" w:sz="0" w:space="0" w:color="auto"/>
            <w:right w:val="none" w:sz="0" w:space="0" w:color="auto"/>
          </w:divBdr>
        </w:div>
        <w:div w:id="13771842">
          <w:marLeft w:val="0"/>
          <w:marRight w:val="0"/>
          <w:marTop w:val="0"/>
          <w:marBottom w:val="0"/>
          <w:divBdr>
            <w:top w:val="none" w:sz="0" w:space="0" w:color="auto"/>
            <w:left w:val="none" w:sz="0" w:space="0" w:color="auto"/>
            <w:bottom w:val="none" w:sz="0" w:space="0" w:color="auto"/>
            <w:right w:val="none" w:sz="0" w:space="0" w:color="auto"/>
          </w:divBdr>
        </w:div>
        <w:div w:id="499583057">
          <w:marLeft w:val="0"/>
          <w:marRight w:val="0"/>
          <w:marTop w:val="0"/>
          <w:marBottom w:val="0"/>
          <w:divBdr>
            <w:top w:val="none" w:sz="0" w:space="0" w:color="auto"/>
            <w:left w:val="none" w:sz="0" w:space="0" w:color="auto"/>
            <w:bottom w:val="none" w:sz="0" w:space="0" w:color="auto"/>
            <w:right w:val="none" w:sz="0" w:space="0" w:color="auto"/>
          </w:divBdr>
        </w:div>
      </w:divsChild>
    </w:div>
    <w:div w:id="1531652282">
      <w:bodyDiv w:val="1"/>
      <w:marLeft w:val="0"/>
      <w:marRight w:val="0"/>
      <w:marTop w:val="0"/>
      <w:marBottom w:val="0"/>
      <w:divBdr>
        <w:top w:val="none" w:sz="0" w:space="0" w:color="auto"/>
        <w:left w:val="none" w:sz="0" w:space="0" w:color="auto"/>
        <w:bottom w:val="none" w:sz="0" w:space="0" w:color="auto"/>
        <w:right w:val="none" w:sz="0" w:space="0" w:color="auto"/>
      </w:divBdr>
      <w:divsChild>
        <w:div w:id="763957933">
          <w:marLeft w:val="0"/>
          <w:marRight w:val="0"/>
          <w:marTop w:val="0"/>
          <w:marBottom w:val="0"/>
          <w:divBdr>
            <w:top w:val="none" w:sz="0" w:space="0" w:color="auto"/>
            <w:left w:val="none" w:sz="0" w:space="0" w:color="auto"/>
            <w:bottom w:val="none" w:sz="0" w:space="0" w:color="auto"/>
            <w:right w:val="none" w:sz="0" w:space="0" w:color="auto"/>
          </w:divBdr>
        </w:div>
        <w:div w:id="388965791">
          <w:marLeft w:val="0"/>
          <w:marRight w:val="0"/>
          <w:marTop w:val="0"/>
          <w:marBottom w:val="0"/>
          <w:divBdr>
            <w:top w:val="none" w:sz="0" w:space="0" w:color="auto"/>
            <w:left w:val="none" w:sz="0" w:space="0" w:color="auto"/>
            <w:bottom w:val="none" w:sz="0" w:space="0" w:color="auto"/>
            <w:right w:val="none" w:sz="0" w:space="0" w:color="auto"/>
          </w:divBdr>
        </w:div>
        <w:div w:id="1735620684">
          <w:marLeft w:val="0"/>
          <w:marRight w:val="0"/>
          <w:marTop w:val="0"/>
          <w:marBottom w:val="0"/>
          <w:divBdr>
            <w:top w:val="none" w:sz="0" w:space="0" w:color="auto"/>
            <w:left w:val="none" w:sz="0" w:space="0" w:color="auto"/>
            <w:bottom w:val="none" w:sz="0" w:space="0" w:color="auto"/>
            <w:right w:val="none" w:sz="0" w:space="0" w:color="auto"/>
          </w:divBdr>
        </w:div>
        <w:div w:id="438960293">
          <w:marLeft w:val="0"/>
          <w:marRight w:val="0"/>
          <w:marTop w:val="0"/>
          <w:marBottom w:val="0"/>
          <w:divBdr>
            <w:top w:val="none" w:sz="0" w:space="0" w:color="auto"/>
            <w:left w:val="none" w:sz="0" w:space="0" w:color="auto"/>
            <w:bottom w:val="none" w:sz="0" w:space="0" w:color="auto"/>
            <w:right w:val="none" w:sz="0" w:space="0" w:color="auto"/>
          </w:divBdr>
        </w:div>
        <w:div w:id="1155996505">
          <w:marLeft w:val="0"/>
          <w:marRight w:val="0"/>
          <w:marTop w:val="0"/>
          <w:marBottom w:val="0"/>
          <w:divBdr>
            <w:top w:val="none" w:sz="0" w:space="0" w:color="auto"/>
            <w:left w:val="none" w:sz="0" w:space="0" w:color="auto"/>
            <w:bottom w:val="none" w:sz="0" w:space="0" w:color="auto"/>
            <w:right w:val="none" w:sz="0" w:space="0" w:color="auto"/>
          </w:divBdr>
        </w:div>
        <w:div w:id="1096828393">
          <w:marLeft w:val="0"/>
          <w:marRight w:val="0"/>
          <w:marTop w:val="0"/>
          <w:marBottom w:val="0"/>
          <w:divBdr>
            <w:top w:val="none" w:sz="0" w:space="0" w:color="auto"/>
            <w:left w:val="none" w:sz="0" w:space="0" w:color="auto"/>
            <w:bottom w:val="none" w:sz="0" w:space="0" w:color="auto"/>
            <w:right w:val="none" w:sz="0" w:space="0" w:color="auto"/>
          </w:divBdr>
        </w:div>
        <w:div w:id="397560970">
          <w:marLeft w:val="0"/>
          <w:marRight w:val="0"/>
          <w:marTop w:val="0"/>
          <w:marBottom w:val="0"/>
          <w:divBdr>
            <w:top w:val="none" w:sz="0" w:space="0" w:color="auto"/>
            <w:left w:val="none" w:sz="0" w:space="0" w:color="auto"/>
            <w:bottom w:val="none" w:sz="0" w:space="0" w:color="auto"/>
            <w:right w:val="none" w:sz="0" w:space="0" w:color="auto"/>
          </w:divBdr>
        </w:div>
        <w:div w:id="19396813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kingcharge.csh.umn.edu/explore-healing-practices/moxibustion"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downloads.hindawi.com/journals/ecam/2014/783704.pdf" TargetMode="External"/><Relationship Id="rId4" Type="http://schemas.openxmlformats.org/officeDocument/2006/relationships/styles" Target="styles.xml"/><Relationship Id="rId9" Type="http://schemas.openxmlformats.org/officeDocument/2006/relationships/hyperlink" Target="http://go.gale.com/ps/anonymous?id=GALE%7CA154007092&amp;sid=googlescholar&amp;v=2.1&amp;it=r&amp;linkaccess=abs&amp;issn=01438042&amp;p=AONE&amp;sw=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7951BF-8ED5-DB4A-919A-A7F0CA2DA740}">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928652-929B-47E0-8528-9197B00562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B0DAE2-E502-4E1D-B939-8F0609FEA6CA}">
  <ds:schemaRefs>
    <ds:schemaRef ds:uri="http://schemas.microsoft.com/sharepoint/v3/contenttype/forms"/>
  </ds:schemaRefs>
</ds:datastoreItem>
</file>

<file path=customXml/itemProps3.xml><?xml version="1.0" encoding="utf-8"?>
<ds:datastoreItem xmlns:ds="http://schemas.openxmlformats.org/officeDocument/2006/customXml" ds:itemID="{8B93016F-58F5-4D54-8CFE-4ACB5179300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1774</Words>
  <Characters>10115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Moxibustion</dc:title>
  <dc:subject>Joanna Walsh</dc:subject>
  <dc:creator>Hyacinth Thomas (1810167)</dc:creator>
  <cp:keywords/>
  <dc:description/>
  <cp:lastModifiedBy>Hyacinth Thomas (1810167)</cp:lastModifiedBy>
  <cp:revision>2</cp:revision>
  <dcterms:created xsi:type="dcterms:W3CDTF">2020-08-25T18:49:00Z</dcterms:created>
  <dcterms:modified xsi:type="dcterms:W3CDTF">2020-08-25T18:49:00Z</dcterms:modified>
  <cp:category>Complimentary Therapies    BMHP5001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y fmtid="{D5CDD505-2E9C-101B-9397-08002B2CF9AE}" pid="3" name="grammarly_documentId">
    <vt:lpwstr>documentId_9171</vt:lpwstr>
  </property>
</Properties>
</file>