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31465" w14:textId="77777777" w:rsidR="00201D8F" w:rsidRPr="00201D8F" w:rsidRDefault="00201D8F" w:rsidP="00201D8F">
      <w:pPr>
        <w:rPr>
          <w:b/>
          <w:bCs/>
        </w:rPr>
      </w:pPr>
      <w:r w:rsidRPr="00201D8F">
        <w:rPr>
          <w:b/>
          <w:bCs/>
        </w:rPr>
        <w:t>Population Ecology in Business: The Structural View</w:t>
      </w:r>
    </w:p>
    <w:p w14:paraId="6902203A" w14:textId="77777777" w:rsidR="00201D8F" w:rsidRPr="00201D8F" w:rsidRDefault="00201D8F" w:rsidP="00201D8F">
      <w:r w:rsidRPr="00201D8F">
        <w:t xml:space="preserve">At a doctoral seminar level, </w:t>
      </w:r>
      <w:r w:rsidRPr="00201D8F">
        <w:rPr>
          <w:b/>
          <w:bCs/>
        </w:rPr>
        <w:t>Organizational Ecology</w:t>
      </w:r>
      <w:r w:rsidRPr="00201D8F">
        <w:t xml:space="preserve"> (or Population Ecology), pioneered by Michael T. Hannan and John Freeman (1977), fundamentally rejects the "adaptationist" view of business.</w:t>
      </w:r>
    </w:p>
    <w:p w14:paraId="119B2ED9" w14:textId="77777777" w:rsidR="00201D8F" w:rsidRPr="00201D8F" w:rsidRDefault="00201D8F" w:rsidP="00201D8F">
      <w:r w:rsidRPr="00201D8F">
        <w:t xml:space="preserve">While books like </w:t>
      </w:r>
      <w:r w:rsidRPr="00201D8F">
        <w:rPr>
          <w:i/>
          <w:iCs/>
        </w:rPr>
        <w:t>In Search of Excellence</w:t>
      </w:r>
      <w:r w:rsidRPr="00201D8F">
        <w:t xml:space="preserve"> assume that managers can freely pivot, adapt, and steer their companies to stay excellent, Population Ecology argues that </w:t>
      </w:r>
      <w:r w:rsidRPr="00201D8F">
        <w:rPr>
          <w:b/>
          <w:bCs/>
        </w:rPr>
        <w:t>organizations suffer from extreme structural inertia</w:t>
      </w:r>
      <w:r w:rsidRPr="00201D8F">
        <w:t>. They have fixed assets, rigid cultures, internal politics, and specialized knowledge that make genuine change nearly impossible.</w:t>
      </w:r>
    </w:p>
    <w:p w14:paraId="0960E77E" w14:textId="77777777" w:rsidR="00201D8F" w:rsidRPr="00201D8F" w:rsidRDefault="00201D8F" w:rsidP="00201D8F">
      <w:r w:rsidRPr="00201D8F">
        <w:t xml:space="preserve">Instead of companies </w:t>
      </w:r>
      <w:r w:rsidRPr="00201D8F">
        <w:rPr>
          <w:i/>
          <w:iCs/>
        </w:rPr>
        <w:t>adapting</w:t>
      </w:r>
      <w:r w:rsidRPr="00201D8F">
        <w:t xml:space="preserve"> to the environment, </w:t>
      </w:r>
      <w:r w:rsidRPr="00201D8F">
        <w:rPr>
          <w:b/>
          <w:bCs/>
        </w:rPr>
        <w:t xml:space="preserve">the environment </w:t>
      </w:r>
      <w:r w:rsidRPr="00201D8F">
        <w:rPr>
          <w:b/>
          <w:bCs/>
          <w:i/>
          <w:iCs/>
        </w:rPr>
        <w:t>selects</w:t>
      </w:r>
      <w:r w:rsidRPr="00201D8F">
        <w:rPr>
          <w:b/>
          <w:bCs/>
        </w:rPr>
        <w:t xml:space="preserve"> companies in or out.</w:t>
      </w:r>
      <w:r w:rsidRPr="00201D8F">
        <w:t xml:space="preserve"> The theory breaks this evolutionary loop down into three systemic phases:</w:t>
      </w:r>
    </w:p>
    <w:p w14:paraId="659D8A23" w14:textId="77777777" w:rsidR="00201D8F" w:rsidRPr="00201D8F" w:rsidRDefault="00201D8F" w:rsidP="00201D8F">
      <w:pPr>
        <w:numPr>
          <w:ilvl w:val="0"/>
          <w:numId w:val="1"/>
        </w:numPr>
      </w:pPr>
      <w:r w:rsidRPr="00201D8F">
        <w:rPr>
          <w:b/>
          <w:bCs/>
        </w:rPr>
        <w:t>Variation:</w:t>
      </w:r>
      <w:r w:rsidRPr="00201D8F">
        <w:t xml:space="preserve"> New organizational forms naturally emerge via entrepreneurship, technological breakthroughs, or creative chaos.</w:t>
      </w:r>
    </w:p>
    <w:p w14:paraId="67C957D9" w14:textId="77777777" w:rsidR="00201D8F" w:rsidRPr="00201D8F" w:rsidRDefault="00201D8F" w:rsidP="00201D8F">
      <w:pPr>
        <w:numPr>
          <w:ilvl w:val="0"/>
          <w:numId w:val="1"/>
        </w:numPr>
      </w:pPr>
      <w:r w:rsidRPr="00201D8F">
        <w:rPr>
          <w:b/>
          <w:bCs/>
        </w:rPr>
        <w:t>Selection:</w:t>
      </w:r>
      <w:r w:rsidRPr="00201D8F">
        <w:t xml:space="preserve"> The external environment (market demands, regulatory shifts, economic conditions) aggressively filters these forms. Those poorly aligned with the new reality are selected for elimination.</w:t>
      </w:r>
    </w:p>
    <w:p w14:paraId="323C18B1" w14:textId="77777777" w:rsidR="00201D8F" w:rsidRPr="00201D8F" w:rsidRDefault="00201D8F" w:rsidP="00201D8F">
      <w:pPr>
        <w:numPr>
          <w:ilvl w:val="0"/>
          <w:numId w:val="1"/>
        </w:numPr>
      </w:pPr>
      <w:r w:rsidRPr="00201D8F">
        <w:rPr>
          <w:b/>
          <w:bCs/>
        </w:rPr>
        <w:t>Retention:</w:t>
      </w:r>
      <w:r w:rsidRPr="00201D8F">
        <w:t xml:space="preserve"> The highly optimized, surviving organizational structures are locked in, institutionalized, and duplicated across the market population until the next environmental shift occurs.</w:t>
      </w:r>
    </w:p>
    <w:p w14:paraId="468C179D" w14:textId="77777777" w:rsidR="00201D8F" w:rsidRPr="00201D8F" w:rsidRDefault="00201D8F" w:rsidP="00201D8F">
      <w:r w:rsidRPr="00201D8F">
        <w:t>Under this strict ecological lens, corporate failure is not an indicator of bad management; it is a natural, necessary evolutionary mechanic that frees up scarce resources (capital, talent, real estate) for newer, highly optimized organizational forms.</w:t>
      </w:r>
    </w:p>
    <w:p w14:paraId="0772CFA9" w14:textId="77777777" w:rsidR="00201D8F" w:rsidRPr="00201D8F" w:rsidRDefault="00201D8F" w:rsidP="00201D8F">
      <w:pPr>
        <w:rPr>
          <w:b/>
          <w:bCs/>
        </w:rPr>
      </w:pPr>
      <w:r w:rsidRPr="00201D8F">
        <w:rPr>
          <w:b/>
          <w:bCs/>
        </w:rPr>
        <w:t>When Government Interventions Subvert Selection: The "Zombie" Firm</w:t>
      </w:r>
    </w:p>
    <w:p w14:paraId="5A952FE7" w14:textId="77777777" w:rsidR="00201D8F" w:rsidRPr="00201D8F" w:rsidRDefault="00201D8F" w:rsidP="00201D8F">
      <w:r w:rsidRPr="00201D8F">
        <w:t xml:space="preserve">When a government intervenes to protect small businesses or prop up struggling legacy industries, it directly disrupts the environmental </w:t>
      </w:r>
      <w:r w:rsidRPr="00201D8F">
        <w:rPr>
          <w:i/>
          <w:iCs/>
        </w:rPr>
        <w:t>selection</w:t>
      </w:r>
      <w:r w:rsidRPr="00201D8F">
        <w:t xml:space="preserve"> phase.</w:t>
      </w:r>
    </w:p>
    <w:p w14:paraId="285BA2E3" w14:textId="77777777" w:rsidR="00201D8F" w:rsidRPr="00201D8F" w:rsidRDefault="00201D8F" w:rsidP="00201D8F">
      <w:r w:rsidRPr="00201D8F">
        <w:t xml:space="preserve">By short-circuiting the natural exit of unviable companies, fiscal subsidies and artificially easy credit generate what economists call </w:t>
      </w:r>
      <w:r w:rsidRPr="00201D8F">
        <w:rPr>
          <w:b/>
          <w:bCs/>
        </w:rPr>
        <w:t>"Zombie Companies"</w:t>
      </w:r>
      <w:r w:rsidRPr="00201D8F">
        <w:t xml:space="preserve">—firms that are persistently unprofitable, unable to cover their debt-servicing costs from current earnings, and kept alive solely on artificial life support. </w:t>
      </w:r>
    </w:p>
    <w:p w14:paraId="5E849C81" w14:textId="77777777" w:rsidR="00201D8F" w:rsidRPr="00201D8F" w:rsidRDefault="00201D8F" w:rsidP="00201D8F">
      <w:r w:rsidRPr="00201D8F">
        <w:t xml:space="preserve">From an ecological and macroeconomic standpoint, this creates a profound </w:t>
      </w:r>
      <w:r w:rsidRPr="00201D8F">
        <w:rPr>
          <w:b/>
          <w:bCs/>
        </w:rPr>
        <w:t>congestion effect</w:t>
      </w:r>
      <w:r w:rsidRPr="00201D8F">
        <w:t>:</w:t>
      </w:r>
    </w:p>
    <w:p w14:paraId="2074E9FD" w14:textId="77777777" w:rsidR="00201D8F" w:rsidRPr="00201D8F" w:rsidRDefault="00201D8F" w:rsidP="00201D8F">
      <w:r w:rsidRPr="00201D8F">
        <w:t xml:space="preserve">Propping up structural failures traps vital capital, </w:t>
      </w:r>
      <w:proofErr w:type="spellStart"/>
      <w:r w:rsidRPr="00201D8F">
        <w:t>labor</w:t>
      </w:r>
      <w:proofErr w:type="spellEnd"/>
      <w:r w:rsidRPr="00201D8F">
        <w:t xml:space="preserve">, and innovation. It prevents those resources from being reallocated to highly dynamic, productive startups, ultimately strangling aggregate economic growth. </w:t>
      </w:r>
    </w:p>
    <w:p w14:paraId="404162AE" w14:textId="77777777" w:rsidR="00201D8F" w:rsidRPr="00201D8F" w:rsidRDefault="00201D8F" w:rsidP="00201D8F">
      <w:r w:rsidRPr="00201D8F">
        <w:lastRenderedPageBreak/>
        <w:t>An excellent deep dive into this exact dynamic is provided by the London School of Economics (LSE) Business Review. Their research explicitly documents how policy interventions intended to rescue struggling firms frequently fail to spark genuine corporate recovery, functioning instead as a drag on wider macroeconomic productivity.</w:t>
      </w:r>
    </w:p>
    <w:p w14:paraId="277389E6" w14:textId="77777777" w:rsidR="00201D8F" w:rsidRPr="00201D8F" w:rsidRDefault="00201D8F" w:rsidP="00201D8F">
      <w:r w:rsidRPr="00201D8F">
        <w:t xml:space="preserve">Read the full analysis here: </w:t>
      </w:r>
      <w:hyperlink r:id="rId5" w:tgtFrame="_blank" w:history="1">
        <w:r w:rsidRPr="00201D8F">
          <w:rPr>
            <w:rStyle w:val="Hyperlink"/>
          </w:rPr>
          <w:t>An Autopsy of Zombie Firms - LSE Business Review</w:t>
        </w:r>
      </w:hyperlink>
      <w:r w:rsidRPr="00201D8F">
        <w:t>.</w:t>
      </w:r>
    </w:p>
    <w:p w14:paraId="167E0A7C" w14:textId="77777777" w:rsidR="00201D8F" w:rsidRPr="00201D8F" w:rsidRDefault="00201D8F" w:rsidP="00201D8F">
      <w:r w:rsidRPr="00201D8F">
        <w:t xml:space="preserve">This structural congestion is further backed by extensive institutional data. According to a landmark study by the </w:t>
      </w:r>
      <w:hyperlink r:id="rId6" w:tgtFrame="_blank" w:history="1">
        <w:r w:rsidRPr="00201D8F">
          <w:rPr>
            <w:rStyle w:val="Hyperlink"/>
          </w:rPr>
          <w:t>Bank for International Settlements (BIS)</w:t>
        </w:r>
      </w:hyperlink>
      <w:r w:rsidRPr="00201D8F">
        <w:t xml:space="preserve">, the share of zombie firms across 14 advanced economies surged from roughly </w:t>
      </w:r>
      <w:r w:rsidRPr="00201D8F">
        <w:rPr>
          <w:b/>
          <w:bCs/>
        </w:rPr>
        <w:t>4% in the mid-1980s to over 15%</w:t>
      </w:r>
      <w:r w:rsidRPr="00201D8F">
        <w:t>. This misallocation of capital directly blocks the "creative destruction" cycle that population ecologists argue is necessary to sustain a healthy corporate ecosystem.</w:t>
      </w:r>
    </w:p>
    <w:p w14:paraId="1D6586C8" w14:textId="77777777" w:rsidR="00201D8F" w:rsidRDefault="00201D8F"/>
    <w:sectPr w:rsidR="00201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BC642A"/>
    <w:multiLevelType w:val="multilevel"/>
    <w:tmpl w:val="DA4C4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5753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D8F"/>
    <w:rsid w:val="00201D8F"/>
    <w:rsid w:val="00774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45FC4"/>
  <w15:chartTrackingRefBased/>
  <w15:docId w15:val="{F915A1B4-7DE5-40BC-899D-9E359DC45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D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D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D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D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D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D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D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D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D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D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D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D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D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D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D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D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D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D8F"/>
    <w:rPr>
      <w:rFonts w:eastAsiaTheme="majorEastAsia" w:cstheme="majorBidi"/>
      <w:color w:val="272727" w:themeColor="text1" w:themeTint="D8"/>
    </w:rPr>
  </w:style>
  <w:style w:type="paragraph" w:styleId="Title">
    <w:name w:val="Title"/>
    <w:basedOn w:val="Normal"/>
    <w:next w:val="Normal"/>
    <w:link w:val="TitleChar"/>
    <w:uiPriority w:val="10"/>
    <w:qFormat/>
    <w:rsid w:val="00201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D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D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D8F"/>
    <w:pPr>
      <w:spacing w:before="160"/>
      <w:jc w:val="center"/>
    </w:pPr>
    <w:rPr>
      <w:i/>
      <w:iCs/>
      <w:color w:val="404040" w:themeColor="text1" w:themeTint="BF"/>
    </w:rPr>
  </w:style>
  <w:style w:type="character" w:customStyle="1" w:styleId="QuoteChar">
    <w:name w:val="Quote Char"/>
    <w:basedOn w:val="DefaultParagraphFont"/>
    <w:link w:val="Quote"/>
    <w:uiPriority w:val="29"/>
    <w:rsid w:val="00201D8F"/>
    <w:rPr>
      <w:i/>
      <w:iCs/>
      <w:color w:val="404040" w:themeColor="text1" w:themeTint="BF"/>
    </w:rPr>
  </w:style>
  <w:style w:type="paragraph" w:styleId="ListParagraph">
    <w:name w:val="List Paragraph"/>
    <w:basedOn w:val="Normal"/>
    <w:uiPriority w:val="34"/>
    <w:qFormat/>
    <w:rsid w:val="00201D8F"/>
    <w:pPr>
      <w:ind w:left="720"/>
      <w:contextualSpacing/>
    </w:pPr>
  </w:style>
  <w:style w:type="character" w:styleId="IntenseEmphasis">
    <w:name w:val="Intense Emphasis"/>
    <w:basedOn w:val="DefaultParagraphFont"/>
    <w:uiPriority w:val="21"/>
    <w:qFormat/>
    <w:rsid w:val="00201D8F"/>
    <w:rPr>
      <w:i/>
      <w:iCs/>
      <w:color w:val="0F4761" w:themeColor="accent1" w:themeShade="BF"/>
    </w:rPr>
  </w:style>
  <w:style w:type="paragraph" w:styleId="IntenseQuote">
    <w:name w:val="Intense Quote"/>
    <w:basedOn w:val="Normal"/>
    <w:next w:val="Normal"/>
    <w:link w:val="IntenseQuoteChar"/>
    <w:uiPriority w:val="30"/>
    <w:qFormat/>
    <w:rsid w:val="00201D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D8F"/>
    <w:rPr>
      <w:i/>
      <w:iCs/>
      <w:color w:val="0F4761" w:themeColor="accent1" w:themeShade="BF"/>
    </w:rPr>
  </w:style>
  <w:style w:type="character" w:styleId="IntenseReference">
    <w:name w:val="Intense Reference"/>
    <w:basedOn w:val="DefaultParagraphFont"/>
    <w:uiPriority w:val="32"/>
    <w:qFormat/>
    <w:rsid w:val="00201D8F"/>
    <w:rPr>
      <w:b/>
      <w:bCs/>
      <w:smallCaps/>
      <w:color w:val="0F4761" w:themeColor="accent1" w:themeShade="BF"/>
      <w:spacing w:val="5"/>
    </w:rPr>
  </w:style>
  <w:style w:type="character" w:styleId="Hyperlink">
    <w:name w:val="Hyperlink"/>
    <w:basedOn w:val="DefaultParagraphFont"/>
    <w:uiPriority w:val="99"/>
    <w:unhideWhenUsed/>
    <w:rsid w:val="00201D8F"/>
    <w:rPr>
      <w:color w:val="467886" w:themeColor="hyperlink"/>
      <w:u w:val="single"/>
    </w:rPr>
  </w:style>
  <w:style w:type="character" w:styleId="UnresolvedMention">
    <w:name w:val="Unresolved Mention"/>
    <w:basedOn w:val="DefaultParagraphFont"/>
    <w:uiPriority w:val="99"/>
    <w:semiHidden/>
    <w:unhideWhenUsed/>
    <w:rsid w:val="00201D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s.org/publ/work882.pdf" TargetMode="External"/><Relationship Id="rId5" Type="http://schemas.openxmlformats.org/officeDocument/2006/relationships/hyperlink" Target="https://blogs.lse.ac.uk/businessreview/2020/10/09/an-autopsy-of-zombie-firms-reveals-growing-and-recovering-compani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511</Words>
  <Characters>2913</Characters>
  <Application>Microsoft Office Word</Application>
  <DocSecurity>0</DocSecurity>
  <Lines>24</Lines>
  <Paragraphs>6</Paragraphs>
  <ScaleCrop>false</ScaleCrop>
  <Company/>
  <LinksUpToDate>false</LinksUpToDate>
  <CharactersWithSpaces>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Malone</dc:creator>
  <cp:keywords/>
  <dc:description/>
  <cp:lastModifiedBy>Stephen Malone</cp:lastModifiedBy>
  <cp:revision>1</cp:revision>
  <dcterms:created xsi:type="dcterms:W3CDTF">2026-05-27T07:49:00Z</dcterms:created>
  <dcterms:modified xsi:type="dcterms:W3CDTF">2026-05-27T07:50:00Z</dcterms:modified>
</cp:coreProperties>
</file>