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66DCF3" w14:textId="2C0243BC" w:rsidR="00E822D9" w:rsidRPr="0068754D" w:rsidRDefault="00F40D51">
      <w:pPr>
        <w:jc w:val="center"/>
        <w:rPr>
          <w:b/>
          <w:bCs/>
          <w:sz w:val="32"/>
          <w:szCs w:val="32"/>
        </w:rPr>
      </w:pPr>
      <w:r w:rsidRPr="00F40D51">
        <w:rPr>
          <w:b/>
          <w:bCs/>
          <w:sz w:val="32"/>
          <w:szCs w:val="32"/>
        </w:rPr>
        <w:drawing>
          <wp:inline distT="0" distB="0" distL="0" distR="0" wp14:anchorId="6DED532B" wp14:editId="449C8A96">
            <wp:extent cx="2225233" cy="929721"/>
            <wp:effectExtent l="0" t="0" r="3810" b="3810"/>
            <wp:docPr id="1140041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041925" name=""/>
                    <pic:cNvPicPr/>
                  </pic:nvPicPr>
                  <pic:blipFill>
                    <a:blip r:embed="rId8"/>
                    <a:stretch>
                      <a:fillRect/>
                    </a:stretch>
                  </pic:blipFill>
                  <pic:spPr>
                    <a:xfrm>
                      <a:off x="0" y="0"/>
                      <a:ext cx="2225233" cy="929721"/>
                    </a:xfrm>
                    <a:prstGeom prst="rect">
                      <a:avLst/>
                    </a:prstGeom>
                  </pic:spPr>
                </pic:pic>
              </a:graphicData>
            </a:graphic>
          </wp:inline>
        </w:drawing>
      </w:r>
    </w:p>
    <w:p w14:paraId="61FE8D90" w14:textId="77777777" w:rsidR="0068754D" w:rsidRPr="0068754D" w:rsidRDefault="0068754D">
      <w:pPr>
        <w:jc w:val="center"/>
        <w:rPr>
          <w:b/>
          <w:bCs/>
          <w:sz w:val="32"/>
          <w:szCs w:val="32"/>
        </w:rPr>
      </w:pPr>
    </w:p>
    <w:p w14:paraId="1DA9C4ED" w14:textId="0E936119" w:rsidR="00E822D9" w:rsidRPr="0068754D" w:rsidRDefault="00F40D51" w:rsidP="00F40D51">
      <w:pPr>
        <w:jc w:val="center"/>
        <w:rPr>
          <w:b/>
          <w:bCs/>
          <w:sz w:val="32"/>
          <w:szCs w:val="32"/>
        </w:rPr>
      </w:pPr>
      <w:r w:rsidRPr="00F40D51">
        <w:rPr>
          <w:b/>
          <w:bCs/>
          <w:sz w:val="32"/>
          <w:szCs w:val="32"/>
        </w:rPr>
        <w:t>LCHS7008</w:t>
      </w:r>
      <w:r>
        <w:rPr>
          <w:b/>
          <w:bCs/>
          <w:sz w:val="32"/>
          <w:szCs w:val="32"/>
        </w:rPr>
        <w:t xml:space="preserve"> </w:t>
      </w:r>
      <w:r w:rsidRPr="00F40D51">
        <w:rPr>
          <w:b/>
          <w:bCs/>
          <w:sz w:val="32"/>
          <w:szCs w:val="32"/>
        </w:rPr>
        <w:t>MSc Public Health and Social Care in Practice</w:t>
      </w:r>
    </w:p>
    <w:p w14:paraId="042DE5C5" w14:textId="65CE0A36" w:rsidR="00E822D9" w:rsidRDefault="00000000" w:rsidP="0068754D">
      <w:pPr>
        <w:jc w:val="center"/>
        <w:rPr>
          <w:b/>
          <w:bCs/>
          <w:sz w:val="32"/>
          <w:szCs w:val="32"/>
        </w:rPr>
      </w:pPr>
      <w:r w:rsidRPr="0068754D">
        <w:rPr>
          <w:b/>
          <w:bCs/>
          <w:sz w:val="32"/>
          <w:szCs w:val="32"/>
        </w:rPr>
        <w:t>The Impact of Population Ageing on NHS Service Demand, Workforce Pressure and Healthcare Costs in the UK: A Systematic Literature Review</w:t>
      </w:r>
      <w:bookmarkStart w:id="0" w:name="_kvyxvq1s42bk" w:colFirst="0" w:colLast="0"/>
      <w:bookmarkEnd w:id="0"/>
    </w:p>
    <w:p w14:paraId="5A91ABB9" w14:textId="774ED380" w:rsidR="00586476" w:rsidRDefault="00586476" w:rsidP="0068754D">
      <w:pPr>
        <w:jc w:val="center"/>
        <w:rPr>
          <w:b/>
          <w:bCs/>
          <w:sz w:val="32"/>
          <w:szCs w:val="32"/>
        </w:rPr>
      </w:pPr>
      <w:r w:rsidRPr="00586476">
        <w:rPr>
          <w:b/>
          <w:bCs/>
          <w:sz w:val="32"/>
          <w:szCs w:val="32"/>
        </w:rPr>
        <w:t xml:space="preserve">Lecturer </w:t>
      </w:r>
      <w:r>
        <w:rPr>
          <w:b/>
          <w:bCs/>
          <w:sz w:val="32"/>
          <w:szCs w:val="32"/>
        </w:rPr>
        <w:t xml:space="preserve">: </w:t>
      </w:r>
      <w:r w:rsidRPr="00586476">
        <w:rPr>
          <w:b/>
          <w:bCs/>
          <w:sz w:val="32"/>
          <w:szCs w:val="32"/>
        </w:rPr>
        <w:t>Dr Diola Bijlhout </w:t>
      </w:r>
    </w:p>
    <w:p w14:paraId="1891AF43" w14:textId="1373C8E5" w:rsidR="00586476" w:rsidRDefault="00586476" w:rsidP="0068754D">
      <w:pPr>
        <w:jc w:val="center"/>
        <w:rPr>
          <w:b/>
          <w:bCs/>
          <w:sz w:val="32"/>
          <w:szCs w:val="32"/>
        </w:rPr>
      </w:pPr>
      <w:r>
        <w:rPr>
          <w:b/>
          <w:bCs/>
          <w:sz w:val="32"/>
          <w:szCs w:val="32"/>
        </w:rPr>
        <w:t>Student Name: Sonali Solanki</w:t>
      </w:r>
    </w:p>
    <w:p w14:paraId="7054376B" w14:textId="273FE58E" w:rsidR="00586476" w:rsidRPr="0068754D" w:rsidRDefault="00586476" w:rsidP="0068754D">
      <w:pPr>
        <w:jc w:val="center"/>
        <w:rPr>
          <w:b/>
          <w:bCs/>
          <w:sz w:val="32"/>
          <w:szCs w:val="32"/>
        </w:rPr>
      </w:pPr>
      <w:r>
        <w:rPr>
          <w:b/>
          <w:bCs/>
          <w:sz w:val="32"/>
          <w:szCs w:val="32"/>
        </w:rPr>
        <w:t>Student ID: 2523936</w:t>
      </w:r>
    </w:p>
    <w:p w14:paraId="102EDB1A" w14:textId="3889D7EE" w:rsidR="0068754D" w:rsidRPr="0068754D" w:rsidRDefault="0068754D" w:rsidP="0068754D">
      <w:pPr>
        <w:jc w:val="center"/>
        <w:rPr>
          <w:b/>
          <w:bCs/>
          <w:sz w:val="32"/>
          <w:szCs w:val="32"/>
        </w:rPr>
      </w:pPr>
      <w:r w:rsidRPr="0068754D">
        <w:rPr>
          <w:b/>
          <w:bCs/>
          <w:sz w:val="32"/>
          <w:szCs w:val="32"/>
        </w:rPr>
        <w:t>Word Count: 2,592 Words</w:t>
      </w:r>
    </w:p>
    <w:p w14:paraId="2535F4B9" w14:textId="77777777" w:rsidR="0068754D" w:rsidRPr="0068754D" w:rsidRDefault="0068754D">
      <w:bookmarkStart w:id="1" w:name="_3y4p1bqcfpnl" w:colFirst="0" w:colLast="0"/>
      <w:bookmarkEnd w:id="1"/>
      <w:r w:rsidRPr="0068754D">
        <w:br w:type="page"/>
      </w:r>
    </w:p>
    <w:sdt>
      <w:sdtPr>
        <w:rPr>
          <w:rFonts w:ascii="Arial" w:eastAsia="Arial" w:hAnsi="Arial" w:cs="Arial"/>
          <w:color w:val="auto"/>
          <w:sz w:val="22"/>
          <w:szCs w:val="22"/>
          <w:lang w:val="en-GB"/>
        </w:rPr>
        <w:id w:val="-1749109194"/>
        <w:docPartObj>
          <w:docPartGallery w:val="Table of Contents"/>
          <w:docPartUnique/>
        </w:docPartObj>
      </w:sdtPr>
      <w:sdtEndPr>
        <w:rPr>
          <w:b/>
          <w:bCs/>
        </w:rPr>
      </w:sdtEndPr>
      <w:sdtContent>
        <w:p w14:paraId="21FA1182" w14:textId="0E0A2E05" w:rsidR="0068754D" w:rsidRPr="0068754D" w:rsidRDefault="0068754D" w:rsidP="0068754D">
          <w:pPr>
            <w:pStyle w:val="TOCHeading"/>
            <w:jc w:val="center"/>
            <w:rPr>
              <w:rFonts w:ascii="Arial" w:hAnsi="Arial" w:cs="Arial"/>
              <w:b/>
              <w:bCs/>
              <w:color w:val="auto"/>
              <w:sz w:val="24"/>
              <w:szCs w:val="24"/>
              <w:lang w:val="en-GB"/>
            </w:rPr>
          </w:pPr>
          <w:r w:rsidRPr="0068754D">
            <w:rPr>
              <w:rFonts w:ascii="Arial" w:hAnsi="Arial" w:cs="Arial"/>
              <w:b/>
              <w:bCs/>
              <w:color w:val="auto"/>
              <w:sz w:val="24"/>
              <w:szCs w:val="24"/>
              <w:lang w:val="en-GB"/>
            </w:rPr>
            <w:t>Table of Contents</w:t>
          </w:r>
        </w:p>
        <w:p w14:paraId="210743CA" w14:textId="42A44E6B" w:rsidR="0068754D" w:rsidRPr="0068754D" w:rsidRDefault="0068754D">
          <w:pPr>
            <w:pStyle w:val="TOC1"/>
            <w:tabs>
              <w:tab w:val="right" w:leader="dot" w:pos="9350"/>
            </w:tabs>
            <w:rPr>
              <w:rFonts w:asciiTheme="minorHAnsi" w:eastAsiaTheme="minorEastAsia" w:hAnsiTheme="minorHAnsi" w:cstheme="minorBidi"/>
              <w:kern w:val="2"/>
              <w:sz w:val="24"/>
              <w:szCs w:val="24"/>
              <w14:ligatures w14:val="standardContextual"/>
            </w:rPr>
          </w:pPr>
          <w:r w:rsidRPr="0068754D">
            <w:fldChar w:fldCharType="begin"/>
          </w:r>
          <w:r w:rsidRPr="0068754D">
            <w:instrText xml:space="preserve"> TOC \o "1-3" \h \z \u </w:instrText>
          </w:r>
          <w:r w:rsidRPr="0068754D">
            <w:fldChar w:fldCharType="separate"/>
          </w:r>
          <w:hyperlink w:anchor="_Toc237551868" w:history="1">
            <w:r w:rsidRPr="0068754D">
              <w:rPr>
                <w:rStyle w:val="Hyperlink"/>
              </w:rPr>
              <w:t>Introduction and Background</w:t>
            </w:r>
            <w:r w:rsidRPr="0068754D">
              <w:rPr>
                <w:webHidden/>
              </w:rPr>
              <w:tab/>
            </w:r>
            <w:r w:rsidRPr="0068754D">
              <w:rPr>
                <w:webHidden/>
              </w:rPr>
              <w:fldChar w:fldCharType="begin"/>
            </w:r>
            <w:r w:rsidRPr="0068754D">
              <w:rPr>
                <w:webHidden/>
              </w:rPr>
              <w:instrText xml:space="preserve"> PAGEREF _Toc237551868 \h </w:instrText>
            </w:r>
            <w:r w:rsidRPr="0068754D">
              <w:rPr>
                <w:webHidden/>
              </w:rPr>
            </w:r>
            <w:r w:rsidRPr="0068754D">
              <w:rPr>
                <w:webHidden/>
              </w:rPr>
              <w:fldChar w:fldCharType="separate"/>
            </w:r>
            <w:r w:rsidRPr="0068754D">
              <w:rPr>
                <w:webHidden/>
              </w:rPr>
              <w:t>3</w:t>
            </w:r>
            <w:r w:rsidRPr="0068754D">
              <w:rPr>
                <w:webHidden/>
              </w:rPr>
              <w:fldChar w:fldCharType="end"/>
            </w:r>
          </w:hyperlink>
        </w:p>
        <w:p w14:paraId="2EC06CDB" w14:textId="1108ACF2" w:rsidR="0068754D" w:rsidRPr="0068754D" w:rsidRDefault="0068754D">
          <w:pPr>
            <w:pStyle w:val="TOC1"/>
            <w:tabs>
              <w:tab w:val="right" w:leader="dot" w:pos="9350"/>
            </w:tabs>
            <w:rPr>
              <w:rFonts w:asciiTheme="minorHAnsi" w:eastAsiaTheme="minorEastAsia" w:hAnsiTheme="minorHAnsi" w:cstheme="minorBidi"/>
              <w:kern w:val="2"/>
              <w:sz w:val="24"/>
              <w:szCs w:val="24"/>
              <w14:ligatures w14:val="standardContextual"/>
            </w:rPr>
          </w:pPr>
          <w:hyperlink w:anchor="_Toc237551869" w:history="1">
            <w:r w:rsidRPr="0068754D">
              <w:rPr>
                <w:rStyle w:val="Hyperlink"/>
              </w:rPr>
              <w:t>Research Problem, Rationale and Evidence Gap</w:t>
            </w:r>
            <w:r w:rsidRPr="0068754D">
              <w:rPr>
                <w:webHidden/>
              </w:rPr>
              <w:tab/>
            </w:r>
            <w:r w:rsidRPr="0068754D">
              <w:rPr>
                <w:webHidden/>
              </w:rPr>
              <w:fldChar w:fldCharType="begin"/>
            </w:r>
            <w:r w:rsidRPr="0068754D">
              <w:rPr>
                <w:webHidden/>
              </w:rPr>
              <w:instrText xml:space="preserve"> PAGEREF _Toc237551869 \h </w:instrText>
            </w:r>
            <w:r w:rsidRPr="0068754D">
              <w:rPr>
                <w:webHidden/>
              </w:rPr>
            </w:r>
            <w:r w:rsidRPr="0068754D">
              <w:rPr>
                <w:webHidden/>
              </w:rPr>
              <w:fldChar w:fldCharType="separate"/>
            </w:r>
            <w:r w:rsidRPr="0068754D">
              <w:rPr>
                <w:webHidden/>
              </w:rPr>
              <w:t>4</w:t>
            </w:r>
            <w:r w:rsidRPr="0068754D">
              <w:rPr>
                <w:webHidden/>
              </w:rPr>
              <w:fldChar w:fldCharType="end"/>
            </w:r>
          </w:hyperlink>
        </w:p>
        <w:p w14:paraId="271CEA8C" w14:textId="5EF26B9D" w:rsidR="0068754D" w:rsidRPr="0068754D" w:rsidRDefault="0068754D">
          <w:pPr>
            <w:pStyle w:val="TOC1"/>
            <w:tabs>
              <w:tab w:val="right" w:leader="dot" w:pos="9350"/>
            </w:tabs>
            <w:rPr>
              <w:rFonts w:asciiTheme="minorHAnsi" w:eastAsiaTheme="minorEastAsia" w:hAnsiTheme="minorHAnsi" w:cstheme="minorBidi"/>
              <w:kern w:val="2"/>
              <w:sz w:val="24"/>
              <w:szCs w:val="24"/>
              <w14:ligatures w14:val="standardContextual"/>
            </w:rPr>
          </w:pPr>
          <w:hyperlink w:anchor="_Toc237551870" w:history="1">
            <w:r w:rsidRPr="0068754D">
              <w:rPr>
                <w:rStyle w:val="Hyperlink"/>
              </w:rPr>
              <w:t>Literature Review</w:t>
            </w:r>
            <w:r w:rsidRPr="0068754D">
              <w:rPr>
                <w:webHidden/>
              </w:rPr>
              <w:tab/>
            </w:r>
            <w:r w:rsidRPr="0068754D">
              <w:rPr>
                <w:webHidden/>
              </w:rPr>
              <w:fldChar w:fldCharType="begin"/>
            </w:r>
            <w:r w:rsidRPr="0068754D">
              <w:rPr>
                <w:webHidden/>
              </w:rPr>
              <w:instrText xml:space="preserve"> PAGEREF _Toc237551870 \h </w:instrText>
            </w:r>
            <w:r w:rsidRPr="0068754D">
              <w:rPr>
                <w:webHidden/>
              </w:rPr>
            </w:r>
            <w:r w:rsidRPr="0068754D">
              <w:rPr>
                <w:webHidden/>
              </w:rPr>
              <w:fldChar w:fldCharType="separate"/>
            </w:r>
            <w:r w:rsidRPr="0068754D">
              <w:rPr>
                <w:webHidden/>
              </w:rPr>
              <w:t>5</w:t>
            </w:r>
            <w:r w:rsidRPr="0068754D">
              <w:rPr>
                <w:webHidden/>
              </w:rPr>
              <w:fldChar w:fldCharType="end"/>
            </w:r>
          </w:hyperlink>
        </w:p>
        <w:p w14:paraId="1B5EC04C" w14:textId="3B80DD70" w:rsidR="0068754D" w:rsidRPr="0068754D" w:rsidRDefault="0068754D">
          <w:pPr>
            <w:pStyle w:val="TOC1"/>
            <w:tabs>
              <w:tab w:val="right" w:leader="dot" w:pos="9350"/>
            </w:tabs>
            <w:rPr>
              <w:rFonts w:asciiTheme="minorHAnsi" w:eastAsiaTheme="minorEastAsia" w:hAnsiTheme="minorHAnsi" w:cstheme="minorBidi"/>
              <w:kern w:val="2"/>
              <w:sz w:val="24"/>
              <w:szCs w:val="24"/>
              <w14:ligatures w14:val="standardContextual"/>
            </w:rPr>
          </w:pPr>
          <w:hyperlink w:anchor="_Toc237551871" w:history="1">
            <w:r w:rsidRPr="0068754D">
              <w:rPr>
                <w:rStyle w:val="Hyperlink"/>
              </w:rPr>
              <w:t>Methodology</w:t>
            </w:r>
            <w:r w:rsidRPr="0068754D">
              <w:rPr>
                <w:webHidden/>
              </w:rPr>
              <w:tab/>
            </w:r>
            <w:r w:rsidRPr="0068754D">
              <w:rPr>
                <w:webHidden/>
              </w:rPr>
              <w:fldChar w:fldCharType="begin"/>
            </w:r>
            <w:r w:rsidRPr="0068754D">
              <w:rPr>
                <w:webHidden/>
              </w:rPr>
              <w:instrText xml:space="preserve"> PAGEREF _Toc237551871 \h </w:instrText>
            </w:r>
            <w:r w:rsidRPr="0068754D">
              <w:rPr>
                <w:webHidden/>
              </w:rPr>
            </w:r>
            <w:r w:rsidRPr="0068754D">
              <w:rPr>
                <w:webHidden/>
              </w:rPr>
              <w:fldChar w:fldCharType="separate"/>
            </w:r>
            <w:r w:rsidRPr="0068754D">
              <w:rPr>
                <w:webHidden/>
              </w:rPr>
              <w:t>6</w:t>
            </w:r>
            <w:r w:rsidRPr="0068754D">
              <w:rPr>
                <w:webHidden/>
              </w:rPr>
              <w:fldChar w:fldCharType="end"/>
            </w:r>
          </w:hyperlink>
        </w:p>
        <w:p w14:paraId="1D03E95F" w14:textId="1AC2DAA5" w:rsidR="0068754D" w:rsidRPr="0068754D" w:rsidRDefault="0068754D">
          <w:pPr>
            <w:pStyle w:val="TOC1"/>
            <w:tabs>
              <w:tab w:val="right" w:leader="dot" w:pos="9350"/>
            </w:tabs>
            <w:rPr>
              <w:rFonts w:asciiTheme="minorHAnsi" w:eastAsiaTheme="minorEastAsia" w:hAnsiTheme="minorHAnsi" w:cstheme="minorBidi"/>
              <w:kern w:val="2"/>
              <w:sz w:val="24"/>
              <w:szCs w:val="24"/>
              <w14:ligatures w14:val="standardContextual"/>
            </w:rPr>
          </w:pPr>
          <w:hyperlink w:anchor="_Toc237551872" w:history="1">
            <w:r w:rsidRPr="0068754D">
              <w:rPr>
                <w:rStyle w:val="Hyperlink"/>
              </w:rPr>
              <w:t>Ethical Considerations</w:t>
            </w:r>
            <w:r w:rsidRPr="0068754D">
              <w:rPr>
                <w:webHidden/>
              </w:rPr>
              <w:tab/>
            </w:r>
            <w:r w:rsidRPr="0068754D">
              <w:rPr>
                <w:webHidden/>
              </w:rPr>
              <w:fldChar w:fldCharType="begin"/>
            </w:r>
            <w:r w:rsidRPr="0068754D">
              <w:rPr>
                <w:webHidden/>
              </w:rPr>
              <w:instrText xml:space="preserve"> PAGEREF _Toc237551872 \h </w:instrText>
            </w:r>
            <w:r w:rsidRPr="0068754D">
              <w:rPr>
                <w:webHidden/>
              </w:rPr>
            </w:r>
            <w:r w:rsidRPr="0068754D">
              <w:rPr>
                <w:webHidden/>
              </w:rPr>
              <w:fldChar w:fldCharType="separate"/>
            </w:r>
            <w:r w:rsidRPr="0068754D">
              <w:rPr>
                <w:webHidden/>
              </w:rPr>
              <w:t>10</w:t>
            </w:r>
            <w:r w:rsidRPr="0068754D">
              <w:rPr>
                <w:webHidden/>
              </w:rPr>
              <w:fldChar w:fldCharType="end"/>
            </w:r>
          </w:hyperlink>
        </w:p>
        <w:p w14:paraId="3A1C991C" w14:textId="0E78A801" w:rsidR="0068754D" w:rsidRPr="0068754D" w:rsidRDefault="0068754D">
          <w:pPr>
            <w:pStyle w:val="TOC1"/>
            <w:tabs>
              <w:tab w:val="right" w:leader="dot" w:pos="9350"/>
            </w:tabs>
            <w:rPr>
              <w:rFonts w:asciiTheme="minorHAnsi" w:eastAsiaTheme="minorEastAsia" w:hAnsiTheme="minorHAnsi" w:cstheme="minorBidi"/>
              <w:kern w:val="2"/>
              <w:sz w:val="24"/>
              <w:szCs w:val="24"/>
              <w14:ligatures w14:val="standardContextual"/>
            </w:rPr>
          </w:pPr>
          <w:hyperlink w:anchor="_Toc237551873" w:history="1">
            <w:r w:rsidRPr="0068754D">
              <w:rPr>
                <w:rStyle w:val="Hyperlink"/>
              </w:rPr>
              <w:t>Limitations</w:t>
            </w:r>
            <w:r w:rsidRPr="0068754D">
              <w:rPr>
                <w:webHidden/>
              </w:rPr>
              <w:tab/>
            </w:r>
            <w:r w:rsidRPr="0068754D">
              <w:rPr>
                <w:webHidden/>
              </w:rPr>
              <w:fldChar w:fldCharType="begin"/>
            </w:r>
            <w:r w:rsidRPr="0068754D">
              <w:rPr>
                <w:webHidden/>
              </w:rPr>
              <w:instrText xml:space="preserve"> PAGEREF _Toc237551873 \h </w:instrText>
            </w:r>
            <w:r w:rsidRPr="0068754D">
              <w:rPr>
                <w:webHidden/>
              </w:rPr>
            </w:r>
            <w:r w:rsidRPr="0068754D">
              <w:rPr>
                <w:webHidden/>
              </w:rPr>
              <w:fldChar w:fldCharType="separate"/>
            </w:r>
            <w:r w:rsidRPr="0068754D">
              <w:rPr>
                <w:webHidden/>
              </w:rPr>
              <w:t>10</w:t>
            </w:r>
            <w:r w:rsidRPr="0068754D">
              <w:rPr>
                <w:webHidden/>
              </w:rPr>
              <w:fldChar w:fldCharType="end"/>
            </w:r>
          </w:hyperlink>
        </w:p>
        <w:p w14:paraId="762A9877" w14:textId="22C8A4A3" w:rsidR="0068754D" w:rsidRPr="0068754D" w:rsidRDefault="0068754D">
          <w:pPr>
            <w:pStyle w:val="TOC1"/>
            <w:tabs>
              <w:tab w:val="right" w:leader="dot" w:pos="9350"/>
            </w:tabs>
            <w:rPr>
              <w:rFonts w:asciiTheme="minorHAnsi" w:eastAsiaTheme="minorEastAsia" w:hAnsiTheme="minorHAnsi" w:cstheme="minorBidi"/>
              <w:kern w:val="2"/>
              <w:sz w:val="24"/>
              <w:szCs w:val="24"/>
              <w14:ligatures w14:val="standardContextual"/>
            </w:rPr>
          </w:pPr>
          <w:hyperlink w:anchor="_Toc237551874" w:history="1">
            <w:r w:rsidRPr="0068754D">
              <w:rPr>
                <w:rStyle w:val="Hyperlink"/>
              </w:rPr>
              <w:t>Proposed Timeline</w:t>
            </w:r>
            <w:r w:rsidRPr="0068754D">
              <w:rPr>
                <w:webHidden/>
              </w:rPr>
              <w:tab/>
            </w:r>
            <w:r w:rsidRPr="0068754D">
              <w:rPr>
                <w:webHidden/>
              </w:rPr>
              <w:fldChar w:fldCharType="begin"/>
            </w:r>
            <w:r w:rsidRPr="0068754D">
              <w:rPr>
                <w:webHidden/>
              </w:rPr>
              <w:instrText xml:space="preserve"> PAGEREF _Toc237551874 \h </w:instrText>
            </w:r>
            <w:r w:rsidRPr="0068754D">
              <w:rPr>
                <w:webHidden/>
              </w:rPr>
            </w:r>
            <w:r w:rsidRPr="0068754D">
              <w:rPr>
                <w:webHidden/>
              </w:rPr>
              <w:fldChar w:fldCharType="separate"/>
            </w:r>
            <w:r w:rsidRPr="0068754D">
              <w:rPr>
                <w:webHidden/>
              </w:rPr>
              <w:t>10</w:t>
            </w:r>
            <w:r w:rsidRPr="0068754D">
              <w:rPr>
                <w:webHidden/>
              </w:rPr>
              <w:fldChar w:fldCharType="end"/>
            </w:r>
          </w:hyperlink>
        </w:p>
        <w:p w14:paraId="5B281081" w14:textId="4A9E5254" w:rsidR="0068754D" w:rsidRPr="0068754D" w:rsidRDefault="0068754D">
          <w:pPr>
            <w:pStyle w:val="TOC1"/>
            <w:tabs>
              <w:tab w:val="right" w:leader="dot" w:pos="9350"/>
            </w:tabs>
            <w:rPr>
              <w:rFonts w:asciiTheme="minorHAnsi" w:eastAsiaTheme="minorEastAsia" w:hAnsiTheme="minorHAnsi" w:cstheme="minorBidi"/>
              <w:kern w:val="2"/>
              <w:sz w:val="24"/>
              <w:szCs w:val="24"/>
              <w14:ligatures w14:val="standardContextual"/>
            </w:rPr>
          </w:pPr>
          <w:hyperlink w:anchor="_Toc237551875" w:history="1">
            <w:r w:rsidRPr="0068754D">
              <w:rPr>
                <w:rStyle w:val="Hyperlink"/>
              </w:rPr>
              <w:t>Expected Contribution</w:t>
            </w:r>
            <w:r w:rsidRPr="0068754D">
              <w:rPr>
                <w:webHidden/>
              </w:rPr>
              <w:tab/>
            </w:r>
            <w:r w:rsidRPr="0068754D">
              <w:rPr>
                <w:webHidden/>
              </w:rPr>
              <w:fldChar w:fldCharType="begin"/>
            </w:r>
            <w:r w:rsidRPr="0068754D">
              <w:rPr>
                <w:webHidden/>
              </w:rPr>
              <w:instrText xml:space="preserve"> PAGEREF _Toc237551875 \h </w:instrText>
            </w:r>
            <w:r w:rsidRPr="0068754D">
              <w:rPr>
                <w:webHidden/>
              </w:rPr>
            </w:r>
            <w:r w:rsidRPr="0068754D">
              <w:rPr>
                <w:webHidden/>
              </w:rPr>
              <w:fldChar w:fldCharType="separate"/>
            </w:r>
            <w:r w:rsidRPr="0068754D">
              <w:rPr>
                <w:webHidden/>
              </w:rPr>
              <w:t>11</w:t>
            </w:r>
            <w:r w:rsidRPr="0068754D">
              <w:rPr>
                <w:webHidden/>
              </w:rPr>
              <w:fldChar w:fldCharType="end"/>
            </w:r>
          </w:hyperlink>
        </w:p>
        <w:p w14:paraId="2B0E07B2" w14:textId="631AEC59" w:rsidR="0068754D" w:rsidRPr="0068754D" w:rsidRDefault="0068754D">
          <w:pPr>
            <w:pStyle w:val="TOC1"/>
            <w:tabs>
              <w:tab w:val="right" w:leader="dot" w:pos="9350"/>
            </w:tabs>
            <w:rPr>
              <w:rFonts w:asciiTheme="minorHAnsi" w:eastAsiaTheme="minorEastAsia" w:hAnsiTheme="minorHAnsi" w:cstheme="minorBidi"/>
              <w:kern w:val="2"/>
              <w:sz w:val="24"/>
              <w:szCs w:val="24"/>
              <w14:ligatures w14:val="standardContextual"/>
            </w:rPr>
          </w:pPr>
          <w:hyperlink w:anchor="_Toc237551876" w:history="1">
            <w:r w:rsidRPr="0068754D">
              <w:rPr>
                <w:rStyle w:val="Hyperlink"/>
              </w:rPr>
              <w:t>References</w:t>
            </w:r>
            <w:r w:rsidRPr="0068754D">
              <w:rPr>
                <w:webHidden/>
              </w:rPr>
              <w:tab/>
            </w:r>
            <w:r w:rsidRPr="0068754D">
              <w:rPr>
                <w:webHidden/>
              </w:rPr>
              <w:fldChar w:fldCharType="begin"/>
            </w:r>
            <w:r w:rsidRPr="0068754D">
              <w:rPr>
                <w:webHidden/>
              </w:rPr>
              <w:instrText xml:space="preserve"> PAGEREF _Toc237551876 \h </w:instrText>
            </w:r>
            <w:r w:rsidRPr="0068754D">
              <w:rPr>
                <w:webHidden/>
              </w:rPr>
            </w:r>
            <w:r w:rsidRPr="0068754D">
              <w:rPr>
                <w:webHidden/>
              </w:rPr>
              <w:fldChar w:fldCharType="separate"/>
            </w:r>
            <w:r w:rsidRPr="0068754D">
              <w:rPr>
                <w:webHidden/>
              </w:rPr>
              <w:t>12</w:t>
            </w:r>
            <w:r w:rsidRPr="0068754D">
              <w:rPr>
                <w:webHidden/>
              </w:rPr>
              <w:fldChar w:fldCharType="end"/>
            </w:r>
          </w:hyperlink>
        </w:p>
        <w:p w14:paraId="117E79D4" w14:textId="544A018B" w:rsidR="0068754D" w:rsidRPr="0068754D" w:rsidRDefault="0068754D">
          <w:r w:rsidRPr="0068754D">
            <w:rPr>
              <w:b/>
              <w:bCs/>
            </w:rPr>
            <w:fldChar w:fldCharType="end"/>
          </w:r>
        </w:p>
      </w:sdtContent>
    </w:sdt>
    <w:p w14:paraId="05732FF4" w14:textId="43F4E65A" w:rsidR="0068754D" w:rsidRPr="0068754D" w:rsidRDefault="0068754D">
      <w:r w:rsidRPr="0068754D">
        <w:br w:type="page"/>
      </w:r>
    </w:p>
    <w:p w14:paraId="6FD471C2" w14:textId="06EE77B6" w:rsidR="00E822D9" w:rsidRPr="0068754D" w:rsidRDefault="00000000">
      <w:pPr>
        <w:pStyle w:val="Heading1"/>
      </w:pPr>
      <w:bookmarkStart w:id="2" w:name="_Toc237551868"/>
      <w:r w:rsidRPr="0068754D">
        <w:lastRenderedPageBreak/>
        <w:t>Introduction and Background</w:t>
      </w:r>
      <w:bookmarkEnd w:id="2"/>
    </w:p>
    <w:p w14:paraId="441D0C59" w14:textId="77777777" w:rsidR="00E822D9" w:rsidRPr="0068754D" w:rsidRDefault="00000000">
      <w:r w:rsidRPr="0068754D">
        <w:t xml:space="preserve">Population ageing refers to the change in the demographic composition of the population in which older people make up a larger percentage (Scott, 2021). It is predominantly due to an aging population and dying birth-rate. The importance of ageing for healthcare is highlighted because older people are at higher risk of developing chronic diseases, frailty, and multimorbidity (Khan </w:t>
      </w:r>
      <w:r w:rsidRPr="0068754D">
        <w:rPr>
          <w:i/>
          <w:iCs/>
        </w:rPr>
        <w:t>et al</w:t>
      </w:r>
      <w:r w:rsidRPr="0068754D">
        <w:t>. 2024). For this review, older adults are defined as persons above 65 years of age, as in the UK.</w:t>
      </w:r>
    </w:p>
    <w:p w14:paraId="296F8953" w14:textId="77777777" w:rsidR="00E822D9" w:rsidRPr="0068754D" w:rsidRDefault="00000000">
      <w:r w:rsidRPr="0068754D">
        <w:t xml:space="preserve">This is evidenced by the size of the ageing population, which makes this an issue that warrants growing healthcare attention in the UK. In 2022, the proportion of the population aged 65+ in the UK was 19.9% (House of Commons Library, 2024). This proportion is projected to reach 27% by 2072, meaning almost one-quarter of the population will be older adults. Similarly, the proportion aged 85+ is expected to increase to 4.9% by 2049 (ONS, 2026). The figures reflect ongoing population growth of groups that may have higher health care requirements. Therefore, NHS services need to be ready for rising demand and the evolution of service usage patterns. </w:t>
      </w:r>
    </w:p>
    <w:p w14:paraId="36F40A92" w14:textId="77777777" w:rsidR="00E822D9" w:rsidRPr="0068754D" w:rsidRDefault="00000000">
      <w:pPr>
        <w:jc w:val="center"/>
      </w:pPr>
      <w:r w:rsidRPr="0068754D">
        <w:drawing>
          <wp:inline distT="114300" distB="114300" distL="114300" distR="114300" wp14:anchorId="40A937ED" wp14:editId="36D35292">
            <wp:extent cx="5943600" cy="2513381"/>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t="9633"/>
                    <a:stretch>
                      <a:fillRect/>
                    </a:stretch>
                  </pic:blipFill>
                  <pic:spPr>
                    <a:xfrm>
                      <a:off x="0" y="0"/>
                      <a:ext cx="5943600" cy="2513381"/>
                    </a:xfrm>
                    <a:prstGeom prst="rect">
                      <a:avLst/>
                    </a:prstGeom>
                    <a:ln w="12700">
                      <a:solidFill>
                        <a:srgbClr val="000000"/>
                      </a:solidFill>
                      <a:prstDash val="solid"/>
                    </a:ln>
                  </pic:spPr>
                </pic:pic>
              </a:graphicData>
            </a:graphic>
          </wp:inline>
        </w:drawing>
      </w:r>
    </w:p>
    <w:p w14:paraId="4B465F93" w14:textId="77777777" w:rsidR="00E822D9" w:rsidRPr="0068754D" w:rsidRDefault="00000000">
      <w:pPr>
        <w:jc w:val="center"/>
      </w:pPr>
      <w:r w:rsidRPr="0068754D">
        <w:rPr>
          <w:b/>
          <w:bCs/>
        </w:rPr>
        <w:t>Figure 1: The Changing Age Distribution of the UK’s Population</w:t>
      </w:r>
    </w:p>
    <w:p w14:paraId="65CD70C1" w14:textId="77777777" w:rsidR="00E822D9" w:rsidRPr="0068754D" w:rsidRDefault="00000000">
      <w:pPr>
        <w:jc w:val="center"/>
      </w:pPr>
      <w:r w:rsidRPr="0068754D">
        <w:t>(Source: House of Commons Library, 2024)</w:t>
      </w:r>
    </w:p>
    <w:p w14:paraId="156B7A9A" w14:textId="77777777" w:rsidR="00E822D9" w:rsidRPr="0068754D" w:rsidRDefault="00000000">
      <w:r w:rsidRPr="0068754D">
        <w:t xml:space="preserve">The impact is not just on the use of health services. Old age is not only associated with a higher risk of multimorbidity, but may also lead to increased usage of primary and secondary care (Soley-Bori </w:t>
      </w:r>
      <w:r w:rsidRPr="0068754D">
        <w:rPr>
          <w:i/>
          <w:iCs/>
        </w:rPr>
        <w:t>et al</w:t>
      </w:r>
      <w:r w:rsidRPr="0068754D">
        <w:t xml:space="preserve">. 2020). Quality of life can also be greatly diminished, and reliance on families and </w:t>
      </w:r>
      <w:r w:rsidRPr="0068754D">
        <w:lastRenderedPageBreak/>
        <w:t xml:space="preserve">informal carers can be increased by a number of conditions (Marinho </w:t>
      </w:r>
      <w:r w:rsidRPr="0068754D">
        <w:rPr>
          <w:i/>
          <w:iCs/>
        </w:rPr>
        <w:t>et al</w:t>
      </w:r>
      <w:r w:rsidRPr="0068754D">
        <w:t xml:space="preserve">. 2022). These results are further influenced by socio-economic inequalities, which exacerbate the number of disadvantaged groups having multimorbidity and decreased numbers of healthy years (Skou </w:t>
      </w:r>
      <w:r w:rsidRPr="0068754D">
        <w:rPr>
          <w:i/>
          <w:iCs/>
        </w:rPr>
        <w:t>et al</w:t>
      </w:r>
      <w:r w:rsidRPr="0068754D">
        <w:t xml:space="preserve">. 2022). Complex needs can put extra strain on health care professionals and necessitate more coordination among health and social services (Persson </w:t>
      </w:r>
      <w:r w:rsidRPr="0068754D">
        <w:rPr>
          <w:i/>
          <w:iCs/>
        </w:rPr>
        <w:t>et al</w:t>
      </w:r>
      <w:r w:rsidRPr="0068754D">
        <w:t>. 2022). Workforce capacity, care delivery, and health costs are therefore affected by population ageing.</w:t>
      </w:r>
    </w:p>
    <w:p w14:paraId="574B1B4B" w14:textId="77777777" w:rsidR="00E822D9" w:rsidRPr="0068754D" w:rsidRDefault="00000000">
      <w:r w:rsidRPr="0068754D">
        <w:t xml:space="preserve">Population ageing presents a significant issue for sustainable NHS planning due to these challenges (Anderson </w:t>
      </w:r>
      <w:r w:rsidRPr="0068754D">
        <w:rPr>
          <w:i/>
          <w:iCs/>
        </w:rPr>
        <w:t>et al</w:t>
      </w:r>
      <w:r w:rsidRPr="0068754D">
        <w:t>. 2025). But it might be different in various healthcare services and for old people. This SLR will, therefore, explore the evidence on service demand in the UK, workforce capacity, service delivery, and healthcare costs within the NHS for adults over the age of 65.</w:t>
      </w:r>
    </w:p>
    <w:p w14:paraId="7762F2AC" w14:textId="77777777" w:rsidR="00E822D9" w:rsidRPr="0068754D" w:rsidRDefault="00000000">
      <w:pPr>
        <w:pStyle w:val="Heading1"/>
        <w:keepNext w:val="0"/>
        <w:keepLines w:val="0"/>
        <w:spacing w:before="280"/>
      </w:pPr>
      <w:bookmarkStart w:id="3" w:name="_ei3coxjbkfek" w:colFirst="0" w:colLast="0"/>
      <w:bookmarkStart w:id="4" w:name="_Toc237551869"/>
      <w:bookmarkEnd w:id="3"/>
      <w:r w:rsidRPr="0068754D">
        <w:t>Research Problem, Rationale and Evidence Gap</w:t>
      </w:r>
      <w:bookmarkEnd w:id="4"/>
    </w:p>
    <w:p w14:paraId="2A0495F0" w14:textId="77777777" w:rsidR="00E822D9" w:rsidRPr="0068754D" w:rsidRDefault="00000000">
      <w:r w:rsidRPr="0068754D">
        <w:t>The central research issue is the potential for the NHS to respond strategically to shifting health care needs as a consequence of population ageing. At present, there is no convincing evidence that demographic change is, in itself, sufficient to explain future healthcare expenditure. Moreover, Jones (2020) suggests that morbidity and living near death also impact expenditure patterns. This makes it difficult to predict future population age based solely on data from the current population.</w:t>
      </w:r>
    </w:p>
    <w:p w14:paraId="0CF8EFEF" w14:textId="77777777" w:rsidR="00E822D9" w:rsidRPr="0068754D" w:rsidRDefault="00000000">
      <w:r w:rsidRPr="0068754D">
        <w:t>This uncertainty creates challenges when determining the resources required for future NHS provision. Lenzen and Birch (2023) demonstrate that projected requirements vary according to population change, morbidity, and healthcare utilisation. A related challenge that arises with workforce planning is that the levels of staff required match the changing nature of healthcare provision. Nagarajan and Sixsmith (2023) point out challenges of workforce planning to meet the changing needs of ageing populations.</w:t>
      </w:r>
    </w:p>
    <w:p w14:paraId="45194BD6" w14:textId="77777777" w:rsidR="00E822D9" w:rsidRPr="0068754D" w:rsidRDefault="00000000">
      <w:r w:rsidRPr="0068754D">
        <w:t xml:space="preserve">Combined, these studies suggest four aspects of the problem must be addressed when defining NHS preparedness. Their findings do not offer an overall picture of service demand, workforce capacity, care delivery, and healthcare costs across the UK. This sets the grounds for conducting a systematic literature review on those interrelated dimensions. The review will examine evidence from NHS settings and summarise any evidence that is consistent, compare evidence, and summarise any remaining uncertainties. This synthesis can support NHS planning, policy development, and future research. </w:t>
      </w:r>
    </w:p>
    <w:p w14:paraId="767F2A6E" w14:textId="77777777" w:rsidR="00E822D9" w:rsidRPr="0068754D" w:rsidRDefault="00000000">
      <w:pPr>
        <w:rPr>
          <w:b/>
          <w:bCs/>
        </w:rPr>
      </w:pPr>
      <w:r w:rsidRPr="0068754D">
        <w:rPr>
          <w:b/>
          <w:bCs/>
        </w:rPr>
        <w:t>Research Aim:</w:t>
      </w:r>
    </w:p>
    <w:p w14:paraId="078BA810" w14:textId="77777777" w:rsidR="00E822D9" w:rsidRPr="0068754D" w:rsidRDefault="00000000">
      <w:r w:rsidRPr="0068754D">
        <w:lastRenderedPageBreak/>
        <w:t>To examine how population ageing affects NHS service delivery, resource demand, and costs within the UK healthcare system, and to explore strategies for improving services for older adults.</w:t>
      </w:r>
    </w:p>
    <w:p w14:paraId="13BB2915" w14:textId="77777777" w:rsidR="00E822D9" w:rsidRPr="0068754D" w:rsidRDefault="00000000">
      <w:pPr>
        <w:rPr>
          <w:b/>
          <w:bCs/>
        </w:rPr>
      </w:pPr>
      <w:r w:rsidRPr="0068754D">
        <w:rPr>
          <w:b/>
          <w:bCs/>
        </w:rPr>
        <w:t>Research Objectives:</w:t>
      </w:r>
    </w:p>
    <w:p w14:paraId="0E23D81C" w14:textId="77777777" w:rsidR="00E822D9" w:rsidRPr="0068754D" w:rsidRDefault="00000000">
      <w:pPr>
        <w:numPr>
          <w:ilvl w:val="0"/>
          <w:numId w:val="1"/>
        </w:numPr>
        <w:spacing w:after="0"/>
      </w:pPr>
      <w:r w:rsidRPr="0068754D">
        <w:t>To identify how population ageing influences healthcare demand in the UK, including hospital care, primary care, and long-term condition management.</w:t>
      </w:r>
    </w:p>
    <w:p w14:paraId="1026569C" w14:textId="77777777" w:rsidR="00E822D9" w:rsidRPr="0068754D" w:rsidRDefault="00000000">
      <w:pPr>
        <w:numPr>
          <w:ilvl w:val="0"/>
          <w:numId w:val="1"/>
        </w:numPr>
        <w:spacing w:before="0" w:after="0"/>
      </w:pPr>
      <w:r w:rsidRPr="0068754D">
        <w:t>To examine the challenges faced by healthcare providers in meeting the complex needs of older adults.</w:t>
      </w:r>
    </w:p>
    <w:p w14:paraId="29D54723" w14:textId="77777777" w:rsidR="00E822D9" w:rsidRPr="0068754D" w:rsidRDefault="00000000">
      <w:pPr>
        <w:numPr>
          <w:ilvl w:val="0"/>
          <w:numId w:val="1"/>
        </w:numPr>
        <w:spacing w:before="0" w:after="0"/>
      </w:pPr>
      <w:r w:rsidRPr="0068754D">
        <w:t>To evaluate the impact of population ageing on healthcare resources, workforce capacity, and healthcare costs.</w:t>
      </w:r>
    </w:p>
    <w:p w14:paraId="7616C07C" w14:textId="77777777" w:rsidR="00E822D9" w:rsidRPr="0068754D" w:rsidRDefault="00000000">
      <w:pPr>
        <w:numPr>
          <w:ilvl w:val="0"/>
          <w:numId w:val="1"/>
        </w:numPr>
        <w:spacing w:before="0"/>
      </w:pPr>
      <w:r w:rsidRPr="0068754D">
        <w:t>To explore evidence-based strategies for improving healthcare service delivery for older people in the UK.</w:t>
      </w:r>
    </w:p>
    <w:p w14:paraId="61E34CC8" w14:textId="77777777" w:rsidR="00E822D9" w:rsidRPr="0068754D" w:rsidRDefault="00000000">
      <w:pPr>
        <w:rPr>
          <w:b/>
          <w:bCs/>
        </w:rPr>
      </w:pPr>
      <w:r w:rsidRPr="0068754D">
        <w:rPr>
          <w:b/>
          <w:bCs/>
        </w:rPr>
        <w:t>Research Question:</w:t>
      </w:r>
    </w:p>
    <w:p w14:paraId="680578AF" w14:textId="77777777" w:rsidR="00E822D9" w:rsidRPr="0068754D" w:rsidRDefault="00000000">
      <w:r w:rsidRPr="0068754D">
        <w:t xml:space="preserve">How does population ageing affect NHS service demand, workforce capacity, care delivery, and healthcare costs for older adults in the UK? </w:t>
      </w:r>
    </w:p>
    <w:p w14:paraId="34F3BE39" w14:textId="77777777" w:rsidR="00E822D9" w:rsidRPr="0068754D" w:rsidRDefault="00000000">
      <w:pPr>
        <w:pStyle w:val="Heading1"/>
        <w:keepNext w:val="0"/>
        <w:keepLines w:val="0"/>
        <w:spacing w:before="280"/>
      </w:pPr>
      <w:bookmarkStart w:id="5" w:name="_1epjukg75olx" w:colFirst="0" w:colLast="0"/>
      <w:bookmarkStart w:id="6" w:name="_Toc237551870"/>
      <w:bookmarkEnd w:id="5"/>
      <w:r w:rsidRPr="0068754D">
        <w:t>Literature Review</w:t>
      </w:r>
      <w:bookmarkEnd w:id="6"/>
    </w:p>
    <w:p w14:paraId="05D552B9" w14:textId="77777777" w:rsidR="00E822D9" w:rsidRPr="0068754D" w:rsidRDefault="00000000">
      <w:r w:rsidRPr="0068754D">
        <w:t xml:space="preserve">The links between population ageing and rising trends in health care needs are always linked, though these linkages vary among studies as to their explanations of the health care demand in the future. In England, Rachet-Jacquet </w:t>
      </w:r>
      <w:r w:rsidRPr="0068754D">
        <w:rPr>
          <w:i/>
          <w:iCs/>
        </w:rPr>
        <w:t>et al</w:t>
      </w:r>
      <w:r w:rsidRPr="0068754D">
        <w:t xml:space="preserve">. (2023) expect considerable growth in the funding of healthcare services, bed capacity, and staffing levels. Similarly, Walsh </w:t>
      </w:r>
      <w:r w:rsidRPr="0068754D">
        <w:rPr>
          <w:i/>
          <w:iCs/>
        </w:rPr>
        <w:t>et al</w:t>
      </w:r>
      <w:r w:rsidRPr="0068754D">
        <w:t xml:space="preserve">. (2024) point to the growing need as the prevalence of frailty grows. Their methods vary, though, considerably. Unlike Rachet-Jacquet </w:t>
      </w:r>
      <w:r w:rsidRPr="0068754D">
        <w:rPr>
          <w:i/>
          <w:iCs/>
        </w:rPr>
        <w:t>et al</w:t>
      </w:r>
      <w:r w:rsidRPr="0068754D">
        <w:t xml:space="preserve">. (2023) who make long-term projections, Walsh </w:t>
      </w:r>
      <w:r w:rsidRPr="0068754D">
        <w:rPr>
          <w:i/>
          <w:iCs/>
        </w:rPr>
        <w:t>et al</w:t>
      </w:r>
      <w:r w:rsidRPr="0068754D">
        <w:t xml:space="preserve">. (2024) rely on simulation modelling that takes account of frailty and population dynamics. Their broadly consistent findings are therefore more convincing evidence of the increase in demand, but both rely on assumptions about future service utilisation and population health. This is reinforced by McKee </w:t>
      </w:r>
      <w:r w:rsidRPr="0068754D">
        <w:rPr>
          <w:i/>
          <w:iCs/>
        </w:rPr>
        <w:t>et al</w:t>
      </w:r>
      <w:r w:rsidRPr="0068754D">
        <w:t>. (2021), who highlight the interaction of morbidity change and demographic ageing.</w:t>
      </w:r>
    </w:p>
    <w:p w14:paraId="63D337A8" w14:textId="77777777" w:rsidR="00E822D9" w:rsidRPr="0068754D" w:rsidRDefault="00000000">
      <w:r w:rsidRPr="0068754D">
        <w:t xml:space="preserve">The provision of care is a connected, but separate, challenge. Liu </w:t>
      </w:r>
      <w:r w:rsidRPr="0068754D">
        <w:rPr>
          <w:i/>
          <w:iCs/>
        </w:rPr>
        <w:t>et al</w:t>
      </w:r>
      <w:r w:rsidRPr="0068754D">
        <w:t xml:space="preserve">. (2021) also show associations between social care provision and health service use among older adults in England. They offer strong evidence at the population level through their longitudinal analysis in 150 local authorities. The analysis is based on social care supply only; however, this prohibits any </w:t>
      </w:r>
      <w:r w:rsidRPr="0068754D">
        <w:lastRenderedPageBreak/>
        <w:t xml:space="preserve">conclusions regarding wider NHS care delivery. Reeves </w:t>
      </w:r>
      <w:r w:rsidRPr="0068754D">
        <w:rPr>
          <w:i/>
          <w:iCs/>
        </w:rPr>
        <w:t>et al</w:t>
      </w:r>
      <w:r w:rsidRPr="0068754D">
        <w:t xml:space="preserve">. (2023) offer wider England evidence on health and care provision for older adults, including pressures experienced in care access and support. Their report has assembled several evidence sources, unlike Liu </w:t>
      </w:r>
      <w:r w:rsidRPr="0068754D">
        <w:rPr>
          <w:i/>
          <w:iCs/>
        </w:rPr>
        <w:t>et al</w:t>
      </w:r>
      <w:r w:rsidRPr="0068754D">
        <w:t>. (2021), which analyse primary administrative data. Stuck and Masud (2022) similarly emphasise integrated and coordinated care for older adults. Their view in Europe, however, makes it much less applicable in the NHS context, as there are differences across the different healthcare systems in Europe.</w:t>
      </w:r>
    </w:p>
    <w:p w14:paraId="390B0791" w14:textId="77777777" w:rsidR="00E822D9" w:rsidRPr="0068754D" w:rsidRDefault="00000000">
      <w:r w:rsidRPr="0068754D">
        <w:t xml:space="preserve">Ageing also puts pressure on the workforce and the financial system, which can impact the way care is delivered (Martinez-Lacoba </w:t>
      </w:r>
      <w:r w:rsidRPr="0068754D">
        <w:rPr>
          <w:i/>
          <w:iCs/>
        </w:rPr>
        <w:t>et al</w:t>
      </w:r>
      <w:r w:rsidRPr="0068754D">
        <w:t xml:space="preserve">. 2021). Bimpong </w:t>
      </w:r>
      <w:r w:rsidRPr="0068754D">
        <w:rPr>
          <w:i/>
          <w:iCs/>
        </w:rPr>
        <w:t>et al</w:t>
      </w:r>
      <w:r w:rsidRPr="0068754D">
        <w:t xml:space="preserve">. (2020) find a correlation between NHS workforce satisfaction, wages, and retention, showing that organisational conditions are relevant to workforce capacity, in addition to the capacity resulting from demand. Fattahi </w:t>
      </w:r>
      <w:r w:rsidRPr="0068754D">
        <w:rPr>
          <w:i/>
          <w:iCs/>
        </w:rPr>
        <w:t>et al</w:t>
      </w:r>
      <w:r w:rsidRPr="0068754D">
        <w:t xml:space="preserve">. (2023) highlight labor force mismatch with evolving population needs. They align with the findings of Rachet-Jacquet </w:t>
      </w:r>
      <w:r w:rsidRPr="0068754D">
        <w:rPr>
          <w:i/>
          <w:iCs/>
        </w:rPr>
        <w:t>et al</w:t>
      </w:r>
      <w:r w:rsidRPr="0068754D">
        <w:t xml:space="preserve">. (2023), where current and projected workforce demands are linked to broader health service capacity. But workforce studies are more oriented toward employment and retention, and projection studies toward projected needs. This methodological difference makes it difficult to compare the actual constraints on the workforce to projected workforce needs. Charlesworth </w:t>
      </w:r>
      <w:r w:rsidRPr="0068754D">
        <w:rPr>
          <w:i/>
          <w:iCs/>
        </w:rPr>
        <w:t>et al</w:t>
      </w:r>
      <w:r w:rsidRPr="0068754D">
        <w:t>. (2021) also illustrate the need to take population needs and the capacity of health and care services into account, alongside wider resource constraints.</w:t>
      </w:r>
    </w:p>
    <w:p w14:paraId="772E0FDA" w14:textId="77777777" w:rsidR="00E822D9" w:rsidRPr="0068754D" w:rsidRDefault="00000000">
      <w:r w:rsidRPr="0068754D">
        <w:t xml:space="preserve">The literature also indicates that ageing does not affect older adults uniformly. McKee </w:t>
      </w:r>
      <w:r w:rsidRPr="0068754D">
        <w:rPr>
          <w:i/>
          <w:iCs/>
        </w:rPr>
        <w:t>et al</w:t>
      </w:r>
      <w:r w:rsidRPr="0068754D">
        <w:t xml:space="preserve">. (2021) highlight changing health needs across the UK population, while Reeves </w:t>
      </w:r>
      <w:r w:rsidRPr="0068754D">
        <w:rPr>
          <w:i/>
          <w:iCs/>
        </w:rPr>
        <w:t>et al</w:t>
      </w:r>
      <w:r w:rsidRPr="0068754D">
        <w:t>. (2023) identify differences in health and care experiences among older people. These differences are relevant as service demand and care needs can differ depending on health status, social factors, and access to support. Selected studies, however, tended to focus more on the interactions between population demand and service capacity than on inequalities, quality of life,e and informal care. This narrows awareness of the differences in the experience of pressure on care delivery among older people. Overall, these studies show a consensus on the effects of population ageing on NHS demand, capacity of the health workforce, and the delivery of care and resources. However, methodological and contextual differences make it difficult to draw general conclusions. A systematic literature review is then needed to combine these dimensions in the UK context.</w:t>
      </w:r>
    </w:p>
    <w:p w14:paraId="3D2317A8" w14:textId="77777777" w:rsidR="00E822D9" w:rsidRPr="0068754D" w:rsidRDefault="00000000">
      <w:pPr>
        <w:pStyle w:val="Heading1"/>
        <w:keepNext w:val="0"/>
        <w:keepLines w:val="0"/>
        <w:spacing w:after="80"/>
      </w:pPr>
      <w:bookmarkStart w:id="7" w:name="_1lbngp2bit7n" w:colFirst="0" w:colLast="0"/>
      <w:bookmarkStart w:id="8" w:name="_Toc237551871"/>
      <w:bookmarkEnd w:id="7"/>
      <w:r w:rsidRPr="0068754D">
        <w:t>Methodology</w:t>
      </w:r>
      <w:bookmarkEnd w:id="8"/>
    </w:p>
    <w:p w14:paraId="064F4C72" w14:textId="77777777" w:rsidR="00E822D9" w:rsidRPr="0068754D" w:rsidRDefault="00000000">
      <w:pPr>
        <w:spacing w:before="280"/>
        <w:rPr>
          <w:b/>
          <w:bCs/>
          <w:i/>
          <w:iCs/>
        </w:rPr>
      </w:pPr>
      <w:r w:rsidRPr="0068754D">
        <w:rPr>
          <w:b/>
          <w:bCs/>
          <w:i/>
          <w:iCs/>
        </w:rPr>
        <w:t>Research Design</w:t>
      </w:r>
    </w:p>
    <w:p w14:paraId="2B345EAC" w14:textId="77777777" w:rsidR="00E822D9" w:rsidRPr="0068754D" w:rsidRDefault="00000000">
      <w:r w:rsidRPr="0068754D">
        <w:lastRenderedPageBreak/>
        <w:t xml:space="preserve">A systematic literature review (SLR) will be employed in this study to explore the impact of population ageing on NHS services. SLR is suitable because the research question will need evidence to be identified, assessed, and synthesized in a systematic way. It also decreases the chances of choosing evidence on the basis of personal opinion. According to Page </w:t>
      </w:r>
      <w:r w:rsidRPr="0068754D">
        <w:rPr>
          <w:i/>
          <w:iCs/>
        </w:rPr>
        <w:t>et al</w:t>
      </w:r>
      <w:r w:rsidRPr="0068754D">
        <w:t xml:space="preserve">. (2021) systematic reviews have been defined as a structured process to identify, select, appraise, and synthesise material. </w:t>
      </w:r>
    </w:p>
    <w:p w14:paraId="1320BB3D" w14:textId="77777777" w:rsidR="00E822D9" w:rsidRPr="0068754D" w:rsidRDefault="00000000">
      <w:pPr>
        <w:spacing w:before="280"/>
        <w:rPr>
          <w:i/>
          <w:iCs/>
        </w:rPr>
      </w:pPr>
      <w:r w:rsidRPr="0068754D">
        <w:rPr>
          <w:b/>
          <w:bCs/>
          <w:i/>
          <w:iCs/>
        </w:rPr>
        <w:t>Question Framework</w:t>
      </w:r>
    </w:p>
    <w:p w14:paraId="69BBC2F6" w14:textId="77777777" w:rsidR="00E822D9" w:rsidRPr="0068754D" w:rsidRDefault="00000000">
      <w:r w:rsidRPr="0068754D">
        <w:t xml:space="preserve">The research question will be formulated using the PICO framework. Hosseini </w:t>
      </w:r>
      <w:r w:rsidRPr="0068754D">
        <w:rPr>
          <w:i/>
          <w:iCs/>
        </w:rPr>
        <w:t>et al</w:t>
      </w:r>
      <w:r w:rsidRPr="0068754D">
        <w:t xml:space="preserve">. (2024) identify PICO as a useful approach for defining populations, interventions, comparators, and outcomes. </w:t>
      </w:r>
    </w:p>
    <w:tbl>
      <w:tblPr>
        <w:tblStyle w:val="a"/>
        <w:tblW w:w="92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765"/>
        <w:gridCol w:w="6470"/>
      </w:tblGrid>
      <w:tr w:rsidR="00E822D9" w:rsidRPr="0068754D" w14:paraId="54C51AD9" w14:textId="77777777">
        <w:trPr>
          <w:trHeight w:val="500"/>
        </w:trPr>
        <w:tc>
          <w:tcPr>
            <w:tcW w:w="2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335339" w14:textId="77777777" w:rsidR="00E822D9" w:rsidRPr="0068754D" w:rsidRDefault="00000000">
            <w:pPr>
              <w:spacing w:before="0" w:after="0"/>
              <w:jc w:val="center"/>
            </w:pPr>
            <w:r w:rsidRPr="0068754D">
              <w:rPr>
                <w:b/>
                <w:bCs/>
              </w:rPr>
              <w:t>PICO element</w:t>
            </w:r>
          </w:p>
        </w:tc>
        <w:tc>
          <w:tcPr>
            <w:tcW w:w="6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0C9536" w14:textId="77777777" w:rsidR="00E822D9" w:rsidRPr="0068754D" w:rsidRDefault="00000000">
            <w:pPr>
              <w:spacing w:before="0" w:after="0"/>
              <w:jc w:val="center"/>
            </w:pPr>
            <w:r w:rsidRPr="0068754D">
              <w:rPr>
                <w:b/>
                <w:bCs/>
              </w:rPr>
              <w:t>Application to this review</w:t>
            </w:r>
          </w:p>
        </w:tc>
      </w:tr>
      <w:tr w:rsidR="00E822D9" w:rsidRPr="0068754D" w14:paraId="18441699" w14:textId="77777777">
        <w:trPr>
          <w:trHeight w:val="500"/>
        </w:trPr>
        <w:tc>
          <w:tcPr>
            <w:tcW w:w="2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A3D5B1" w14:textId="77777777" w:rsidR="00E822D9" w:rsidRPr="0068754D" w:rsidRDefault="00000000">
            <w:pPr>
              <w:spacing w:before="0" w:after="0"/>
            </w:pPr>
            <w:r w:rsidRPr="0068754D">
              <w:rPr>
                <w:b/>
                <w:bCs/>
              </w:rPr>
              <w:t>Population (P)</w:t>
            </w:r>
          </w:p>
        </w:tc>
        <w:tc>
          <w:tcPr>
            <w:tcW w:w="6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49BF7E" w14:textId="77777777" w:rsidR="00E822D9" w:rsidRPr="0068754D" w:rsidRDefault="00000000">
            <w:pPr>
              <w:spacing w:before="0" w:after="0"/>
            </w:pPr>
            <w:r w:rsidRPr="0068754D">
              <w:t>Adults aged 65 years and above receiving healthcare in the UK</w:t>
            </w:r>
          </w:p>
        </w:tc>
      </w:tr>
      <w:tr w:rsidR="00E822D9" w:rsidRPr="0068754D" w14:paraId="3DEDF6F9" w14:textId="77777777">
        <w:trPr>
          <w:trHeight w:val="785"/>
        </w:trPr>
        <w:tc>
          <w:tcPr>
            <w:tcW w:w="2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23AC8C" w14:textId="77777777" w:rsidR="00E822D9" w:rsidRPr="0068754D" w:rsidRDefault="00000000">
            <w:pPr>
              <w:spacing w:before="0" w:after="0"/>
            </w:pPr>
            <w:r w:rsidRPr="0068754D">
              <w:rPr>
                <w:b/>
                <w:bCs/>
              </w:rPr>
              <w:t>Intervention/Exposure (I)</w:t>
            </w:r>
          </w:p>
        </w:tc>
        <w:tc>
          <w:tcPr>
            <w:tcW w:w="6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9F3CD7" w14:textId="77777777" w:rsidR="00E822D9" w:rsidRPr="0068754D" w:rsidRDefault="00000000">
            <w:pPr>
              <w:spacing w:before="0" w:after="0"/>
            </w:pPr>
            <w:r w:rsidRPr="0068754D">
              <w:t>Population ageing and increasing older-adult populations</w:t>
            </w:r>
          </w:p>
        </w:tc>
      </w:tr>
      <w:tr w:rsidR="00E822D9" w:rsidRPr="0068754D" w14:paraId="6384AEF1" w14:textId="77777777">
        <w:trPr>
          <w:trHeight w:val="785"/>
        </w:trPr>
        <w:tc>
          <w:tcPr>
            <w:tcW w:w="2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287377" w14:textId="77777777" w:rsidR="00E822D9" w:rsidRPr="0068754D" w:rsidRDefault="00000000">
            <w:pPr>
              <w:spacing w:before="0" w:after="0"/>
            </w:pPr>
            <w:r w:rsidRPr="0068754D">
              <w:rPr>
                <w:b/>
                <w:bCs/>
              </w:rPr>
              <w:t>Comparison (C)</w:t>
            </w:r>
          </w:p>
        </w:tc>
        <w:tc>
          <w:tcPr>
            <w:tcW w:w="6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E2813C" w14:textId="77777777" w:rsidR="00E822D9" w:rsidRPr="0068754D" w:rsidRDefault="00000000">
            <w:pPr>
              <w:spacing w:before="0" w:after="0"/>
            </w:pPr>
            <w:r w:rsidRPr="0068754D">
              <w:t>Younger populations, earlier periods or lower levels of population ageing, where reported</w:t>
            </w:r>
          </w:p>
        </w:tc>
      </w:tr>
      <w:tr w:rsidR="00E822D9" w:rsidRPr="0068754D" w14:paraId="00954B74" w14:textId="77777777">
        <w:trPr>
          <w:trHeight w:val="785"/>
        </w:trPr>
        <w:tc>
          <w:tcPr>
            <w:tcW w:w="2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382CB6" w14:textId="77777777" w:rsidR="00E822D9" w:rsidRPr="0068754D" w:rsidRDefault="00000000">
            <w:pPr>
              <w:spacing w:before="0" w:after="0"/>
            </w:pPr>
            <w:r w:rsidRPr="0068754D">
              <w:rPr>
                <w:b/>
                <w:bCs/>
              </w:rPr>
              <w:t>Outcomes (O)</w:t>
            </w:r>
          </w:p>
        </w:tc>
        <w:tc>
          <w:tcPr>
            <w:tcW w:w="6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18482A" w14:textId="77777777" w:rsidR="00E822D9" w:rsidRPr="0068754D" w:rsidRDefault="00000000">
            <w:pPr>
              <w:spacing w:before="0" w:after="0"/>
            </w:pPr>
            <w:r w:rsidRPr="0068754D">
              <w:t>NHS service demand, workforce capacity, care delivery and healthcare costs</w:t>
            </w:r>
          </w:p>
        </w:tc>
      </w:tr>
    </w:tbl>
    <w:p w14:paraId="7A7C4C99" w14:textId="77777777" w:rsidR="00E822D9" w:rsidRPr="0068754D" w:rsidRDefault="00000000">
      <w:r w:rsidRPr="0068754D">
        <w:t>The comparison element will remain flexible because relevant observational and modelling studies may use different comparators.</w:t>
      </w:r>
    </w:p>
    <w:p w14:paraId="0D9370EA" w14:textId="77777777" w:rsidR="00E822D9" w:rsidRPr="0068754D" w:rsidRDefault="00000000">
      <w:pPr>
        <w:spacing w:before="280"/>
        <w:rPr>
          <w:b/>
          <w:bCs/>
          <w:i/>
          <w:iCs/>
        </w:rPr>
      </w:pPr>
      <w:r w:rsidRPr="0068754D">
        <w:rPr>
          <w:b/>
          <w:bCs/>
          <w:i/>
          <w:iCs/>
        </w:rPr>
        <w:t>Search Strategy and Databases</w:t>
      </w:r>
    </w:p>
    <w:p w14:paraId="6C5F6C3D" w14:textId="77777777" w:rsidR="00E822D9" w:rsidRPr="0068754D" w:rsidRDefault="00000000">
      <w:r w:rsidRPr="0068754D">
        <w:t xml:space="preserve">A structured search will be conducted using PubMed, ScienceDirect, and Google Scholar. These databases cover all areas of medicine, nursing, healthcare management, and multidisciplinary research. The search will be conducted on peer-reviewed publications from 2016 to 2026. This time frame focuses on the current evidence. Reference lists of relevant studies will also be checked for additional eligible publications. Details of search dates, string, and retrieved dates will be recorded for reproducibility. </w:t>
      </w:r>
    </w:p>
    <w:p w14:paraId="23C858F2" w14:textId="77777777" w:rsidR="00E822D9" w:rsidRPr="0068754D" w:rsidRDefault="00000000">
      <w:pPr>
        <w:spacing w:before="280"/>
        <w:rPr>
          <w:b/>
          <w:bCs/>
          <w:i/>
          <w:iCs/>
        </w:rPr>
      </w:pPr>
      <w:r w:rsidRPr="0068754D">
        <w:rPr>
          <w:b/>
          <w:bCs/>
          <w:i/>
          <w:iCs/>
        </w:rPr>
        <w:lastRenderedPageBreak/>
        <w:t>Search Terms</w:t>
      </w:r>
    </w:p>
    <w:p w14:paraId="58090E42" w14:textId="77777777" w:rsidR="00E822D9" w:rsidRPr="0068754D" w:rsidRDefault="00000000">
      <w:r w:rsidRPr="0068754D">
        <w:t xml:space="preserve">Search terms will combine four main concepts using Boolean operators. The population terms will include “older adults”, “older people”, “elderly” and “aged 65+”. Ageing terms will include “population ageing”, “population aging”, “demographic ageing” and “demographic change”. NHS terms will include “NHS”, “National Health Service”, “healthcare service” and “health service delivery”. Outcome terms will cover: “service demand”, “workforce capacity”, “care delivery”, “healthcare costs”, “health expenditure” and “resource demand”. The concepts will be linked by AND, and the synonyms of each concept will be linked by OR. Truncation will capture variations such as service and services. </w:t>
      </w:r>
    </w:p>
    <w:p w14:paraId="6E74EBB7" w14:textId="77777777" w:rsidR="00E822D9" w:rsidRPr="0068754D" w:rsidRDefault="00000000">
      <w:pPr>
        <w:spacing w:before="280"/>
        <w:rPr>
          <w:b/>
          <w:bCs/>
          <w:i/>
          <w:iCs/>
        </w:rPr>
      </w:pPr>
      <w:r w:rsidRPr="0068754D">
        <w:rPr>
          <w:b/>
          <w:bCs/>
          <w:i/>
          <w:iCs/>
        </w:rPr>
        <w:t>Inclusion and Exclusion Criteria</w:t>
      </w:r>
    </w:p>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18"/>
        <w:gridCol w:w="3827"/>
        <w:gridCol w:w="4215"/>
      </w:tblGrid>
      <w:tr w:rsidR="00E822D9" w:rsidRPr="0068754D" w14:paraId="7A411BEC" w14:textId="77777777">
        <w:trPr>
          <w:trHeight w:val="500"/>
        </w:trPr>
        <w:tc>
          <w:tcPr>
            <w:tcW w:w="13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83C158" w14:textId="77777777" w:rsidR="00E822D9" w:rsidRPr="0068754D" w:rsidRDefault="00000000">
            <w:pPr>
              <w:spacing w:before="0" w:after="0"/>
              <w:jc w:val="center"/>
            </w:pPr>
            <w:r w:rsidRPr="0068754D">
              <w:rPr>
                <w:b/>
                <w:bCs/>
              </w:rPr>
              <w:t>Criteria</w:t>
            </w:r>
          </w:p>
        </w:tc>
        <w:tc>
          <w:tcPr>
            <w:tcW w:w="38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9D1C2B" w14:textId="77777777" w:rsidR="00E822D9" w:rsidRPr="0068754D" w:rsidRDefault="00000000">
            <w:pPr>
              <w:spacing w:before="0" w:after="0"/>
              <w:jc w:val="center"/>
            </w:pPr>
            <w:r w:rsidRPr="0068754D">
              <w:rPr>
                <w:b/>
                <w:bCs/>
              </w:rPr>
              <w:t>Include</w:t>
            </w:r>
          </w:p>
        </w:tc>
        <w:tc>
          <w:tcPr>
            <w:tcW w:w="42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4E773C" w14:textId="77777777" w:rsidR="00E822D9" w:rsidRPr="0068754D" w:rsidRDefault="00000000">
            <w:pPr>
              <w:spacing w:before="0" w:after="0"/>
              <w:jc w:val="center"/>
            </w:pPr>
            <w:r w:rsidRPr="0068754D">
              <w:rPr>
                <w:b/>
                <w:bCs/>
              </w:rPr>
              <w:t>Exclude</w:t>
            </w:r>
          </w:p>
        </w:tc>
      </w:tr>
      <w:tr w:rsidR="00E822D9" w:rsidRPr="0068754D" w14:paraId="1E494050" w14:textId="77777777">
        <w:trPr>
          <w:trHeight w:val="785"/>
        </w:trPr>
        <w:tc>
          <w:tcPr>
            <w:tcW w:w="13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D938DA" w14:textId="77777777" w:rsidR="00E822D9" w:rsidRPr="0068754D" w:rsidRDefault="00000000">
            <w:pPr>
              <w:spacing w:before="0" w:after="0"/>
            </w:pPr>
            <w:r w:rsidRPr="0068754D">
              <w:t>Population</w:t>
            </w:r>
          </w:p>
        </w:tc>
        <w:tc>
          <w:tcPr>
            <w:tcW w:w="38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66D072" w14:textId="77777777" w:rsidR="00E822D9" w:rsidRPr="0068754D" w:rsidRDefault="00000000">
            <w:pPr>
              <w:spacing w:before="0" w:after="0"/>
            </w:pPr>
            <w:r w:rsidRPr="0068754D">
              <w:t>Adults aged 65+ and studies addressing ageing populations</w:t>
            </w:r>
          </w:p>
        </w:tc>
        <w:tc>
          <w:tcPr>
            <w:tcW w:w="42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5789AB" w14:textId="77777777" w:rsidR="00E822D9" w:rsidRPr="0068754D" w:rsidRDefault="00000000">
            <w:pPr>
              <w:spacing w:before="0" w:after="0"/>
            </w:pPr>
            <w:r w:rsidRPr="0068754D">
              <w:t>Studies focusing exclusively on younger adults</w:t>
            </w:r>
          </w:p>
        </w:tc>
      </w:tr>
      <w:tr w:rsidR="00E822D9" w:rsidRPr="0068754D" w14:paraId="3387B40C" w14:textId="77777777">
        <w:trPr>
          <w:trHeight w:val="785"/>
        </w:trPr>
        <w:tc>
          <w:tcPr>
            <w:tcW w:w="13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34F2B5" w14:textId="77777777" w:rsidR="00E822D9" w:rsidRPr="0068754D" w:rsidRDefault="00000000">
            <w:pPr>
              <w:spacing w:before="0" w:after="0"/>
            </w:pPr>
            <w:r w:rsidRPr="0068754D">
              <w:t>Setting</w:t>
            </w:r>
          </w:p>
        </w:tc>
        <w:tc>
          <w:tcPr>
            <w:tcW w:w="38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500C0E" w14:textId="77777777" w:rsidR="00E822D9" w:rsidRPr="0068754D" w:rsidRDefault="00000000">
            <w:pPr>
              <w:spacing w:before="0" w:after="0"/>
            </w:pPr>
            <w:r w:rsidRPr="0068754D">
              <w:t>UK healthcare, NHS, or directly relevant UK health and care settings</w:t>
            </w:r>
          </w:p>
        </w:tc>
        <w:tc>
          <w:tcPr>
            <w:tcW w:w="42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EB4A21" w14:textId="77777777" w:rsidR="00E822D9" w:rsidRPr="0068754D" w:rsidRDefault="00000000">
            <w:pPr>
              <w:spacing w:before="0" w:after="0"/>
            </w:pPr>
            <w:r w:rsidRPr="0068754D">
              <w:t>Studies conducted outside the UK without transferable UK evidence</w:t>
            </w:r>
          </w:p>
        </w:tc>
      </w:tr>
      <w:tr w:rsidR="00E822D9" w:rsidRPr="0068754D" w14:paraId="73AF5866" w14:textId="77777777">
        <w:trPr>
          <w:trHeight w:val="785"/>
        </w:trPr>
        <w:tc>
          <w:tcPr>
            <w:tcW w:w="13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1304F3" w14:textId="77777777" w:rsidR="00E822D9" w:rsidRPr="0068754D" w:rsidRDefault="00000000">
            <w:pPr>
              <w:spacing w:before="0" w:after="0"/>
            </w:pPr>
            <w:r w:rsidRPr="0068754D">
              <w:t>Topic</w:t>
            </w:r>
          </w:p>
        </w:tc>
        <w:tc>
          <w:tcPr>
            <w:tcW w:w="38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B1E141" w14:textId="77777777" w:rsidR="00E822D9" w:rsidRPr="0068754D" w:rsidRDefault="00000000">
            <w:pPr>
              <w:spacing w:before="0" w:after="0"/>
            </w:pPr>
            <w:r w:rsidRPr="0068754D">
              <w:t>Population ageing linked to demand, workforce, care delivery or costs</w:t>
            </w:r>
          </w:p>
        </w:tc>
        <w:tc>
          <w:tcPr>
            <w:tcW w:w="42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1B4193" w14:textId="77777777" w:rsidR="00E822D9" w:rsidRPr="0068754D" w:rsidRDefault="00000000">
            <w:pPr>
              <w:spacing w:before="0" w:after="0"/>
            </w:pPr>
            <w:r w:rsidRPr="0068754D">
              <w:t>Studies unrelated to healthcare implications</w:t>
            </w:r>
          </w:p>
        </w:tc>
      </w:tr>
      <w:tr w:rsidR="00E822D9" w:rsidRPr="0068754D" w14:paraId="4022E1DD" w14:textId="77777777">
        <w:trPr>
          <w:trHeight w:val="785"/>
        </w:trPr>
        <w:tc>
          <w:tcPr>
            <w:tcW w:w="13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DF4382" w14:textId="77777777" w:rsidR="00E822D9" w:rsidRPr="0068754D" w:rsidRDefault="00000000">
            <w:pPr>
              <w:spacing w:before="0" w:after="0"/>
            </w:pPr>
            <w:r w:rsidRPr="0068754D">
              <w:t>Publication</w:t>
            </w:r>
          </w:p>
        </w:tc>
        <w:tc>
          <w:tcPr>
            <w:tcW w:w="38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D8ED9" w14:textId="77777777" w:rsidR="00E822D9" w:rsidRPr="0068754D" w:rsidRDefault="00000000">
            <w:pPr>
              <w:spacing w:before="0" w:after="0"/>
            </w:pPr>
            <w:r w:rsidRPr="0068754D">
              <w:t>Peer-reviewed research published 2016–2026</w:t>
            </w:r>
          </w:p>
        </w:tc>
        <w:tc>
          <w:tcPr>
            <w:tcW w:w="42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CDCC49" w14:textId="77777777" w:rsidR="00E822D9" w:rsidRPr="0068754D" w:rsidRDefault="00000000">
            <w:pPr>
              <w:spacing w:before="0" w:after="0"/>
            </w:pPr>
            <w:r w:rsidRPr="0068754D">
              <w:t>Editorials, commentaries, conference abstracts and non-peer-reviewed studies</w:t>
            </w:r>
          </w:p>
        </w:tc>
      </w:tr>
      <w:tr w:rsidR="00E822D9" w:rsidRPr="0068754D" w14:paraId="134EE9AC" w14:textId="77777777">
        <w:trPr>
          <w:trHeight w:val="500"/>
        </w:trPr>
        <w:tc>
          <w:tcPr>
            <w:tcW w:w="13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3FB0DB" w14:textId="77777777" w:rsidR="00E822D9" w:rsidRPr="0068754D" w:rsidRDefault="00000000">
            <w:pPr>
              <w:spacing w:before="0" w:after="0"/>
            </w:pPr>
            <w:r w:rsidRPr="0068754D">
              <w:t>Language</w:t>
            </w:r>
          </w:p>
        </w:tc>
        <w:tc>
          <w:tcPr>
            <w:tcW w:w="38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7085AB" w14:textId="77777777" w:rsidR="00E822D9" w:rsidRPr="0068754D" w:rsidRDefault="00000000">
            <w:pPr>
              <w:spacing w:before="0" w:after="0"/>
            </w:pPr>
            <w:r w:rsidRPr="0068754D">
              <w:t>English-language studies</w:t>
            </w:r>
          </w:p>
        </w:tc>
        <w:tc>
          <w:tcPr>
            <w:tcW w:w="42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C4CF3B" w14:textId="77777777" w:rsidR="00E822D9" w:rsidRPr="0068754D" w:rsidRDefault="00000000">
            <w:pPr>
              <w:spacing w:before="0" w:after="0"/>
            </w:pPr>
            <w:r w:rsidRPr="0068754D">
              <w:t>Non-English publications</w:t>
            </w:r>
          </w:p>
        </w:tc>
      </w:tr>
      <w:tr w:rsidR="00E822D9" w:rsidRPr="0068754D" w14:paraId="3A91686A" w14:textId="77777777">
        <w:trPr>
          <w:trHeight w:val="785"/>
        </w:trPr>
        <w:tc>
          <w:tcPr>
            <w:tcW w:w="13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6719CA" w14:textId="77777777" w:rsidR="00E822D9" w:rsidRPr="0068754D" w:rsidRDefault="00000000">
            <w:pPr>
              <w:spacing w:before="0" w:after="0"/>
            </w:pPr>
            <w:r w:rsidRPr="0068754D">
              <w:t>Evidence</w:t>
            </w:r>
          </w:p>
        </w:tc>
        <w:tc>
          <w:tcPr>
            <w:tcW w:w="38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553DF6" w14:textId="77777777" w:rsidR="00E822D9" w:rsidRPr="0068754D" w:rsidRDefault="00000000">
            <w:pPr>
              <w:spacing w:before="0" w:after="0"/>
            </w:pPr>
            <w:r w:rsidRPr="0068754D">
              <w:t>Empirical, observational, modelling and systematic review evidence</w:t>
            </w:r>
          </w:p>
        </w:tc>
        <w:tc>
          <w:tcPr>
            <w:tcW w:w="42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36EF91" w14:textId="77777777" w:rsidR="00E822D9" w:rsidRPr="0068754D" w:rsidRDefault="00000000">
            <w:pPr>
              <w:spacing w:before="0" w:after="0"/>
            </w:pPr>
            <w:r w:rsidRPr="0068754D">
              <w:t>Papers without relevant findings or sufficient methodological information</w:t>
            </w:r>
          </w:p>
        </w:tc>
      </w:tr>
    </w:tbl>
    <w:p w14:paraId="775F8312" w14:textId="77777777" w:rsidR="00E822D9" w:rsidRPr="0068754D" w:rsidRDefault="00000000">
      <w:pPr>
        <w:spacing w:before="280"/>
        <w:rPr>
          <w:b/>
          <w:bCs/>
          <w:i/>
          <w:iCs/>
        </w:rPr>
      </w:pPr>
      <w:r w:rsidRPr="0068754D">
        <w:rPr>
          <w:b/>
          <w:bCs/>
          <w:i/>
          <w:iCs/>
        </w:rPr>
        <w:t>Study Screening and Selection</w:t>
      </w:r>
    </w:p>
    <w:p w14:paraId="26343E34" w14:textId="77777777" w:rsidR="00E822D9" w:rsidRPr="0068754D" w:rsidRDefault="00000000">
      <w:r w:rsidRPr="0068754D">
        <w:t xml:space="preserve">All retrieved records will be imported into Excel, and the records that are duplicated will be eliminated. Titles and abstracts will then be screened using the pre-set criteria. Potentially relevant studies will be scheduled for full-text evaluation. Full Text Exclusions will be documented </w:t>
      </w:r>
      <w:r w:rsidRPr="0068754D">
        <w:lastRenderedPageBreak/>
        <w:t xml:space="preserve">systematically. The final selection process will be presented using the PRISMA flow diagram, wherein identification, screening, eligibility, and inclusion will be displayed (Shaheen </w:t>
      </w:r>
      <w:r w:rsidRPr="0068754D">
        <w:rPr>
          <w:i/>
          <w:iCs/>
        </w:rPr>
        <w:t>et al</w:t>
      </w:r>
      <w:r w:rsidRPr="0068754D">
        <w:t xml:space="preserve">. 2023). </w:t>
      </w:r>
    </w:p>
    <w:p w14:paraId="3D4323B0" w14:textId="77777777" w:rsidR="00E822D9" w:rsidRPr="0068754D" w:rsidRDefault="00000000">
      <w:pPr>
        <w:spacing w:before="280"/>
        <w:rPr>
          <w:b/>
          <w:bCs/>
          <w:i/>
          <w:iCs/>
        </w:rPr>
      </w:pPr>
      <w:r w:rsidRPr="0068754D">
        <w:rPr>
          <w:b/>
          <w:bCs/>
          <w:i/>
          <w:iCs/>
        </w:rPr>
        <w:t>Quality Appraisal</w:t>
      </w:r>
    </w:p>
    <w:p w14:paraId="53BCE5C3" w14:textId="77777777" w:rsidR="00E822D9" w:rsidRPr="0068754D" w:rsidRDefault="00000000">
      <w:r w:rsidRPr="0068754D">
        <w:t xml:space="preserve">The Joanna Briggs Institute (JBI) critical appraisal tools will be used to measure methodological quality and risk of bias. A variety of JBI checklists will be used depending on the design of each study incorporated. This approach is appropriate because the review can encompass observational, modeling, and other quantitative evidence. The appraisal will include methodological clarity, sampling, measurement, analysis, and potential biases (Munn </w:t>
      </w:r>
      <w:r w:rsidRPr="0068754D">
        <w:rPr>
          <w:i/>
          <w:iCs/>
        </w:rPr>
        <w:t>et al</w:t>
      </w:r>
      <w:r w:rsidRPr="0068754D">
        <w:t>. 2023). Studies will not be excluded solely because of lower quality; instead, appraisal findings will influence the interpretation of their evidence.</w:t>
      </w:r>
    </w:p>
    <w:p w14:paraId="10C746FB" w14:textId="77777777" w:rsidR="00E822D9" w:rsidRPr="0068754D" w:rsidRDefault="00000000">
      <w:pPr>
        <w:spacing w:before="280"/>
        <w:rPr>
          <w:b/>
          <w:bCs/>
        </w:rPr>
      </w:pPr>
      <w:r w:rsidRPr="0068754D">
        <w:rPr>
          <w:b/>
          <w:bCs/>
        </w:rPr>
        <w:t>Data Extraction Method</w:t>
      </w:r>
    </w:p>
    <w:p w14:paraId="47FAB631" w14:textId="77777777" w:rsidR="00E822D9" w:rsidRPr="0068754D" w:rsidRDefault="00000000">
      <w:r w:rsidRPr="0068754D">
        <w:t xml:space="preserve">For each included study, a standardised extraction table will be used to store data. The table will document the author of the study, year of publication, the title of the article, study design, and main findings. The same extraction format will give a uniform basis for comparing the evidence included in the studies. The extracted information will then be carefully reviewed to make sure that the findings are accurately represented during synthesis. This will also minimize the chances of missing out on pertinent information when reviewing the findings between studies (Taylor </w:t>
      </w:r>
      <w:r w:rsidRPr="0068754D">
        <w:rPr>
          <w:i/>
          <w:iCs/>
        </w:rPr>
        <w:t>et al</w:t>
      </w:r>
      <w:r w:rsidRPr="0068754D">
        <w:t xml:space="preserve">. 2021). </w:t>
      </w:r>
    </w:p>
    <w:p w14:paraId="782C59AD" w14:textId="77777777" w:rsidR="00E822D9" w:rsidRPr="0068754D" w:rsidRDefault="00000000">
      <w:pPr>
        <w:spacing w:before="280"/>
        <w:rPr>
          <w:b/>
          <w:bCs/>
          <w:i/>
          <w:iCs/>
        </w:rPr>
      </w:pPr>
      <w:r w:rsidRPr="0068754D">
        <w:rPr>
          <w:b/>
          <w:bCs/>
          <w:i/>
          <w:iCs/>
        </w:rPr>
        <w:t>Data Analysis</w:t>
      </w:r>
    </w:p>
    <w:p w14:paraId="587946EB" w14:textId="77777777" w:rsidR="00E822D9" w:rsidRPr="0068754D" w:rsidRDefault="00000000">
      <w:r w:rsidRPr="0068754D">
        <w:t xml:space="preserve">Thematic analysis will be used to analyse the findings that have been extracted. This approach is useful since the studies included in the reports should vary in their research designs, subject matter, and results. Thematic analysis also enables the identification of common patterns and meaning differences from various evidence, even when data are not statistically comparable (Braun and Clarke, 2021). The analysis will include familiarisation with the findings that have been extracted, highlighting the patterns within the findings, formulation of higher-level themes, and making sense of the relationships between the findings. Findings that differ between studies will also be considered rather than being treated as errors or excluded. This will ensure a structured synthesis without the loss of differences in the included studies. </w:t>
      </w:r>
    </w:p>
    <w:p w14:paraId="3FA295FD" w14:textId="77777777" w:rsidR="00E822D9" w:rsidRPr="0068754D" w:rsidRDefault="00000000">
      <w:pPr>
        <w:pStyle w:val="Heading1"/>
        <w:spacing w:before="280"/>
      </w:pPr>
      <w:bookmarkStart w:id="9" w:name="_29c7u1rudr2u" w:colFirst="0" w:colLast="0"/>
      <w:bookmarkStart w:id="10" w:name="_Toc237551872"/>
      <w:bookmarkEnd w:id="9"/>
      <w:r w:rsidRPr="0068754D">
        <w:lastRenderedPageBreak/>
        <w:t>Ethical Considerations</w:t>
      </w:r>
      <w:bookmarkEnd w:id="10"/>
    </w:p>
    <w:p w14:paraId="5B60E4F9" w14:textId="77777777" w:rsidR="00E822D9" w:rsidRPr="0068754D" w:rsidRDefault="00000000">
      <w:r w:rsidRPr="0068754D">
        <w:t xml:space="preserve">This review will use evidence that has already been published, so no participants will be recruited or contacted. Ethical responsibility will focus on appropriate referencing to acknowledge the original authors of published material and using it correctly. The review will also report the evidence without distortion, including evidence that contradicts certain outcomes. Reporting will be transparent, and study selection will be explained. Because no primary data are being collected, such secondary data research is typically not subject to university ethical review. </w:t>
      </w:r>
    </w:p>
    <w:p w14:paraId="2F3D0B09" w14:textId="77777777" w:rsidR="00E822D9" w:rsidRPr="0068754D" w:rsidRDefault="00000000">
      <w:pPr>
        <w:pStyle w:val="Heading1"/>
        <w:keepNext w:val="0"/>
        <w:keepLines w:val="0"/>
        <w:spacing w:before="280"/>
      </w:pPr>
      <w:bookmarkStart w:id="11" w:name="_jwa5nnyx1cgz" w:colFirst="0" w:colLast="0"/>
      <w:bookmarkStart w:id="12" w:name="_Toc237551873"/>
      <w:bookmarkEnd w:id="11"/>
      <w:r w:rsidRPr="0068754D">
        <w:t>Limitations</w:t>
      </w:r>
      <w:bookmarkEnd w:id="12"/>
    </w:p>
    <w:p w14:paraId="328A516F" w14:textId="0BDE2ABC" w:rsidR="0068754D" w:rsidRPr="0068754D" w:rsidRDefault="00000000" w:rsidP="0068754D">
      <w:r w:rsidRPr="0068754D">
        <w:t xml:space="preserve">The review may have some limitations that impact its comprehensiveness and comparability. Limiting publications to English may mean that evidence in other languages is not presented. Publication bias might also favour studies with stronger or statistically significant findings (Bradley </w:t>
      </w:r>
      <w:r w:rsidRPr="0068754D">
        <w:rPr>
          <w:i/>
          <w:iCs/>
        </w:rPr>
        <w:t>et al</w:t>
      </w:r>
      <w:r w:rsidRPr="0068754D">
        <w:t xml:space="preserve">. 2020). The results of the studies may be hard to compare directly because of variations in study designs, populations, and outcome measures. Some full texts may still not be accessible due to access limitations. When errors exist in screening and synthesis, they can increase researcher subjectivity. These limitations will be addressed through predefined criteria, systematic searching, consistent quality appraisal, and transparent reporting. The findings will therefore be interpreted cautiously, considering differences between the included studies. </w:t>
      </w:r>
      <w:bookmarkStart w:id="13" w:name="_8vz9j3k9iyfg" w:colFirst="0" w:colLast="0"/>
      <w:bookmarkEnd w:id="13"/>
      <w:r w:rsidR="0068754D" w:rsidRPr="0068754D">
        <w:fldChar w:fldCharType="begin"/>
      </w:r>
      <w:r w:rsidR="0068754D" w:rsidRPr="0068754D">
        <w:instrText xml:space="preserve"> LINK Excel.Sheet.12 "https://d.docs.live.net/f1b54596ac369922/Desktop/PART TIME.xlsx" "Sheet4!R2C1:R14C13" \a \f 4 \h </w:instrText>
      </w:r>
      <w:r w:rsidR="0068754D" w:rsidRPr="0068754D">
        <w:fldChar w:fldCharType="separate"/>
      </w:r>
    </w:p>
    <w:p w14:paraId="65ECA3F5" w14:textId="01167102" w:rsidR="00E822D9" w:rsidRPr="0068754D" w:rsidRDefault="0068754D">
      <w:pPr>
        <w:pStyle w:val="Heading1"/>
        <w:keepNext w:val="0"/>
        <w:keepLines w:val="0"/>
        <w:spacing w:before="280"/>
      </w:pPr>
      <w:r w:rsidRPr="0068754D">
        <w:fldChar w:fldCharType="end"/>
      </w:r>
      <w:bookmarkStart w:id="14" w:name="_Toc237551874"/>
      <w:r w:rsidRPr="0068754D">
        <w:t>Proposed Timeline</w:t>
      </w:r>
      <w:bookmarkEnd w:id="14"/>
    </w:p>
    <w:tbl>
      <w:tblPr>
        <w:tblW w:w="9265" w:type="dxa"/>
        <w:tblLook w:val="04A0" w:firstRow="1" w:lastRow="0" w:firstColumn="1" w:lastColumn="0" w:noHBand="0" w:noVBand="1"/>
      </w:tblPr>
      <w:tblGrid>
        <w:gridCol w:w="2595"/>
        <w:gridCol w:w="538"/>
        <w:gridCol w:w="538"/>
        <w:gridCol w:w="538"/>
        <w:gridCol w:w="538"/>
        <w:gridCol w:w="538"/>
        <w:gridCol w:w="538"/>
        <w:gridCol w:w="538"/>
        <w:gridCol w:w="538"/>
        <w:gridCol w:w="538"/>
        <w:gridCol w:w="584"/>
        <w:gridCol w:w="584"/>
        <w:gridCol w:w="660"/>
      </w:tblGrid>
      <w:tr w:rsidR="0068754D" w:rsidRPr="0068754D" w14:paraId="05BC7F4F" w14:textId="77777777" w:rsidTr="0068754D">
        <w:trPr>
          <w:trHeight w:val="720"/>
        </w:trPr>
        <w:tc>
          <w:tcPr>
            <w:tcW w:w="2595" w:type="dxa"/>
            <w:tcBorders>
              <w:top w:val="single" w:sz="4" w:space="0" w:color="auto"/>
              <w:left w:val="single" w:sz="4" w:space="0" w:color="auto"/>
              <w:bottom w:val="single" w:sz="4" w:space="0" w:color="auto"/>
              <w:right w:val="single" w:sz="4" w:space="0" w:color="auto"/>
            </w:tcBorders>
            <w:noWrap/>
            <w:vAlign w:val="center"/>
            <w:hideMark/>
          </w:tcPr>
          <w:p w14:paraId="10169875" w14:textId="77777777"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Activity</w:t>
            </w:r>
          </w:p>
        </w:tc>
        <w:tc>
          <w:tcPr>
            <w:tcW w:w="538" w:type="dxa"/>
            <w:tcBorders>
              <w:top w:val="single" w:sz="4" w:space="0" w:color="auto"/>
              <w:left w:val="nil"/>
              <w:bottom w:val="single" w:sz="4" w:space="0" w:color="auto"/>
              <w:right w:val="single" w:sz="4" w:space="0" w:color="auto"/>
            </w:tcBorders>
            <w:noWrap/>
            <w:vAlign w:val="center"/>
            <w:hideMark/>
          </w:tcPr>
          <w:p w14:paraId="6C814272" w14:textId="77777777"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W</w:t>
            </w:r>
          </w:p>
          <w:p w14:paraId="4DE3819E" w14:textId="2BB57CCB"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1</w:t>
            </w:r>
          </w:p>
        </w:tc>
        <w:tc>
          <w:tcPr>
            <w:tcW w:w="538" w:type="dxa"/>
            <w:tcBorders>
              <w:top w:val="single" w:sz="4" w:space="0" w:color="auto"/>
              <w:left w:val="nil"/>
              <w:bottom w:val="single" w:sz="4" w:space="0" w:color="auto"/>
              <w:right w:val="single" w:sz="4" w:space="0" w:color="auto"/>
            </w:tcBorders>
            <w:noWrap/>
            <w:vAlign w:val="center"/>
            <w:hideMark/>
          </w:tcPr>
          <w:p w14:paraId="144810B4" w14:textId="77777777"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W</w:t>
            </w:r>
          </w:p>
          <w:p w14:paraId="2BF05E52" w14:textId="0515115F"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2</w:t>
            </w:r>
          </w:p>
        </w:tc>
        <w:tc>
          <w:tcPr>
            <w:tcW w:w="538" w:type="dxa"/>
            <w:tcBorders>
              <w:top w:val="single" w:sz="4" w:space="0" w:color="auto"/>
              <w:left w:val="nil"/>
              <w:bottom w:val="single" w:sz="4" w:space="0" w:color="auto"/>
              <w:right w:val="single" w:sz="4" w:space="0" w:color="auto"/>
            </w:tcBorders>
            <w:noWrap/>
            <w:vAlign w:val="center"/>
            <w:hideMark/>
          </w:tcPr>
          <w:p w14:paraId="1670EBDC" w14:textId="77777777"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W</w:t>
            </w:r>
          </w:p>
          <w:p w14:paraId="3F5F340D" w14:textId="56DDCF92"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3</w:t>
            </w:r>
          </w:p>
        </w:tc>
        <w:tc>
          <w:tcPr>
            <w:tcW w:w="538" w:type="dxa"/>
            <w:tcBorders>
              <w:top w:val="single" w:sz="4" w:space="0" w:color="auto"/>
              <w:left w:val="nil"/>
              <w:bottom w:val="single" w:sz="4" w:space="0" w:color="auto"/>
              <w:right w:val="single" w:sz="4" w:space="0" w:color="auto"/>
            </w:tcBorders>
            <w:noWrap/>
            <w:vAlign w:val="center"/>
            <w:hideMark/>
          </w:tcPr>
          <w:p w14:paraId="00E7C784" w14:textId="77777777"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W</w:t>
            </w:r>
          </w:p>
          <w:p w14:paraId="425C9C68" w14:textId="5CB75940"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4</w:t>
            </w:r>
          </w:p>
        </w:tc>
        <w:tc>
          <w:tcPr>
            <w:tcW w:w="538" w:type="dxa"/>
            <w:tcBorders>
              <w:top w:val="single" w:sz="4" w:space="0" w:color="auto"/>
              <w:left w:val="nil"/>
              <w:bottom w:val="single" w:sz="4" w:space="0" w:color="auto"/>
              <w:right w:val="single" w:sz="4" w:space="0" w:color="auto"/>
            </w:tcBorders>
            <w:noWrap/>
            <w:vAlign w:val="center"/>
            <w:hideMark/>
          </w:tcPr>
          <w:p w14:paraId="43F658BE" w14:textId="77777777"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W</w:t>
            </w:r>
          </w:p>
          <w:p w14:paraId="75E918C5" w14:textId="005B2711"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5</w:t>
            </w:r>
          </w:p>
        </w:tc>
        <w:tc>
          <w:tcPr>
            <w:tcW w:w="538" w:type="dxa"/>
            <w:tcBorders>
              <w:top w:val="single" w:sz="4" w:space="0" w:color="auto"/>
              <w:left w:val="nil"/>
              <w:bottom w:val="single" w:sz="4" w:space="0" w:color="auto"/>
              <w:right w:val="single" w:sz="4" w:space="0" w:color="auto"/>
            </w:tcBorders>
            <w:noWrap/>
            <w:vAlign w:val="center"/>
            <w:hideMark/>
          </w:tcPr>
          <w:p w14:paraId="0B66C333" w14:textId="77777777"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W</w:t>
            </w:r>
          </w:p>
          <w:p w14:paraId="0A68395A" w14:textId="27F8B5E4"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6</w:t>
            </w:r>
          </w:p>
        </w:tc>
        <w:tc>
          <w:tcPr>
            <w:tcW w:w="538" w:type="dxa"/>
            <w:tcBorders>
              <w:top w:val="single" w:sz="4" w:space="0" w:color="auto"/>
              <w:left w:val="nil"/>
              <w:bottom w:val="single" w:sz="4" w:space="0" w:color="auto"/>
              <w:right w:val="single" w:sz="4" w:space="0" w:color="auto"/>
            </w:tcBorders>
            <w:noWrap/>
            <w:vAlign w:val="center"/>
            <w:hideMark/>
          </w:tcPr>
          <w:p w14:paraId="09915864" w14:textId="77777777"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W</w:t>
            </w:r>
          </w:p>
          <w:p w14:paraId="5B6CE7DE" w14:textId="6B968C4D"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7</w:t>
            </w:r>
          </w:p>
        </w:tc>
        <w:tc>
          <w:tcPr>
            <w:tcW w:w="538" w:type="dxa"/>
            <w:tcBorders>
              <w:top w:val="single" w:sz="4" w:space="0" w:color="auto"/>
              <w:left w:val="nil"/>
              <w:bottom w:val="single" w:sz="4" w:space="0" w:color="auto"/>
              <w:right w:val="single" w:sz="4" w:space="0" w:color="auto"/>
            </w:tcBorders>
            <w:noWrap/>
            <w:vAlign w:val="center"/>
            <w:hideMark/>
          </w:tcPr>
          <w:p w14:paraId="71FBFFF0" w14:textId="77777777"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W</w:t>
            </w:r>
          </w:p>
          <w:p w14:paraId="7C0815FF" w14:textId="7158AD44"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8</w:t>
            </w:r>
          </w:p>
        </w:tc>
        <w:tc>
          <w:tcPr>
            <w:tcW w:w="538" w:type="dxa"/>
            <w:tcBorders>
              <w:top w:val="single" w:sz="4" w:space="0" w:color="auto"/>
              <w:left w:val="nil"/>
              <w:bottom w:val="single" w:sz="4" w:space="0" w:color="auto"/>
              <w:right w:val="single" w:sz="4" w:space="0" w:color="auto"/>
            </w:tcBorders>
            <w:noWrap/>
            <w:vAlign w:val="center"/>
            <w:hideMark/>
          </w:tcPr>
          <w:p w14:paraId="3DD6B7DF" w14:textId="77777777"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W</w:t>
            </w:r>
          </w:p>
          <w:p w14:paraId="5D40DC7C" w14:textId="6ECCB207"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9</w:t>
            </w:r>
          </w:p>
        </w:tc>
        <w:tc>
          <w:tcPr>
            <w:tcW w:w="584" w:type="dxa"/>
            <w:tcBorders>
              <w:top w:val="single" w:sz="4" w:space="0" w:color="auto"/>
              <w:left w:val="nil"/>
              <w:bottom w:val="single" w:sz="4" w:space="0" w:color="auto"/>
              <w:right w:val="single" w:sz="4" w:space="0" w:color="auto"/>
            </w:tcBorders>
            <w:noWrap/>
            <w:vAlign w:val="center"/>
            <w:hideMark/>
          </w:tcPr>
          <w:p w14:paraId="329DE7A7" w14:textId="77777777"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W</w:t>
            </w:r>
          </w:p>
          <w:p w14:paraId="1C575CD6" w14:textId="1FB6606D"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10</w:t>
            </w:r>
          </w:p>
        </w:tc>
        <w:tc>
          <w:tcPr>
            <w:tcW w:w="584" w:type="dxa"/>
            <w:tcBorders>
              <w:top w:val="single" w:sz="4" w:space="0" w:color="auto"/>
              <w:left w:val="nil"/>
              <w:bottom w:val="single" w:sz="4" w:space="0" w:color="auto"/>
              <w:right w:val="single" w:sz="4" w:space="0" w:color="auto"/>
            </w:tcBorders>
            <w:noWrap/>
            <w:vAlign w:val="center"/>
            <w:hideMark/>
          </w:tcPr>
          <w:p w14:paraId="4420219D" w14:textId="77777777"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W</w:t>
            </w:r>
          </w:p>
          <w:p w14:paraId="5E9144C6" w14:textId="5FDD33FC"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11</w:t>
            </w:r>
          </w:p>
        </w:tc>
        <w:tc>
          <w:tcPr>
            <w:tcW w:w="660" w:type="dxa"/>
            <w:tcBorders>
              <w:top w:val="single" w:sz="4" w:space="0" w:color="auto"/>
              <w:left w:val="nil"/>
              <w:bottom w:val="single" w:sz="4" w:space="0" w:color="auto"/>
              <w:right w:val="single" w:sz="4" w:space="0" w:color="auto"/>
            </w:tcBorders>
            <w:noWrap/>
            <w:vAlign w:val="center"/>
            <w:hideMark/>
          </w:tcPr>
          <w:p w14:paraId="5688F99F" w14:textId="77777777"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W</w:t>
            </w:r>
          </w:p>
          <w:p w14:paraId="06084144" w14:textId="6C8C1EDD" w:rsidR="0068754D" w:rsidRPr="0068754D" w:rsidRDefault="0068754D" w:rsidP="0008581B">
            <w:pPr>
              <w:spacing w:before="0" w:after="0" w:line="240" w:lineRule="auto"/>
              <w:jc w:val="center"/>
              <w:rPr>
                <w:rFonts w:eastAsia="Times New Roman"/>
                <w:b/>
                <w:bCs/>
                <w:color w:val="000000"/>
              </w:rPr>
            </w:pPr>
            <w:r w:rsidRPr="0068754D">
              <w:rPr>
                <w:rFonts w:eastAsia="Times New Roman"/>
                <w:b/>
                <w:bCs/>
                <w:color w:val="000000"/>
              </w:rPr>
              <w:t>12</w:t>
            </w:r>
          </w:p>
        </w:tc>
      </w:tr>
      <w:tr w:rsidR="0068754D" w:rsidRPr="0068754D" w14:paraId="3EEE01B1" w14:textId="77777777" w:rsidTr="0068754D">
        <w:trPr>
          <w:trHeight w:val="720"/>
        </w:trPr>
        <w:tc>
          <w:tcPr>
            <w:tcW w:w="2595" w:type="dxa"/>
            <w:tcBorders>
              <w:top w:val="nil"/>
              <w:left w:val="single" w:sz="4" w:space="0" w:color="auto"/>
              <w:bottom w:val="single" w:sz="4" w:space="0" w:color="auto"/>
              <w:right w:val="single" w:sz="4" w:space="0" w:color="auto"/>
            </w:tcBorders>
            <w:noWrap/>
            <w:vAlign w:val="center"/>
            <w:hideMark/>
          </w:tcPr>
          <w:p w14:paraId="2B6CB69E" w14:textId="77777777" w:rsidR="0068754D" w:rsidRPr="0068754D" w:rsidRDefault="0068754D" w:rsidP="0008581B">
            <w:pPr>
              <w:spacing w:before="0" w:after="0" w:line="240" w:lineRule="auto"/>
              <w:jc w:val="left"/>
              <w:rPr>
                <w:rFonts w:eastAsia="Times New Roman"/>
                <w:color w:val="000000"/>
              </w:rPr>
            </w:pPr>
            <w:r w:rsidRPr="0068754D">
              <w:rPr>
                <w:rFonts w:eastAsia="Times New Roman"/>
                <w:color w:val="000000"/>
              </w:rPr>
              <w:t>Finalise review question and protocol</w:t>
            </w:r>
          </w:p>
        </w:tc>
        <w:tc>
          <w:tcPr>
            <w:tcW w:w="538" w:type="dxa"/>
            <w:tcBorders>
              <w:top w:val="nil"/>
              <w:left w:val="nil"/>
              <w:bottom w:val="single" w:sz="4" w:space="0" w:color="auto"/>
              <w:right w:val="single" w:sz="4" w:space="0" w:color="auto"/>
            </w:tcBorders>
            <w:noWrap/>
            <w:vAlign w:val="center"/>
            <w:hideMark/>
          </w:tcPr>
          <w:p w14:paraId="04A698BA"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38" w:type="dxa"/>
            <w:tcBorders>
              <w:top w:val="nil"/>
              <w:left w:val="nil"/>
              <w:bottom w:val="single" w:sz="4" w:space="0" w:color="auto"/>
              <w:right w:val="single" w:sz="4" w:space="0" w:color="auto"/>
            </w:tcBorders>
            <w:noWrap/>
            <w:vAlign w:val="center"/>
            <w:hideMark/>
          </w:tcPr>
          <w:p w14:paraId="063DDC6F"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38" w:type="dxa"/>
            <w:tcBorders>
              <w:top w:val="nil"/>
              <w:left w:val="nil"/>
              <w:bottom w:val="single" w:sz="4" w:space="0" w:color="auto"/>
              <w:right w:val="single" w:sz="4" w:space="0" w:color="auto"/>
            </w:tcBorders>
            <w:noWrap/>
            <w:vAlign w:val="center"/>
            <w:hideMark/>
          </w:tcPr>
          <w:p w14:paraId="0E3E3F08"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0504CBEF"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241041E1" w14:textId="77777777" w:rsidR="0068754D" w:rsidRPr="0068754D" w:rsidRDefault="0068754D" w:rsidP="0068754D">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1EBC151B"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30826169"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14DFC041"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66DF3F8C"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84" w:type="dxa"/>
            <w:tcBorders>
              <w:top w:val="nil"/>
              <w:left w:val="nil"/>
              <w:bottom w:val="single" w:sz="4" w:space="0" w:color="auto"/>
              <w:right w:val="single" w:sz="4" w:space="0" w:color="auto"/>
            </w:tcBorders>
            <w:noWrap/>
            <w:vAlign w:val="center"/>
            <w:hideMark/>
          </w:tcPr>
          <w:p w14:paraId="1D95D812"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84" w:type="dxa"/>
            <w:tcBorders>
              <w:top w:val="nil"/>
              <w:left w:val="nil"/>
              <w:bottom w:val="single" w:sz="4" w:space="0" w:color="auto"/>
              <w:right w:val="single" w:sz="4" w:space="0" w:color="auto"/>
            </w:tcBorders>
            <w:noWrap/>
            <w:vAlign w:val="center"/>
            <w:hideMark/>
          </w:tcPr>
          <w:p w14:paraId="188EE7D5"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660" w:type="dxa"/>
            <w:tcBorders>
              <w:top w:val="nil"/>
              <w:left w:val="nil"/>
              <w:bottom w:val="single" w:sz="4" w:space="0" w:color="auto"/>
              <w:right w:val="single" w:sz="4" w:space="0" w:color="auto"/>
            </w:tcBorders>
            <w:noWrap/>
            <w:vAlign w:val="center"/>
            <w:hideMark/>
          </w:tcPr>
          <w:p w14:paraId="3D60A02F"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r>
      <w:tr w:rsidR="0068754D" w:rsidRPr="0068754D" w14:paraId="522B8BE2" w14:textId="77777777" w:rsidTr="0068754D">
        <w:trPr>
          <w:trHeight w:val="720"/>
        </w:trPr>
        <w:tc>
          <w:tcPr>
            <w:tcW w:w="2595" w:type="dxa"/>
            <w:tcBorders>
              <w:top w:val="nil"/>
              <w:left w:val="single" w:sz="4" w:space="0" w:color="auto"/>
              <w:bottom w:val="single" w:sz="4" w:space="0" w:color="auto"/>
              <w:right w:val="single" w:sz="4" w:space="0" w:color="auto"/>
            </w:tcBorders>
            <w:noWrap/>
            <w:vAlign w:val="center"/>
            <w:hideMark/>
          </w:tcPr>
          <w:p w14:paraId="4BC3BC3E" w14:textId="77777777" w:rsidR="0068754D" w:rsidRPr="0068754D" w:rsidRDefault="0068754D" w:rsidP="0008581B">
            <w:pPr>
              <w:spacing w:before="0" w:after="0" w:line="240" w:lineRule="auto"/>
              <w:jc w:val="left"/>
              <w:rPr>
                <w:rFonts w:eastAsia="Times New Roman"/>
                <w:color w:val="000000"/>
              </w:rPr>
            </w:pPr>
            <w:r w:rsidRPr="0068754D">
              <w:rPr>
                <w:rFonts w:eastAsia="Times New Roman"/>
                <w:color w:val="000000"/>
              </w:rPr>
              <w:t>Develop and test search strategy</w:t>
            </w:r>
          </w:p>
        </w:tc>
        <w:tc>
          <w:tcPr>
            <w:tcW w:w="538" w:type="dxa"/>
            <w:tcBorders>
              <w:top w:val="nil"/>
              <w:left w:val="nil"/>
              <w:bottom w:val="single" w:sz="4" w:space="0" w:color="auto"/>
              <w:right w:val="single" w:sz="4" w:space="0" w:color="auto"/>
            </w:tcBorders>
            <w:noWrap/>
            <w:vAlign w:val="center"/>
            <w:hideMark/>
          </w:tcPr>
          <w:p w14:paraId="2F19614E"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38" w:type="dxa"/>
            <w:tcBorders>
              <w:top w:val="nil"/>
              <w:left w:val="nil"/>
              <w:bottom w:val="single" w:sz="4" w:space="0" w:color="auto"/>
              <w:right w:val="single" w:sz="4" w:space="0" w:color="auto"/>
            </w:tcBorders>
            <w:noWrap/>
            <w:vAlign w:val="center"/>
            <w:hideMark/>
          </w:tcPr>
          <w:p w14:paraId="7BB6AB73"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38" w:type="dxa"/>
            <w:tcBorders>
              <w:top w:val="nil"/>
              <w:left w:val="nil"/>
              <w:bottom w:val="single" w:sz="4" w:space="0" w:color="auto"/>
              <w:right w:val="single" w:sz="4" w:space="0" w:color="auto"/>
            </w:tcBorders>
            <w:noWrap/>
            <w:vAlign w:val="center"/>
            <w:hideMark/>
          </w:tcPr>
          <w:p w14:paraId="29DC4ADF"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38" w:type="dxa"/>
            <w:tcBorders>
              <w:top w:val="nil"/>
              <w:left w:val="nil"/>
              <w:bottom w:val="single" w:sz="4" w:space="0" w:color="auto"/>
              <w:right w:val="single" w:sz="4" w:space="0" w:color="auto"/>
            </w:tcBorders>
            <w:noWrap/>
            <w:vAlign w:val="center"/>
            <w:hideMark/>
          </w:tcPr>
          <w:p w14:paraId="03311CAA"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0E255C75"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4A58BEE9"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49A0C949"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3856CACA"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74AE75FB"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84" w:type="dxa"/>
            <w:tcBorders>
              <w:top w:val="nil"/>
              <w:left w:val="nil"/>
              <w:bottom w:val="single" w:sz="4" w:space="0" w:color="auto"/>
              <w:right w:val="single" w:sz="4" w:space="0" w:color="auto"/>
            </w:tcBorders>
            <w:noWrap/>
            <w:vAlign w:val="center"/>
            <w:hideMark/>
          </w:tcPr>
          <w:p w14:paraId="63F10CC7"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84" w:type="dxa"/>
            <w:tcBorders>
              <w:top w:val="nil"/>
              <w:left w:val="nil"/>
              <w:bottom w:val="single" w:sz="4" w:space="0" w:color="auto"/>
              <w:right w:val="single" w:sz="4" w:space="0" w:color="auto"/>
            </w:tcBorders>
            <w:noWrap/>
            <w:vAlign w:val="center"/>
            <w:hideMark/>
          </w:tcPr>
          <w:p w14:paraId="31840C08"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660" w:type="dxa"/>
            <w:tcBorders>
              <w:top w:val="nil"/>
              <w:left w:val="nil"/>
              <w:bottom w:val="single" w:sz="4" w:space="0" w:color="auto"/>
              <w:right w:val="single" w:sz="4" w:space="0" w:color="auto"/>
            </w:tcBorders>
            <w:noWrap/>
            <w:vAlign w:val="center"/>
            <w:hideMark/>
          </w:tcPr>
          <w:p w14:paraId="31CE4B4D"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r>
      <w:tr w:rsidR="0068754D" w:rsidRPr="0068754D" w14:paraId="6534734D" w14:textId="77777777" w:rsidTr="0068754D">
        <w:trPr>
          <w:trHeight w:val="720"/>
        </w:trPr>
        <w:tc>
          <w:tcPr>
            <w:tcW w:w="2595" w:type="dxa"/>
            <w:tcBorders>
              <w:top w:val="nil"/>
              <w:left w:val="single" w:sz="4" w:space="0" w:color="auto"/>
              <w:bottom w:val="single" w:sz="4" w:space="0" w:color="auto"/>
              <w:right w:val="single" w:sz="4" w:space="0" w:color="auto"/>
            </w:tcBorders>
            <w:noWrap/>
            <w:vAlign w:val="center"/>
            <w:hideMark/>
          </w:tcPr>
          <w:p w14:paraId="6BA23ECE" w14:textId="77777777" w:rsidR="0068754D" w:rsidRPr="0068754D" w:rsidRDefault="0068754D" w:rsidP="0008581B">
            <w:pPr>
              <w:spacing w:before="0" w:after="0" w:line="240" w:lineRule="auto"/>
              <w:jc w:val="left"/>
              <w:rPr>
                <w:rFonts w:eastAsia="Times New Roman"/>
                <w:color w:val="000000"/>
              </w:rPr>
            </w:pPr>
            <w:r w:rsidRPr="0068754D">
              <w:rPr>
                <w:rFonts w:eastAsia="Times New Roman"/>
                <w:color w:val="000000"/>
              </w:rPr>
              <w:t>Database searching</w:t>
            </w:r>
          </w:p>
        </w:tc>
        <w:tc>
          <w:tcPr>
            <w:tcW w:w="538" w:type="dxa"/>
            <w:tcBorders>
              <w:top w:val="nil"/>
              <w:left w:val="nil"/>
              <w:bottom w:val="single" w:sz="4" w:space="0" w:color="auto"/>
              <w:right w:val="single" w:sz="4" w:space="0" w:color="auto"/>
            </w:tcBorders>
            <w:noWrap/>
            <w:vAlign w:val="center"/>
            <w:hideMark/>
          </w:tcPr>
          <w:p w14:paraId="4A505FA5"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08720BB2"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38" w:type="dxa"/>
            <w:tcBorders>
              <w:top w:val="nil"/>
              <w:left w:val="nil"/>
              <w:bottom w:val="single" w:sz="4" w:space="0" w:color="auto"/>
              <w:right w:val="single" w:sz="4" w:space="0" w:color="auto"/>
            </w:tcBorders>
            <w:noWrap/>
            <w:vAlign w:val="center"/>
            <w:hideMark/>
          </w:tcPr>
          <w:p w14:paraId="1A375B79"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38" w:type="dxa"/>
            <w:tcBorders>
              <w:top w:val="nil"/>
              <w:left w:val="nil"/>
              <w:bottom w:val="single" w:sz="4" w:space="0" w:color="auto"/>
              <w:right w:val="single" w:sz="4" w:space="0" w:color="auto"/>
            </w:tcBorders>
            <w:noWrap/>
            <w:vAlign w:val="center"/>
            <w:hideMark/>
          </w:tcPr>
          <w:p w14:paraId="58BCE016"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60ED8F7F"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14A6DD5F"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60873E02"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3F62AAEB"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4743CB31"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84" w:type="dxa"/>
            <w:tcBorders>
              <w:top w:val="nil"/>
              <w:left w:val="nil"/>
              <w:bottom w:val="single" w:sz="4" w:space="0" w:color="auto"/>
              <w:right w:val="single" w:sz="4" w:space="0" w:color="auto"/>
            </w:tcBorders>
            <w:noWrap/>
            <w:vAlign w:val="center"/>
            <w:hideMark/>
          </w:tcPr>
          <w:p w14:paraId="0ED6FE21"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84" w:type="dxa"/>
            <w:tcBorders>
              <w:top w:val="nil"/>
              <w:left w:val="nil"/>
              <w:bottom w:val="single" w:sz="4" w:space="0" w:color="auto"/>
              <w:right w:val="single" w:sz="4" w:space="0" w:color="auto"/>
            </w:tcBorders>
            <w:noWrap/>
            <w:vAlign w:val="center"/>
            <w:hideMark/>
          </w:tcPr>
          <w:p w14:paraId="68DFFDF8"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660" w:type="dxa"/>
            <w:tcBorders>
              <w:top w:val="nil"/>
              <w:left w:val="nil"/>
              <w:bottom w:val="single" w:sz="4" w:space="0" w:color="auto"/>
              <w:right w:val="single" w:sz="4" w:space="0" w:color="auto"/>
            </w:tcBorders>
            <w:noWrap/>
            <w:vAlign w:val="center"/>
            <w:hideMark/>
          </w:tcPr>
          <w:p w14:paraId="741F05F5"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r>
      <w:tr w:rsidR="0068754D" w:rsidRPr="0068754D" w14:paraId="33AB393D" w14:textId="77777777" w:rsidTr="0068754D">
        <w:trPr>
          <w:trHeight w:val="720"/>
        </w:trPr>
        <w:tc>
          <w:tcPr>
            <w:tcW w:w="2595" w:type="dxa"/>
            <w:tcBorders>
              <w:top w:val="nil"/>
              <w:left w:val="single" w:sz="4" w:space="0" w:color="auto"/>
              <w:bottom w:val="single" w:sz="4" w:space="0" w:color="auto"/>
              <w:right w:val="single" w:sz="4" w:space="0" w:color="auto"/>
            </w:tcBorders>
            <w:noWrap/>
            <w:vAlign w:val="center"/>
            <w:hideMark/>
          </w:tcPr>
          <w:p w14:paraId="28382F02" w14:textId="77777777" w:rsidR="0068754D" w:rsidRPr="0068754D" w:rsidRDefault="0068754D" w:rsidP="0008581B">
            <w:pPr>
              <w:spacing w:before="0" w:after="0" w:line="240" w:lineRule="auto"/>
              <w:jc w:val="left"/>
              <w:rPr>
                <w:rFonts w:eastAsia="Times New Roman"/>
                <w:color w:val="000000"/>
              </w:rPr>
            </w:pPr>
            <w:r w:rsidRPr="0068754D">
              <w:rPr>
                <w:rFonts w:eastAsia="Times New Roman"/>
                <w:color w:val="000000"/>
              </w:rPr>
              <w:t>Remove duplicates and title/abstract screening</w:t>
            </w:r>
          </w:p>
        </w:tc>
        <w:tc>
          <w:tcPr>
            <w:tcW w:w="538" w:type="dxa"/>
            <w:tcBorders>
              <w:top w:val="nil"/>
              <w:left w:val="nil"/>
              <w:bottom w:val="single" w:sz="4" w:space="0" w:color="auto"/>
              <w:right w:val="single" w:sz="4" w:space="0" w:color="auto"/>
            </w:tcBorders>
            <w:noWrap/>
            <w:vAlign w:val="center"/>
            <w:hideMark/>
          </w:tcPr>
          <w:p w14:paraId="0E7037FF"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0220E411"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42DA1D05"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38" w:type="dxa"/>
            <w:tcBorders>
              <w:top w:val="nil"/>
              <w:left w:val="nil"/>
              <w:bottom w:val="single" w:sz="4" w:space="0" w:color="auto"/>
              <w:right w:val="single" w:sz="4" w:space="0" w:color="auto"/>
            </w:tcBorders>
            <w:noWrap/>
            <w:vAlign w:val="center"/>
            <w:hideMark/>
          </w:tcPr>
          <w:p w14:paraId="44980F2D"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38" w:type="dxa"/>
            <w:tcBorders>
              <w:top w:val="nil"/>
              <w:left w:val="nil"/>
              <w:bottom w:val="single" w:sz="4" w:space="0" w:color="auto"/>
              <w:right w:val="single" w:sz="4" w:space="0" w:color="auto"/>
            </w:tcBorders>
            <w:noWrap/>
            <w:vAlign w:val="center"/>
            <w:hideMark/>
          </w:tcPr>
          <w:p w14:paraId="188B1155"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2A24B782"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5DA0B098"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78A3A429"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38DDBD25"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84" w:type="dxa"/>
            <w:tcBorders>
              <w:top w:val="nil"/>
              <w:left w:val="nil"/>
              <w:bottom w:val="single" w:sz="4" w:space="0" w:color="auto"/>
              <w:right w:val="single" w:sz="4" w:space="0" w:color="auto"/>
            </w:tcBorders>
            <w:noWrap/>
            <w:vAlign w:val="center"/>
            <w:hideMark/>
          </w:tcPr>
          <w:p w14:paraId="2DADFED9"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84" w:type="dxa"/>
            <w:tcBorders>
              <w:top w:val="nil"/>
              <w:left w:val="nil"/>
              <w:bottom w:val="single" w:sz="4" w:space="0" w:color="auto"/>
              <w:right w:val="single" w:sz="4" w:space="0" w:color="auto"/>
            </w:tcBorders>
            <w:noWrap/>
            <w:vAlign w:val="center"/>
            <w:hideMark/>
          </w:tcPr>
          <w:p w14:paraId="07168C79"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660" w:type="dxa"/>
            <w:tcBorders>
              <w:top w:val="nil"/>
              <w:left w:val="nil"/>
              <w:bottom w:val="single" w:sz="4" w:space="0" w:color="auto"/>
              <w:right w:val="single" w:sz="4" w:space="0" w:color="auto"/>
            </w:tcBorders>
            <w:noWrap/>
            <w:vAlign w:val="center"/>
            <w:hideMark/>
          </w:tcPr>
          <w:p w14:paraId="0717B5EF"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r>
      <w:tr w:rsidR="0068754D" w:rsidRPr="0068754D" w14:paraId="2AE765F8" w14:textId="77777777" w:rsidTr="0068754D">
        <w:trPr>
          <w:trHeight w:val="720"/>
        </w:trPr>
        <w:tc>
          <w:tcPr>
            <w:tcW w:w="2595" w:type="dxa"/>
            <w:tcBorders>
              <w:top w:val="nil"/>
              <w:left w:val="single" w:sz="4" w:space="0" w:color="auto"/>
              <w:bottom w:val="single" w:sz="4" w:space="0" w:color="auto"/>
              <w:right w:val="single" w:sz="4" w:space="0" w:color="auto"/>
            </w:tcBorders>
            <w:noWrap/>
            <w:vAlign w:val="center"/>
            <w:hideMark/>
          </w:tcPr>
          <w:p w14:paraId="4ABFA177" w14:textId="77777777" w:rsidR="0068754D" w:rsidRPr="0068754D" w:rsidRDefault="0068754D" w:rsidP="0008581B">
            <w:pPr>
              <w:spacing w:before="0" w:after="0" w:line="240" w:lineRule="auto"/>
              <w:jc w:val="left"/>
              <w:rPr>
                <w:rFonts w:eastAsia="Times New Roman"/>
                <w:color w:val="000000"/>
              </w:rPr>
            </w:pPr>
            <w:r w:rsidRPr="0068754D">
              <w:rPr>
                <w:rFonts w:eastAsia="Times New Roman"/>
                <w:color w:val="000000"/>
              </w:rPr>
              <w:t>Full-text screening</w:t>
            </w:r>
          </w:p>
        </w:tc>
        <w:tc>
          <w:tcPr>
            <w:tcW w:w="538" w:type="dxa"/>
            <w:tcBorders>
              <w:top w:val="nil"/>
              <w:left w:val="nil"/>
              <w:bottom w:val="single" w:sz="4" w:space="0" w:color="auto"/>
              <w:right w:val="single" w:sz="4" w:space="0" w:color="auto"/>
            </w:tcBorders>
            <w:noWrap/>
            <w:vAlign w:val="center"/>
            <w:hideMark/>
          </w:tcPr>
          <w:p w14:paraId="34A236EF"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4E224D75"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15026B28"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18D5955B"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38" w:type="dxa"/>
            <w:tcBorders>
              <w:top w:val="nil"/>
              <w:left w:val="nil"/>
              <w:bottom w:val="single" w:sz="4" w:space="0" w:color="auto"/>
              <w:right w:val="single" w:sz="4" w:space="0" w:color="auto"/>
            </w:tcBorders>
            <w:noWrap/>
            <w:vAlign w:val="center"/>
            <w:hideMark/>
          </w:tcPr>
          <w:p w14:paraId="54CF83E6"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38" w:type="dxa"/>
            <w:tcBorders>
              <w:top w:val="nil"/>
              <w:left w:val="nil"/>
              <w:bottom w:val="single" w:sz="4" w:space="0" w:color="auto"/>
              <w:right w:val="single" w:sz="4" w:space="0" w:color="auto"/>
            </w:tcBorders>
            <w:noWrap/>
            <w:vAlign w:val="center"/>
            <w:hideMark/>
          </w:tcPr>
          <w:p w14:paraId="3803DF1A"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0792CC67"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25B84ABC"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2A17D46E"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84" w:type="dxa"/>
            <w:tcBorders>
              <w:top w:val="nil"/>
              <w:left w:val="nil"/>
              <w:bottom w:val="single" w:sz="4" w:space="0" w:color="auto"/>
              <w:right w:val="single" w:sz="4" w:space="0" w:color="auto"/>
            </w:tcBorders>
            <w:noWrap/>
            <w:vAlign w:val="center"/>
            <w:hideMark/>
          </w:tcPr>
          <w:p w14:paraId="6F3D5A66"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84" w:type="dxa"/>
            <w:tcBorders>
              <w:top w:val="nil"/>
              <w:left w:val="nil"/>
              <w:bottom w:val="single" w:sz="4" w:space="0" w:color="auto"/>
              <w:right w:val="single" w:sz="4" w:space="0" w:color="auto"/>
            </w:tcBorders>
            <w:noWrap/>
            <w:vAlign w:val="center"/>
            <w:hideMark/>
          </w:tcPr>
          <w:p w14:paraId="1FC1DE1D"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660" w:type="dxa"/>
            <w:tcBorders>
              <w:top w:val="nil"/>
              <w:left w:val="nil"/>
              <w:bottom w:val="single" w:sz="4" w:space="0" w:color="auto"/>
              <w:right w:val="single" w:sz="4" w:space="0" w:color="auto"/>
            </w:tcBorders>
            <w:noWrap/>
            <w:vAlign w:val="center"/>
            <w:hideMark/>
          </w:tcPr>
          <w:p w14:paraId="6B72B71B"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r>
      <w:tr w:rsidR="0068754D" w:rsidRPr="0068754D" w14:paraId="50842AD3" w14:textId="77777777" w:rsidTr="0068754D">
        <w:trPr>
          <w:trHeight w:val="720"/>
        </w:trPr>
        <w:tc>
          <w:tcPr>
            <w:tcW w:w="2595" w:type="dxa"/>
            <w:tcBorders>
              <w:top w:val="nil"/>
              <w:left w:val="single" w:sz="4" w:space="0" w:color="auto"/>
              <w:bottom w:val="single" w:sz="4" w:space="0" w:color="auto"/>
              <w:right w:val="single" w:sz="4" w:space="0" w:color="auto"/>
            </w:tcBorders>
            <w:noWrap/>
            <w:vAlign w:val="center"/>
            <w:hideMark/>
          </w:tcPr>
          <w:p w14:paraId="0A3FA8F3" w14:textId="77777777" w:rsidR="0068754D" w:rsidRPr="0068754D" w:rsidRDefault="0068754D" w:rsidP="0008581B">
            <w:pPr>
              <w:spacing w:before="0" w:after="0" w:line="240" w:lineRule="auto"/>
              <w:jc w:val="left"/>
              <w:rPr>
                <w:rFonts w:eastAsia="Times New Roman"/>
                <w:color w:val="000000"/>
              </w:rPr>
            </w:pPr>
            <w:r w:rsidRPr="0068754D">
              <w:rPr>
                <w:rFonts w:eastAsia="Times New Roman"/>
                <w:color w:val="000000"/>
              </w:rPr>
              <w:lastRenderedPageBreak/>
              <w:t>Quality appraisal</w:t>
            </w:r>
          </w:p>
        </w:tc>
        <w:tc>
          <w:tcPr>
            <w:tcW w:w="538" w:type="dxa"/>
            <w:tcBorders>
              <w:top w:val="nil"/>
              <w:left w:val="nil"/>
              <w:bottom w:val="single" w:sz="4" w:space="0" w:color="auto"/>
              <w:right w:val="single" w:sz="4" w:space="0" w:color="auto"/>
            </w:tcBorders>
            <w:noWrap/>
            <w:vAlign w:val="center"/>
            <w:hideMark/>
          </w:tcPr>
          <w:p w14:paraId="47411B30"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27BCE106"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14115BD4"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78FC93C7"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0CBE293D"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38" w:type="dxa"/>
            <w:tcBorders>
              <w:top w:val="nil"/>
              <w:left w:val="nil"/>
              <w:bottom w:val="single" w:sz="4" w:space="0" w:color="auto"/>
              <w:right w:val="single" w:sz="4" w:space="0" w:color="auto"/>
            </w:tcBorders>
            <w:noWrap/>
            <w:vAlign w:val="center"/>
            <w:hideMark/>
          </w:tcPr>
          <w:p w14:paraId="7640CB05"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38" w:type="dxa"/>
            <w:tcBorders>
              <w:top w:val="nil"/>
              <w:left w:val="nil"/>
              <w:bottom w:val="single" w:sz="4" w:space="0" w:color="auto"/>
              <w:right w:val="single" w:sz="4" w:space="0" w:color="auto"/>
            </w:tcBorders>
            <w:noWrap/>
            <w:vAlign w:val="center"/>
            <w:hideMark/>
          </w:tcPr>
          <w:p w14:paraId="2EB9720F"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1B596B04"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506B2975"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84" w:type="dxa"/>
            <w:tcBorders>
              <w:top w:val="nil"/>
              <w:left w:val="nil"/>
              <w:bottom w:val="single" w:sz="4" w:space="0" w:color="auto"/>
              <w:right w:val="single" w:sz="4" w:space="0" w:color="auto"/>
            </w:tcBorders>
            <w:noWrap/>
            <w:vAlign w:val="center"/>
            <w:hideMark/>
          </w:tcPr>
          <w:p w14:paraId="3A223F67"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84" w:type="dxa"/>
            <w:tcBorders>
              <w:top w:val="nil"/>
              <w:left w:val="nil"/>
              <w:bottom w:val="single" w:sz="4" w:space="0" w:color="auto"/>
              <w:right w:val="single" w:sz="4" w:space="0" w:color="auto"/>
            </w:tcBorders>
            <w:noWrap/>
            <w:vAlign w:val="center"/>
            <w:hideMark/>
          </w:tcPr>
          <w:p w14:paraId="4EE71A59"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660" w:type="dxa"/>
            <w:tcBorders>
              <w:top w:val="nil"/>
              <w:left w:val="nil"/>
              <w:bottom w:val="single" w:sz="4" w:space="0" w:color="auto"/>
              <w:right w:val="single" w:sz="4" w:space="0" w:color="auto"/>
            </w:tcBorders>
            <w:noWrap/>
            <w:vAlign w:val="center"/>
            <w:hideMark/>
          </w:tcPr>
          <w:p w14:paraId="12EAB08F"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r>
      <w:tr w:rsidR="0068754D" w:rsidRPr="0068754D" w14:paraId="2D742DAD" w14:textId="77777777" w:rsidTr="0068754D">
        <w:trPr>
          <w:trHeight w:val="720"/>
        </w:trPr>
        <w:tc>
          <w:tcPr>
            <w:tcW w:w="2595" w:type="dxa"/>
            <w:tcBorders>
              <w:top w:val="nil"/>
              <w:left w:val="single" w:sz="4" w:space="0" w:color="auto"/>
              <w:bottom w:val="single" w:sz="4" w:space="0" w:color="auto"/>
              <w:right w:val="single" w:sz="4" w:space="0" w:color="auto"/>
            </w:tcBorders>
            <w:noWrap/>
            <w:vAlign w:val="center"/>
            <w:hideMark/>
          </w:tcPr>
          <w:p w14:paraId="796BC86D" w14:textId="77777777" w:rsidR="0068754D" w:rsidRPr="0068754D" w:rsidRDefault="0068754D" w:rsidP="0008581B">
            <w:pPr>
              <w:spacing w:before="0" w:after="0" w:line="240" w:lineRule="auto"/>
              <w:jc w:val="left"/>
              <w:rPr>
                <w:rFonts w:eastAsia="Times New Roman"/>
                <w:color w:val="000000"/>
              </w:rPr>
            </w:pPr>
            <w:r w:rsidRPr="0068754D">
              <w:rPr>
                <w:rFonts w:eastAsia="Times New Roman"/>
                <w:color w:val="000000"/>
              </w:rPr>
              <w:t>Data extraction</w:t>
            </w:r>
          </w:p>
        </w:tc>
        <w:tc>
          <w:tcPr>
            <w:tcW w:w="538" w:type="dxa"/>
            <w:tcBorders>
              <w:top w:val="nil"/>
              <w:left w:val="nil"/>
              <w:bottom w:val="single" w:sz="4" w:space="0" w:color="auto"/>
              <w:right w:val="single" w:sz="4" w:space="0" w:color="auto"/>
            </w:tcBorders>
            <w:noWrap/>
            <w:vAlign w:val="center"/>
            <w:hideMark/>
          </w:tcPr>
          <w:p w14:paraId="36F4ED64"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6D43EF77"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624695C6"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48ECBC59"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3D027FFE"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38" w:type="dxa"/>
            <w:tcBorders>
              <w:top w:val="nil"/>
              <w:left w:val="nil"/>
              <w:bottom w:val="single" w:sz="4" w:space="0" w:color="auto"/>
              <w:right w:val="single" w:sz="4" w:space="0" w:color="auto"/>
            </w:tcBorders>
            <w:noWrap/>
            <w:vAlign w:val="center"/>
            <w:hideMark/>
          </w:tcPr>
          <w:p w14:paraId="23F50F10"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38" w:type="dxa"/>
            <w:tcBorders>
              <w:top w:val="nil"/>
              <w:left w:val="nil"/>
              <w:bottom w:val="single" w:sz="4" w:space="0" w:color="auto"/>
              <w:right w:val="single" w:sz="4" w:space="0" w:color="auto"/>
            </w:tcBorders>
            <w:noWrap/>
            <w:vAlign w:val="center"/>
            <w:hideMark/>
          </w:tcPr>
          <w:p w14:paraId="0B4F9FD9"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38" w:type="dxa"/>
            <w:tcBorders>
              <w:top w:val="nil"/>
              <w:left w:val="nil"/>
              <w:bottom w:val="single" w:sz="4" w:space="0" w:color="auto"/>
              <w:right w:val="single" w:sz="4" w:space="0" w:color="auto"/>
            </w:tcBorders>
            <w:noWrap/>
            <w:vAlign w:val="center"/>
            <w:hideMark/>
          </w:tcPr>
          <w:p w14:paraId="08B402CE"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7CDC4A6F"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84" w:type="dxa"/>
            <w:tcBorders>
              <w:top w:val="nil"/>
              <w:left w:val="nil"/>
              <w:bottom w:val="single" w:sz="4" w:space="0" w:color="auto"/>
              <w:right w:val="single" w:sz="4" w:space="0" w:color="auto"/>
            </w:tcBorders>
            <w:noWrap/>
            <w:vAlign w:val="center"/>
            <w:hideMark/>
          </w:tcPr>
          <w:p w14:paraId="2A208DF8"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84" w:type="dxa"/>
            <w:tcBorders>
              <w:top w:val="nil"/>
              <w:left w:val="nil"/>
              <w:bottom w:val="single" w:sz="4" w:space="0" w:color="auto"/>
              <w:right w:val="single" w:sz="4" w:space="0" w:color="auto"/>
            </w:tcBorders>
            <w:noWrap/>
            <w:vAlign w:val="center"/>
            <w:hideMark/>
          </w:tcPr>
          <w:p w14:paraId="3DF3307F"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660" w:type="dxa"/>
            <w:tcBorders>
              <w:top w:val="nil"/>
              <w:left w:val="nil"/>
              <w:bottom w:val="single" w:sz="4" w:space="0" w:color="auto"/>
              <w:right w:val="single" w:sz="4" w:space="0" w:color="auto"/>
            </w:tcBorders>
            <w:noWrap/>
            <w:vAlign w:val="center"/>
            <w:hideMark/>
          </w:tcPr>
          <w:p w14:paraId="359843F7"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r>
      <w:tr w:rsidR="0068754D" w:rsidRPr="0068754D" w14:paraId="46790A61" w14:textId="77777777" w:rsidTr="0068754D">
        <w:trPr>
          <w:trHeight w:val="720"/>
        </w:trPr>
        <w:tc>
          <w:tcPr>
            <w:tcW w:w="2595" w:type="dxa"/>
            <w:tcBorders>
              <w:top w:val="nil"/>
              <w:left w:val="single" w:sz="4" w:space="0" w:color="auto"/>
              <w:bottom w:val="single" w:sz="4" w:space="0" w:color="auto"/>
              <w:right w:val="single" w:sz="4" w:space="0" w:color="auto"/>
            </w:tcBorders>
            <w:noWrap/>
            <w:vAlign w:val="center"/>
            <w:hideMark/>
          </w:tcPr>
          <w:p w14:paraId="5D09229C" w14:textId="77777777" w:rsidR="0068754D" w:rsidRPr="0068754D" w:rsidRDefault="0068754D" w:rsidP="0008581B">
            <w:pPr>
              <w:spacing w:before="0" w:after="0" w:line="240" w:lineRule="auto"/>
              <w:jc w:val="left"/>
              <w:rPr>
                <w:rFonts w:eastAsia="Times New Roman"/>
                <w:color w:val="000000"/>
              </w:rPr>
            </w:pPr>
            <w:r w:rsidRPr="0068754D">
              <w:rPr>
                <w:rFonts w:eastAsia="Times New Roman"/>
                <w:color w:val="000000"/>
              </w:rPr>
              <w:t>Data synthesis and interpretation</w:t>
            </w:r>
          </w:p>
        </w:tc>
        <w:tc>
          <w:tcPr>
            <w:tcW w:w="538" w:type="dxa"/>
            <w:tcBorders>
              <w:top w:val="nil"/>
              <w:left w:val="nil"/>
              <w:bottom w:val="single" w:sz="4" w:space="0" w:color="auto"/>
              <w:right w:val="single" w:sz="4" w:space="0" w:color="auto"/>
            </w:tcBorders>
            <w:noWrap/>
            <w:vAlign w:val="center"/>
            <w:hideMark/>
          </w:tcPr>
          <w:p w14:paraId="42818F91"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7F6D7FCB"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26CC91F3"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1107CCDB"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734A9C29"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1055D05A"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4726BF1F"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38" w:type="dxa"/>
            <w:tcBorders>
              <w:top w:val="nil"/>
              <w:left w:val="nil"/>
              <w:bottom w:val="single" w:sz="4" w:space="0" w:color="auto"/>
              <w:right w:val="single" w:sz="4" w:space="0" w:color="auto"/>
            </w:tcBorders>
            <w:noWrap/>
            <w:vAlign w:val="center"/>
            <w:hideMark/>
          </w:tcPr>
          <w:p w14:paraId="347EEB78"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38" w:type="dxa"/>
            <w:tcBorders>
              <w:top w:val="nil"/>
              <w:left w:val="nil"/>
              <w:bottom w:val="single" w:sz="4" w:space="0" w:color="auto"/>
              <w:right w:val="single" w:sz="4" w:space="0" w:color="auto"/>
            </w:tcBorders>
            <w:noWrap/>
            <w:vAlign w:val="center"/>
            <w:hideMark/>
          </w:tcPr>
          <w:p w14:paraId="041C20F5"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84" w:type="dxa"/>
            <w:tcBorders>
              <w:top w:val="nil"/>
              <w:left w:val="nil"/>
              <w:bottom w:val="single" w:sz="4" w:space="0" w:color="auto"/>
              <w:right w:val="single" w:sz="4" w:space="0" w:color="auto"/>
            </w:tcBorders>
            <w:noWrap/>
            <w:vAlign w:val="center"/>
            <w:hideMark/>
          </w:tcPr>
          <w:p w14:paraId="4628F99F"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84" w:type="dxa"/>
            <w:tcBorders>
              <w:top w:val="nil"/>
              <w:left w:val="nil"/>
              <w:bottom w:val="single" w:sz="4" w:space="0" w:color="auto"/>
              <w:right w:val="single" w:sz="4" w:space="0" w:color="auto"/>
            </w:tcBorders>
            <w:noWrap/>
            <w:vAlign w:val="center"/>
            <w:hideMark/>
          </w:tcPr>
          <w:p w14:paraId="2CFD1F75"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660" w:type="dxa"/>
            <w:tcBorders>
              <w:top w:val="nil"/>
              <w:left w:val="nil"/>
              <w:bottom w:val="single" w:sz="4" w:space="0" w:color="auto"/>
              <w:right w:val="single" w:sz="4" w:space="0" w:color="auto"/>
            </w:tcBorders>
            <w:noWrap/>
            <w:vAlign w:val="center"/>
            <w:hideMark/>
          </w:tcPr>
          <w:p w14:paraId="05AC850D"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r>
      <w:tr w:rsidR="0068754D" w:rsidRPr="0068754D" w14:paraId="4C72DA3B" w14:textId="77777777" w:rsidTr="0068754D">
        <w:trPr>
          <w:trHeight w:val="720"/>
        </w:trPr>
        <w:tc>
          <w:tcPr>
            <w:tcW w:w="2595" w:type="dxa"/>
            <w:tcBorders>
              <w:top w:val="nil"/>
              <w:left w:val="single" w:sz="4" w:space="0" w:color="auto"/>
              <w:bottom w:val="single" w:sz="4" w:space="0" w:color="auto"/>
              <w:right w:val="single" w:sz="4" w:space="0" w:color="auto"/>
            </w:tcBorders>
            <w:noWrap/>
            <w:vAlign w:val="center"/>
            <w:hideMark/>
          </w:tcPr>
          <w:p w14:paraId="2C901018" w14:textId="77777777" w:rsidR="0068754D" w:rsidRPr="0068754D" w:rsidRDefault="0068754D" w:rsidP="0008581B">
            <w:pPr>
              <w:spacing w:before="0" w:after="0" w:line="240" w:lineRule="auto"/>
              <w:jc w:val="left"/>
              <w:rPr>
                <w:rFonts w:eastAsia="Times New Roman"/>
                <w:color w:val="000000"/>
              </w:rPr>
            </w:pPr>
            <w:r w:rsidRPr="0068754D">
              <w:rPr>
                <w:rFonts w:eastAsia="Times New Roman"/>
                <w:color w:val="000000"/>
              </w:rPr>
              <w:t>Draft methodology and literature review sections</w:t>
            </w:r>
          </w:p>
        </w:tc>
        <w:tc>
          <w:tcPr>
            <w:tcW w:w="538" w:type="dxa"/>
            <w:tcBorders>
              <w:top w:val="nil"/>
              <w:left w:val="nil"/>
              <w:bottom w:val="single" w:sz="4" w:space="0" w:color="auto"/>
              <w:right w:val="single" w:sz="4" w:space="0" w:color="auto"/>
            </w:tcBorders>
            <w:noWrap/>
            <w:vAlign w:val="center"/>
            <w:hideMark/>
          </w:tcPr>
          <w:p w14:paraId="2DC62EEE"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27031B82"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3D4302CC"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4ECF2B45"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7CBBC3C3"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4A521DE7"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4B520FBE"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38" w:type="dxa"/>
            <w:tcBorders>
              <w:top w:val="nil"/>
              <w:left w:val="nil"/>
              <w:bottom w:val="single" w:sz="4" w:space="0" w:color="auto"/>
              <w:right w:val="single" w:sz="4" w:space="0" w:color="auto"/>
            </w:tcBorders>
            <w:noWrap/>
            <w:vAlign w:val="center"/>
            <w:hideMark/>
          </w:tcPr>
          <w:p w14:paraId="2632CA49"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38" w:type="dxa"/>
            <w:tcBorders>
              <w:top w:val="nil"/>
              <w:left w:val="nil"/>
              <w:bottom w:val="single" w:sz="4" w:space="0" w:color="auto"/>
              <w:right w:val="single" w:sz="4" w:space="0" w:color="auto"/>
            </w:tcBorders>
            <w:noWrap/>
            <w:vAlign w:val="center"/>
            <w:hideMark/>
          </w:tcPr>
          <w:p w14:paraId="05871955"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84" w:type="dxa"/>
            <w:tcBorders>
              <w:top w:val="nil"/>
              <w:left w:val="nil"/>
              <w:bottom w:val="single" w:sz="4" w:space="0" w:color="auto"/>
              <w:right w:val="single" w:sz="4" w:space="0" w:color="auto"/>
            </w:tcBorders>
            <w:noWrap/>
            <w:vAlign w:val="center"/>
            <w:hideMark/>
          </w:tcPr>
          <w:p w14:paraId="2AE377F2"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84" w:type="dxa"/>
            <w:tcBorders>
              <w:top w:val="nil"/>
              <w:left w:val="nil"/>
              <w:bottom w:val="single" w:sz="4" w:space="0" w:color="auto"/>
              <w:right w:val="single" w:sz="4" w:space="0" w:color="auto"/>
            </w:tcBorders>
            <w:noWrap/>
            <w:vAlign w:val="center"/>
            <w:hideMark/>
          </w:tcPr>
          <w:p w14:paraId="737D3CE0"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660" w:type="dxa"/>
            <w:tcBorders>
              <w:top w:val="nil"/>
              <w:left w:val="nil"/>
              <w:bottom w:val="single" w:sz="4" w:space="0" w:color="auto"/>
              <w:right w:val="single" w:sz="4" w:space="0" w:color="auto"/>
            </w:tcBorders>
            <w:noWrap/>
            <w:vAlign w:val="center"/>
            <w:hideMark/>
          </w:tcPr>
          <w:p w14:paraId="269565E5"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r>
      <w:tr w:rsidR="0068754D" w:rsidRPr="0068754D" w14:paraId="34C06CC7" w14:textId="77777777" w:rsidTr="0068754D">
        <w:trPr>
          <w:trHeight w:val="720"/>
        </w:trPr>
        <w:tc>
          <w:tcPr>
            <w:tcW w:w="2595" w:type="dxa"/>
            <w:tcBorders>
              <w:top w:val="nil"/>
              <w:left w:val="single" w:sz="4" w:space="0" w:color="auto"/>
              <w:bottom w:val="single" w:sz="4" w:space="0" w:color="auto"/>
              <w:right w:val="single" w:sz="4" w:space="0" w:color="auto"/>
            </w:tcBorders>
            <w:noWrap/>
            <w:vAlign w:val="center"/>
            <w:hideMark/>
          </w:tcPr>
          <w:p w14:paraId="6D2AF3AE" w14:textId="77777777" w:rsidR="0068754D" w:rsidRPr="0068754D" w:rsidRDefault="0068754D" w:rsidP="0008581B">
            <w:pPr>
              <w:spacing w:before="0" w:after="0" w:line="240" w:lineRule="auto"/>
              <w:jc w:val="left"/>
              <w:rPr>
                <w:rFonts w:eastAsia="Times New Roman"/>
                <w:color w:val="000000"/>
              </w:rPr>
            </w:pPr>
            <w:r w:rsidRPr="0068754D">
              <w:rPr>
                <w:rFonts w:eastAsia="Times New Roman"/>
                <w:color w:val="000000"/>
              </w:rPr>
              <w:t>Complete findings and discussion</w:t>
            </w:r>
          </w:p>
        </w:tc>
        <w:tc>
          <w:tcPr>
            <w:tcW w:w="538" w:type="dxa"/>
            <w:tcBorders>
              <w:top w:val="nil"/>
              <w:left w:val="nil"/>
              <w:bottom w:val="single" w:sz="4" w:space="0" w:color="auto"/>
              <w:right w:val="single" w:sz="4" w:space="0" w:color="auto"/>
            </w:tcBorders>
            <w:noWrap/>
            <w:vAlign w:val="center"/>
            <w:hideMark/>
          </w:tcPr>
          <w:p w14:paraId="23D349C8"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7BC242F6"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668FD83E"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3767AC8C"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1F535186"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5A6B5346"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62669D36"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15AA1954"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399A76E5"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84" w:type="dxa"/>
            <w:tcBorders>
              <w:top w:val="nil"/>
              <w:left w:val="nil"/>
              <w:bottom w:val="single" w:sz="4" w:space="0" w:color="auto"/>
              <w:right w:val="single" w:sz="4" w:space="0" w:color="auto"/>
            </w:tcBorders>
            <w:noWrap/>
            <w:vAlign w:val="center"/>
            <w:hideMark/>
          </w:tcPr>
          <w:p w14:paraId="75CFFEB0"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584" w:type="dxa"/>
            <w:tcBorders>
              <w:top w:val="nil"/>
              <w:left w:val="nil"/>
              <w:bottom w:val="single" w:sz="4" w:space="0" w:color="auto"/>
              <w:right w:val="single" w:sz="4" w:space="0" w:color="auto"/>
            </w:tcBorders>
            <w:noWrap/>
            <w:vAlign w:val="center"/>
            <w:hideMark/>
          </w:tcPr>
          <w:p w14:paraId="476A9B6D"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660" w:type="dxa"/>
            <w:tcBorders>
              <w:top w:val="nil"/>
              <w:left w:val="nil"/>
              <w:bottom w:val="single" w:sz="4" w:space="0" w:color="auto"/>
              <w:right w:val="single" w:sz="4" w:space="0" w:color="auto"/>
            </w:tcBorders>
            <w:noWrap/>
            <w:vAlign w:val="center"/>
            <w:hideMark/>
          </w:tcPr>
          <w:p w14:paraId="5FD9773E"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r>
      <w:tr w:rsidR="0068754D" w:rsidRPr="0068754D" w14:paraId="2D5B01E9" w14:textId="77777777" w:rsidTr="0068754D">
        <w:trPr>
          <w:trHeight w:val="720"/>
        </w:trPr>
        <w:tc>
          <w:tcPr>
            <w:tcW w:w="2595" w:type="dxa"/>
            <w:tcBorders>
              <w:top w:val="nil"/>
              <w:left w:val="single" w:sz="4" w:space="0" w:color="auto"/>
              <w:bottom w:val="single" w:sz="4" w:space="0" w:color="auto"/>
              <w:right w:val="single" w:sz="4" w:space="0" w:color="auto"/>
            </w:tcBorders>
            <w:noWrap/>
            <w:vAlign w:val="center"/>
            <w:hideMark/>
          </w:tcPr>
          <w:p w14:paraId="5519CD4F" w14:textId="77777777" w:rsidR="0068754D" w:rsidRPr="0068754D" w:rsidRDefault="0068754D" w:rsidP="0008581B">
            <w:pPr>
              <w:spacing w:before="0" w:after="0" w:line="240" w:lineRule="auto"/>
              <w:jc w:val="left"/>
              <w:rPr>
                <w:rFonts w:eastAsia="Times New Roman"/>
                <w:color w:val="000000"/>
              </w:rPr>
            </w:pPr>
            <w:r w:rsidRPr="0068754D">
              <w:rPr>
                <w:rFonts w:eastAsia="Times New Roman"/>
                <w:color w:val="000000"/>
              </w:rPr>
              <w:t>Final editing and proofreading</w:t>
            </w:r>
          </w:p>
        </w:tc>
        <w:tc>
          <w:tcPr>
            <w:tcW w:w="538" w:type="dxa"/>
            <w:tcBorders>
              <w:top w:val="nil"/>
              <w:left w:val="nil"/>
              <w:bottom w:val="single" w:sz="4" w:space="0" w:color="auto"/>
              <w:right w:val="single" w:sz="4" w:space="0" w:color="auto"/>
            </w:tcBorders>
            <w:noWrap/>
            <w:vAlign w:val="center"/>
            <w:hideMark/>
          </w:tcPr>
          <w:p w14:paraId="59E62052"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6C72D4B6"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0C572BAD"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07335282"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56F103B7"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7728700C"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655F8421"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1C5CC4ED"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2DFB70E5"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84" w:type="dxa"/>
            <w:tcBorders>
              <w:top w:val="nil"/>
              <w:left w:val="nil"/>
              <w:bottom w:val="single" w:sz="4" w:space="0" w:color="auto"/>
              <w:right w:val="single" w:sz="4" w:space="0" w:color="auto"/>
            </w:tcBorders>
            <w:noWrap/>
            <w:vAlign w:val="center"/>
            <w:hideMark/>
          </w:tcPr>
          <w:p w14:paraId="2226CEE5"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84" w:type="dxa"/>
            <w:tcBorders>
              <w:top w:val="nil"/>
              <w:left w:val="nil"/>
              <w:bottom w:val="single" w:sz="4" w:space="0" w:color="auto"/>
              <w:right w:val="single" w:sz="4" w:space="0" w:color="auto"/>
            </w:tcBorders>
            <w:noWrap/>
            <w:vAlign w:val="center"/>
            <w:hideMark/>
          </w:tcPr>
          <w:p w14:paraId="45DBE887"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c>
          <w:tcPr>
            <w:tcW w:w="660" w:type="dxa"/>
            <w:tcBorders>
              <w:top w:val="nil"/>
              <w:left w:val="nil"/>
              <w:bottom w:val="single" w:sz="4" w:space="0" w:color="auto"/>
              <w:right w:val="single" w:sz="4" w:space="0" w:color="auto"/>
            </w:tcBorders>
            <w:noWrap/>
            <w:vAlign w:val="center"/>
            <w:hideMark/>
          </w:tcPr>
          <w:p w14:paraId="20746BDF"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r>
      <w:tr w:rsidR="0068754D" w:rsidRPr="0068754D" w14:paraId="776288D8" w14:textId="77777777" w:rsidTr="0068754D">
        <w:trPr>
          <w:trHeight w:val="720"/>
        </w:trPr>
        <w:tc>
          <w:tcPr>
            <w:tcW w:w="2595" w:type="dxa"/>
            <w:tcBorders>
              <w:top w:val="nil"/>
              <w:left w:val="single" w:sz="4" w:space="0" w:color="auto"/>
              <w:bottom w:val="single" w:sz="4" w:space="0" w:color="auto"/>
              <w:right w:val="single" w:sz="4" w:space="0" w:color="auto"/>
            </w:tcBorders>
            <w:noWrap/>
            <w:vAlign w:val="center"/>
            <w:hideMark/>
          </w:tcPr>
          <w:p w14:paraId="17650E74" w14:textId="77777777" w:rsidR="0068754D" w:rsidRPr="0068754D" w:rsidRDefault="0068754D" w:rsidP="0008581B">
            <w:pPr>
              <w:spacing w:before="0" w:after="0" w:line="240" w:lineRule="auto"/>
              <w:jc w:val="left"/>
              <w:rPr>
                <w:rFonts w:eastAsia="Times New Roman"/>
                <w:color w:val="000000"/>
              </w:rPr>
            </w:pPr>
            <w:r w:rsidRPr="0068754D">
              <w:rPr>
                <w:rFonts w:eastAsia="Times New Roman"/>
                <w:color w:val="000000"/>
              </w:rPr>
              <w:t>Final submission</w:t>
            </w:r>
          </w:p>
        </w:tc>
        <w:tc>
          <w:tcPr>
            <w:tcW w:w="538" w:type="dxa"/>
            <w:tcBorders>
              <w:top w:val="nil"/>
              <w:left w:val="nil"/>
              <w:bottom w:val="single" w:sz="4" w:space="0" w:color="auto"/>
              <w:right w:val="single" w:sz="4" w:space="0" w:color="auto"/>
            </w:tcBorders>
            <w:noWrap/>
            <w:vAlign w:val="center"/>
            <w:hideMark/>
          </w:tcPr>
          <w:p w14:paraId="1AE84492"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5B9B5301"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70CC2F84"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6447D935"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3364A2A4"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36C045FF"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094A0801"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7821C2F6"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38" w:type="dxa"/>
            <w:tcBorders>
              <w:top w:val="nil"/>
              <w:left w:val="nil"/>
              <w:bottom w:val="single" w:sz="4" w:space="0" w:color="auto"/>
              <w:right w:val="single" w:sz="4" w:space="0" w:color="auto"/>
            </w:tcBorders>
            <w:noWrap/>
            <w:vAlign w:val="center"/>
            <w:hideMark/>
          </w:tcPr>
          <w:p w14:paraId="424144D6"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84" w:type="dxa"/>
            <w:tcBorders>
              <w:top w:val="nil"/>
              <w:left w:val="nil"/>
              <w:bottom w:val="single" w:sz="4" w:space="0" w:color="auto"/>
              <w:right w:val="single" w:sz="4" w:space="0" w:color="auto"/>
            </w:tcBorders>
            <w:noWrap/>
            <w:vAlign w:val="center"/>
            <w:hideMark/>
          </w:tcPr>
          <w:p w14:paraId="5CFAAE1E"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584" w:type="dxa"/>
            <w:tcBorders>
              <w:top w:val="nil"/>
              <w:left w:val="nil"/>
              <w:bottom w:val="single" w:sz="4" w:space="0" w:color="auto"/>
              <w:right w:val="single" w:sz="4" w:space="0" w:color="auto"/>
            </w:tcBorders>
            <w:noWrap/>
            <w:vAlign w:val="center"/>
            <w:hideMark/>
          </w:tcPr>
          <w:p w14:paraId="17F68FB7"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 </w:t>
            </w:r>
          </w:p>
        </w:tc>
        <w:tc>
          <w:tcPr>
            <w:tcW w:w="660" w:type="dxa"/>
            <w:tcBorders>
              <w:top w:val="nil"/>
              <w:left w:val="nil"/>
              <w:bottom w:val="single" w:sz="4" w:space="0" w:color="auto"/>
              <w:right w:val="single" w:sz="4" w:space="0" w:color="auto"/>
            </w:tcBorders>
            <w:noWrap/>
            <w:vAlign w:val="center"/>
            <w:hideMark/>
          </w:tcPr>
          <w:p w14:paraId="68F418A6" w14:textId="77777777" w:rsidR="0068754D" w:rsidRPr="0068754D" w:rsidRDefault="0068754D" w:rsidP="0008581B">
            <w:pPr>
              <w:spacing w:before="0" w:after="0" w:line="240" w:lineRule="auto"/>
              <w:jc w:val="center"/>
              <w:rPr>
                <w:rFonts w:eastAsia="Times New Roman"/>
                <w:color w:val="000000"/>
              </w:rPr>
            </w:pPr>
            <w:r w:rsidRPr="0068754D">
              <w:rPr>
                <w:rFonts w:eastAsia="Times New Roman"/>
                <w:color w:val="000000"/>
              </w:rPr>
              <w:t>×</w:t>
            </w:r>
          </w:p>
        </w:tc>
      </w:tr>
    </w:tbl>
    <w:p w14:paraId="425AD58E" w14:textId="77777777" w:rsidR="00E822D9" w:rsidRPr="0068754D" w:rsidRDefault="00000000">
      <w:pPr>
        <w:pStyle w:val="Heading1"/>
        <w:keepNext w:val="0"/>
        <w:keepLines w:val="0"/>
        <w:spacing w:before="280"/>
      </w:pPr>
      <w:bookmarkStart w:id="15" w:name="_vseb4osplin6" w:colFirst="0" w:colLast="0"/>
      <w:bookmarkStart w:id="16" w:name="_Toc237551875"/>
      <w:bookmarkEnd w:id="15"/>
      <w:r w:rsidRPr="0068754D">
        <w:t>Expected Contribution</w:t>
      </w:r>
      <w:bookmarkEnd w:id="16"/>
    </w:p>
    <w:p w14:paraId="31BF837A" w14:textId="7B9524FF" w:rsidR="0068754D" w:rsidRPr="0068754D" w:rsidRDefault="00000000">
      <w:r w:rsidRPr="0068754D">
        <w:t xml:space="preserve">The review could contribute to a better understanding of the impact of population ageing on service demand, workforce needs, service delivery, and healthcare costs among NHS managers. The results it produces will be able to inform workforce planning and resource allocation decisions for older adults' services. The review might also help policymakers in their work on delivering sustainable NHS services. The results may contribute to the education of students and professionals in healthcare fields regarding ageing-related healthcare stress. The review can pinpoint priorities for future research based on the consistency of the findings, methodological limitations, and any remaining uncertainties. It could also serve as a valuable source of evidence for the study of integrated health services for older people. </w:t>
      </w:r>
    </w:p>
    <w:p w14:paraId="23B957A7" w14:textId="77777777" w:rsidR="0068754D" w:rsidRPr="0068754D" w:rsidRDefault="0068754D">
      <w:r w:rsidRPr="0068754D">
        <w:br w:type="page"/>
      </w:r>
    </w:p>
    <w:p w14:paraId="5B3AD89F" w14:textId="099FE8E0" w:rsidR="00E822D9" w:rsidRPr="0068754D" w:rsidRDefault="0068754D" w:rsidP="0068754D">
      <w:pPr>
        <w:pStyle w:val="Heading1"/>
      </w:pPr>
      <w:bookmarkStart w:id="17" w:name="_Toc237551876"/>
      <w:r w:rsidRPr="0068754D">
        <w:lastRenderedPageBreak/>
        <w:t>References</w:t>
      </w:r>
      <w:bookmarkEnd w:id="17"/>
    </w:p>
    <w:p w14:paraId="35489A5F"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Anderson, M., McGuire, A. and Mossialos, E., 2025. Addressing the fiscal and sustainability challenges for the NHS. </w:t>
      </w:r>
      <w:r w:rsidRPr="0068754D">
        <w:rPr>
          <w:rFonts w:ascii="Arial" w:hAnsi="Arial" w:cs="Arial"/>
          <w:i/>
          <w:iCs/>
          <w:noProof/>
          <w:szCs w:val="24"/>
          <w:lang w:val="en-GB"/>
        </w:rPr>
        <w:t>The Bulletin of the Royal College of Surgeons of England</w:t>
      </w:r>
      <w:r w:rsidRPr="0068754D">
        <w:rPr>
          <w:rFonts w:ascii="Arial" w:hAnsi="Arial" w:cs="Arial"/>
          <w:noProof/>
          <w:szCs w:val="24"/>
          <w:lang w:val="en-GB"/>
        </w:rPr>
        <w:t>, </w:t>
      </w:r>
      <w:r w:rsidRPr="0068754D">
        <w:rPr>
          <w:rFonts w:ascii="Arial" w:hAnsi="Arial" w:cs="Arial"/>
          <w:i/>
          <w:iCs/>
          <w:noProof/>
          <w:szCs w:val="24"/>
          <w:lang w:val="en-GB"/>
        </w:rPr>
        <w:t>107</w:t>
      </w:r>
      <w:r w:rsidRPr="0068754D">
        <w:rPr>
          <w:rFonts w:ascii="Arial" w:hAnsi="Arial" w:cs="Arial"/>
          <w:noProof/>
          <w:szCs w:val="24"/>
          <w:lang w:val="en-GB"/>
        </w:rPr>
        <w:t xml:space="preserve">(2), pp.76-79. </w:t>
      </w:r>
      <w:hyperlink r:id="rId10" w:history="1">
        <w:r w:rsidRPr="0068754D">
          <w:rPr>
            <w:rStyle w:val="Hyperlink"/>
            <w:rFonts w:ascii="Arial" w:hAnsi="Arial" w:cs="Arial"/>
            <w:noProof/>
            <w:szCs w:val="24"/>
            <w:lang w:val="en-GB"/>
          </w:rPr>
          <w:t>https://doi.org/10.1308/rcsbull.2025.38</w:t>
        </w:r>
      </w:hyperlink>
      <w:r w:rsidRPr="0068754D">
        <w:rPr>
          <w:rFonts w:ascii="Arial" w:hAnsi="Arial" w:cs="Arial"/>
          <w:noProof/>
          <w:szCs w:val="24"/>
          <w:lang w:val="en-GB"/>
        </w:rPr>
        <w:t xml:space="preserve"> </w:t>
      </w:r>
    </w:p>
    <w:p w14:paraId="3D5710F8"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Bimpong, K.A.A., Khan, A., Slight, R., Tolley, C.L. and Slight, S.P., 2020. Relationship between labour force satisfaction, wages and retention within the UK National Health Service: a systematic review of the literature. </w:t>
      </w:r>
      <w:r w:rsidRPr="0068754D">
        <w:rPr>
          <w:rFonts w:ascii="Arial" w:hAnsi="Arial" w:cs="Arial"/>
          <w:i/>
          <w:iCs/>
          <w:noProof/>
          <w:szCs w:val="24"/>
          <w:lang w:val="en-GB"/>
        </w:rPr>
        <w:t>BMJ open</w:t>
      </w:r>
      <w:r w:rsidRPr="0068754D">
        <w:rPr>
          <w:rFonts w:ascii="Arial" w:hAnsi="Arial" w:cs="Arial"/>
          <w:noProof/>
          <w:szCs w:val="24"/>
          <w:lang w:val="en-GB"/>
        </w:rPr>
        <w:t>, </w:t>
      </w:r>
      <w:r w:rsidRPr="0068754D">
        <w:rPr>
          <w:rFonts w:ascii="Arial" w:hAnsi="Arial" w:cs="Arial"/>
          <w:i/>
          <w:iCs/>
          <w:noProof/>
          <w:szCs w:val="24"/>
          <w:lang w:val="en-GB"/>
        </w:rPr>
        <w:t>10</w:t>
      </w:r>
      <w:r w:rsidRPr="0068754D">
        <w:rPr>
          <w:rFonts w:ascii="Arial" w:hAnsi="Arial" w:cs="Arial"/>
          <w:noProof/>
          <w:szCs w:val="24"/>
          <w:lang w:val="en-GB"/>
        </w:rPr>
        <w:t xml:space="preserve">(7), p.e034919. </w:t>
      </w:r>
      <w:hyperlink r:id="rId11" w:history="1">
        <w:r w:rsidRPr="0068754D">
          <w:rPr>
            <w:rStyle w:val="Hyperlink"/>
            <w:rFonts w:ascii="Arial" w:hAnsi="Arial" w:cs="Arial"/>
            <w:noProof/>
            <w:szCs w:val="24"/>
            <w:lang w:val="en-GB"/>
          </w:rPr>
          <w:t>https://doi.org/10.1136/bmjopen-2019-034919</w:t>
        </w:r>
      </w:hyperlink>
      <w:r w:rsidRPr="0068754D">
        <w:rPr>
          <w:rFonts w:ascii="Arial" w:hAnsi="Arial" w:cs="Arial"/>
          <w:noProof/>
          <w:szCs w:val="24"/>
          <w:lang w:val="en-GB"/>
        </w:rPr>
        <w:t xml:space="preserve"> </w:t>
      </w:r>
    </w:p>
    <w:p w14:paraId="5032C77E"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Bradley, S.H., DeVito, N.J., Lloyd, K.E., Richards, G.C., Rombey, T., Wayant, C. and Gill, P.J., 2020. Reducing bias and improving transparency in medical research: a critical overview of the problems, progress and suggested next steps. </w:t>
      </w:r>
      <w:r w:rsidRPr="0068754D">
        <w:rPr>
          <w:rFonts w:ascii="Arial" w:hAnsi="Arial" w:cs="Arial"/>
          <w:i/>
          <w:iCs/>
          <w:noProof/>
          <w:szCs w:val="24"/>
          <w:lang w:val="en-GB"/>
        </w:rPr>
        <w:t>Journal of the Royal Society of Medicine</w:t>
      </w:r>
      <w:r w:rsidRPr="0068754D">
        <w:rPr>
          <w:rFonts w:ascii="Arial" w:hAnsi="Arial" w:cs="Arial"/>
          <w:noProof/>
          <w:szCs w:val="24"/>
          <w:lang w:val="en-GB"/>
        </w:rPr>
        <w:t>, </w:t>
      </w:r>
      <w:r w:rsidRPr="0068754D">
        <w:rPr>
          <w:rFonts w:ascii="Arial" w:hAnsi="Arial" w:cs="Arial"/>
          <w:i/>
          <w:iCs/>
          <w:noProof/>
          <w:szCs w:val="24"/>
          <w:lang w:val="en-GB"/>
        </w:rPr>
        <w:t>113</w:t>
      </w:r>
      <w:r w:rsidRPr="0068754D">
        <w:rPr>
          <w:rFonts w:ascii="Arial" w:hAnsi="Arial" w:cs="Arial"/>
          <w:noProof/>
          <w:szCs w:val="24"/>
          <w:lang w:val="en-GB"/>
        </w:rPr>
        <w:t xml:space="preserve">(11), pp.433-443. </w:t>
      </w:r>
      <w:hyperlink r:id="rId12" w:history="1">
        <w:r w:rsidRPr="0068754D">
          <w:rPr>
            <w:rStyle w:val="Hyperlink"/>
            <w:rFonts w:ascii="Arial" w:hAnsi="Arial" w:cs="Arial"/>
            <w:noProof/>
            <w:szCs w:val="24"/>
            <w:lang w:val="en-GB"/>
          </w:rPr>
          <w:t>https://doi.org/10.1177/0141076820956799</w:t>
        </w:r>
      </w:hyperlink>
      <w:r w:rsidRPr="0068754D">
        <w:rPr>
          <w:rFonts w:ascii="Arial" w:hAnsi="Arial" w:cs="Arial"/>
          <w:noProof/>
          <w:szCs w:val="24"/>
          <w:lang w:val="en-GB"/>
        </w:rPr>
        <w:t xml:space="preserve"> </w:t>
      </w:r>
    </w:p>
    <w:p w14:paraId="471C1EF7"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Braun, V. and Clarke, V., 2021. One size fits all? What counts as quality practice in (reflexive) thematic analysis?. </w:t>
      </w:r>
      <w:r w:rsidRPr="0068754D">
        <w:rPr>
          <w:rFonts w:ascii="Arial" w:hAnsi="Arial" w:cs="Arial"/>
          <w:i/>
          <w:iCs/>
          <w:noProof/>
          <w:szCs w:val="24"/>
          <w:lang w:val="en-GB"/>
        </w:rPr>
        <w:t>Qualitative research in psychology</w:t>
      </w:r>
      <w:r w:rsidRPr="0068754D">
        <w:rPr>
          <w:rFonts w:ascii="Arial" w:hAnsi="Arial" w:cs="Arial"/>
          <w:noProof/>
          <w:szCs w:val="24"/>
          <w:lang w:val="en-GB"/>
        </w:rPr>
        <w:t>, </w:t>
      </w:r>
      <w:r w:rsidRPr="0068754D">
        <w:rPr>
          <w:rFonts w:ascii="Arial" w:hAnsi="Arial" w:cs="Arial"/>
          <w:i/>
          <w:iCs/>
          <w:noProof/>
          <w:szCs w:val="24"/>
          <w:lang w:val="en-GB"/>
        </w:rPr>
        <w:t>18</w:t>
      </w:r>
      <w:r w:rsidRPr="0068754D">
        <w:rPr>
          <w:rFonts w:ascii="Arial" w:hAnsi="Arial" w:cs="Arial"/>
          <w:noProof/>
          <w:szCs w:val="24"/>
          <w:lang w:val="en-GB"/>
        </w:rPr>
        <w:t xml:space="preserve">(3), pp.328-352. </w:t>
      </w:r>
      <w:hyperlink r:id="rId13" w:history="1">
        <w:r w:rsidRPr="0068754D">
          <w:rPr>
            <w:rStyle w:val="Hyperlink"/>
            <w:rFonts w:ascii="Arial" w:hAnsi="Arial" w:cs="Arial"/>
            <w:noProof/>
            <w:szCs w:val="24"/>
            <w:lang w:val="en-GB"/>
          </w:rPr>
          <w:t>https://doi.org/10.1080/14780887.2020.1769238</w:t>
        </w:r>
      </w:hyperlink>
      <w:r w:rsidRPr="0068754D">
        <w:rPr>
          <w:rFonts w:ascii="Arial" w:hAnsi="Arial" w:cs="Arial"/>
          <w:noProof/>
          <w:szCs w:val="24"/>
          <w:lang w:val="en-GB"/>
        </w:rPr>
        <w:t xml:space="preserve"> </w:t>
      </w:r>
    </w:p>
    <w:p w14:paraId="1CDCBCAE"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Charlesworth, A., Anderson, M., Donaldson, C., Johnson, P., Knapp, M., McGuire, A., McKee, M., Mossialos, E., Smith, P., Street, A. and Woods, M., 2021. What is the right level of spending needed for health and care in the UK?. </w:t>
      </w:r>
      <w:r w:rsidRPr="0068754D">
        <w:rPr>
          <w:rFonts w:ascii="Arial" w:hAnsi="Arial" w:cs="Arial"/>
          <w:i/>
          <w:iCs/>
          <w:noProof/>
          <w:szCs w:val="24"/>
          <w:lang w:val="en-GB"/>
        </w:rPr>
        <w:t>The Lancet</w:t>
      </w:r>
      <w:r w:rsidRPr="0068754D">
        <w:rPr>
          <w:rFonts w:ascii="Arial" w:hAnsi="Arial" w:cs="Arial"/>
          <w:noProof/>
          <w:szCs w:val="24"/>
          <w:lang w:val="en-GB"/>
        </w:rPr>
        <w:t>, </w:t>
      </w:r>
      <w:r w:rsidRPr="0068754D">
        <w:rPr>
          <w:rFonts w:ascii="Arial" w:hAnsi="Arial" w:cs="Arial"/>
          <w:i/>
          <w:iCs/>
          <w:noProof/>
          <w:szCs w:val="24"/>
          <w:lang w:val="en-GB"/>
        </w:rPr>
        <w:t>397</w:t>
      </w:r>
      <w:r w:rsidRPr="0068754D">
        <w:rPr>
          <w:rFonts w:ascii="Arial" w:hAnsi="Arial" w:cs="Arial"/>
          <w:noProof/>
          <w:szCs w:val="24"/>
          <w:lang w:val="en-GB"/>
        </w:rPr>
        <w:t xml:space="preserve">(10288), pp.2012-2022. </w:t>
      </w:r>
      <w:hyperlink r:id="rId14" w:history="1">
        <w:r w:rsidRPr="0068754D">
          <w:rPr>
            <w:rStyle w:val="Hyperlink"/>
            <w:rFonts w:ascii="Arial" w:hAnsi="Arial" w:cs="Arial"/>
            <w:noProof/>
            <w:szCs w:val="24"/>
            <w:lang w:val="en-GB"/>
          </w:rPr>
          <w:t>https://doi.org/10.1016/s0140-6736(21)00230-0</w:t>
        </w:r>
      </w:hyperlink>
      <w:r w:rsidRPr="0068754D">
        <w:rPr>
          <w:rFonts w:ascii="Arial" w:hAnsi="Arial" w:cs="Arial"/>
          <w:noProof/>
          <w:szCs w:val="24"/>
          <w:lang w:val="en-GB"/>
        </w:rPr>
        <w:t xml:space="preserve"> </w:t>
      </w:r>
    </w:p>
    <w:p w14:paraId="5B3F159C"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Cristea, M., Noja, G.G., Stefea, P. and Sala, A.L., 2020. The impact of population aging and public health support on EU labor markets. </w:t>
      </w:r>
      <w:r w:rsidRPr="0068754D">
        <w:rPr>
          <w:rFonts w:ascii="Arial" w:hAnsi="Arial" w:cs="Arial"/>
          <w:i/>
          <w:iCs/>
          <w:noProof/>
          <w:szCs w:val="24"/>
          <w:lang w:val="en-GB"/>
        </w:rPr>
        <w:t>International journal of environmental research and public health</w:t>
      </w:r>
      <w:r w:rsidRPr="0068754D">
        <w:rPr>
          <w:rFonts w:ascii="Arial" w:hAnsi="Arial" w:cs="Arial"/>
          <w:noProof/>
          <w:szCs w:val="24"/>
          <w:lang w:val="en-GB"/>
        </w:rPr>
        <w:t>, </w:t>
      </w:r>
      <w:r w:rsidRPr="0068754D">
        <w:rPr>
          <w:rFonts w:ascii="Arial" w:hAnsi="Arial" w:cs="Arial"/>
          <w:i/>
          <w:iCs/>
          <w:noProof/>
          <w:szCs w:val="24"/>
          <w:lang w:val="en-GB"/>
        </w:rPr>
        <w:t>17</w:t>
      </w:r>
      <w:r w:rsidRPr="0068754D">
        <w:rPr>
          <w:rFonts w:ascii="Arial" w:hAnsi="Arial" w:cs="Arial"/>
          <w:noProof/>
          <w:szCs w:val="24"/>
          <w:lang w:val="en-GB"/>
        </w:rPr>
        <w:t xml:space="preserve">(4), p.1439. </w:t>
      </w:r>
      <w:hyperlink r:id="rId15" w:history="1">
        <w:r w:rsidRPr="0068754D">
          <w:rPr>
            <w:rStyle w:val="Hyperlink"/>
            <w:rFonts w:ascii="Arial" w:hAnsi="Arial" w:cs="Arial"/>
            <w:noProof/>
            <w:szCs w:val="24"/>
            <w:lang w:val="en-GB"/>
          </w:rPr>
          <w:t>https://doi.org/10.3390/ijerph17041439</w:t>
        </w:r>
      </w:hyperlink>
      <w:r w:rsidRPr="0068754D">
        <w:rPr>
          <w:rFonts w:ascii="Arial" w:hAnsi="Arial" w:cs="Arial"/>
          <w:noProof/>
          <w:szCs w:val="24"/>
          <w:lang w:val="en-GB"/>
        </w:rPr>
        <w:t xml:space="preserve"> </w:t>
      </w:r>
    </w:p>
    <w:p w14:paraId="1E2CD691"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Gianfredi, V., Nucci, D., Pennisi, F., Maggi, S., Veronese, N. and Soysal, P., 2025. Aging, longevity, and healthy aging: the public health approach. </w:t>
      </w:r>
      <w:r w:rsidRPr="0068754D">
        <w:rPr>
          <w:rFonts w:ascii="Arial" w:hAnsi="Arial" w:cs="Arial"/>
          <w:i/>
          <w:iCs/>
          <w:noProof/>
          <w:szCs w:val="24"/>
          <w:lang w:val="en-GB"/>
        </w:rPr>
        <w:t>Aging clinical and experimental research</w:t>
      </w:r>
      <w:r w:rsidRPr="0068754D">
        <w:rPr>
          <w:rFonts w:ascii="Arial" w:hAnsi="Arial" w:cs="Arial"/>
          <w:noProof/>
          <w:szCs w:val="24"/>
          <w:lang w:val="en-GB"/>
        </w:rPr>
        <w:t>, </w:t>
      </w:r>
      <w:r w:rsidRPr="0068754D">
        <w:rPr>
          <w:rFonts w:ascii="Arial" w:hAnsi="Arial" w:cs="Arial"/>
          <w:i/>
          <w:iCs/>
          <w:noProof/>
          <w:szCs w:val="24"/>
          <w:lang w:val="en-GB"/>
        </w:rPr>
        <w:t>37</w:t>
      </w:r>
      <w:r w:rsidRPr="0068754D">
        <w:rPr>
          <w:rFonts w:ascii="Arial" w:hAnsi="Arial" w:cs="Arial"/>
          <w:noProof/>
          <w:szCs w:val="24"/>
          <w:lang w:val="en-GB"/>
        </w:rPr>
        <w:t xml:space="preserve">(1), p.125. </w:t>
      </w:r>
      <w:hyperlink r:id="rId16" w:history="1">
        <w:r w:rsidRPr="0068754D">
          <w:rPr>
            <w:rStyle w:val="Hyperlink"/>
            <w:rFonts w:ascii="Arial" w:hAnsi="Arial" w:cs="Arial"/>
            <w:noProof/>
            <w:szCs w:val="24"/>
            <w:lang w:val="en-GB"/>
          </w:rPr>
          <w:t>https://doi.org/10.1007/s40520-025-03021-8</w:t>
        </w:r>
      </w:hyperlink>
      <w:r w:rsidRPr="0068754D">
        <w:rPr>
          <w:rFonts w:ascii="Arial" w:hAnsi="Arial" w:cs="Arial"/>
          <w:noProof/>
          <w:szCs w:val="24"/>
          <w:lang w:val="en-GB"/>
        </w:rPr>
        <w:t xml:space="preserve"> </w:t>
      </w:r>
    </w:p>
    <w:p w14:paraId="39304ACC"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Hosseini, M.S., Jahanshahlou, F., Akbarzadeh, M.A., Zarei, M. and Vaez-Gharamaleki, Y., 2024. Formulating research questions for evidence-based studies. </w:t>
      </w:r>
      <w:r w:rsidRPr="0068754D">
        <w:rPr>
          <w:rFonts w:ascii="Arial" w:hAnsi="Arial" w:cs="Arial"/>
          <w:i/>
          <w:iCs/>
          <w:noProof/>
          <w:szCs w:val="24"/>
          <w:lang w:val="en-GB"/>
        </w:rPr>
        <w:t>Journal of medicine, surgery, and public health</w:t>
      </w:r>
      <w:r w:rsidRPr="0068754D">
        <w:rPr>
          <w:rFonts w:ascii="Arial" w:hAnsi="Arial" w:cs="Arial"/>
          <w:noProof/>
          <w:szCs w:val="24"/>
          <w:lang w:val="en-GB"/>
        </w:rPr>
        <w:t>, </w:t>
      </w:r>
      <w:r w:rsidRPr="0068754D">
        <w:rPr>
          <w:rFonts w:ascii="Arial" w:hAnsi="Arial" w:cs="Arial"/>
          <w:i/>
          <w:iCs/>
          <w:noProof/>
          <w:szCs w:val="24"/>
          <w:lang w:val="en-GB"/>
        </w:rPr>
        <w:t>2</w:t>
      </w:r>
      <w:r w:rsidRPr="0068754D">
        <w:rPr>
          <w:rFonts w:ascii="Arial" w:hAnsi="Arial" w:cs="Arial"/>
          <w:noProof/>
          <w:szCs w:val="24"/>
          <w:lang w:val="en-GB"/>
        </w:rPr>
        <w:t xml:space="preserve">, p.100046. </w:t>
      </w:r>
      <w:hyperlink r:id="rId17" w:history="1">
        <w:r w:rsidRPr="0068754D">
          <w:rPr>
            <w:rStyle w:val="Hyperlink"/>
            <w:rFonts w:ascii="Arial" w:hAnsi="Arial" w:cs="Arial"/>
            <w:noProof/>
            <w:szCs w:val="24"/>
            <w:lang w:val="en-GB"/>
          </w:rPr>
          <w:t>https://doi.org/10.1016/j.glmedi.2023.100046</w:t>
        </w:r>
      </w:hyperlink>
      <w:r w:rsidRPr="0068754D">
        <w:rPr>
          <w:rFonts w:ascii="Arial" w:hAnsi="Arial" w:cs="Arial"/>
          <w:noProof/>
          <w:szCs w:val="24"/>
          <w:lang w:val="en-GB"/>
        </w:rPr>
        <w:t xml:space="preserve"> </w:t>
      </w:r>
    </w:p>
    <w:p w14:paraId="0CB250F3"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lastRenderedPageBreak/>
        <w:t xml:space="preserve">House of Commons Library (2024). </w:t>
      </w:r>
      <w:r w:rsidRPr="0068754D">
        <w:rPr>
          <w:rFonts w:ascii="Arial" w:hAnsi="Arial" w:cs="Arial"/>
          <w:i/>
          <w:iCs/>
          <w:noProof/>
          <w:szCs w:val="24"/>
          <w:lang w:val="en-GB"/>
        </w:rPr>
        <w:t>The UK’s changing population</w:t>
      </w:r>
      <w:r w:rsidRPr="0068754D">
        <w:rPr>
          <w:rFonts w:ascii="Arial" w:hAnsi="Arial" w:cs="Arial"/>
          <w:noProof/>
          <w:szCs w:val="24"/>
          <w:lang w:val="en-GB"/>
        </w:rPr>
        <w:t xml:space="preserve">. [Online] Available at: </w:t>
      </w:r>
      <w:hyperlink r:id="rId18" w:history="1">
        <w:r w:rsidRPr="0068754D">
          <w:rPr>
            <w:rStyle w:val="Hyperlink"/>
            <w:rFonts w:ascii="Arial" w:hAnsi="Arial" w:cs="Arial"/>
            <w:noProof/>
            <w:szCs w:val="24"/>
            <w:lang w:val="en-GB"/>
          </w:rPr>
          <w:t>https://commonslibrary.parliament.uk/the-uks-changing-population/</w:t>
        </w:r>
      </w:hyperlink>
      <w:r w:rsidRPr="0068754D">
        <w:rPr>
          <w:rFonts w:ascii="Arial" w:hAnsi="Arial" w:cs="Arial"/>
          <w:noProof/>
          <w:szCs w:val="24"/>
          <w:lang w:val="en-GB"/>
        </w:rPr>
        <w:t xml:space="preserve"> (Accessed: 10 August 2026).</w:t>
      </w:r>
    </w:p>
    <w:p w14:paraId="2FD82FC7"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Jones, R.P., 2020. Unexplained periods of higher deaths contribute to marginal changes in health care demand and health insurance costs: International perspectives. </w:t>
      </w:r>
      <w:r w:rsidRPr="0068754D">
        <w:rPr>
          <w:rFonts w:ascii="Arial" w:hAnsi="Arial" w:cs="Arial"/>
          <w:i/>
          <w:iCs/>
          <w:noProof/>
          <w:szCs w:val="24"/>
          <w:lang w:val="en-GB"/>
        </w:rPr>
        <w:t>The International Journal of Health Planning and Management</w:t>
      </w:r>
      <w:r w:rsidRPr="0068754D">
        <w:rPr>
          <w:rFonts w:ascii="Arial" w:hAnsi="Arial" w:cs="Arial"/>
          <w:noProof/>
          <w:szCs w:val="24"/>
          <w:lang w:val="en-GB"/>
        </w:rPr>
        <w:t>, </w:t>
      </w:r>
      <w:r w:rsidRPr="0068754D">
        <w:rPr>
          <w:rFonts w:ascii="Arial" w:hAnsi="Arial" w:cs="Arial"/>
          <w:i/>
          <w:iCs/>
          <w:noProof/>
          <w:szCs w:val="24"/>
          <w:lang w:val="en-GB"/>
        </w:rPr>
        <w:t>35</w:t>
      </w:r>
      <w:r w:rsidRPr="0068754D">
        <w:rPr>
          <w:rFonts w:ascii="Arial" w:hAnsi="Arial" w:cs="Arial"/>
          <w:noProof/>
          <w:szCs w:val="24"/>
          <w:lang w:val="en-GB"/>
        </w:rPr>
        <w:t xml:space="preserve">(3), pp.673-684. </w:t>
      </w:r>
      <w:hyperlink r:id="rId19" w:history="1">
        <w:r w:rsidRPr="0068754D">
          <w:rPr>
            <w:rStyle w:val="Hyperlink"/>
            <w:rFonts w:ascii="Arial" w:hAnsi="Arial" w:cs="Arial"/>
            <w:noProof/>
            <w:szCs w:val="24"/>
            <w:lang w:val="en-GB"/>
          </w:rPr>
          <w:t>https://doi.org/10.1002/hpm.2917</w:t>
        </w:r>
      </w:hyperlink>
      <w:r w:rsidRPr="0068754D">
        <w:rPr>
          <w:rFonts w:ascii="Arial" w:hAnsi="Arial" w:cs="Arial"/>
          <w:noProof/>
          <w:szCs w:val="24"/>
          <w:lang w:val="en-GB"/>
        </w:rPr>
        <w:t xml:space="preserve"> </w:t>
      </w:r>
    </w:p>
    <w:p w14:paraId="13ADB34C"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Khan, H.T., Addo, K.M. and Findlay, H., 2024. Public health challenges and responses to the growing ageing populations. </w:t>
      </w:r>
      <w:r w:rsidRPr="0068754D">
        <w:rPr>
          <w:rFonts w:ascii="Arial" w:hAnsi="Arial" w:cs="Arial"/>
          <w:i/>
          <w:iCs/>
          <w:noProof/>
          <w:szCs w:val="24"/>
          <w:lang w:val="en-GB"/>
        </w:rPr>
        <w:t>Public health challenges</w:t>
      </w:r>
      <w:r w:rsidRPr="0068754D">
        <w:rPr>
          <w:rFonts w:ascii="Arial" w:hAnsi="Arial" w:cs="Arial"/>
          <w:noProof/>
          <w:szCs w:val="24"/>
          <w:lang w:val="en-GB"/>
        </w:rPr>
        <w:t>, </w:t>
      </w:r>
      <w:r w:rsidRPr="0068754D">
        <w:rPr>
          <w:rFonts w:ascii="Arial" w:hAnsi="Arial" w:cs="Arial"/>
          <w:i/>
          <w:iCs/>
          <w:noProof/>
          <w:szCs w:val="24"/>
          <w:lang w:val="en-GB"/>
        </w:rPr>
        <w:t>3</w:t>
      </w:r>
      <w:r w:rsidRPr="0068754D">
        <w:rPr>
          <w:rFonts w:ascii="Arial" w:hAnsi="Arial" w:cs="Arial"/>
          <w:noProof/>
          <w:szCs w:val="24"/>
          <w:lang w:val="en-GB"/>
        </w:rPr>
        <w:t xml:space="preserve">(3), p.e213. </w:t>
      </w:r>
      <w:hyperlink r:id="rId20" w:history="1">
        <w:r w:rsidRPr="0068754D">
          <w:rPr>
            <w:rStyle w:val="Hyperlink"/>
            <w:rFonts w:ascii="Arial" w:hAnsi="Arial" w:cs="Arial"/>
            <w:noProof/>
            <w:szCs w:val="24"/>
            <w:lang w:val="en-GB"/>
          </w:rPr>
          <w:t>https://doi.org/10.1002/puh2.213</w:t>
        </w:r>
      </w:hyperlink>
      <w:r w:rsidRPr="0068754D">
        <w:rPr>
          <w:rFonts w:ascii="Arial" w:hAnsi="Arial" w:cs="Arial"/>
          <w:noProof/>
          <w:szCs w:val="24"/>
          <w:lang w:val="en-GB"/>
        </w:rPr>
        <w:t xml:space="preserve"> </w:t>
      </w:r>
    </w:p>
    <w:p w14:paraId="09C42176"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Lenzen, S. and Birch, S., 2023. From population numbers to population needs: Incorporating epidemiological change into health service planning in Australia. </w:t>
      </w:r>
      <w:r w:rsidRPr="0068754D">
        <w:rPr>
          <w:rFonts w:ascii="Arial" w:hAnsi="Arial" w:cs="Arial"/>
          <w:i/>
          <w:iCs/>
          <w:noProof/>
          <w:szCs w:val="24"/>
          <w:lang w:val="en-GB"/>
        </w:rPr>
        <w:t>Social Science &amp; Medicine</w:t>
      </w:r>
      <w:r w:rsidRPr="0068754D">
        <w:rPr>
          <w:rFonts w:ascii="Arial" w:hAnsi="Arial" w:cs="Arial"/>
          <w:noProof/>
          <w:szCs w:val="24"/>
          <w:lang w:val="en-GB"/>
        </w:rPr>
        <w:t>, </w:t>
      </w:r>
      <w:r w:rsidRPr="0068754D">
        <w:rPr>
          <w:rFonts w:ascii="Arial" w:hAnsi="Arial" w:cs="Arial"/>
          <w:i/>
          <w:iCs/>
          <w:noProof/>
          <w:szCs w:val="24"/>
          <w:lang w:val="en-GB"/>
        </w:rPr>
        <w:t>328</w:t>
      </w:r>
      <w:r w:rsidRPr="0068754D">
        <w:rPr>
          <w:rFonts w:ascii="Arial" w:hAnsi="Arial" w:cs="Arial"/>
          <w:noProof/>
          <w:szCs w:val="24"/>
          <w:lang w:val="en-GB"/>
        </w:rPr>
        <w:t xml:space="preserve">, p.115972. </w:t>
      </w:r>
      <w:hyperlink r:id="rId21" w:history="1">
        <w:r w:rsidRPr="0068754D">
          <w:rPr>
            <w:rStyle w:val="Hyperlink"/>
            <w:rFonts w:ascii="Arial" w:hAnsi="Arial" w:cs="Arial"/>
            <w:noProof/>
            <w:szCs w:val="24"/>
            <w:lang w:val="en-GB"/>
          </w:rPr>
          <w:t>https://doi.org/10.1016/j.socscimed.2023.115972</w:t>
        </w:r>
      </w:hyperlink>
      <w:r w:rsidRPr="0068754D">
        <w:rPr>
          <w:rFonts w:ascii="Arial" w:hAnsi="Arial" w:cs="Arial"/>
          <w:noProof/>
          <w:szCs w:val="24"/>
          <w:lang w:val="en-GB"/>
        </w:rPr>
        <w:t xml:space="preserve"> </w:t>
      </w:r>
    </w:p>
    <w:p w14:paraId="44445DD8"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Liu, D., Pace, M.L., Goddard, M., Jacobs, R., Wittenberg, R. and Mason, A., 2021. Investigating the relationship between social care supply and healthcare utilization by older people in England. </w:t>
      </w:r>
      <w:r w:rsidRPr="0068754D">
        <w:rPr>
          <w:rFonts w:ascii="Arial" w:hAnsi="Arial" w:cs="Arial"/>
          <w:i/>
          <w:iCs/>
          <w:noProof/>
          <w:szCs w:val="24"/>
          <w:lang w:val="en-GB"/>
        </w:rPr>
        <w:t>Health economics</w:t>
      </w:r>
      <w:r w:rsidRPr="0068754D">
        <w:rPr>
          <w:rFonts w:ascii="Arial" w:hAnsi="Arial" w:cs="Arial"/>
          <w:noProof/>
          <w:szCs w:val="24"/>
          <w:lang w:val="en-GB"/>
        </w:rPr>
        <w:t>, </w:t>
      </w:r>
      <w:r w:rsidRPr="0068754D">
        <w:rPr>
          <w:rFonts w:ascii="Arial" w:hAnsi="Arial" w:cs="Arial"/>
          <w:i/>
          <w:iCs/>
          <w:noProof/>
          <w:szCs w:val="24"/>
          <w:lang w:val="en-GB"/>
        </w:rPr>
        <w:t>30</w:t>
      </w:r>
      <w:r w:rsidRPr="0068754D">
        <w:rPr>
          <w:rFonts w:ascii="Arial" w:hAnsi="Arial" w:cs="Arial"/>
          <w:noProof/>
          <w:szCs w:val="24"/>
          <w:lang w:val="en-GB"/>
        </w:rPr>
        <w:t xml:space="preserve">(1), pp.36-54. </w:t>
      </w:r>
      <w:hyperlink r:id="rId22" w:history="1">
        <w:r w:rsidRPr="0068754D">
          <w:rPr>
            <w:rStyle w:val="Hyperlink"/>
            <w:rFonts w:ascii="Arial" w:hAnsi="Arial" w:cs="Arial"/>
            <w:noProof/>
            <w:szCs w:val="24"/>
            <w:lang w:val="en-GB"/>
          </w:rPr>
          <w:t>https://doi.org/10.1002/hec.4175</w:t>
        </w:r>
      </w:hyperlink>
      <w:r w:rsidRPr="0068754D">
        <w:rPr>
          <w:rFonts w:ascii="Arial" w:hAnsi="Arial" w:cs="Arial"/>
          <w:noProof/>
          <w:szCs w:val="24"/>
          <w:lang w:val="en-GB"/>
        </w:rPr>
        <w:t xml:space="preserve"> </w:t>
      </w:r>
    </w:p>
    <w:p w14:paraId="0DD1073B"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Marinho, J.D.S., Batista, I.B., Nobre, R.A.D.S., Guimarães, M.S.A., Santos-Orlandi, A.A.D., Brito, T.R.P., Pagotto, V., Saidel, M.G.B., Fusco, S.D.F.B., Maia, F.D.O.M. and Corona, L.P., 2022. Burden, satisfaction caregiving, and family relations in informal caregivers of older adults. </w:t>
      </w:r>
      <w:r w:rsidRPr="0068754D">
        <w:rPr>
          <w:rFonts w:ascii="Arial" w:hAnsi="Arial" w:cs="Arial"/>
          <w:i/>
          <w:iCs/>
          <w:noProof/>
          <w:szCs w:val="24"/>
          <w:lang w:val="en-GB"/>
        </w:rPr>
        <w:t>Frontiers in Medicine</w:t>
      </w:r>
      <w:r w:rsidRPr="0068754D">
        <w:rPr>
          <w:rFonts w:ascii="Arial" w:hAnsi="Arial" w:cs="Arial"/>
          <w:noProof/>
          <w:szCs w:val="24"/>
          <w:lang w:val="en-GB"/>
        </w:rPr>
        <w:t>, </w:t>
      </w:r>
      <w:r w:rsidRPr="0068754D">
        <w:rPr>
          <w:rFonts w:ascii="Arial" w:hAnsi="Arial" w:cs="Arial"/>
          <w:i/>
          <w:iCs/>
          <w:noProof/>
          <w:szCs w:val="24"/>
          <w:lang w:val="en-GB"/>
        </w:rPr>
        <w:t>9</w:t>
      </w:r>
      <w:r w:rsidRPr="0068754D">
        <w:rPr>
          <w:rFonts w:ascii="Arial" w:hAnsi="Arial" w:cs="Arial"/>
          <w:noProof/>
          <w:szCs w:val="24"/>
          <w:lang w:val="en-GB"/>
        </w:rPr>
        <w:t xml:space="preserve">, p.1059467. </w:t>
      </w:r>
      <w:hyperlink r:id="rId23" w:history="1">
        <w:r w:rsidRPr="0068754D">
          <w:rPr>
            <w:rStyle w:val="Hyperlink"/>
            <w:rFonts w:ascii="Arial" w:hAnsi="Arial" w:cs="Arial"/>
            <w:noProof/>
            <w:szCs w:val="24"/>
            <w:lang w:val="en-GB"/>
          </w:rPr>
          <w:t>https://doi.org/10.3389/fmed.2022.1059467</w:t>
        </w:r>
      </w:hyperlink>
      <w:r w:rsidRPr="0068754D">
        <w:rPr>
          <w:rFonts w:ascii="Arial" w:hAnsi="Arial" w:cs="Arial"/>
          <w:noProof/>
          <w:szCs w:val="24"/>
          <w:lang w:val="en-GB"/>
        </w:rPr>
        <w:t xml:space="preserve"> </w:t>
      </w:r>
    </w:p>
    <w:p w14:paraId="270F1B28"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Martinez-Lacoba, R., Pardo-Garcia, I. and Escribano-Sotos, F., 2021. Aging, dependence, and long-term care: a systematic review of employment creation. </w:t>
      </w:r>
      <w:r w:rsidRPr="0068754D">
        <w:rPr>
          <w:rFonts w:ascii="Arial" w:hAnsi="Arial" w:cs="Arial"/>
          <w:i/>
          <w:iCs/>
          <w:noProof/>
          <w:szCs w:val="24"/>
          <w:lang w:val="en-GB"/>
        </w:rPr>
        <w:t>INQUIRY: The Journal of Health Care Organization, Provision, and Financing</w:t>
      </w:r>
      <w:r w:rsidRPr="0068754D">
        <w:rPr>
          <w:rFonts w:ascii="Arial" w:hAnsi="Arial" w:cs="Arial"/>
          <w:noProof/>
          <w:szCs w:val="24"/>
          <w:lang w:val="en-GB"/>
        </w:rPr>
        <w:t>, </w:t>
      </w:r>
      <w:r w:rsidRPr="0068754D">
        <w:rPr>
          <w:rFonts w:ascii="Arial" w:hAnsi="Arial" w:cs="Arial"/>
          <w:i/>
          <w:iCs/>
          <w:noProof/>
          <w:szCs w:val="24"/>
          <w:lang w:val="en-GB"/>
        </w:rPr>
        <w:t>58</w:t>
      </w:r>
      <w:r w:rsidRPr="0068754D">
        <w:rPr>
          <w:rFonts w:ascii="Arial" w:hAnsi="Arial" w:cs="Arial"/>
          <w:noProof/>
          <w:szCs w:val="24"/>
          <w:lang w:val="en-GB"/>
        </w:rPr>
        <w:t xml:space="preserve">, p.00469580211062426. </w:t>
      </w:r>
      <w:hyperlink r:id="rId24" w:history="1">
        <w:r w:rsidRPr="0068754D">
          <w:rPr>
            <w:rStyle w:val="Hyperlink"/>
            <w:rFonts w:ascii="Arial" w:hAnsi="Arial" w:cs="Arial"/>
            <w:noProof/>
            <w:szCs w:val="24"/>
            <w:lang w:val="en-GB"/>
          </w:rPr>
          <w:t>https://doi.org/10.1177/00469580211062426</w:t>
        </w:r>
      </w:hyperlink>
      <w:r w:rsidRPr="0068754D">
        <w:rPr>
          <w:rFonts w:ascii="Arial" w:hAnsi="Arial" w:cs="Arial"/>
          <w:noProof/>
          <w:szCs w:val="24"/>
          <w:lang w:val="en-GB"/>
        </w:rPr>
        <w:t xml:space="preserve"> </w:t>
      </w:r>
    </w:p>
    <w:p w14:paraId="09919444"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McKee, M., Dunnell, K., Anderson, M., Brayne, C., Charlesworth, A., Johnston-Webber, C., Knapp, M., McGuire, A., Newton, J.N., Taylor, D. and Watt, R.G., 2021. The changing health needs of the UK population. </w:t>
      </w:r>
      <w:r w:rsidRPr="0068754D">
        <w:rPr>
          <w:rFonts w:ascii="Arial" w:hAnsi="Arial" w:cs="Arial"/>
          <w:i/>
          <w:iCs/>
          <w:noProof/>
          <w:szCs w:val="24"/>
          <w:lang w:val="en-GB"/>
        </w:rPr>
        <w:t>The Lancet</w:t>
      </w:r>
      <w:r w:rsidRPr="0068754D">
        <w:rPr>
          <w:rFonts w:ascii="Arial" w:hAnsi="Arial" w:cs="Arial"/>
          <w:noProof/>
          <w:szCs w:val="24"/>
          <w:lang w:val="en-GB"/>
        </w:rPr>
        <w:t>, </w:t>
      </w:r>
      <w:r w:rsidRPr="0068754D">
        <w:rPr>
          <w:rFonts w:ascii="Arial" w:hAnsi="Arial" w:cs="Arial"/>
          <w:i/>
          <w:iCs/>
          <w:noProof/>
          <w:szCs w:val="24"/>
          <w:lang w:val="en-GB"/>
        </w:rPr>
        <w:t>397</w:t>
      </w:r>
      <w:r w:rsidRPr="0068754D">
        <w:rPr>
          <w:rFonts w:ascii="Arial" w:hAnsi="Arial" w:cs="Arial"/>
          <w:noProof/>
          <w:szCs w:val="24"/>
          <w:lang w:val="en-GB"/>
        </w:rPr>
        <w:t xml:space="preserve">(10288), pp.1979-1991. </w:t>
      </w:r>
      <w:hyperlink r:id="rId25" w:history="1">
        <w:r w:rsidRPr="0068754D">
          <w:rPr>
            <w:rStyle w:val="Hyperlink"/>
            <w:rFonts w:ascii="Arial" w:hAnsi="Arial" w:cs="Arial"/>
            <w:noProof/>
            <w:szCs w:val="24"/>
            <w:lang w:val="en-GB"/>
          </w:rPr>
          <w:t>https://doi.org/10.1016/s0140-6736(21)00229-4</w:t>
        </w:r>
      </w:hyperlink>
      <w:r w:rsidRPr="0068754D">
        <w:rPr>
          <w:rFonts w:ascii="Arial" w:hAnsi="Arial" w:cs="Arial"/>
          <w:noProof/>
          <w:szCs w:val="24"/>
          <w:lang w:val="en-GB"/>
        </w:rPr>
        <w:t xml:space="preserve"> </w:t>
      </w:r>
    </w:p>
    <w:p w14:paraId="30F1BA2A"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Munn, Z., Stone, J.C., Aromataris, E., Klugar, M., Sears, K., Leonardi-Bee, J. and Barker, T.H., 2023. Assessing the risk of bias of quantitative analytical studies: introducing the vision for critical appraisal within JBI systematic reviews. </w:t>
      </w:r>
      <w:r w:rsidRPr="0068754D">
        <w:rPr>
          <w:rFonts w:ascii="Arial" w:hAnsi="Arial" w:cs="Arial"/>
          <w:i/>
          <w:iCs/>
          <w:noProof/>
          <w:szCs w:val="24"/>
          <w:lang w:val="en-GB"/>
        </w:rPr>
        <w:t>JBI Evidence Synthesis</w:t>
      </w:r>
      <w:r w:rsidRPr="0068754D">
        <w:rPr>
          <w:rFonts w:ascii="Arial" w:hAnsi="Arial" w:cs="Arial"/>
          <w:noProof/>
          <w:szCs w:val="24"/>
          <w:lang w:val="en-GB"/>
        </w:rPr>
        <w:t>, </w:t>
      </w:r>
      <w:r w:rsidRPr="0068754D">
        <w:rPr>
          <w:rFonts w:ascii="Arial" w:hAnsi="Arial" w:cs="Arial"/>
          <w:i/>
          <w:iCs/>
          <w:noProof/>
          <w:szCs w:val="24"/>
          <w:lang w:val="en-GB"/>
        </w:rPr>
        <w:t>21</w:t>
      </w:r>
      <w:r w:rsidRPr="0068754D">
        <w:rPr>
          <w:rFonts w:ascii="Arial" w:hAnsi="Arial" w:cs="Arial"/>
          <w:noProof/>
          <w:szCs w:val="24"/>
          <w:lang w:val="en-GB"/>
        </w:rPr>
        <w:t xml:space="preserve">(3), pp.467-471. </w:t>
      </w:r>
      <w:hyperlink r:id="rId26" w:history="1">
        <w:r w:rsidRPr="0068754D">
          <w:rPr>
            <w:rStyle w:val="Hyperlink"/>
            <w:rFonts w:ascii="Arial" w:hAnsi="Arial" w:cs="Arial"/>
            <w:noProof/>
            <w:szCs w:val="24"/>
            <w:lang w:val="en-GB"/>
          </w:rPr>
          <w:t>https://doi.org/10.11124/JBIES-22-00224</w:t>
        </w:r>
      </w:hyperlink>
      <w:r w:rsidRPr="0068754D">
        <w:rPr>
          <w:rFonts w:ascii="Arial" w:hAnsi="Arial" w:cs="Arial"/>
          <w:noProof/>
          <w:szCs w:val="24"/>
          <w:lang w:val="en-GB"/>
        </w:rPr>
        <w:t xml:space="preserve"> </w:t>
      </w:r>
    </w:p>
    <w:p w14:paraId="447F9F58"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Nagarajan, N.R. and Sixsmith, A., 2023. Policy initiatives to address the challenges of an older population in the workforce. </w:t>
      </w:r>
      <w:r w:rsidRPr="0068754D">
        <w:rPr>
          <w:rFonts w:ascii="Arial" w:hAnsi="Arial" w:cs="Arial"/>
          <w:i/>
          <w:iCs/>
          <w:noProof/>
          <w:szCs w:val="24"/>
          <w:lang w:val="en-GB"/>
        </w:rPr>
        <w:t>Ageing International</w:t>
      </w:r>
      <w:r w:rsidRPr="0068754D">
        <w:rPr>
          <w:rFonts w:ascii="Arial" w:hAnsi="Arial" w:cs="Arial"/>
          <w:noProof/>
          <w:szCs w:val="24"/>
          <w:lang w:val="en-GB"/>
        </w:rPr>
        <w:t>, </w:t>
      </w:r>
      <w:r w:rsidRPr="0068754D">
        <w:rPr>
          <w:rFonts w:ascii="Arial" w:hAnsi="Arial" w:cs="Arial"/>
          <w:i/>
          <w:iCs/>
          <w:noProof/>
          <w:szCs w:val="24"/>
          <w:lang w:val="en-GB"/>
        </w:rPr>
        <w:t>48</w:t>
      </w:r>
      <w:r w:rsidRPr="0068754D">
        <w:rPr>
          <w:rFonts w:ascii="Arial" w:hAnsi="Arial" w:cs="Arial"/>
          <w:noProof/>
          <w:szCs w:val="24"/>
          <w:lang w:val="en-GB"/>
        </w:rPr>
        <w:t xml:space="preserve">(1), pp.41-77. </w:t>
      </w:r>
      <w:hyperlink r:id="rId27" w:history="1">
        <w:r w:rsidRPr="0068754D">
          <w:rPr>
            <w:rStyle w:val="Hyperlink"/>
            <w:rFonts w:ascii="Arial" w:hAnsi="Arial" w:cs="Arial"/>
            <w:noProof/>
            <w:szCs w:val="24"/>
            <w:lang w:val="en-GB"/>
          </w:rPr>
          <w:t>https://doi.org/10.1007/s12126-021-09442-w</w:t>
        </w:r>
      </w:hyperlink>
      <w:r w:rsidRPr="0068754D">
        <w:rPr>
          <w:rFonts w:ascii="Arial" w:hAnsi="Arial" w:cs="Arial"/>
          <w:noProof/>
          <w:szCs w:val="24"/>
          <w:lang w:val="en-GB"/>
        </w:rPr>
        <w:t xml:space="preserve"> </w:t>
      </w:r>
    </w:p>
    <w:p w14:paraId="6F10D4BF"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 xml:space="preserve">ONS (2026). </w:t>
      </w:r>
      <w:r w:rsidRPr="0068754D">
        <w:rPr>
          <w:rFonts w:ascii="Arial" w:hAnsi="Arial" w:cs="Arial"/>
          <w:i/>
          <w:iCs/>
          <w:noProof/>
          <w:szCs w:val="24"/>
          <w:lang w:val="en-GB"/>
        </w:rPr>
        <w:t>National population projections: 2024-based</w:t>
      </w:r>
      <w:r w:rsidRPr="0068754D">
        <w:rPr>
          <w:rFonts w:ascii="Arial" w:hAnsi="Arial" w:cs="Arial"/>
          <w:noProof/>
          <w:szCs w:val="24"/>
          <w:lang w:val="en-GB"/>
        </w:rPr>
        <w:t xml:space="preserve">. [Online] Available at: </w:t>
      </w:r>
      <w:hyperlink r:id="rId28" w:history="1">
        <w:r w:rsidRPr="0068754D">
          <w:rPr>
            <w:rStyle w:val="Hyperlink"/>
            <w:rFonts w:ascii="Arial" w:hAnsi="Arial" w:cs="Arial"/>
            <w:noProof/>
            <w:szCs w:val="24"/>
            <w:lang w:val="en-GB"/>
          </w:rPr>
          <w:t>https://www.ons.gov.uk/peoplepopulationandcommunity/populationandmigration/populationprojections/bulletins/nationalpopulationprojections/2024based</w:t>
        </w:r>
      </w:hyperlink>
      <w:r w:rsidRPr="0068754D">
        <w:rPr>
          <w:rFonts w:ascii="Arial" w:hAnsi="Arial" w:cs="Arial"/>
          <w:noProof/>
          <w:szCs w:val="24"/>
          <w:lang w:val="en-GB"/>
        </w:rPr>
        <w:t xml:space="preserve"> (Accessed: 10 August 2026).</w:t>
      </w:r>
    </w:p>
    <w:p w14:paraId="73BEA529"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Page, M.J., McKenzie, J.E., Bossuyt, P.M., Boutron, I., Hoffmann, T.C., Mulrow, C.D., Shamseer, L., Tetzlaff, J.M., Akl, E.A., Brennan, S.E. and Chou, R., 2021. The PRISMA 2020 statement: an updated guideline for reporting systematic reviews. </w:t>
      </w:r>
      <w:r w:rsidRPr="0068754D">
        <w:rPr>
          <w:rFonts w:ascii="Arial" w:hAnsi="Arial" w:cs="Arial"/>
          <w:i/>
          <w:iCs/>
          <w:noProof/>
          <w:szCs w:val="24"/>
          <w:lang w:val="en-GB"/>
        </w:rPr>
        <w:t>bmj</w:t>
      </w:r>
      <w:r w:rsidRPr="0068754D">
        <w:rPr>
          <w:rFonts w:ascii="Arial" w:hAnsi="Arial" w:cs="Arial"/>
          <w:noProof/>
          <w:szCs w:val="24"/>
          <w:lang w:val="en-GB"/>
        </w:rPr>
        <w:t>, </w:t>
      </w:r>
      <w:r w:rsidRPr="0068754D">
        <w:rPr>
          <w:rFonts w:ascii="Arial" w:hAnsi="Arial" w:cs="Arial"/>
          <w:i/>
          <w:iCs/>
          <w:noProof/>
          <w:szCs w:val="24"/>
          <w:lang w:val="en-GB"/>
        </w:rPr>
        <w:t>372</w:t>
      </w:r>
      <w:r w:rsidRPr="0068754D">
        <w:rPr>
          <w:rFonts w:ascii="Arial" w:hAnsi="Arial" w:cs="Arial"/>
          <w:noProof/>
          <w:szCs w:val="24"/>
          <w:lang w:val="en-GB"/>
        </w:rPr>
        <w:t xml:space="preserve">. </w:t>
      </w:r>
      <w:hyperlink r:id="rId29" w:history="1">
        <w:r w:rsidRPr="0068754D">
          <w:rPr>
            <w:rStyle w:val="Hyperlink"/>
            <w:rFonts w:ascii="Arial" w:hAnsi="Arial" w:cs="Arial"/>
            <w:noProof/>
            <w:szCs w:val="24"/>
            <w:lang w:val="en-GB"/>
          </w:rPr>
          <w:t>https://doi.org/10.1136/bmj.n71</w:t>
        </w:r>
      </w:hyperlink>
      <w:r w:rsidRPr="0068754D">
        <w:rPr>
          <w:rFonts w:ascii="Arial" w:hAnsi="Arial" w:cs="Arial"/>
          <w:noProof/>
          <w:szCs w:val="24"/>
          <w:lang w:val="en-GB"/>
        </w:rPr>
        <w:t xml:space="preserve"> </w:t>
      </w:r>
    </w:p>
    <w:p w14:paraId="73D306CF"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Persson, M.H., Søndergaard, J., Mogensen, C.B., Skjøt-Arkil, H. and Andersen, P.T., 2022. Healthcare professionals’ experiences and attitudes to care coordination across health sectors: an interview study. </w:t>
      </w:r>
      <w:r w:rsidRPr="0068754D">
        <w:rPr>
          <w:rFonts w:ascii="Arial" w:hAnsi="Arial" w:cs="Arial"/>
          <w:i/>
          <w:iCs/>
          <w:noProof/>
          <w:szCs w:val="24"/>
          <w:lang w:val="en-GB"/>
        </w:rPr>
        <w:t>BMC geriatrics</w:t>
      </w:r>
      <w:r w:rsidRPr="0068754D">
        <w:rPr>
          <w:rFonts w:ascii="Arial" w:hAnsi="Arial" w:cs="Arial"/>
          <w:noProof/>
          <w:szCs w:val="24"/>
          <w:lang w:val="en-GB"/>
        </w:rPr>
        <w:t>, </w:t>
      </w:r>
      <w:r w:rsidRPr="0068754D">
        <w:rPr>
          <w:rFonts w:ascii="Arial" w:hAnsi="Arial" w:cs="Arial"/>
          <w:i/>
          <w:iCs/>
          <w:noProof/>
          <w:szCs w:val="24"/>
          <w:lang w:val="en-GB"/>
        </w:rPr>
        <w:t>22</w:t>
      </w:r>
      <w:r w:rsidRPr="0068754D">
        <w:rPr>
          <w:rFonts w:ascii="Arial" w:hAnsi="Arial" w:cs="Arial"/>
          <w:noProof/>
          <w:szCs w:val="24"/>
          <w:lang w:val="en-GB"/>
        </w:rPr>
        <w:t xml:space="preserve">(1), p.509. </w:t>
      </w:r>
      <w:hyperlink r:id="rId30" w:history="1">
        <w:r w:rsidRPr="0068754D">
          <w:rPr>
            <w:rStyle w:val="Hyperlink"/>
            <w:rFonts w:ascii="Arial" w:hAnsi="Arial" w:cs="Arial"/>
            <w:noProof/>
            <w:szCs w:val="24"/>
            <w:lang w:val="en-GB"/>
          </w:rPr>
          <w:t>https://doi.org/10.1186/s12877-022-03200-6</w:t>
        </w:r>
      </w:hyperlink>
      <w:r w:rsidRPr="0068754D">
        <w:rPr>
          <w:rFonts w:ascii="Arial" w:hAnsi="Arial" w:cs="Arial"/>
          <w:noProof/>
          <w:szCs w:val="24"/>
          <w:lang w:val="en-GB"/>
        </w:rPr>
        <w:t xml:space="preserve"> </w:t>
      </w:r>
    </w:p>
    <w:p w14:paraId="01B92937"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Rachet-Jacquet, L., Rocks, S. and Charlesworth, A., 2023. Long-term projections of health care funding, bed capacity and workforce needs in England. </w:t>
      </w:r>
      <w:r w:rsidRPr="0068754D">
        <w:rPr>
          <w:rFonts w:ascii="Arial" w:hAnsi="Arial" w:cs="Arial"/>
          <w:i/>
          <w:iCs/>
          <w:noProof/>
          <w:szCs w:val="24"/>
          <w:lang w:val="en-GB"/>
        </w:rPr>
        <w:t>Health Policy</w:t>
      </w:r>
      <w:r w:rsidRPr="0068754D">
        <w:rPr>
          <w:rFonts w:ascii="Arial" w:hAnsi="Arial" w:cs="Arial"/>
          <w:noProof/>
          <w:szCs w:val="24"/>
          <w:lang w:val="en-GB"/>
        </w:rPr>
        <w:t>, </w:t>
      </w:r>
      <w:r w:rsidRPr="0068754D">
        <w:rPr>
          <w:rFonts w:ascii="Arial" w:hAnsi="Arial" w:cs="Arial"/>
          <w:i/>
          <w:iCs/>
          <w:noProof/>
          <w:szCs w:val="24"/>
          <w:lang w:val="en-GB"/>
        </w:rPr>
        <w:t>132</w:t>
      </w:r>
      <w:r w:rsidRPr="0068754D">
        <w:rPr>
          <w:rFonts w:ascii="Arial" w:hAnsi="Arial" w:cs="Arial"/>
          <w:noProof/>
          <w:szCs w:val="24"/>
          <w:lang w:val="en-GB"/>
        </w:rPr>
        <w:t xml:space="preserve">, p.104815. </w:t>
      </w:r>
      <w:hyperlink r:id="rId31" w:history="1">
        <w:r w:rsidRPr="0068754D">
          <w:rPr>
            <w:rStyle w:val="Hyperlink"/>
            <w:rFonts w:ascii="Arial" w:hAnsi="Arial" w:cs="Arial"/>
            <w:noProof/>
            <w:szCs w:val="24"/>
            <w:lang w:val="en-GB"/>
          </w:rPr>
          <w:t>https://doi.org/10.1016/j.healthpol.2023.104815</w:t>
        </w:r>
      </w:hyperlink>
      <w:r w:rsidRPr="0068754D">
        <w:rPr>
          <w:rFonts w:ascii="Arial" w:hAnsi="Arial" w:cs="Arial"/>
          <w:noProof/>
          <w:szCs w:val="24"/>
          <w:lang w:val="en-GB"/>
        </w:rPr>
        <w:t xml:space="preserve"> </w:t>
      </w:r>
    </w:p>
    <w:p w14:paraId="376ED9C1"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Reeves, C., Islam, A. and Gentry, T., 2023. The state of health and care of older people in England 2023. </w:t>
      </w:r>
      <w:r w:rsidRPr="0068754D">
        <w:rPr>
          <w:rFonts w:ascii="Arial" w:hAnsi="Arial" w:cs="Arial"/>
          <w:i/>
          <w:iCs/>
          <w:noProof/>
          <w:szCs w:val="24"/>
          <w:lang w:val="en-GB"/>
        </w:rPr>
        <w:t>Age UK</w:t>
      </w:r>
      <w:r w:rsidRPr="0068754D">
        <w:rPr>
          <w:rFonts w:ascii="Arial" w:hAnsi="Arial" w:cs="Arial"/>
          <w:noProof/>
          <w:szCs w:val="24"/>
          <w:lang w:val="en-GB"/>
        </w:rPr>
        <w:t xml:space="preserve">. </w:t>
      </w:r>
      <w:hyperlink r:id="rId32" w:history="1">
        <w:r w:rsidRPr="0068754D">
          <w:rPr>
            <w:rStyle w:val="Hyperlink"/>
            <w:rFonts w:ascii="Arial" w:hAnsi="Arial" w:cs="Arial"/>
            <w:noProof/>
            <w:szCs w:val="24"/>
            <w:lang w:val="en-GB"/>
          </w:rPr>
          <w:t>https://www.foundations.uk.com/wp-content/uploads/2023/07/age_uk_briefing_state_of_health_and_care_of_older_people_july2023.pdf</w:t>
        </w:r>
      </w:hyperlink>
      <w:r w:rsidRPr="0068754D">
        <w:rPr>
          <w:rFonts w:ascii="Arial" w:hAnsi="Arial" w:cs="Arial"/>
          <w:noProof/>
          <w:szCs w:val="24"/>
          <w:lang w:val="en-GB"/>
        </w:rPr>
        <w:t xml:space="preserve"> </w:t>
      </w:r>
    </w:p>
    <w:p w14:paraId="32A4927D"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Scott, A.J., 2021. The longevity society. </w:t>
      </w:r>
      <w:r w:rsidRPr="0068754D">
        <w:rPr>
          <w:rFonts w:ascii="Arial" w:hAnsi="Arial" w:cs="Arial"/>
          <w:i/>
          <w:iCs/>
          <w:noProof/>
          <w:szCs w:val="24"/>
          <w:lang w:val="en-GB"/>
        </w:rPr>
        <w:t>The Lancet Healthy Longevity</w:t>
      </w:r>
      <w:r w:rsidRPr="0068754D">
        <w:rPr>
          <w:rFonts w:ascii="Arial" w:hAnsi="Arial" w:cs="Arial"/>
          <w:noProof/>
          <w:szCs w:val="24"/>
          <w:lang w:val="en-GB"/>
        </w:rPr>
        <w:t>, </w:t>
      </w:r>
      <w:r w:rsidRPr="0068754D">
        <w:rPr>
          <w:rFonts w:ascii="Arial" w:hAnsi="Arial" w:cs="Arial"/>
          <w:i/>
          <w:iCs/>
          <w:noProof/>
          <w:szCs w:val="24"/>
          <w:lang w:val="en-GB"/>
        </w:rPr>
        <w:t>2</w:t>
      </w:r>
      <w:r w:rsidRPr="0068754D">
        <w:rPr>
          <w:rFonts w:ascii="Arial" w:hAnsi="Arial" w:cs="Arial"/>
          <w:noProof/>
          <w:szCs w:val="24"/>
          <w:lang w:val="en-GB"/>
        </w:rPr>
        <w:t xml:space="preserve">(12), pp.e820-e827. </w:t>
      </w:r>
      <w:hyperlink r:id="rId33" w:history="1">
        <w:r w:rsidRPr="0068754D">
          <w:rPr>
            <w:rStyle w:val="Hyperlink"/>
            <w:rFonts w:ascii="Arial" w:hAnsi="Arial" w:cs="Arial"/>
            <w:noProof/>
            <w:szCs w:val="24"/>
            <w:lang w:val="en-GB"/>
          </w:rPr>
          <w:t>https://www.thelancet.com/action/showPdf?pii=S2666-7568%2821%2900247-6</w:t>
        </w:r>
      </w:hyperlink>
      <w:r w:rsidRPr="0068754D">
        <w:rPr>
          <w:rFonts w:ascii="Arial" w:hAnsi="Arial" w:cs="Arial"/>
          <w:noProof/>
          <w:szCs w:val="24"/>
          <w:lang w:val="en-GB"/>
        </w:rPr>
        <w:t xml:space="preserve"> </w:t>
      </w:r>
    </w:p>
    <w:p w14:paraId="6E9499ED"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Shaheen, N., Shaheen, A., Ramadan, A., Hefnawy, M.T., Ramadan, A., Ibrahim, I.A., Hassanein, M.E., Ashour, M.E. and Flouty, O., 2023. Appraising systematic reviews: a comprehensive guide to ensuring validity and reliability. </w:t>
      </w:r>
      <w:r w:rsidRPr="0068754D">
        <w:rPr>
          <w:rFonts w:ascii="Arial" w:hAnsi="Arial" w:cs="Arial"/>
          <w:i/>
          <w:iCs/>
          <w:noProof/>
          <w:szCs w:val="24"/>
          <w:lang w:val="en-GB"/>
        </w:rPr>
        <w:t>Frontiers in research metrics and analytics</w:t>
      </w:r>
      <w:r w:rsidRPr="0068754D">
        <w:rPr>
          <w:rFonts w:ascii="Arial" w:hAnsi="Arial" w:cs="Arial"/>
          <w:noProof/>
          <w:szCs w:val="24"/>
          <w:lang w:val="en-GB"/>
        </w:rPr>
        <w:t>, </w:t>
      </w:r>
      <w:r w:rsidRPr="0068754D">
        <w:rPr>
          <w:rFonts w:ascii="Arial" w:hAnsi="Arial" w:cs="Arial"/>
          <w:i/>
          <w:iCs/>
          <w:noProof/>
          <w:szCs w:val="24"/>
          <w:lang w:val="en-GB"/>
        </w:rPr>
        <w:t>8</w:t>
      </w:r>
      <w:r w:rsidRPr="0068754D">
        <w:rPr>
          <w:rFonts w:ascii="Arial" w:hAnsi="Arial" w:cs="Arial"/>
          <w:noProof/>
          <w:szCs w:val="24"/>
          <w:lang w:val="en-GB"/>
        </w:rPr>
        <w:t xml:space="preserve">, p.1268045. </w:t>
      </w:r>
      <w:hyperlink r:id="rId34" w:history="1">
        <w:r w:rsidRPr="0068754D">
          <w:rPr>
            <w:rStyle w:val="Hyperlink"/>
            <w:rFonts w:ascii="Arial" w:hAnsi="Arial" w:cs="Arial"/>
            <w:noProof/>
            <w:szCs w:val="24"/>
            <w:lang w:val="en-GB"/>
          </w:rPr>
          <w:t>https://doi.org/10.3389/frma.2023.1268045</w:t>
        </w:r>
      </w:hyperlink>
      <w:r w:rsidRPr="0068754D">
        <w:rPr>
          <w:rFonts w:ascii="Arial" w:hAnsi="Arial" w:cs="Arial"/>
          <w:noProof/>
          <w:szCs w:val="24"/>
          <w:lang w:val="en-GB"/>
        </w:rPr>
        <w:t xml:space="preserve"> </w:t>
      </w:r>
    </w:p>
    <w:p w14:paraId="55E2151A"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Skou, S.T., Mair, F.S., Fortin, M., Guthrie, B., Nunes, B.P., Miranda, J.J., Boyd, C.M., Pati, S., Mtenga, S. and Smith, S.M., 2022. Multimorbidity. </w:t>
      </w:r>
      <w:r w:rsidRPr="0068754D">
        <w:rPr>
          <w:rFonts w:ascii="Arial" w:hAnsi="Arial" w:cs="Arial"/>
          <w:i/>
          <w:iCs/>
          <w:noProof/>
          <w:szCs w:val="24"/>
          <w:lang w:val="en-GB"/>
        </w:rPr>
        <w:t>Nature reviews Disease primers</w:t>
      </w:r>
      <w:r w:rsidRPr="0068754D">
        <w:rPr>
          <w:rFonts w:ascii="Arial" w:hAnsi="Arial" w:cs="Arial"/>
          <w:noProof/>
          <w:szCs w:val="24"/>
          <w:lang w:val="en-GB"/>
        </w:rPr>
        <w:t>, </w:t>
      </w:r>
      <w:r w:rsidRPr="0068754D">
        <w:rPr>
          <w:rFonts w:ascii="Arial" w:hAnsi="Arial" w:cs="Arial"/>
          <w:i/>
          <w:iCs/>
          <w:noProof/>
          <w:szCs w:val="24"/>
          <w:lang w:val="en-GB"/>
        </w:rPr>
        <w:t>8</w:t>
      </w:r>
      <w:r w:rsidRPr="0068754D">
        <w:rPr>
          <w:rFonts w:ascii="Arial" w:hAnsi="Arial" w:cs="Arial"/>
          <w:noProof/>
          <w:szCs w:val="24"/>
          <w:lang w:val="en-GB"/>
        </w:rPr>
        <w:t xml:space="preserve">(1), p.48. </w:t>
      </w:r>
      <w:hyperlink r:id="rId35" w:history="1">
        <w:r w:rsidRPr="0068754D">
          <w:rPr>
            <w:rStyle w:val="Hyperlink"/>
            <w:rFonts w:ascii="Arial" w:hAnsi="Arial" w:cs="Arial"/>
            <w:noProof/>
            <w:szCs w:val="24"/>
            <w:lang w:val="en-GB"/>
          </w:rPr>
          <w:t>https://doi.org/10.1038/s41572-022-00376-4</w:t>
        </w:r>
      </w:hyperlink>
      <w:r w:rsidRPr="0068754D">
        <w:rPr>
          <w:rFonts w:ascii="Arial" w:hAnsi="Arial" w:cs="Arial"/>
          <w:noProof/>
          <w:szCs w:val="24"/>
          <w:lang w:val="en-GB"/>
        </w:rPr>
        <w:t xml:space="preserve"> </w:t>
      </w:r>
    </w:p>
    <w:p w14:paraId="5D5077F6"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Soley-Bori, M., Ashworth, M., Bisquera, A., Dodhia, H., Lynch, R., Wang, Y. and Fox-Rushby, J., 2020. Impact of multimorbidity on healthcare costs and utilisation: a systematic review of the UK literature. </w:t>
      </w:r>
      <w:r w:rsidRPr="0068754D">
        <w:rPr>
          <w:rFonts w:ascii="Arial" w:hAnsi="Arial" w:cs="Arial"/>
          <w:i/>
          <w:iCs/>
          <w:noProof/>
          <w:szCs w:val="24"/>
          <w:lang w:val="en-GB"/>
        </w:rPr>
        <w:t>British Journal of General Practice</w:t>
      </w:r>
      <w:r w:rsidRPr="0068754D">
        <w:rPr>
          <w:rFonts w:ascii="Arial" w:hAnsi="Arial" w:cs="Arial"/>
          <w:noProof/>
          <w:szCs w:val="24"/>
          <w:lang w:val="en-GB"/>
        </w:rPr>
        <w:t xml:space="preserve">. </w:t>
      </w:r>
      <w:hyperlink r:id="rId36" w:history="1">
        <w:r w:rsidRPr="0068754D">
          <w:rPr>
            <w:rStyle w:val="Hyperlink"/>
            <w:rFonts w:ascii="Arial" w:hAnsi="Arial" w:cs="Arial"/>
            <w:noProof/>
            <w:szCs w:val="24"/>
            <w:lang w:val="en-GB"/>
          </w:rPr>
          <w:t>https://doi.org/10.3399/bjgp20X713897</w:t>
        </w:r>
      </w:hyperlink>
      <w:r w:rsidRPr="0068754D">
        <w:rPr>
          <w:rFonts w:ascii="Arial" w:hAnsi="Arial" w:cs="Arial"/>
          <w:noProof/>
          <w:szCs w:val="24"/>
          <w:lang w:val="en-GB"/>
        </w:rPr>
        <w:t xml:space="preserve"> </w:t>
      </w:r>
    </w:p>
    <w:p w14:paraId="7316F952"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Stuck, A.E. and Masud, T., 2022. Health care for older adults in Europe: how has it evolved and what are the challenges?. </w:t>
      </w:r>
      <w:r w:rsidRPr="0068754D">
        <w:rPr>
          <w:rFonts w:ascii="Arial" w:hAnsi="Arial" w:cs="Arial"/>
          <w:i/>
          <w:iCs/>
          <w:noProof/>
          <w:szCs w:val="24"/>
          <w:lang w:val="en-GB"/>
        </w:rPr>
        <w:t>Age and ageing</w:t>
      </w:r>
      <w:r w:rsidRPr="0068754D">
        <w:rPr>
          <w:rFonts w:ascii="Arial" w:hAnsi="Arial" w:cs="Arial"/>
          <w:noProof/>
          <w:szCs w:val="24"/>
          <w:lang w:val="en-GB"/>
        </w:rPr>
        <w:t>, </w:t>
      </w:r>
      <w:r w:rsidRPr="0068754D">
        <w:rPr>
          <w:rFonts w:ascii="Arial" w:hAnsi="Arial" w:cs="Arial"/>
          <w:i/>
          <w:iCs/>
          <w:noProof/>
          <w:szCs w:val="24"/>
          <w:lang w:val="en-GB"/>
        </w:rPr>
        <w:t>51</w:t>
      </w:r>
      <w:r w:rsidRPr="0068754D">
        <w:rPr>
          <w:rFonts w:ascii="Arial" w:hAnsi="Arial" w:cs="Arial"/>
          <w:noProof/>
          <w:szCs w:val="24"/>
          <w:lang w:val="en-GB"/>
        </w:rPr>
        <w:t xml:space="preserve">(12), p.afac287. </w:t>
      </w:r>
      <w:hyperlink r:id="rId37" w:history="1">
        <w:r w:rsidRPr="0068754D">
          <w:rPr>
            <w:rStyle w:val="Hyperlink"/>
            <w:rFonts w:ascii="Arial" w:hAnsi="Arial" w:cs="Arial"/>
            <w:noProof/>
            <w:szCs w:val="24"/>
            <w:lang w:val="en-GB"/>
          </w:rPr>
          <w:t>https://doi.org/10.1093/ageing/afac287</w:t>
        </w:r>
      </w:hyperlink>
      <w:r w:rsidRPr="0068754D">
        <w:rPr>
          <w:rFonts w:ascii="Arial" w:hAnsi="Arial" w:cs="Arial"/>
          <w:noProof/>
          <w:szCs w:val="24"/>
          <w:lang w:val="en-GB"/>
        </w:rPr>
        <w:t xml:space="preserve"> </w:t>
      </w:r>
    </w:p>
    <w:p w14:paraId="5367C0A4"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Taylor, K.S., Mahtani, K.R. and Aronson, J.K., 2021. Summarising good practice guidelines for data extraction for systematic reviews and meta-analysis. </w:t>
      </w:r>
      <w:r w:rsidRPr="0068754D">
        <w:rPr>
          <w:rFonts w:ascii="Arial" w:hAnsi="Arial" w:cs="Arial"/>
          <w:i/>
          <w:iCs/>
          <w:noProof/>
          <w:szCs w:val="24"/>
          <w:lang w:val="en-GB"/>
        </w:rPr>
        <w:t>BMJ Evidence-Based Medicine</w:t>
      </w:r>
      <w:r w:rsidRPr="0068754D">
        <w:rPr>
          <w:rFonts w:ascii="Arial" w:hAnsi="Arial" w:cs="Arial"/>
          <w:noProof/>
          <w:szCs w:val="24"/>
          <w:lang w:val="en-GB"/>
        </w:rPr>
        <w:t>, </w:t>
      </w:r>
      <w:r w:rsidRPr="0068754D">
        <w:rPr>
          <w:rFonts w:ascii="Arial" w:hAnsi="Arial" w:cs="Arial"/>
          <w:i/>
          <w:iCs/>
          <w:noProof/>
          <w:szCs w:val="24"/>
          <w:lang w:val="en-GB"/>
        </w:rPr>
        <w:t>26</w:t>
      </w:r>
      <w:r w:rsidRPr="0068754D">
        <w:rPr>
          <w:rFonts w:ascii="Arial" w:hAnsi="Arial" w:cs="Arial"/>
          <w:noProof/>
          <w:szCs w:val="24"/>
          <w:lang w:val="en-GB"/>
        </w:rPr>
        <w:t xml:space="preserve">(3), pp.88-90. </w:t>
      </w:r>
      <w:hyperlink r:id="rId38" w:history="1">
        <w:r w:rsidRPr="0068754D">
          <w:rPr>
            <w:rStyle w:val="Hyperlink"/>
            <w:rFonts w:ascii="Arial" w:hAnsi="Arial" w:cs="Arial"/>
            <w:noProof/>
            <w:szCs w:val="24"/>
            <w:lang w:val="en-GB"/>
          </w:rPr>
          <w:t>https://doi.org/10.1136/bmjebm-2020-111651</w:t>
        </w:r>
      </w:hyperlink>
      <w:r w:rsidRPr="0068754D">
        <w:rPr>
          <w:rFonts w:ascii="Arial" w:hAnsi="Arial" w:cs="Arial"/>
          <w:noProof/>
          <w:szCs w:val="24"/>
          <w:lang w:val="en-GB"/>
        </w:rPr>
        <w:t xml:space="preserve"> </w:t>
      </w:r>
    </w:p>
    <w:p w14:paraId="4E56252D" w14:textId="77777777" w:rsidR="0068754D" w:rsidRPr="0068754D" w:rsidRDefault="0068754D" w:rsidP="0068754D">
      <w:pPr>
        <w:pStyle w:val="BodyText"/>
        <w:spacing w:before="240" w:after="240" w:line="360" w:lineRule="auto"/>
        <w:jc w:val="both"/>
        <w:rPr>
          <w:rFonts w:ascii="Arial" w:hAnsi="Arial" w:cs="Arial"/>
          <w:noProof/>
          <w:szCs w:val="24"/>
          <w:lang w:val="en-GB"/>
        </w:rPr>
      </w:pPr>
      <w:r w:rsidRPr="0068754D">
        <w:rPr>
          <w:rFonts w:ascii="Arial" w:hAnsi="Arial" w:cs="Arial"/>
          <w:noProof/>
          <w:szCs w:val="24"/>
          <w:lang w:val="en-GB"/>
        </w:rPr>
        <w:t>Walsh, B., Fogg, C., England, T., Brailsford, S., Roderick, P., Harris, S., Fraser, S., Clegg, A., de Lusignan, S., Lusignan, S. and Zhu, S., 2024. Impact of frailty in older people on health care demand: simulation modelling of population dynamics to inform service planning. </w:t>
      </w:r>
      <w:r w:rsidRPr="0068754D">
        <w:rPr>
          <w:rFonts w:ascii="Arial" w:hAnsi="Arial" w:cs="Arial"/>
          <w:i/>
          <w:iCs/>
          <w:noProof/>
          <w:szCs w:val="24"/>
          <w:lang w:val="en-GB"/>
        </w:rPr>
        <w:t>Health and Social Care Delivery Research</w:t>
      </w:r>
      <w:r w:rsidRPr="0068754D">
        <w:rPr>
          <w:rFonts w:ascii="Arial" w:hAnsi="Arial" w:cs="Arial"/>
          <w:noProof/>
          <w:szCs w:val="24"/>
          <w:lang w:val="en-GB"/>
        </w:rPr>
        <w:t>, </w:t>
      </w:r>
      <w:r w:rsidRPr="0068754D">
        <w:rPr>
          <w:rFonts w:ascii="Arial" w:hAnsi="Arial" w:cs="Arial"/>
          <w:i/>
          <w:iCs/>
          <w:noProof/>
          <w:szCs w:val="24"/>
          <w:lang w:val="en-GB"/>
        </w:rPr>
        <w:t>12</w:t>
      </w:r>
      <w:r w:rsidRPr="0068754D">
        <w:rPr>
          <w:rFonts w:ascii="Arial" w:hAnsi="Arial" w:cs="Arial"/>
          <w:noProof/>
          <w:szCs w:val="24"/>
          <w:lang w:val="en-GB"/>
        </w:rPr>
        <w:t xml:space="preserve">(44), pp.1-140. </w:t>
      </w:r>
      <w:hyperlink r:id="rId39" w:history="1">
        <w:r w:rsidRPr="0068754D">
          <w:rPr>
            <w:rStyle w:val="Hyperlink"/>
            <w:rFonts w:ascii="Arial" w:hAnsi="Arial" w:cs="Arial"/>
            <w:noProof/>
            <w:szCs w:val="24"/>
            <w:lang w:val="en-GB"/>
          </w:rPr>
          <w:t>https://doi.org/10.3310/LKJF3976</w:t>
        </w:r>
      </w:hyperlink>
      <w:r w:rsidRPr="0068754D">
        <w:rPr>
          <w:rFonts w:ascii="Arial" w:hAnsi="Arial" w:cs="Arial"/>
          <w:noProof/>
          <w:szCs w:val="24"/>
          <w:lang w:val="en-GB"/>
        </w:rPr>
        <w:t xml:space="preserve"> </w:t>
      </w:r>
    </w:p>
    <w:p w14:paraId="0C17ADD2" w14:textId="77777777" w:rsidR="0068754D" w:rsidRPr="0068754D" w:rsidRDefault="0068754D"/>
    <w:p w14:paraId="1B239F76" w14:textId="77777777" w:rsidR="00E822D9" w:rsidRDefault="00E822D9"/>
    <w:sectPr w:rsidR="00E822D9" w:rsidSect="0068754D">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1E1E15" w14:textId="77777777" w:rsidR="00C120AA" w:rsidRDefault="00C120AA" w:rsidP="00D55FEC">
      <w:pPr>
        <w:spacing w:before="0" w:after="0" w:line="240" w:lineRule="auto"/>
      </w:pPr>
      <w:r>
        <w:separator/>
      </w:r>
    </w:p>
  </w:endnote>
  <w:endnote w:type="continuationSeparator" w:id="0">
    <w:p w14:paraId="09E4A628" w14:textId="77777777" w:rsidR="00C120AA" w:rsidRDefault="00C120AA" w:rsidP="00D55FE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004E0AD-55AE-440A-BA11-1E4E16C06841}"/>
  </w:font>
  <w:font w:name="Shruti">
    <w:panose1 w:val="02000500000000000000"/>
    <w:charset w:val="00"/>
    <w:family w:val="swiss"/>
    <w:pitch w:val="variable"/>
    <w:sig w:usb0="00040003" w:usb1="00000000" w:usb2="00000000" w:usb3="00000000" w:csb0="00000001" w:csb1="00000000"/>
    <w:embedRegular r:id="rId2" w:fontKey="{358EA925-D845-4971-A6B8-0D59100D9A12}"/>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embedRegular r:id="rId3" w:fontKey="{78BB4E0E-A802-4B12-8982-0A9E7BCB6BAB}"/>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A3816B" w14:textId="77777777" w:rsidR="00C120AA" w:rsidRDefault="00C120AA" w:rsidP="00D55FEC">
      <w:pPr>
        <w:spacing w:before="0" w:after="0" w:line="240" w:lineRule="auto"/>
      </w:pPr>
      <w:r>
        <w:separator/>
      </w:r>
    </w:p>
  </w:footnote>
  <w:footnote w:type="continuationSeparator" w:id="0">
    <w:p w14:paraId="2A926F77" w14:textId="77777777" w:rsidR="00C120AA" w:rsidRDefault="00C120AA" w:rsidP="00D55FE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6407D7"/>
    <w:multiLevelType w:val="multilevel"/>
    <w:tmpl w:val="D62E282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9402654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22D9"/>
    <w:rsid w:val="001062C7"/>
    <w:rsid w:val="001F7566"/>
    <w:rsid w:val="00235E34"/>
    <w:rsid w:val="00586476"/>
    <w:rsid w:val="0068754D"/>
    <w:rsid w:val="00C120AA"/>
    <w:rsid w:val="00D2547B"/>
    <w:rsid w:val="00D55FEC"/>
    <w:rsid w:val="00E822D9"/>
    <w:rsid w:val="00F40D51"/>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308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rPr>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after="80"/>
      <w:outlineLvl w:val="4"/>
    </w:pPr>
    <w:rPr>
      <w:color w:val="666666"/>
    </w:rPr>
  </w:style>
  <w:style w:type="paragraph" w:styleId="Heading6">
    <w:name w:val="heading 6"/>
    <w:basedOn w:val="Normal"/>
    <w:next w:val="Normal"/>
    <w:uiPriority w:val="9"/>
    <w:semiHidden/>
    <w:unhideWhenUsed/>
    <w:qFormat/>
    <w:pPr>
      <w:keepNext/>
      <w:keepLines/>
      <w:spacing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Heading">
    <w:name w:val="TOC Heading"/>
    <w:basedOn w:val="Heading1"/>
    <w:next w:val="Normal"/>
    <w:uiPriority w:val="39"/>
    <w:unhideWhenUsed/>
    <w:qFormat/>
    <w:rsid w:val="0068754D"/>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68754D"/>
    <w:pPr>
      <w:spacing w:after="100"/>
    </w:pPr>
  </w:style>
  <w:style w:type="character" w:styleId="Hyperlink">
    <w:name w:val="Hyperlink"/>
    <w:basedOn w:val="DefaultParagraphFont"/>
    <w:uiPriority w:val="99"/>
    <w:unhideWhenUsed/>
    <w:rsid w:val="0068754D"/>
    <w:rPr>
      <w:color w:val="0000FF" w:themeColor="hyperlink"/>
      <w:u w:val="single"/>
    </w:rPr>
  </w:style>
  <w:style w:type="paragraph" w:styleId="BodyText">
    <w:name w:val="Body Text"/>
    <w:basedOn w:val="Normal"/>
    <w:link w:val="BodyTextChar"/>
    <w:uiPriority w:val="1"/>
    <w:qFormat/>
    <w:rsid w:val="0068754D"/>
    <w:pPr>
      <w:widowControl w:val="0"/>
      <w:autoSpaceDE w:val="0"/>
      <w:autoSpaceDN w:val="0"/>
      <w:spacing w:before="0" w:after="0" w:line="240" w:lineRule="auto"/>
      <w:jc w:val="left"/>
    </w:pPr>
    <w:rPr>
      <w:rFonts w:ascii="Arial MT" w:eastAsia="Arial MT" w:hAnsi="Arial MT" w:cs="Arial MT"/>
      <w:noProof w:val="0"/>
      <w:lang w:val="en-US"/>
    </w:rPr>
  </w:style>
  <w:style w:type="character" w:customStyle="1" w:styleId="BodyTextChar">
    <w:name w:val="Body Text Char"/>
    <w:basedOn w:val="DefaultParagraphFont"/>
    <w:link w:val="BodyText"/>
    <w:uiPriority w:val="1"/>
    <w:rsid w:val="0068754D"/>
    <w:rPr>
      <w:rFonts w:ascii="Arial MT" w:eastAsia="Arial MT" w:hAnsi="Arial MT" w:cs="Arial MT"/>
      <w:lang w:val="en-US"/>
    </w:rPr>
  </w:style>
  <w:style w:type="paragraph" w:styleId="Header">
    <w:name w:val="header"/>
    <w:basedOn w:val="Normal"/>
    <w:link w:val="HeaderChar"/>
    <w:uiPriority w:val="99"/>
    <w:unhideWhenUsed/>
    <w:rsid w:val="00D55FE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55FEC"/>
    <w:rPr>
      <w:noProof/>
      <w:lang w:val="en-GB"/>
    </w:rPr>
  </w:style>
  <w:style w:type="paragraph" w:styleId="Footer">
    <w:name w:val="footer"/>
    <w:basedOn w:val="Normal"/>
    <w:link w:val="FooterChar"/>
    <w:uiPriority w:val="99"/>
    <w:unhideWhenUsed/>
    <w:rsid w:val="00D55FE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55FEC"/>
    <w:rPr>
      <w:noProo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80/14780887.2020.1769238" TargetMode="External"/><Relationship Id="rId18" Type="http://schemas.openxmlformats.org/officeDocument/2006/relationships/hyperlink" Target="https://commonslibrary.parliament.uk/the-uks-changing-population/" TargetMode="External"/><Relationship Id="rId26" Type="http://schemas.openxmlformats.org/officeDocument/2006/relationships/hyperlink" Target="https://doi.org/10.11124/JBIES-22-00224" TargetMode="External"/><Relationship Id="rId39" Type="http://schemas.openxmlformats.org/officeDocument/2006/relationships/hyperlink" Target="https://doi.org/10.3310/LKJF3976" TargetMode="External"/><Relationship Id="rId21" Type="http://schemas.openxmlformats.org/officeDocument/2006/relationships/hyperlink" Target="https://doi.org/10.1016/j.socscimed.2023.115972" TargetMode="External"/><Relationship Id="rId34" Type="http://schemas.openxmlformats.org/officeDocument/2006/relationships/hyperlink" Target="https://doi.org/10.3389/frma.2023.1268045"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07/s40520-025-03021-8" TargetMode="External"/><Relationship Id="rId20" Type="http://schemas.openxmlformats.org/officeDocument/2006/relationships/hyperlink" Target="https://doi.org/10.1002/puh2.213" TargetMode="External"/><Relationship Id="rId29" Type="http://schemas.openxmlformats.org/officeDocument/2006/relationships/hyperlink" Target="https://doi.org/10.1136/bmj.n71"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bmjopen-2019-034919" TargetMode="External"/><Relationship Id="rId24" Type="http://schemas.openxmlformats.org/officeDocument/2006/relationships/hyperlink" Target="https://doi.org/10.1177/00469580211062426" TargetMode="External"/><Relationship Id="rId32" Type="http://schemas.openxmlformats.org/officeDocument/2006/relationships/hyperlink" Target="https://www.foundations.uk.com/wp-content/uploads/2023/07/age_uk_briefing_state_of_health_and_care_of_older_people_july2023.pdf" TargetMode="External"/><Relationship Id="rId37" Type="http://schemas.openxmlformats.org/officeDocument/2006/relationships/hyperlink" Target="https://doi.org/10.1093/ageing/afac287"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3390/ijerph17041439" TargetMode="External"/><Relationship Id="rId23" Type="http://schemas.openxmlformats.org/officeDocument/2006/relationships/hyperlink" Target="https://doi.org/10.3389/fmed.2022.1059467" TargetMode="External"/><Relationship Id="rId28" Type="http://schemas.openxmlformats.org/officeDocument/2006/relationships/hyperlink" Target="https://www.ons.gov.uk/peoplepopulationandcommunity/populationandmigration/populationprojections/bulletins/nationalpopulationprojections/2024based" TargetMode="External"/><Relationship Id="rId36" Type="http://schemas.openxmlformats.org/officeDocument/2006/relationships/hyperlink" Target="https://doi.org/10.3399/bjgp20X713897" TargetMode="External"/><Relationship Id="rId10" Type="http://schemas.openxmlformats.org/officeDocument/2006/relationships/hyperlink" Target="https://doi.org/10.1308/rcsbull.2025.38" TargetMode="External"/><Relationship Id="rId19" Type="http://schemas.openxmlformats.org/officeDocument/2006/relationships/hyperlink" Target="https://doi.org/10.1002/hpm.2917" TargetMode="External"/><Relationship Id="rId31" Type="http://schemas.openxmlformats.org/officeDocument/2006/relationships/hyperlink" Target="https://doi.org/10.1016/j.healthpol.2023.10481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s0140-6736(21)00230-0" TargetMode="External"/><Relationship Id="rId22" Type="http://schemas.openxmlformats.org/officeDocument/2006/relationships/hyperlink" Target="https://doi.org/10.1002/hec.4175" TargetMode="External"/><Relationship Id="rId27" Type="http://schemas.openxmlformats.org/officeDocument/2006/relationships/hyperlink" Target="https://doi.org/10.1007/s12126-021-09442-w" TargetMode="External"/><Relationship Id="rId30" Type="http://schemas.openxmlformats.org/officeDocument/2006/relationships/hyperlink" Target="https://doi.org/10.1186/s12877-022-03200-6" TargetMode="External"/><Relationship Id="rId35" Type="http://schemas.openxmlformats.org/officeDocument/2006/relationships/hyperlink" Target="https://doi.org/10.1038/s41572-022-00376-4"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177/0141076820956799" TargetMode="External"/><Relationship Id="rId17" Type="http://schemas.openxmlformats.org/officeDocument/2006/relationships/hyperlink" Target="https://doi.org/10.1016/j.glmedi.2023.100046" TargetMode="External"/><Relationship Id="rId25" Type="http://schemas.openxmlformats.org/officeDocument/2006/relationships/hyperlink" Target="https://doi.org/10.1016/s0140-6736(21)00229-4" TargetMode="External"/><Relationship Id="rId33" Type="http://schemas.openxmlformats.org/officeDocument/2006/relationships/hyperlink" Target="https://www.thelancet.com/action/showPdf?pii=S2666-7568%2821%2900247-6" TargetMode="External"/><Relationship Id="rId38" Type="http://schemas.openxmlformats.org/officeDocument/2006/relationships/hyperlink" Target="https://doi.org/10.1136/bmjebm-2020-11165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9E1770-81D5-4291-B28F-4CC35A29D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4333</Words>
  <Characters>24703</Characters>
  <Application>Microsoft Office Word</Application>
  <DocSecurity>0</DocSecurity>
  <Lines>205</Lines>
  <Paragraphs>57</Paragraphs>
  <ScaleCrop>false</ScaleCrop>
  <LinksUpToDate>false</LinksUpToDate>
  <CharactersWithSpaces>28979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2026-08-18T10:40:00Z</dcterms:created>
  <dcterms:modified xsi:type="dcterms:W3CDTF">2026-08-18T10:44:00Z</dcterms:modified>
</cp:coreProperties>
</file>