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7DDEE" w14:textId="7083183D" w:rsidR="00DE7813" w:rsidRDefault="00170CA4">
      <w:r>
        <w:t xml:space="preserve">Esmail Ardalan </w:t>
      </w:r>
    </w:p>
    <w:p w14:paraId="7045BF24" w14:textId="746FCA61" w:rsidR="00170CA4" w:rsidRDefault="00170CA4">
      <w:r>
        <w:t>Student Number: 2209293</w:t>
      </w:r>
    </w:p>
    <w:p w14:paraId="7FB3EFDC" w14:textId="30EE5CCB" w:rsidR="00170CA4" w:rsidRDefault="00170CA4">
      <w:r>
        <w:t>Changes to the coroners act and justice act (2009)</w:t>
      </w:r>
    </w:p>
    <w:p w14:paraId="436AAAFE" w14:textId="14A3B642" w:rsidR="00170CA4" w:rsidRDefault="00170CA4">
      <w:pPr>
        <w:rPr>
          <w:rFonts w:ascii="Roboto" w:hAnsi="Roboto"/>
          <w:color w:val="555555"/>
          <w:sz w:val="16"/>
          <w:szCs w:val="16"/>
          <w:shd w:val="clear" w:color="auto" w:fill="FFFFFF"/>
          <w:vertAlign w:val="superscript"/>
        </w:rPr>
      </w:pPr>
      <w:r>
        <w:rPr>
          <w:rFonts w:ascii="Roboto" w:hAnsi="Roboto"/>
          <w:color w:val="555555"/>
          <w:sz w:val="21"/>
          <w:szCs w:val="21"/>
          <w:shd w:val="clear" w:color="auto" w:fill="FFFFFF"/>
        </w:rPr>
        <w:t>As a precursor to the United Kingdom's ratification of the Rome Statute of the International Criminal Court (ICC)</w:t>
      </w:r>
      <w:r>
        <w:rPr>
          <w:rFonts w:ascii="Roboto" w:hAnsi="Roboto"/>
          <w:color w:val="555555"/>
          <w:sz w:val="16"/>
          <w:szCs w:val="16"/>
          <w:shd w:val="clear" w:color="auto" w:fill="FFFFFF"/>
          <w:vertAlign w:val="superscript"/>
        </w:rPr>
        <w:t>1</w:t>
      </w:r>
      <w:r>
        <w:rPr>
          <w:rFonts w:ascii="Roboto" w:hAnsi="Roboto"/>
          <w:color w:val="555555"/>
          <w:sz w:val="21"/>
          <w:szCs w:val="21"/>
          <w:shd w:val="clear" w:color="auto" w:fill="FFFFFF"/>
        </w:rPr>
        <w:t> in 2001, the respective Parliaments in the UK adopted two Acts to implement the obligations that treaty imposed on the UK, and to implement the international crimes, as defined in that treaty, into the law of the UK.</w:t>
      </w:r>
      <w:r>
        <w:rPr>
          <w:rFonts w:ascii="Roboto" w:hAnsi="Roboto"/>
          <w:color w:val="555555"/>
          <w:sz w:val="16"/>
          <w:szCs w:val="16"/>
          <w:shd w:val="clear" w:color="auto" w:fill="FFFFFF"/>
          <w:vertAlign w:val="superscript"/>
        </w:rPr>
        <w:t>2</w:t>
      </w:r>
      <w:r>
        <w:rPr>
          <w:rFonts w:ascii="Roboto" w:hAnsi="Roboto"/>
          <w:color w:val="555555"/>
          <w:sz w:val="21"/>
          <w:szCs w:val="21"/>
          <w:shd w:val="clear" w:color="auto" w:fill="FFFFFF"/>
        </w:rPr>
        <w:t> When the International Criminal Court Act (ICC Act) was being debated in 2001, Baroness Scotland, speaking for the Government, explained that part of the </w:t>
      </w:r>
      <w:r>
        <w:rPr>
          <w:rFonts w:ascii="Roboto" w:hAnsi="Roboto"/>
          <w:i/>
          <w:iCs/>
          <w:color w:val="555555"/>
          <w:sz w:val="21"/>
          <w:szCs w:val="21"/>
          <w:shd w:val="clear" w:color="auto" w:fill="FFFFFF"/>
        </w:rPr>
        <w:t xml:space="preserve">raison </w:t>
      </w:r>
      <w:proofErr w:type="spellStart"/>
      <w:r>
        <w:rPr>
          <w:rFonts w:ascii="Roboto" w:hAnsi="Roboto"/>
          <w:i/>
          <w:iCs/>
          <w:color w:val="555555"/>
          <w:sz w:val="21"/>
          <w:szCs w:val="21"/>
          <w:shd w:val="clear" w:color="auto" w:fill="FFFFFF"/>
        </w:rPr>
        <w:t>d'etre</w:t>
      </w:r>
      <w:proofErr w:type="spellEnd"/>
      <w:r>
        <w:rPr>
          <w:rFonts w:ascii="Roboto" w:hAnsi="Roboto"/>
          <w:color w:val="555555"/>
          <w:sz w:val="21"/>
          <w:szCs w:val="21"/>
          <w:shd w:val="clear" w:color="auto" w:fill="FFFFFF"/>
        </w:rPr>
        <w:t> of the Act was that the UK ought not to be seen as a safe haven for international criminals.</w:t>
      </w:r>
      <w:r>
        <w:rPr>
          <w:rFonts w:ascii="Roboto" w:hAnsi="Roboto"/>
          <w:color w:val="555555"/>
          <w:sz w:val="16"/>
          <w:szCs w:val="16"/>
          <w:shd w:val="clear" w:color="auto" w:fill="FFFFFF"/>
          <w:vertAlign w:val="superscript"/>
        </w:rPr>
        <w:t>3</w:t>
      </w:r>
      <w:r>
        <w:rPr>
          <w:rFonts w:ascii="Roboto" w:hAnsi="Roboto"/>
          <w:color w:val="555555"/>
          <w:sz w:val="21"/>
          <w:szCs w:val="21"/>
          <w:shd w:val="clear" w:color="auto" w:fill="FFFFFF"/>
        </w:rPr>
        <w:t> However, in line with article 11 of the Rome Statute, the jurisdiction of UK courts over such offences, insofar as they were not already covered by the Geneva Conventions Act 1957 and the Genocide Act 1969 (the latter of which was repealed by the ICC Act)</w:t>
      </w:r>
      <w:r>
        <w:rPr>
          <w:rFonts w:ascii="Roboto" w:hAnsi="Roboto"/>
          <w:color w:val="555555"/>
          <w:sz w:val="16"/>
          <w:szCs w:val="16"/>
          <w:shd w:val="clear" w:color="auto" w:fill="FFFFFF"/>
          <w:vertAlign w:val="superscript"/>
        </w:rPr>
        <w:t>4</w:t>
      </w:r>
      <w:r>
        <w:rPr>
          <w:rFonts w:ascii="Roboto" w:hAnsi="Roboto"/>
          <w:color w:val="555555"/>
          <w:sz w:val="21"/>
          <w:szCs w:val="21"/>
          <w:shd w:val="clear" w:color="auto" w:fill="FFFFFF"/>
        </w:rPr>
        <w:t> only applied prospectively.</w:t>
      </w:r>
      <w:r w:rsidRPr="00170CA4">
        <w:rPr>
          <w:rFonts w:ascii="Roboto" w:hAnsi="Roboto"/>
          <w:color w:val="555555"/>
          <w:sz w:val="21"/>
          <w:szCs w:val="21"/>
          <w:shd w:val="clear" w:color="auto" w:fill="FFFFFF"/>
        </w:rPr>
        <w:t xml:space="preserve"> </w:t>
      </w:r>
      <w:r>
        <w:rPr>
          <w:rFonts w:ascii="Roboto" w:hAnsi="Roboto"/>
          <w:color w:val="555555"/>
          <w:sz w:val="21"/>
          <w:szCs w:val="21"/>
          <w:shd w:val="clear" w:color="auto" w:fill="FFFFFF"/>
        </w:rPr>
        <w:t xml:space="preserve">The position in the other areas is less straightforward. While </w:t>
      </w:r>
      <w:proofErr w:type="gramStart"/>
      <w:r>
        <w:rPr>
          <w:rFonts w:ascii="Roboto" w:hAnsi="Roboto"/>
          <w:color w:val="555555"/>
          <w:sz w:val="21"/>
          <w:szCs w:val="21"/>
          <w:shd w:val="clear" w:color="auto" w:fill="FFFFFF"/>
        </w:rPr>
        <w:t>the vast majority of</w:t>
      </w:r>
      <w:proofErr w:type="gramEnd"/>
      <w:r>
        <w:rPr>
          <w:rFonts w:ascii="Roboto" w:hAnsi="Roboto"/>
          <w:color w:val="555555"/>
          <w:sz w:val="21"/>
          <w:szCs w:val="21"/>
          <w:shd w:val="clear" w:color="auto" w:fill="FFFFFF"/>
        </w:rPr>
        <w:t xml:space="preserve"> offences were recognised as criminal in international law by 1991, a small number may have been recognised at that time in a narrower form than appears in the 2001 Act, and a very small number may not have been sufficiently recognised at all in 1991. Indeed, international law naturally developed over the period in question, and it is important that our clauses cater for this to ensure the maximum possible coverage for that period--1991 to 2001. We have therefore developed a hybrid approach providing absolute certainty where possible, but elsewhere including a requirement that the relevant conduct amounted in the circumstances at the time to an offence under international law.</w:t>
      </w:r>
      <w:r>
        <w:rPr>
          <w:rFonts w:ascii="Roboto" w:hAnsi="Roboto"/>
          <w:color w:val="555555"/>
          <w:sz w:val="16"/>
          <w:szCs w:val="16"/>
          <w:shd w:val="clear" w:color="auto" w:fill="FFFFFF"/>
          <w:vertAlign w:val="superscript"/>
        </w:rPr>
        <w:t>25</w:t>
      </w:r>
    </w:p>
    <w:p w14:paraId="6793BF0B" w14:textId="408AFE35" w:rsidR="00F63EA6" w:rsidRDefault="00F63EA6">
      <w:pPr>
        <w:rPr>
          <w:rFonts w:ascii="Roboto" w:hAnsi="Roboto"/>
          <w:color w:val="555555"/>
          <w:sz w:val="21"/>
          <w:szCs w:val="21"/>
          <w:shd w:val="clear" w:color="auto" w:fill="FFFFFF"/>
        </w:rPr>
      </w:pPr>
      <w:r>
        <w:rPr>
          <w:rFonts w:ascii="Open Sans" w:hAnsi="Open Sans" w:cs="Open Sans"/>
          <w:color w:val="333333"/>
          <w:shd w:val="clear" w:color="auto" w:fill="FFFFFF"/>
        </w:rPr>
        <w:t>Honour killing is the product of social interactions among members of society; and it is qualitatively different from other kinds of murders. It is governed by a particular cultural understanding of honour and shame, which is likely to be alien and inexplicable to both the jury and the trial judge in England. This is because, in the English-speaking West, including the UK, the locus of honour has shifted from the traditional extended family to the individual man and has been isolated from the larger societal context, which helps to explain the community’s role in honour killings, and how the concept of honour and shame traditionally operate (</w:t>
      </w:r>
      <w:hyperlink r:id="rId4" w:anchor="bibr2-1462474513504797" w:history="1">
        <w:r>
          <w:rPr>
            <w:rStyle w:val="Hyperlink"/>
            <w:rFonts w:ascii="Open Sans" w:hAnsi="Open Sans" w:cs="Open Sans"/>
            <w:color w:val="006ACC"/>
            <w:shd w:val="clear" w:color="auto" w:fill="FFFFFF"/>
          </w:rPr>
          <w:t>Baker et al., 1999</w:t>
        </w:r>
      </w:hyperlink>
      <w:r>
        <w:rPr>
          <w:rFonts w:ascii="Open Sans" w:hAnsi="Open Sans" w:cs="Open Sans"/>
          <w:color w:val="333333"/>
          <w:shd w:val="clear" w:color="auto" w:fill="FFFFFF"/>
        </w:rPr>
        <w:t xml:space="preserve">). Therefore, the average member of the public serving on an English jury, who often has different moral and cultural values than the defendant, will have difficulty in understanding this </w:t>
      </w:r>
      <w:proofErr w:type="gramStart"/>
      <w:r>
        <w:rPr>
          <w:rFonts w:ascii="Open Sans" w:hAnsi="Open Sans" w:cs="Open Sans"/>
          <w:color w:val="333333"/>
          <w:shd w:val="clear" w:color="auto" w:fill="FFFFFF"/>
        </w:rPr>
        <w:t>particular concept</w:t>
      </w:r>
      <w:proofErr w:type="gramEnd"/>
      <w:r>
        <w:rPr>
          <w:rFonts w:ascii="Open Sans" w:hAnsi="Open Sans" w:cs="Open Sans"/>
          <w:color w:val="333333"/>
          <w:shd w:val="clear" w:color="auto" w:fill="FFFFFF"/>
        </w:rPr>
        <w:t xml:space="preserve"> which shapes the personal circumstances of the defendant and his set of values.</w:t>
      </w:r>
    </w:p>
    <w:p w14:paraId="4BA5071E" w14:textId="29AE2598" w:rsidR="00170CA4" w:rsidRDefault="00F63EA6">
      <w:pPr>
        <w:rPr>
          <w:rFonts w:ascii="Roboto" w:hAnsi="Roboto"/>
          <w:color w:val="555555"/>
          <w:sz w:val="21"/>
          <w:szCs w:val="21"/>
          <w:shd w:val="clear" w:color="auto" w:fill="FFFFFF"/>
        </w:rPr>
      </w:pPr>
      <w:r>
        <w:rPr>
          <w:rFonts w:ascii="Roboto" w:hAnsi="Roboto"/>
          <w:color w:val="555555"/>
          <w:sz w:val="21"/>
          <w:szCs w:val="21"/>
          <w:shd w:val="clear" w:color="auto" w:fill="FFFFFF"/>
        </w:rPr>
        <w:t>Case Example</w:t>
      </w:r>
    </w:p>
    <w:p w14:paraId="1B42FD9B" w14:textId="77777777" w:rsidR="00E309AE" w:rsidRPr="00E309AE" w:rsidRDefault="00AD60CD" w:rsidP="00E309AE">
      <w:pPr>
        <w:shd w:val="clear" w:color="auto" w:fill="FFFFFF"/>
        <w:rPr>
          <w:rFonts w:ascii="Open Sans" w:eastAsia="Times New Roman" w:hAnsi="Open Sans" w:cs="Open Sans"/>
          <w:color w:val="333333"/>
          <w:sz w:val="24"/>
          <w:szCs w:val="24"/>
          <w:lang w:eastAsia="en-GB"/>
        </w:rPr>
      </w:pPr>
      <w:r>
        <w:rPr>
          <w:rFonts w:ascii="Open Sans" w:hAnsi="Open Sans" w:cs="Open Sans"/>
          <w:color w:val="333333"/>
          <w:shd w:val="clear" w:color="auto" w:fill="FFFFFF"/>
        </w:rPr>
        <w:t xml:space="preserve">My daughter used to run away. I used to spend most of my time to look for my daughter and bring her back. I used to go to the train station at night, where youngsters hung around, to look for my daughter. But many people, including my own brothers, did not believe me. They were accusing me of forcing my daughter into prostitution. They used to </w:t>
      </w:r>
      <w:proofErr w:type="gramStart"/>
      <w:r>
        <w:rPr>
          <w:rFonts w:ascii="Open Sans" w:hAnsi="Open Sans" w:cs="Open Sans"/>
          <w:color w:val="333333"/>
          <w:shd w:val="clear" w:color="auto" w:fill="FFFFFF"/>
        </w:rPr>
        <w:t>say</w:t>
      </w:r>
      <w:proofErr w:type="gramEnd"/>
      <w:r>
        <w:rPr>
          <w:rFonts w:ascii="Open Sans" w:hAnsi="Open Sans" w:cs="Open Sans"/>
          <w:color w:val="333333"/>
          <w:shd w:val="clear" w:color="auto" w:fill="FFFFFF"/>
        </w:rPr>
        <w:t xml:space="preserve"> ‘You found a way to earn easy money, soon you will be a patron.’ When my daughter was at home early this time they would say ‘Today, shift is over early. If it goes like that you will set up your own business.’ At nights, even after midnight, they would shout ‘You are running a house, you are doing this business; you are dishonourable. Your daughter is a slut.’ As I spent most of my time looking for her, I was having difficulty to find a permanent job as a concrete worker. Such treatment went </w:t>
      </w:r>
      <w:r>
        <w:rPr>
          <w:rFonts w:ascii="Open Sans" w:hAnsi="Open Sans" w:cs="Open Sans"/>
          <w:color w:val="333333"/>
          <w:shd w:val="clear" w:color="auto" w:fill="FFFFFF"/>
        </w:rPr>
        <w:lastRenderedPageBreak/>
        <w:t xml:space="preserve">on for a long time. Then I thought that moving to another town might solve my problem. However, when I was packing, my daughter objected to the idea of moving and said ‘I will do it my own way. I chose my </w:t>
      </w:r>
      <w:proofErr w:type="gramStart"/>
      <w:r>
        <w:rPr>
          <w:rFonts w:ascii="Open Sans" w:hAnsi="Open Sans" w:cs="Open Sans"/>
          <w:color w:val="333333"/>
          <w:shd w:val="clear" w:color="auto" w:fill="FFFFFF"/>
        </w:rPr>
        <w:t>path</w:t>
      </w:r>
      <w:proofErr w:type="gramEnd"/>
      <w:r>
        <w:rPr>
          <w:rFonts w:ascii="Open Sans" w:hAnsi="Open Sans" w:cs="Open Sans"/>
          <w:color w:val="333333"/>
          <w:shd w:val="clear" w:color="auto" w:fill="FFFFFF"/>
        </w:rPr>
        <w:t xml:space="preserve"> and I am happy with it.’ So, I lost my control and killed my daughter by using a rope that I was using for packing. (Interviewee-16, </w:t>
      </w:r>
      <w:proofErr w:type="spellStart"/>
      <w:r>
        <w:rPr>
          <w:rFonts w:ascii="Open Sans" w:hAnsi="Open Sans" w:cs="Open Sans"/>
          <w:color w:val="333333"/>
          <w:shd w:val="clear" w:color="auto" w:fill="FFFFFF"/>
        </w:rPr>
        <w:t>male</w:t>
      </w:r>
      <w:r w:rsidR="00E309AE" w:rsidRPr="00E309AE">
        <w:rPr>
          <w:rFonts w:ascii="Open Sans" w:eastAsia="Times New Roman" w:hAnsi="Open Sans" w:cs="Open Sans"/>
          <w:color w:val="333333"/>
          <w:sz w:val="24"/>
          <w:szCs w:val="24"/>
          <w:lang w:eastAsia="en-GB"/>
        </w:rPr>
        <w:t>With</w:t>
      </w:r>
      <w:proofErr w:type="spellEnd"/>
      <w:r w:rsidR="00E309AE" w:rsidRPr="00E309AE">
        <w:rPr>
          <w:rFonts w:ascii="Open Sans" w:eastAsia="Times New Roman" w:hAnsi="Open Sans" w:cs="Open Sans"/>
          <w:color w:val="333333"/>
          <w:sz w:val="24"/>
          <w:szCs w:val="24"/>
          <w:lang w:eastAsia="en-GB"/>
        </w:rPr>
        <w:t xml:space="preserve"> the 2009 Act and the Inquiries Act 2005, the last Government legislated twice in a few years to create new structures for the two main processes for publicly investigating deaths and other events of serious concern to the public.</w:t>
      </w:r>
    </w:p>
    <w:p w14:paraId="7407E4B8" w14:textId="77777777" w:rsidR="00E309AE" w:rsidRPr="00E309AE" w:rsidRDefault="00E309AE" w:rsidP="00E309AE">
      <w:pPr>
        <w:shd w:val="clear" w:color="auto" w:fill="FFFFFF"/>
        <w:spacing w:after="120" w:line="240" w:lineRule="auto"/>
        <w:rPr>
          <w:rFonts w:ascii="Open Sans" w:eastAsia="Times New Roman" w:hAnsi="Open Sans" w:cs="Open Sans"/>
          <w:color w:val="333333"/>
          <w:sz w:val="24"/>
          <w:szCs w:val="24"/>
          <w:lang w:eastAsia="en-GB"/>
        </w:rPr>
      </w:pPr>
      <w:r w:rsidRPr="00E309AE">
        <w:rPr>
          <w:rFonts w:ascii="Open Sans" w:eastAsia="Times New Roman" w:hAnsi="Open Sans" w:cs="Open Sans"/>
          <w:color w:val="333333"/>
          <w:sz w:val="24"/>
          <w:szCs w:val="24"/>
          <w:lang w:eastAsia="en-GB"/>
        </w:rPr>
        <w:t xml:space="preserve">The 2009 Act would keep the traditionally narrow bounds of the generality of inquests (while acknowledging recent Article 2 jurisprudence). But, within those apparently somewhat elastic confines, the capacity of the coroner's inquest to deal satisfactorily with complex and contentious deaths would be improved. High Court, Appeal Court or Circuit Court judges, serving or recently retired, might be appointed by the head of the coronial jurisdiction to head inquests (without, as now, needing to be appointed Assistant Deputy Coroners by the local coroner at the instigation of central government). The choice of such cases and of judges to run them would be made by the Chief Coroner in consultation with the Lord Chief Justice, and not by the Government. Within inquest law coroners would retain some discretion to determine the exact scope of their inquests, as well as the power to decide when there is to be an inquest. The Government would have no role in deciding whether there is to be an inquest, what its exact scope would be, who should take it, and what its procedures should be. Nor would the Government have any role in the financing of individual </w:t>
      </w:r>
      <w:proofErr w:type="gramStart"/>
      <w:r w:rsidRPr="00E309AE">
        <w:rPr>
          <w:rFonts w:ascii="Open Sans" w:eastAsia="Times New Roman" w:hAnsi="Open Sans" w:cs="Open Sans"/>
          <w:color w:val="333333"/>
          <w:sz w:val="24"/>
          <w:szCs w:val="24"/>
          <w:lang w:eastAsia="en-GB"/>
        </w:rPr>
        <w:t>inquests</w:t>
      </w:r>
      <w:proofErr w:type="gramEnd"/>
    </w:p>
    <w:p w14:paraId="18E513B5" w14:textId="6DDE56A2" w:rsidR="00F63EA6" w:rsidRDefault="00F63EA6">
      <w:pPr>
        <w:rPr>
          <w:rFonts w:ascii="Open Sans" w:hAnsi="Open Sans" w:cs="Open Sans"/>
          <w:color w:val="333333"/>
          <w:shd w:val="clear" w:color="auto" w:fill="FFFFFF"/>
        </w:rPr>
      </w:pPr>
    </w:p>
    <w:p w14:paraId="299FBBBD" w14:textId="77777777" w:rsidR="00E309AE" w:rsidRDefault="00E309AE">
      <w:pPr>
        <w:rPr>
          <w:rFonts w:ascii="Open Sans" w:hAnsi="Open Sans" w:cs="Open Sans"/>
          <w:color w:val="333333"/>
          <w:shd w:val="clear" w:color="auto" w:fill="FFFFFF"/>
        </w:rPr>
      </w:pPr>
    </w:p>
    <w:p w14:paraId="4C941887" w14:textId="5CC64E47" w:rsidR="00AD60CD" w:rsidRDefault="00AD60CD">
      <w:pPr>
        <w:rPr>
          <w:rFonts w:ascii="Roboto" w:hAnsi="Roboto"/>
          <w:color w:val="555555"/>
          <w:sz w:val="21"/>
          <w:szCs w:val="21"/>
          <w:shd w:val="clear" w:color="auto" w:fill="FFFFFF"/>
        </w:rPr>
      </w:pPr>
    </w:p>
    <w:p w14:paraId="0DBB3078" w14:textId="77777777" w:rsidR="00E309AE" w:rsidRPr="00E309AE" w:rsidRDefault="00E309AE" w:rsidP="00E309AE">
      <w:pPr>
        <w:shd w:val="clear" w:color="auto" w:fill="FFFFFF"/>
        <w:spacing w:before="100" w:beforeAutospacing="1" w:after="100" w:afterAutospacing="1" w:line="240" w:lineRule="auto"/>
        <w:outlineLvl w:val="1"/>
        <w:rPr>
          <w:rFonts w:ascii="Open Sans" w:eastAsia="Times New Roman" w:hAnsi="Open Sans" w:cs="Open Sans"/>
          <w:color w:val="000000"/>
          <w:sz w:val="36"/>
          <w:szCs w:val="36"/>
          <w:lang w:eastAsia="en-GB"/>
        </w:rPr>
      </w:pPr>
      <w:r w:rsidRPr="00E309AE">
        <w:rPr>
          <w:rFonts w:ascii="Open Sans" w:eastAsia="Times New Roman" w:hAnsi="Open Sans" w:cs="Open Sans"/>
          <w:color w:val="000000"/>
          <w:sz w:val="36"/>
          <w:szCs w:val="36"/>
          <w:lang w:eastAsia="en-GB"/>
        </w:rPr>
        <w:t>The new Government's decisions</w:t>
      </w:r>
    </w:p>
    <w:p w14:paraId="613F1B8C" w14:textId="77777777" w:rsidR="00E309AE" w:rsidRPr="00E309AE" w:rsidRDefault="00E309AE" w:rsidP="00E309AE">
      <w:pPr>
        <w:shd w:val="clear" w:color="auto" w:fill="FFFFFF"/>
        <w:spacing w:after="120" w:line="240" w:lineRule="auto"/>
        <w:rPr>
          <w:rFonts w:ascii="Open Sans" w:eastAsia="Times New Roman" w:hAnsi="Open Sans" w:cs="Open Sans"/>
          <w:color w:val="333333"/>
          <w:sz w:val="24"/>
          <w:szCs w:val="24"/>
          <w:lang w:eastAsia="en-GB"/>
        </w:rPr>
      </w:pPr>
      <w:r w:rsidRPr="00E309AE">
        <w:rPr>
          <w:rFonts w:ascii="Open Sans" w:eastAsia="Times New Roman" w:hAnsi="Open Sans" w:cs="Open Sans"/>
          <w:color w:val="333333"/>
          <w:sz w:val="24"/>
          <w:szCs w:val="24"/>
          <w:lang w:eastAsia="en-GB"/>
        </w:rPr>
        <w:t>The Government justifies its decision not to implement structural reform in the coroner service by the need to reduce the deficit. The reform would have cost £10 million in the first year and £6 million a year thereafter. The Ministry of Justice's overall budget, £8.9 billion in 2010–2011, is projected in the recent spending review to fall by 2014–2015 to £7.3 billion.</w:t>
      </w:r>
      <w:hyperlink r:id="rId5" w:anchor="bibr-MSL-10-212C18" w:history="1">
        <w:r w:rsidRPr="00E309AE">
          <w:rPr>
            <w:rFonts w:ascii="Open Sans" w:eastAsia="Times New Roman" w:hAnsi="Open Sans" w:cs="Open Sans"/>
            <w:color w:val="006ACC"/>
            <w:sz w:val="18"/>
            <w:szCs w:val="18"/>
            <w:u w:val="single"/>
            <w:vertAlign w:val="superscript"/>
            <w:lang w:eastAsia="en-GB"/>
          </w:rPr>
          <w:t>18</w:t>
        </w:r>
      </w:hyperlink>
    </w:p>
    <w:p w14:paraId="4D10AD4A" w14:textId="530F0AA8" w:rsidR="00E309AE" w:rsidRDefault="00E309AE" w:rsidP="00E309AE">
      <w:pPr>
        <w:shd w:val="clear" w:color="auto" w:fill="FFFFFF"/>
        <w:spacing w:after="120" w:line="240" w:lineRule="auto"/>
        <w:rPr>
          <w:rFonts w:ascii="Open Sans" w:eastAsia="Times New Roman" w:hAnsi="Open Sans" w:cs="Open Sans"/>
          <w:color w:val="333333"/>
          <w:sz w:val="24"/>
          <w:szCs w:val="24"/>
          <w:lang w:eastAsia="en-GB"/>
        </w:rPr>
      </w:pPr>
      <w:r w:rsidRPr="00E309AE">
        <w:rPr>
          <w:rFonts w:ascii="Open Sans" w:eastAsia="Times New Roman" w:hAnsi="Open Sans" w:cs="Open Sans"/>
          <w:color w:val="333333"/>
          <w:sz w:val="24"/>
          <w:szCs w:val="24"/>
          <w:lang w:eastAsia="en-GB"/>
        </w:rPr>
        <w:t xml:space="preserve">As argued above death certification is the least safe aspect of the regulation of deaths in England and Wales because there is no means of ensuring that deaths which should be reported for further investigation are reported. The decision to continue the death certification reforms is therefore welcome. It might at first sight seem inconsistent with the decision to abort the main coroner reform. </w:t>
      </w:r>
      <w:r w:rsidRPr="00E309AE">
        <w:rPr>
          <w:rFonts w:ascii="Open Sans" w:eastAsia="Times New Roman" w:hAnsi="Open Sans" w:cs="Open Sans"/>
          <w:color w:val="333333"/>
          <w:sz w:val="24"/>
          <w:szCs w:val="24"/>
          <w:lang w:eastAsia="en-GB"/>
        </w:rPr>
        <w:lastRenderedPageBreak/>
        <w:t xml:space="preserve">However, the recurrent costs of the new medical examiner service, which would fall on the Department of Health budget, are to be met from fees to bereaved families so there would be no significant net cost to public finance. The Government might also perceive the new medical examiner posts as offering the prospect of reduced referrals to coroners and hence of reducing coroners' costs. There would be still more scope for cost reduction from a reduction in the autopsy rate, since autopsy and mortuary costs loom large in the service's overall spending. It is significant that the Government's statement, in listing the enhanced central guidance and monitoring it envisages in lieu of the Chief Coroner reform, should specifically mention guidance on </w:t>
      </w:r>
      <w:proofErr w:type="spellStart"/>
      <w:r w:rsidRPr="00E309AE">
        <w:rPr>
          <w:rFonts w:ascii="Open Sans" w:eastAsia="Times New Roman" w:hAnsi="Open Sans" w:cs="Open Sans"/>
          <w:color w:val="333333"/>
          <w:sz w:val="24"/>
          <w:szCs w:val="24"/>
          <w:lang w:eastAsia="en-GB"/>
        </w:rPr>
        <w:t>postmortems</w:t>
      </w:r>
      <w:proofErr w:type="spellEnd"/>
      <w:r w:rsidRPr="00E309AE">
        <w:rPr>
          <w:rFonts w:ascii="Open Sans" w:eastAsia="Times New Roman" w:hAnsi="Open Sans" w:cs="Open Sans"/>
          <w:color w:val="333333"/>
          <w:sz w:val="24"/>
          <w:szCs w:val="24"/>
          <w:lang w:eastAsia="en-GB"/>
        </w:rPr>
        <w:t>. The central government grant to local authorities is to be heavily reduced over the next few years and local government's programmes will be facing severe cost pressures, so the opportunity to make savings in the coroner service must seem attractive. Ministers may also have been concerned to avoid further death certification scandals on their watch.</w:t>
      </w:r>
    </w:p>
    <w:p w14:paraId="0318C280" w14:textId="200E14DF" w:rsidR="00E309AE" w:rsidRPr="00E309AE" w:rsidRDefault="00566519" w:rsidP="00E309AE">
      <w:pPr>
        <w:shd w:val="clear" w:color="auto" w:fill="FFFFFF"/>
        <w:spacing w:after="120" w:line="240" w:lineRule="auto"/>
        <w:rPr>
          <w:rFonts w:ascii="Open Sans" w:eastAsia="Times New Roman" w:hAnsi="Open Sans" w:cs="Open Sans"/>
          <w:color w:val="333333"/>
          <w:sz w:val="24"/>
          <w:szCs w:val="24"/>
          <w:lang w:eastAsia="en-GB"/>
        </w:rPr>
      </w:pPr>
      <w:r>
        <w:rPr>
          <w:rFonts w:ascii="Open Sans" w:hAnsi="Open Sans" w:cs="Open Sans"/>
          <w:color w:val="333333"/>
          <w:shd w:val="clear" w:color="auto" w:fill="FFFFFF"/>
        </w:rPr>
        <w:t>It is true that every case of homicide is unique. When looking at the problems with the old provocation defence, and the new provisions contained within the Coroners and Justice Act 2009, cases are often discussed by referring to the ‘category’ they fall into. This categorisation, for instance, is apparent in discussion of cases of battered women who kill their abuser, or sexual infidelity-related killings. There are less widely discussed categories of killings which might have been mitigated to manslaughter under the old provocation defence, and it is worth reflecting on which of those might still reach jury consideration today. The judge does have the power to withdraw the defence if their opinion is that no reasonable jury could accept the partial defence of loss of self-control on the facts present.</w:t>
      </w:r>
      <w:hyperlink r:id="rId6" w:anchor="fn4-0022018316646636" w:history="1">
        <w:r>
          <w:rPr>
            <w:rStyle w:val="Hyperlink"/>
            <w:rFonts w:ascii="Open Sans" w:hAnsi="Open Sans" w:cs="Open Sans"/>
            <w:color w:val="006ACC"/>
            <w:sz w:val="18"/>
            <w:szCs w:val="18"/>
            <w:vertAlign w:val="superscript"/>
          </w:rPr>
          <w:t>4</w:t>
        </w:r>
      </w:hyperlink>
      <w:r>
        <w:rPr>
          <w:rFonts w:ascii="Open Sans" w:hAnsi="Open Sans" w:cs="Open Sans"/>
          <w:color w:val="333333"/>
          <w:shd w:val="clear" w:color="auto" w:fill="FFFFFF"/>
        </w:rPr>
        <w:t xml:space="preserve"> However, some reluctance in utilising this power will presumably still be shown, and what constitutes a ‘justifiable sense of being wronged’ is still to be determined; a phrase that resonates more with questions than answers. Should the judge refrain from instructing the jury on loss of self-control, it might merely lead to an appeal on those grounds, and therefore the judge may be hesitant to withdraw the defence. At the same time, if the judge does instruct the jury on the partial defence of loss of control, even though it is his prerogative to withdraw it, he is then acknowledging a willingness to potentially have the defence accepted in the circumstances, and is communicating this to the </w:t>
      </w:r>
      <w:proofErr w:type="gramStart"/>
      <w:r>
        <w:rPr>
          <w:rFonts w:ascii="Open Sans" w:hAnsi="Open Sans" w:cs="Open Sans"/>
          <w:color w:val="333333"/>
          <w:shd w:val="clear" w:color="auto" w:fill="FFFFFF"/>
        </w:rPr>
        <w:t>jury</w:t>
      </w:r>
      <w:proofErr w:type="gramEnd"/>
    </w:p>
    <w:p w14:paraId="763E0719" w14:textId="44A34138" w:rsidR="00170CA4" w:rsidRDefault="00170CA4">
      <w:pPr>
        <w:rPr>
          <w:rFonts w:ascii="Roboto" w:hAnsi="Roboto"/>
          <w:color w:val="555555"/>
          <w:sz w:val="21"/>
          <w:szCs w:val="21"/>
          <w:shd w:val="clear" w:color="auto" w:fill="FFFFFF"/>
        </w:rPr>
      </w:pPr>
    </w:p>
    <w:p w14:paraId="4609D3FD" w14:textId="0216782A" w:rsidR="00170CA4" w:rsidRDefault="00170CA4">
      <w:pPr>
        <w:rPr>
          <w:rFonts w:ascii="Roboto" w:hAnsi="Roboto"/>
          <w:color w:val="555555"/>
          <w:sz w:val="21"/>
          <w:szCs w:val="21"/>
          <w:shd w:val="clear" w:color="auto" w:fill="FFFFFF"/>
        </w:rPr>
      </w:pPr>
    </w:p>
    <w:p w14:paraId="330CA246" w14:textId="06BA280F" w:rsidR="00170CA4" w:rsidRDefault="00170CA4">
      <w:pPr>
        <w:rPr>
          <w:rFonts w:ascii="Roboto" w:hAnsi="Roboto"/>
          <w:color w:val="555555"/>
          <w:sz w:val="21"/>
          <w:szCs w:val="21"/>
          <w:shd w:val="clear" w:color="auto" w:fill="FFFFFF"/>
        </w:rPr>
      </w:pPr>
    </w:p>
    <w:p w14:paraId="2E9F7CA6" w14:textId="377DC4CC" w:rsidR="00170CA4" w:rsidRDefault="00170CA4">
      <w:pPr>
        <w:rPr>
          <w:rFonts w:ascii="Roboto" w:hAnsi="Roboto"/>
          <w:color w:val="555555"/>
          <w:sz w:val="21"/>
          <w:szCs w:val="21"/>
          <w:shd w:val="clear" w:color="auto" w:fill="FFFFFF"/>
        </w:rPr>
      </w:pPr>
    </w:p>
    <w:p w14:paraId="6EF38D70" w14:textId="1085FEE5" w:rsidR="00170CA4" w:rsidRDefault="00170CA4">
      <w:pPr>
        <w:rPr>
          <w:rFonts w:ascii="Roboto" w:hAnsi="Roboto"/>
          <w:color w:val="555555"/>
          <w:sz w:val="21"/>
          <w:szCs w:val="21"/>
          <w:shd w:val="clear" w:color="auto" w:fill="FFFFFF"/>
        </w:rPr>
      </w:pPr>
    </w:p>
    <w:p w14:paraId="7F905EBF" w14:textId="608FB122" w:rsidR="00170CA4" w:rsidRDefault="00170CA4">
      <w:pPr>
        <w:rPr>
          <w:rFonts w:ascii="Roboto" w:hAnsi="Roboto"/>
          <w:color w:val="555555"/>
          <w:sz w:val="21"/>
          <w:szCs w:val="21"/>
          <w:shd w:val="clear" w:color="auto" w:fill="FFFFFF"/>
        </w:rPr>
      </w:pPr>
    </w:p>
    <w:p w14:paraId="038B46FD" w14:textId="112EFF07" w:rsidR="00170CA4" w:rsidRDefault="00170CA4">
      <w:pPr>
        <w:rPr>
          <w:rFonts w:ascii="Roboto" w:hAnsi="Roboto"/>
          <w:color w:val="555555"/>
          <w:sz w:val="21"/>
          <w:szCs w:val="21"/>
          <w:shd w:val="clear" w:color="auto" w:fill="FFFFFF"/>
        </w:rPr>
      </w:pPr>
    </w:p>
    <w:p w14:paraId="52FA5BFA" w14:textId="69A754A5" w:rsidR="00170CA4" w:rsidRDefault="00170CA4">
      <w:pPr>
        <w:rPr>
          <w:rFonts w:ascii="Roboto" w:hAnsi="Roboto"/>
          <w:color w:val="555555"/>
          <w:sz w:val="21"/>
          <w:szCs w:val="21"/>
          <w:shd w:val="clear" w:color="auto" w:fill="FFFFFF"/>
        </w:rPr>
      </w:pPr>
    </w:p>
    <w:p w14:paraId="53671B14" w14:textId="35869FA4" w:rsidR="00170CA4" w:rsidRDefault="00170CA4">
      <w:pPr>
        <w:rPr>
          <w:rFonts w:ascii="Roboto" w:hAnsi="Roboto"/>
          <w:color w:val="555555"/>
          <w:sz w:val="21"/>
          <w:szCs w:val="21"/>
          <w:shd w:val="clear" w:color="auto" w:fill="FFFFFF"/>
        </w:rPr>
      </w:pPr>
    </w:p>
    <w:p w14:paraId="08A71419" w14:textId="0CBABB6E" w:rsidR="00170CA4" w:rsidRDefault="00170CA4">
      <w:pPr>
        <w:rPr>
          <w:rFonts w:ascii="Roboto" w:hAnsi="Roboto"/>
          <w:color w:val="555555"/>
          <w:sz w:val="21"/>
          <w:szCs w:val="21"/>
          <w:shd w:val="clear" w:color="auto" w:fill="FFFFFF"/>
        </w:rPr>
      </w:pPr>
    </w:p>
    <w:p w14:paraId="72B53536" w14:textId="2CC7590C" w:rsidR="00170CA4" w:rsidRDefault="00170CA4">
      <w:pPr>
        <w:rPr>
          <w:rFonts w:ascii="Roboto" w:hAnsi="Roboto"/>
          <w:color w:val="555555"/>
          <w:sz w:val="21"/>
          <w:szCs w:val="21"/>
          <w:shd w:val="clear" w:color="auto" w:fill="FFFFFF"/>
        </w:rPr>
      </w:pPr>
    </w:p>
    <w:p w14:paraId="76AFE1B8" w14:textId="5473512B" w:rsidR="00170CA4" w:rsidRDefault="00170CA4">
      <w:pPr>
        <w:rPr>
          <w:rFonts w:ascii="Roboto" w:hAnsi="Roboto"/>
          <w:color w:val="555555"/>
          <w:sz w:val="21"/>
          <w:szCs w:val="21"/>
          <w:shd w:val="clear" w:color="auto" w:fill="FFFFFF"/>
        </w:rPr>
      </w:pPr>
    </w:p>
    <w:p w14:paraId="66FDCC3D" w14:textId="31913666" w:rsidR="00170CA4" w:rsidRDefault="00170CA4">
      <w:pPr>
        <w:rPr>
          <w:rFonts w:ascii="Roboto" w:hAnsi="Roboto"/>
          <w:color w:val="555555"/>
          <w:sz w:val="21"/>
          <w:szCs w:val="21"/>
          <w:shd w:val="clear" w:color="auto" w:fill="FFFFFF"/>
        </w:rPr>
      </w:pPr>
    </w:p>
    <w:p w14:paraId="2AE0B2A9" w14:textId="0932BB70" w:rsidR="00170CA4" w:rsidRDefault="00170CA4">
      <w:pPr>
        <w:rPr>
          <w:rFonts w:ascii="Roboto" w:hAnsi="Roboto"/>
          <w:color w:val="555555"/>
          <w:sz w:val="21"/>
          <w:szCs w:val="21"/>
          <w:shd w:val="clear" w:color="auto" w:fill="FFFFFF"/>
        </w:rPr>
      </w:pPr>
    </w:p>
    <w:p w14:paraId="7A4D7A72" w14:textId="095F618D" w:rsidR="00170CA4" w:rsidRDefault="00170CA4">
      <w:pPr>
        <w:rPr>
          <w:rFonts w:ascii="Roboto" w:hAnsi="Roboto"/>
          <w:color w:val="555555"/>
          <w:sz w:val="21"/>
          <w:szCs w:val="21"/>
          <w:shd w:val="clear" w:color="auto" w:fill="FFFFFF"/>
        </w:rPr>
      </w:pPr>
    </w:p>
    <w:p w14:paraId="2B2E14B2" w14:textId="21DCCC87" w:rsidR="00170CA4" w:rsidRDefault="00170CA4">
      <w:pPr>
        <w:rPr>
          <w:rFonts w:ascii="Roboto" w:hAnsi="Roboto"/>
          <w:color w:val="555555"/>
          <w:sz w:val="21"/>
          <w:szCs w:val="21"/>
          <w:shd w:val="clear" w:color="auto" w:fill="FFFFFF"/>
        </w:rPr>
      </w:pPr>
    </w:p>
    <w:p w14:paraId="2E9F250B" w14:textId="2A5CF435" w:rsidR="00170CA4" w:rsidRDefault="00170CA4">
      <w:pPr>
        <w:rPr>
          <w:rFonts w:ascii="Roboto" w:hAnsi="Roboto"/>
          <w:color w:val="555555"/>
          <w:sz w:val="21"/>
          <w:szCs w:val="21"/>
          <w:shd w:val="clear" w:color="auto" w:fill="FFFFFF"/>
        </w:rPr>
      </w:pPr>
    </w:p>
    <w:p w14:paraId="4B116D98" w14:textId="76A63FF9" w:rsidR="00170CA4" w:rsidRDefault="00170CA4">
      <w:pPr>
        <w:rPr>
          <w:rFonts w:ascii="Roboto" w:hAnsi="Roboto"/>
          <w:color w:val="555555"/>
          <w:sz w:val="21"/>
          <w:szCs w:val="21"/>
          <w:shd w:val="clear" w:color="auto" w:fill="FFFFFF"/>
        </w:rPr>
      </w:pPr>
    </w:p>
    <w:p w14:paraId="62F138E7" w14:textId="5B20E316" w:rsidR="00170CA4" w:rsidRDefault="00170CA4">
      <w:pPr>
        <w:rPr>
          <w:rFonts w:ascii="Roboto" w:hAnsi="Roboto"/>
          <w:color w:val="555555"/>
          <w:sz w:val="21"/>
          <w:szCs w:val="21"/>
          <w:shd w:val="clear" w:color="auto" w:fill="FFFFFF"/>
        </w:rPr>
      </w:pPr>
    </w:p>
    <w:p w14:paraId="17B4B5C9" w14:textId="0AAE9DFD" w:rsidR="00170CA4" w:rsidRDefault="00170CA4">
      <w:pPr>
        <w:rPr>
          <w:rFonts w:ascii="Roboto" w:hAnsi="Roboto"/>
          <w:color w:val="555555"/>
          <w:sz w:val="21"/>
          <w:szCs w:val="21"/>
          <w:shd w:val="clear" w:color="auto" w:fill="FFFFFF"/>
        </w:rPr>
      </w:pPr>
    </w:p>
    <w:p w14:paraId="67EFAEB3" w14:textId="710E0747" w:rsidR="00170CA4" w:rsidRDefault="00170CA4">
      <w:pPr>
        <w:rPr>
          <w:rFonts w:ascii="Roboto" w:hAnsi="Roboto"/>
          <w:color w:val="555555"/>
          <w:sz w:val="21"/>
          <w:szCs w:val="21"/>
          <w:shd w:val="clear" w:color="auto" w:fill="FFFFFF"/>
        </w:rPr>
      </w:pPr>
    </w:p>
    <w:p w14:paraId="423A3178" w14:textId="4D889A0A" w:rsidR="00170CA4" w:rsidRDefault="00170CA4">
      <w:pPr>
        <w:rPr>
          <w:rFonts w:ascii="Roboto" w:hAnsi="Roboto"/>
          <w:color w:val="555555"/>
          <w:sz w:val="21"/>
          <w:szCs w:val="21"/>
          <w:shd w:val="clear" w:color="auto" w:fill="FFFFFF"/>
        </w:rPr>
      </w:pPr>
    </w:p>
    <w:p w14:paraId="0C8A5C7C" w14:textId="330AB546" w:rsidR="00170CA4" w:rsidRDefault="00170CA4">
      <w:pPr>
        <w:rPr>
          <w:rFonts w:ascii="Roboto" w:hAnsi="Roboto"/>
          <w:color w:val="555555"/>
          <w:sz w:val="21"/>
          <w:szCs w:val="21"/>
          <w:shd w:val="clear" w:color="auto" w:fill="FFFFFF"/>
        </w:rPr>
      </w:pPr>
    </w:p>
    <w:p w14:paraId="3CD9090F" w14:textId="6D3D5AFD" w:rsidR="00170CA4" w:rsidRDefault="00170CA4">
      <w:pPr>
        <w:rPr>
          <w:rFonts w:ascii="Roboto" w:hAnsi="Roboto"/>
          <w:color w:val="555555"/>
          <w:sz w:val="21"/>
          <w:szCs w:val="21"/>
          <w:shd w:val="clear" w:color="auto" w:fill="FFFFFF"/>
        </w:rPr>
      </w:pPr>
    </w:p>
    <w:p w14:paraId="65D8943E" w14:textId="40BC03F0" w:rsidR="00170CA4" w:rsidRDefault="00170CA4">
      <w:pPr>
        <w:rPr>
          <w:rFonts w:ascii="Roboto" w:hAnsi="Roboto"/>
          <w:color w:val="555555"/>
          <w:sz w:val="21"/>
          <w:szCs w:val="21"/>
          <w:shd w:val="clear" w:color="auto" w:fill="FFFFFF"/>
        </w:rPr>
      </w:pPr>
    </w:p>
    <w:p w14:paraId="07EFD9DE" w14:textId="1785DEA9" w:rsidR="00170CA4" w:rsidRDefault="00170CA4">
      <w:pPr>
        <w:rPr>
          <w:rFonts w:ascii="Roboto" w:hAnsi="Roboto"/>
          <w:color w:val="555555"/>
          <w:sz w:val="21"/>
          <w:szCs w:val="21"/>
          <w:shd w:val="clear" w:color="auto" w:fill="FFFFFF"/>
        </w:rPr>
      </w:pPr>
    </w:p>
    <w:p w14:paraId="05BBB80A" w14:textId="0D90056B" w:rsidR="00170CA4" w:rsidRDefault="00170CA4">
      <w:pPr>
        <w:rPr>
          <w:rFonts w:ascii="Roboto" w:hAnsi="Roboto"/>
          <w:color w:val="555555"/>
          <w:sz w:val="21"/>
          <w:szCs w:val="21"/>
          <w:shd w:val="clear" w:color="auto" w:fill="FFFFFF"/>
        </w:rPr>
      </w:pPr>
    </w:p>
    <w:p w14:paraId="692C8CAC" w14:textId="08AA9A11" w:rsidR="00170CA4" w:rsidRDefault="00170CA4">
      <w:pPr>
        <w:rPr>
          <w:rFonts w:ascii="Roboto" w:hAnsi="Roboto"/>
          <w:color w:val="555555"/>
          <w:sz w:val="21"/>
          <w:szCs w:val="21"/>
          <w:shd w:val="clear" w:color="auto" w:fill="FFFFFF"/>
        </w:rPr>
      </w:pPr>
      <w:hyperlink r:id="rId7" w:tooltip="Click to search for more items by this author" w:history="1">
        <w:r>
          <w:rPr>
            <w:rStyle w:val="Hyperlink"/>
            <w:rFonts w:ascii="Roboto" w:hAnsi="Roboto"/>
            <w:color w:val="1B3C72"/>
            <w:sz w:val="21"/>
            <w:szCs w:val="21"/>
            <w:shd w:val="clear" w:color="auto" w:fill="FFFFFF"/>
          </w:rPr>
          <w:t>McGoldrick, Dominic</w:t>
        </w:r>
      </w:hyperlink>
      <w:r>
        <w:rPr>
          <w:rFonts w:ascii="Roboto" w:hAnsi="Roboto"/>
          <w:color w:val="555555"/>
          <w:sz w:val="21"/>
          <w:szCs w:val="21"/>
          <w:shd w:val="clear" w:color="auto" w:fill="FFFFFF"/>
        </w:rPr>
        <w:t>; </w:t>
      </w:r>
      <w:hyperlink r:id="rId8" w:tooltip="Click to search for more items by this author" w:history="1">
        <w:r>
          <w:rPr>
            <w:rStyle w:val="Hyperlink"/>
            <w:rFonts w:ascii="Roboto" w:hAnsi="Roboto"/>
            <w:color w:val="2A5DB0"/>
            <w:sz w:val="21"/>
            <w:szCs w:val="21"/>
            <w:shd w:val="clear" w:color="auto" w:fill="FFFFFF"/>
          </w:rPr>
          <w:t>Williams, Sarah</w:t>
        </w:r>
      </w:hyperlink>
      <w:r>
        <w:rPr>
          <w:rFonts w:ascii="Roboto" w:hAnsi="Roboto"/>
          <w:color w:val="555555"/>
          <w:sz w:val="21"/>
          <w:szCs w:val="21"/>
          <w:shd w:val="clear" w:color="auto" w:fill="FFFFFF"/>
        </w:rPr>
        <w:t>; </w:t>
      </w:r>
      <w:hyperlink r:id="rId9" w:tooltip="Click to search for more items by this author" w:history="1">
        <w:r>
          <w:rPr>
            <w:rStyle w:val="Hyperlink"/>
            <w:rFonts w:ascii="Roboto" w:hAnsi="Roboto"/>
            <w:color w:val="2A5DB0"/>
            <w:sz w:val="21"/>
            <w:szCs w:val="21"/>
            <w:shd w:val="clear" w:color="auto" w:fill="FFFFFF"/>
          </w:rPr>
          <w:t>Cryer, Robert</w:t>
        </w:r>
      </w:hyperlink>
      <w:r>
        <w:rPr>
          <w:rFonts w:ascii="Roboto" w:hAnsi="Roboto"/>
          <w:color w:val="555555"/>
          <w:sz w:val="21"/>
          <w:szCs w:val="21"/>
          <w:shd w:val="clear" w:color="auto" w:fill="FFFFFF"/>
        </w:rPr>
        <w:t>; </w:t>
      </w:r>
      <w:hyperlink r:id="rId10" w:tooltip="Click to search for more items by this author" w:history="1">
        <w:r>
          <w:rPr>
            <w:rStyle w:val="Hyperlink"/>
            <w:rFonts w:ascii="Roboto" w:hAnsi="Roboto"/>
            <w:color w:val="2A5DB0"/>
            <w:sz w:val="21"/>
            <w:szCs w:val="21"/>
            <w:shd w:val="clear" w:color="auto" w:fill="FFFFFF"/>
          </w:rPr>
          <w:t>Mora, Paul David</w:t>
        </w:r>
      </w:hyperlink>
      <w:r>
        <w:rPr>
          <w:rFonts w:ascii="Roboto" w:hAnsi="Roboto"/>
          <w:color w:val="555555"/>
          <w:sz w:val="21"/>
          <w:szCs w:val="21"/>
          <w:shd w:val="clear" w:color="auto" w:fill="FFFFFF"/>
        </w:rPr>
        <w:t>.</w:t>
      </w:r>
    </w:p>
    <w:p w14:paraId="13E53FF7" w14:textId="77777777" w:rsidR="00F63EA6" w:rsidRDefault="00F63EA6">
      <w:pPr>
        <w:rPr>
          <w:rFonts w:ascii="Roboto" w:hAnsi="Roboto"/>
          <w:color w:val="555555"/>
          <w:sz w:val="21"/>
          <w:szCs w:val="21"/>
          <w:shd w:val="clear" w:color="auto" w:fill="FFFFFF"/>
        </w:rPr>
      </w:pPr>
    </w:p>
    <w:p w14:paraId="43BE5A7F" w14:textId="6947E3D5" w:rsidR="00F63EA6" w:rsidRDefault="00AD60CD">
      <w:pPr>
        <w:rPr>
          <w:rFonts w:ascii="Roboto" w:hAnsi="Roboto"/>
          <w:color w:val="555555"/>
          <w:sz w:val="21"/>
          <w:szCs w:val="21"/>
          <w:shd w:val="clear" w:color="auto" w:fill="FFFFFF"/>
        </w:rPr>
      </w:pPr>
      <w:hyperlink r:id="rId11" w:history="1">
        <w:r w:rsidRPr="00EC235D">
          <w:rPr>
            <w:rStyle w:val="Hyperlink"/>
            <w:rFonts w:ascii="Roboto" w:hAnsi="Roboto"/>
            <w:sz w:val="21"/>
            <w:szCs w:val="21"/>
            <w:shd w:val="clear" w:color="auto" w:fill="FFFFFF"/>
          </w:rPr>
          <w:t>https://doi-org.ezproxy.uwtsd.ac.uk/10.1177/1462474513504797</w:t>
        </w:r>
      </w:hyperlink>
    </w:p>
    <w:p w14:paraId="05FC48F6" w14:textId="3A87AC08" w:rsidR="00AD60CD" w:rsidRDefault="00AD60CD">
      <w:pPr>
        <w:rPr>
          <w:rFonts w:ascii="Roboto" w:hAnsi="Roboto"/>
          <w:color w:val="555555"/>
          <w:sz w:val="21"/>
          <w:szCs w:val="21"/>
          <w:shd w:val="clear" w:color="auto" w:fill="FFFFFF"/>
        </w:rPr>
      </w:pPr>
    </w:p>
    <w:p w14:paraId="01DF7E42" w14:textId="17D90DD0" w:rsidR="00AD60CD" w:rsidRDefault="00E309AE">
      <w:pPr>
        <w:rPr>
          <w:rFonts w:ascii="Roboto" w:hAnsi="Roboto"/>
          <w:color w:val="555555"/>
          <w:sz w:val="21"/>
          <w:szCs w:val="21"/>
          <w:shd w:val="clear" w:color="auto" w:fill="FFFFFF"/>
        </w:rPr>
      </w:pPr>
      <w:hyperlink r:id="rId12" w:history="1">
        <w:r w:rsidRPr="00EC235D">
          <w:rPr>
            <w:rStyle w:val="Hyperlink"/>
            <w:rFonts w:ascii="Roboto" w:hAnsi="Roboto"/>
            <w:sz w:val="21"/>
            <w:szCs w:val="21"/>
            <w:shd w:val="clear" w:color="auto" w:fill="FFFFFF"/>
          </w:rPr>
          <w:t>https://journals-sagepub-com.ezproxy.uwtsd.ac.uk/doi/full/10.1258/msl.2011.010212#con</w:t>
        </w:r>
      </w:hyperlink>
    </w:p>
    <w:p w14:paraId="7CF3A932" w14:textId="2AAECBB1" w:rsidR="00E309AE" w:rsidRDefault="00E309AE">
      <w:pPr>
        <w:rPr>
          <w:rFonts w:ascii="Roboto" w:hAnsi="Roboto"/>
          <w:color w:val="555555"/>
          <w:sz w:val="21"/>
          <w:szCs w:val="21"/>
          <w:shd w:val="clear" w:color="auto" w:fill="FFFFFF"/>
        </w:rPr>
      </w:pPr>
    </w:p>
    <w:p w14:paraId="0EC907C4" w14:textId="15ABB09A" w:rsidR="00E309AE" w:rsidRDefault="00566519">
      <w:pPr>
        <w:rPr>
          <w:rFonts w:ascii="Roboto" w:hAnsi="Roboto"/>
          <w:color w:val="555555"/>
          <w:sz w:val="21"/>
          <w:szCs w:val="21"/>
          <w:shd w:val="clear" w:color="auto" w:fill="FFFFFF"/>
        </w:rPr>
      </w:pPr>
      <w:hyperlink r:id="rId13" w:history="1">
        <w:r w:rsidRPr="00EC235D">
          <w:rPr>
            <w:rStyle w:val="Hyperlink"/>
            <w:rFonts w:ascii="Roboto" w:hAnsi="Roboto"/>
            <w:sz w:val="21"/>
            <w:szCs w:val="21"/>
            <w:shd w:val="clear" w:color="auto" w:fill="FFFFFF"/>
          </w:rPr>
          <w:t>https://doi-org.ezproxy.uwtsd.ac.uk/10.1258/msl.2011.010212</w:t>
        </w:r>
      </w:hyperlink>
    </w:p>
    <w:p w14:paraId="5302FA98" w14:textId="5429A777" w:rsidR="00566519" w:rsidRDefault="00566519">
      <w:pPr>
        <w:rPr>
          <w:rFonts w:ascii="Roboto" w:hAnsi="Roboto"/>
          <w:color w:val="555555"/>
          <w:sz w:val="21"/>
          <w:szCs w:val="21"/>
          <w:shd w:val="clear" w:color="auto" w:fill="FFFFFF"/>
        </w:rPr>
      </w:pPr>
      <w:r w:rsidRPr="00566519">
        <w:rPr>
          <w:rFonts w:ascii="Roboto" w:hAnsi="Roboto"/>
          <w:color w:val="555555"/>
          <w:sz w:val="21"/>
          <w:szCs w:val="21"/>
          <w:shd w:val="clear" w:color="auto" w:fill="FFFFFF"/>
        </w:rPr>
        <w:t>https://journals-sagepub-com.ezproxy.uwtsd.ac.uk/doi/full/10.1177/0022018316646636#con</w:t>
      </w:r>
    </w:p>
    <w:p w14:paraId="69F8F03E" w14:textId="77777777" w:rsidR="00566519" w:rsidRDefault="00566519">
      <w:pPr>
        <w:rPr>
          <w:rFonts w:ascii="Roboto" w:hAnsi="Roboto"/>
          <w:color w:val="555555"/>
          <w:sz w:val="21"/>
          <w:szCs w:val="21"/>
          <w:shd w:val="clear" w:color="auto" w:fill="FFFFFF"/>
        </w:rPr>
      </w:pPr>
    </w:p>
    <w:p w14:paraId="77C68640" w14:textId="77777777" w:rsidR="00E309AE" w:rsidRDefault="00E309AE">
      <w:pPr>
        <w:rPr>
          <w:rFonts w:ascii="Roboto" w:hAnsi="Roboto"/>
          <w:color w:val="555555"/>
          <w:sz w:val="21"/>
          <w:szCs w:val="21"/>
          <w:shd w:val="clear" w:color="auto" w:fill="FFFFFF"/>
        </w:rPr>
      </w:pPr>
    </w:p>
    <w:p w14:paraId="65822D6B" w14:textId="600E09C1" w:rsidR="00E309AE" w:rsidRDefault="00E309AE">
      <w:pPr>
        <w:rPr>
          <w:rFonts w:ascii="Roboto" w:hAnsi="Roboto"/>
          <w:color w:val="555555"/>
          <w:sz w:val="21"/>
          <w:szCs w:val="21"/>
          <w:shd w:val="clear" w:color="auto" w:fill="FFFFFF"/>
        </w:rPr>
      </w:pPr>
    </w:p>
    <w:p w14:paraId="1599093B" w14:textId="77777777" w:rsidR="00E309AE" w:rsidRDefault="00E309AE">
      <w:pPr>
        <w:rPr>
          <w:rFonts w:ascii="Roboto" w:hAnsi="Roboto"/>
          <w:color w:val="555555"/>
          <w:sz w:val="21"/>
          <w:szCs w:val="21"/>
          <w:shd w:val="clear" w:color="auto" w:fill="FFFFFF"/>
        </w:rPr>
      </w:pPr>
    </w:p>
    <w:p w14:paraId="494B0526" w14:textId="77777777" w:rsidR="00AD60CD" w:rsidRDefault="00AD60CD">
      <w:pPr>
        <w:rPr>
          <w:rFonts w:ascii="Roboto" w:hAnsi="Roboto"/>
          <w:color w:val="555555"/>
          <w:sz w:val="21"/>
          <w:szCs w:val="21"/>
          <w:shd w:val="clear" w:color="auto" w:fill="FFFFFF"/>
        </w:rPr>
      </w:pPr>
    </w:p>
    <w:p w14:paraId="604E38FB" w14:textId="0CD9CB20" w:rsidR="00AD60CD" w:rsidRDefault="00AD60CD">
      <w:pPr>
        <w:rPr>
          <w:rFonts w:ascii="Roboto" w:hAnsi="Roboto"/>
          <w:color w:val="555555"/>
          <w:sz w:val="21"/>
          <w:szCs w:val="21"/>
          <w:shd w:val="clear" w:color="auto" w:fill="FFFFFF"/>
        </w:rPr>
      </w:pPr>
    </w:p>
    <w:p w14:paraId="1A524E5D" w14:textId="77777777" w:rsidR="00AD60CD" w:rsidRDefault="00AD60CD">
      <w:pPr>
        <w:rPr>
          <w:rFonts w:ascii="Roboto" w:hAnsi="Roboto"/>
          <w:color w:val="555555"/>
          <w:sz w:val="21"/>
          <w:szCs w:val="21"/>
          <w:shd w:val="clear" w:color="auto" w:fill="FFFFFF"/>
        </w:rPr>
      </w:pPr>
    </w:p>
    <w:p w14:paraId="11B47CBE" w14:textId="77777777" w:rsidR="00F63EA6" w:rsidRDefault="00F63EA6">
      <w:pPr>
        <w:rPr>
          <w:rFonts w:ascii="Roboto" w:hAnsi="Roboto"/>
          <w:color w:val="555555"/>
          <w:sz w:val="21"/>
          <w:szCs w:val="21"/>
          <w:shd w:val="clear" w:color="auto" w:fill="FFFFFF"/>
        </w:rPr>
      </w:pPr>
    </w:p>
    <w:p w14:paraId="6F332FB0" w14:textId="77777777" w:rsidR="00F63EA6" w:rsidRDefault="00F63EA6">
      <w:pPr>
        <w:rPr>
          <w:rFonts w:ascii="Times New Roman" w:hAnsi="Times New Roman" w:cs="Times New Roman"/>
          <w:color w:val="555555"/>
          <w:sz w:val="21"/>
          <w:szCs w:val="21"/>
          <w:shd w:val="clear" w:color="auto" w:fill="FFFFFF"/>
        </w:rPr>
      </w:pPr>
    </w:p>
    <w:p w14:paraId="793F0A02" w14:textId="77777777" w:rsidR="00F63EA6" w:rsidRDefault="00F63EA6">
      <w:pPr>
        <w:rPr>
          <w:rFonts w:ascii="Times New Roman" w:hAnsi="Times New Roman" w:cs="Times New Roman"/>
          <w:color w:val="555555"/>
          <w:sz w:val="21"/>
          <w:szCs w:val="21"/>
          <w:shd w:val="clear" w:color="auto" w:fill="FFFFFF"/>
        </w:rPr>
      </w:pPr>
    </w:p>
    <w:p w14:paraId="521A51E7" w14:textId="77777777" w:rsidR="00F63EA6" w:rsidRDefault="00F63EA6">
      <w:pPr>
        <w:rPr>
          <w:rFonts w:ascii="Roboto" w:hAnsi="Roboto"/>
          <w:color w:val="555555"/>
          <w:sz w:val="21"/>
          <w:szCs w:val="21"/>
          <w:shd w:val="clear" w:color="auto" w:fill="FFFFFF"/>
        </w:rPr>
      </w:pPr>
    </w:p>
    <w:p w14:paraId="201783BD" w14:textId="4125B484" w:rsidR="00170CA4" w:rsidRDefault="00170CA4">
      <w:pPr>
        <w:rPr>
          <w:rFonts w:ascii="Roboto" w:hAnsi="Roboto"/>
          <w:color w:val="555555"/>
          <w:sz w:val="21"/>
          <w:szCs w:val="21"/>
          <w:shd w:val="clear" w:color="auto" w:fill="FFFFFF"/>
        </w:rPr>
      </w:pPr>
    </w:p>
    <w:p w14:paraId="5E8AF109" w14:textId="77777777" w:rsidR="00170CA4" w:rsidRDefault="00170CA4"/>
    <w:sectPr w:rsidR="00170CA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CA4"/>
    <w:rsid w:val="00170CA4"/>
    <w:rsid w:val="00566519"/>
    <w:rsid w:val="00AD60CD"/>
    <w:rsid w:val="00DE7813"/>
    <w:rsid w:val="00E309AE"/>
    <w:rsid w:val="00F63EA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B4DEC"/>
  <w15:chartTrackingRefBased/>
  <w15:docId w15:val="{167D42F4-D7C1-4172-9467-5EEA51918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70CA4"/>
    <w:rPr>
      <w:color w:val="0000FF"/>
      <w:u w:val="single"/>
    </w:rPr>
  </w:style>
  <w:style w:type="character" w:styleId="UnresolvedMention">
    <w:name w:val="Unresolved Mention"/>
    <w:basedOn w:val="DefaultParagraphFont"/>
    <w:uiPriority w:val="99"/>
    <w:semiHidden/>
    <w:unhideWhenUsed/>
    <w:rsid w:val="00AD6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42296">
      <w:bodyDiv w:val="1"/>
      <w:marLeft w:val="0"/>
      <w:marRight w:val="0"/>
      <w:marTop w:val="0"/>
      <w:marBottom w:val="0"/>
      <w:divBdr>
        <w:top w:val="none" w:sz="0" w:space="0" w:color="auto"/>
        <w:left w:val="none" w:sz="0" w:space="0" w:color="auto"/>
        <w:bottom w:val="none" w:sz="0" w:space="0" w:color="auto"/>
        <w:right w:val="none" w:sz="0" w:space="0" w:color="auto"/>
      </w:divBdr>
    </w:div>
    <w:div w:id="238055556">
      <w:bodyDiv w:val="1"/>
      <w:marLeft w:val="0"/>
      <w:marRight w:val="0"/>
      <w:marTop w:val="0"/>
      <w:marBottom w:val="0"/>
      <w:divBdr>
        <w:top w:val="none" w:sz="0" w:space="0" w:color="auto"/>
        <w:left w:val="none" w:sz="0" w:space="0" w:color="auto"/>
        <w:bottom w:val="none" w:sz="0" w:space="0" w:color="auto"/>
        <w:right w:val="none" w:sz="0" w:space="0" w:color="auto"/>
      </w:divBdr>
      <w:divsChild>
        <w:div w:id="734746432">
          <w:marLeft w:val="0"/>
          <w:marRight w:val="0"/>
          <w:marTop w:val="0"/>
          <w:marBottom w:val="120"/>
          <w:divBdr>
            <w:top w:val="none" w:sz="0" w:space="0" w:color="auto"/>
            <w:left w:val="none" w:sz="0" w:space="0" w:color="auto"/>
            <w:bottom w:val="none" w:sz="0" w:space="0" w:color="auto"/>
            <w:right w:val="none" w:sz="0" w:space="0" w:color="auto"/>
          </w:divBdr>
        </w:div>
        <w:div w:id="1481114691">
          <w:marLeft w:val="0"/>
          <w:marRight w:val="0"/>
          <w:marTop w:val="0"/>
          <w:marBottom w:val="120"/>
          <w:divBdr>
            <w:top w:val="none" w:sz="0" w:space="0" w:color="auto"/>
            <w:left w:val="none" w:sz="0" w:space="0" w:color="auto"/>
            <w:bottom w:val="none" w:sz="0" w:space="0" w:color="auto"/>
            <w:right w:val="none" w:sz="0" w:space="0" w:color="auto"/>
          </w:divBdr>
        </w:div>
      </w:divsChild>
    </w:div>
    <w:div w:id="927229106">
      <w:bodyDiv w:val="1"/>
      <w:marLeft w:val="0"/>
      <w:marRight w:val="0"/>
      <w:marTop w:val="0"/>
      <w:marBottom w:val="0"/>
      <w:divBdr>
        <w:top w:val="none" w:sz="0" w:space="0" w:color="auto"/>
        <w:left w:val="none" w:sz="0" w:space="0" w:color="auto"/>
        <w:bottom w:val="none" w:sz="0" w:space="0" w:color="auto"/>
        <w:right w:val="none" w:sz="0" w:space="0" w:color="auto"/>
      </w:divBdr>
      <w:divsChild>
        <w:div w:id="994184563">
          <w:marLeft w:val="0"/>
          <w:marRight w:val="0"/>
          <w:marTop w:val="0"/>
          <w:marBottom w:val="120"/>
          <w:divBdr>
            <w:top w:val="none" w:sz="0" w:space="0" w:color="auto"/>
            <w:left w:val="none" w:sz="0" w:space="0" w:color="auto"/>
            <w:bottom w:val="none" w:sz="0" w:space="0" w:color="auto"/>
            <w:right w:val="none" w:sz="0" w:space="0" w:color="auto"/>
          </w:divBdr>
        </w:div>
        <w:div w:id="112480390">
          <w:marLeft w:val="0"/>
          <w:marRight w:val="0"/>
          <w:marTop w:val="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quest.com/indexinglinkhandler/sng/author/Williams,+Sarah/$N?accountid=130472" TargetMode="External"/><Relationship Id="rId13" Type="http://schemas.openxmlformats.org/officeDocument/2006/relationships/hyperlink" Target="https://doi-org.ezproxy.uwtsd.ac.uk/10.1258/msl.2011.010212" TargetMode="External"/><Relationship Id="rId3" Type="http://schemas.openxmlformats.org/officeDocument/2006/relationships/webSettings" Target="webSettings.xml"/><Relationship Id="rId7" Type="http://schemas.openxmlformats.org/officeDocument/2006/relationships/hyperlink" Target="https://www.proquest.com/indexinglinkhandler/sng/author/McGoldrick,+Dominic/$N?accountid=130472" TargetMode="External"/><Relationship Id="rId12" Type="http://schemas.openxmlformats.org/officeDocument/2006/relationships/hyperlink" Target="https://journals-sagepub-com.ezproxy.uwtsd.ac.uk/doi/full/10.1258/msl.2011.010212#con"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journals-sagepub-com.ezproxy.uwtsd.ac.uk/doi/full/10.1177/0022018316646636" TargetMode="External"/><Relationship Id="rId11" Type="http://schemas.openxmlformats.org/officeDocument/2006/relationships/hyperlink" Target="https://doi-org.ezproxy.uwtsd.ac.uk/10.1177/1462474513504797" TargetMode="External"/><Relationship Id="rId5" Type="http://schemas.openxmlformats.org/officeDocument/2006/relationships/hyperlink" Target="https://journals-sagepub-com.ezproxy.uwtsd.ac.uk/doi/full/10.1258/msl.2011.010212" TargetMode="External"/><Relationship Id="rId15" Type="http://schemas.openxmlformats.org/officeDocument/2006/relationships/theme" Target="theme/theme1.xml"/><Relationship Id="rId10" Type="http://schemas.openxmlformats.org/officeDocument/2006/relationships/hyperlink" Target="https://www.proquest.com/indexinglinkhandler/sng/author/Mora,+Paul+David/$N?accountid=130472" TargetMode="External"/><Relationship Id="rId4" Type="http://schemas.openxmlformats.org/officeDocument/2006/relationships/hyperlink" Target="https://journals-sagepub-com.ezproxy.uwtsd.ac.uk/doi/full/10.1177/1462474513504797" TargetMode="External"/><Relationship Id="rId9" Type="http://schemas.openxmlformats.org/officeDocument/2006/relationships/hyperlink" Target="https://www.proquest.com/indexinglinkhandler/sng/author/Cryer,+Robert/$N?accountid=13047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1557</Words>
  <Characters>8877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Esmail</dc:creator>
  <cp:keywords/>
  <dc:description/>
  <cp:lastModifiedBy>Esmail</cp:lastModifiedBy>
  <cp:revision>1</cp:revision>
  <dcterms:created xsi:type="dcterms:W3CDTF">2023-03-10T13:37:00Z</dcterms:created>
  <dcterms:modified xsi:type="dcterms:W3CDTF">2023-03-10T15:54:00Z</dcterms:modified>
</cp:coreProperties>
</file>