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EC92F4" w14:textId="77777777" w:rsidR="00901BFE" w:rsidRPr="000E5F58" w:rsidRDefault="00901BFE"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
          <w:bCs/>
          <w:bdr w:val="none" w:sz="0" w:space="0" w:color="auto"/>
          <w14:ligatures w14:val="standardContextual"/>
        </w:rPr>
      </w:pPr>
    </w:p>
    <w:p w14:paraId="052DCA2A" w14:textId="77777777" w:rsidR="00901BFE" w:rsidRPr="000E5F58" w:rsidRDefault="00901BFE"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
          <w:bCs/>
          <w:bdr w:val="none" w:sz="0" w:space="0" w:color="auto"/>
          <w14:ligatures w14:val="standardContextual"/>
        </w:rPr>
      </w:pPr>
    </w:p>
    <w:p w14:paraId="58EFB16C" w14:textId="77777777" w:rsidR="00901BFE" w:rsidRPr="000E5F58" w:rsidRDefault="00901BFE"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
          <w:bCs/>
          <w:bdr w:val="none" w:sz="0" w:space="0" w:color="auto"/>
          <w14:ligatures w14:val="standardContextual"/>
        </w:rPr>
      </w:pPr>
    </w:p>
    <w:p w14:paraId="201562F1" w14:textId="77777777" w:rsidR="00901BFE" w:rsidRPr="000E5F58" w:rsidRDefault="00901BFE"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
          <w:bCs/>
          <w:bdr w:val="none" w:sz="0" w:space="0" w:color="auto"/>
          <w14:ligatures w14:val="standardContextual"/>
        </w:rPr>
      </w:pPr>
    </w:p>
    <w:p w14:paraId="5726CCD9" w14:textId="77777777" w:rsidR="00901BFE" w:rsidRPr="000E5F58" w:rsidRDefault="00901BFE"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
          <w:bCs/>
          <w:bdr w:val="none" w:sz="0" w:space="0" w:color="auto"/>
          <w14:ligatures w14:val="standardContextual"/>
        </w:rPr>
      </w:pPr>
    </w:p>
    <w:p w14:paraId="7B93F691" w14:textId="77777777" w:rsidR="00901BFE" w:rsidRPr="000E5F58" w:rsidRDefault="00901BFE"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
          <w:bCs/>
          <w:bdr w:val="none" w:sz="0" w:space="0" w:color="auto"/>
          <w14:ligatures w14:val="standardContextual"/>
        </w:rPr>
      </w:pPr>
    </w:p>
    <w:p w14:paraId="6DECED91" w14:textId="77777777" w:rsidR="00901BFE" w:rsidRPr="000E5F58" w:rsidRDefault="00901BFE"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
          <w:bCs/>
          <w:bdr w:val="none" w:sz="0" w:space="0" w:color="auto"/>
          <w14:ligatures w14:val="standardContextual"/>
        </w:rPr>
      </w:pPr>
    </w:p>
    <w:p w14:paraId="2945090F" w14:textId="77777777" w:rsidR="00901BFE" w:rsidRPr="000E5F58" w:rsidRDefault="00901BFE"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
          <w:bCs/>
          <w:bdr w:val="none" w:sz="0" w:space="0" w:color="auto"/>
          <w14:ligatures w14:val="standardContextual"/>
        </w:rPr>
      </w:pPr>
    </w:p>
    <w:p w14:paraId="1374F7BC" w14:textId="3562C5A5" w:rsidR="00180AC1" w:rsidRPr="000E5F58" w:rsidRDefault="00180AC1"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dr w:val="none" w:sz="0" w:space="0" w:color="auto"/>
          <w14:ligatures w14:val="standardContextual"/>
        </w:rPr>
      </w:pPr>
      <w:r w:rsidRPr="000E5F58">
        <w:rPr>
          <w:rFonts w:asciiTheme="minorHAnsi" w:eastAsiaTheme="minorHAnsi" w:hAnsiTheme="minorHAnsi" w:cstheme="minorHAnsi"/>
          <w:b/>
          <w:bCs/>
          <w:bdr w:val="none" w:sz="0" w:space="0" w:color="auto"/>
          <w14:ligatures w14:val="standardContextual"/>
        </w:rPr>
        <w:t>Title</w:t>
      </w:r>
    </w:p>
    <w:p w14:paraId="77EC1CF5" w14:textId="4C1C8773" w:rsidR="00180AC1" w:rsidRPr="000E5F58" w:rsidRDefault="00180AC1"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
          <w:bCs/>
          <w:bdr w:val="none" w:sz="0" w:space="0" w:color="auto"/>
          <w14:ligatures w14:val="standardContextual"/>
        </w:rPr>
      </w:pPr>
    </w:p>
    <w:p w14:paraId="29989F8B" w14:textId="77777777" w:rsidR="00FB48CD" w:rsidRPr="000E5F58" w:rsidRDefault="00FB48CD" w:rsidP="00A44595">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00" w:lineRule="auto"/>
        <w:rPr>
          <w:rFonts w:asciiTheme="minorHAnsi" w:eastAsiaTheme="minorHAnsi" w:hAnsiTheme="minorHAnsi" w:cstheme="minorHAnsi"/>
          <w:bdr w:val="none" w:sz="0" w:space="0" w:color="auto"/>
          <w14:ligatures w14:val="standardContextual"/>
        </w:rPr>
      </w:pPr>
    </w:p>
    <w:p w14:paraId="0277F01B" w14:textId="342ACE7E" w:rsidR="00FB48CD" w:rsidRPr="000E5F58" w:rsidRDefault="00FB48CD" w:rsidP="00A44595">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00" w:lineRule="auto"/>
        <w:jc w:val="center"/>
        <w:rPr>
          <w:rFonts w:asciiTheme="minorHAnsi" w:eastAsia="Times New Roman" w:hAnsiTheme="minorHAnsi" w:cstheme="minorHAnsi"/>
          <w:bdr w:val="none" w:sz="0" w:space="0" w:color="auto"/>
          <w:lang w:eastAsia="en-GB"/>
        </w:rPr>
      </w:pPr>
      <w:r w:rsidRPr="000E5F58">
        <w:rPr>
          <w:rFonts w:asciiTheme="minorHAnsi" w:eastAsia="Times New Roman" w:hAnsiTheme="minorHAnsi" w:cstheme="minorHAnsi"/>
          <w:bdr w:val="none" w:sz="0" w:space="0" w:color="auto"/>
          <w:lang w:eastAsia="en-GB"/>
        </w:rPr>
        <w:t>‘We know God as three only as we meet God in Christ’.</w:t>
      </w:r>
      <w:r w:rsidRPr="000E5F58">
        <w:rPr>
          <w:rFonts w:asciiTheme="minorHAnsi" w:eastAsia="Times New Roman" w:hAnsiTheme="minorHAnsi" w:cstheme="minorHAnsi"/>
          <w:bdr w:val="none" w:sz="0" w:space="0" w:color="auto"/>
          <w:lang w:eastAsia="en-GB"/>
        </w:rPr>
        <w:br/>
        <w:t>What does this mean for the immanent Trinity?</w:t>
      </w:r>
    </w:p>
    <w:p w14:paraId="024DFC58" w14:textId="04D664F5" w:rsidR="00901BFE" w:rsidRPr="000E5F58" w:rsidRDefault="00901BFE"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
          <w:bCs/>
          <w:bdr w:val="none" w:sz="0" w:space="0" w:color="auto"/>
          <w14:ligatures w14:val="standardContextual"/>
        </w:rPr>
      </w:pPr>
    </w:p>
    <w:p w14:paraId="2FEBCC32" w14:textId="040565B0" w:rsidR="00901BFE" w:rsidRPr="000E5F58" w:rsidRDefault="00901BFE"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
          <w:bCs/>
          <w:bdr w:val="none" w:sz="0" w:space="0" w:color="auto"/>
          <w14:ligatures w14:val="standardContextual"/>
        </w:rPr>
      </w:pPr>
    </w:p>
    <w:p w14:paraId="1BE5B24E" w14:textId="77777777" w:rsidR="00901BFE" w:rsidRPr="000E5F58" w:rsidRDefault="00901BFE"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dr w:val="none" w:sz="0" w:space="0" w:color="auto"/>
          <w14:ligatures w14:val="standardContextual"/>
        </w:rPr>
      </w:pPr>
    </w:p>
    <w:p w14:paraId="03E12777" w14:textId="77777777" w:rsidR="00D543D0" w:rsidRPr="000E5F58" w:rsidRDefault="00D543D0"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bdr w:val="none" w:sz="0" w:space="0" w:color="auto"/>
          <w14:ligatures w14:val="standardContextual"/>
        </w:rPr>
      </w:pPr>
    </w:p>
    <w:p w14:paraId="5924F967" w14:textId="3C87BB6A" w:rsidR="00D543D0" w:rsidRPr="000E5F58" w:rsidRDefault="00D543D0" w:rsidP="00A44595">
      <w:pPr>
        <w:pBdr>
          <w:top w:val="none" w:sz="0" w:space="0" w:color="auto"/>
          <w:left w:val="none" w:sz="0" w:space="0" w:color="auto"/>
          <w:bottom w:val="none" w:sz="0" w:space="0" w:color="auto"/>
          <w:right w:val="none" w:sz="0" w:space="0" w:color="auto"/>
          <w:between w:val="none" w:sz="0" w:space="0" w:color="auto"/>
          <w:bar w:val="none" w:sz="0" w:color="auto"/>
        </w:pBdr>
        <w:spacing w:line="300" w:lineRule="auto"/>
        <w:rPr>
          <w:rFonts w:asciiTheme="minorHAnsi" w:eastAsiaTheme="minorHAnsi" w:hAnsiTheme="minorHAnsi" w:cstheme="minorHAnsi"/>
          <w:bdr w:val="none" w:sz="0" w:space="0" w:color="auto"/>
          <w14:ligatures w14:val="standardContextual"/>
        </w:rPr>
      </w:pPr>
      <w:r w:rsidRPr="000E5F58">
        <w:rPr>
          <w:rFonts w:asciiTheme="minorHAnsi" w:eastAsiaTheme="minorHAnsi" w:hAnsiTheme="minorHAnsi" w:cstheme="minorHAnsi"/>
          <w:bdr w:val="none" w:sz="0" w:space="0" w:color="auto"/>
          <w14:ligatures w14:val="standardContextual"/>
        </w:rPr>
        <w:br w:type="page"/>
      </w:r>
    </w:p>
    <w:p w14:paraId="3E2DAA60" w14:textId="77777777" w:rsidR="00D543D0" w:rsidRPr="000E5F58" w:rsidRDefault="00D543D0"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bdr w:val="none" w:sz="0" w:space="0" w:color="auto"/>
          <w14:ligatures w14:val="standardContextual"/>
        </w:rPr>
      </w:pPr>
    </w:p>
    <w:sdt>
      <w:sdtPr>
        <w:rPr>
          <w:rFonts w:asciiTheme="minorHAnsi" w:eastAsia="Arial Unicode MS" w:hAnsiTheme="minorHAnsi" w:cstheme="minorHAnsi"/>
          <w:b w:val="0"/>
          <w:bCs w:val="0"/>
          <w:color w:val="auto"/>
          <w:sz w:val="24"/>
          <w:szCs w:val="24"/>
          <w:bdr w:val="nil"/>
          <w:lang w:val="en-GB"/>
        </w:rPr>
        <w:id w:val="-1615584480"/>
        <w:docPartObj>
          <w:docPartGallery w:val="Table of Contents"/>
          <w:docPartUnique/>
        </w:docPartObj>
      </w:sdtPr>
      <w:sdtEndPr>
        <w:rPr>
          <w:noProof/>
        </w:rPr>
      </w:sdtEndPr>
      <w:sdtContent>
        <w:p w14:paraId="5010A193" w14:textId="0AADFD49" w:rsidR="003C584B" w:rsidRPr="004851FD" w:rsidRDefault="003C584B" w:rsidP="00A44595">
          <w:pPr>
            <w:pStyle w:val="TOCHeading"/>
            <w:spacing w:line="300" w:lineRule="auto"/>
            <w:rPr>
              <w:rFonts w:asciiTheme="minorHAnsi" w:hAnsiTheme="minorHAnsi" w:cstheme="minorHAnsi"/>
              <w:b w:val="0"/>
              <w:bCs w:val="0"/>
              <w:color w:val="auto"/>
              <w:sz w:val="24"/>
              <w:szCs w:val="24"/>
            </w:rPr>
          </w:pPr>
          <w:r w:rsidRPr="000E5F58">
            <w:rPr>
              <w:rFonts w:asciiTheme="minorHAnsi" w:hAnsiTheme="minorHAnsi" w:cstheme="minorHAnsi"/>
              <w:color w:val="auto"/>
              <w:sz w:val="24"/>
              <w:szCs w:val="24"/>
            </w:rPr>
            <w:t>Table of Contents</w:t>
          </w:r>
        </w:p>
        <w:p w14:paraId="1D76E8C9" w14:textId="6D7B26B5" w:rsidR="004851FD" w:rsidRPr="004851FD" w:rsidRDefault="003C584B" w:rsidP="004851FD">
          <w:pPr>
            <w:pStyle w:val="TOC1"/>
            <w:rPr>
              <w:rFonts w:eastAsiaTheme="minorEastAsia" w:cstheme="minorBidi"/>
              <w:bdr w:val="none" w:sz="0" w:space="0" w:color="auto"/>
              <w:lang w:eastAsia="en-GB"/>
            </w:rPr>
          </w:pPr>
          <w:r w:rsidRPr="004851FD">
            <w:rPr>
              <w:noProof w:val="0"/>
            </w:rPr>
            <w:fldChar w:fldCharType="begin"/>
          </w:r>
          <w:r w:rsidRPr="004851FD">
            <w:instrText xml:space="preserve"> TOC \o "1-3" \h \z \u </w:instrText>
          </w:r>
          <w:r w:rsidRPr="004851FD">
            <w:rPr>
              <w:noProof w:val="0"/>
            </w:rPr>
            <w:fldChar w:fldCharType="separate"/>
          </w:r>
          <w:hyperlink w:anchor="_Toc134728147" w:history="1">
            <w:r w:rsidR="004851FD" w:rsidRPr="004851FD">
              <w:rPr>
                <w:rStyle w:val="Hyperlink"/>
              </w:rPr>
              <w:t>Introduction</w:t>
            </w:r>
            <w:r w:rsidR="004851FD" w:rsidRPr="004851FD">
              <w:rPr>
                <w:webHidden/>
              </w:rPr>
              <w:tab/>
            </w:r>
            <w:r w:rsidR="004851FD" w:rsidRPr="004851FD">
              <w:rPr>
                <w:webHidden/>
              </w:rPr>
              <w:fldChar w:fldCharType="begin"/>
            </w:r>
            <w:r w:rsidR="004851FD" w:rsidRPr="004851FD">
              <w:rPr>
                <w:webHidden/>
              </w:rPr>
              <w:instrText xml:space="preserve"> PAGEREF _Toc134728147 \h </w:instrText>
            </w:r>
            <w:r w:rsidR="004851FD" w:rsidRPr="004851FD">
              <w:rPr>
                <w:webHidden/>
              </w:rPr>
            </w:r>
            <w:r w:rsidR="004851FD" w:rsidRPr="004851FD">
              <w:rPr>
                <w:webHidden/>
              </w:rPr>
              <w:fldChar w:fldCharType="separate"/>
            </w:r>
            <w:r w:rsidR="004851FD" w:rsidRPr="004851FD">
              <w:rPr>
                <w:webHidden/>
              </w:rPr>
              <w:t>4</w:t>
            </w:r>
            <w:r w:rsidR="004851FD" w:rsidRPr="004851FD">
              <w:rPr>
                <w:webHidden/>
              </w:rPr>
              <w:fldChar w:fldCharType="end"/>
            </w:r>
          </w:hyperlink>
        </w:p>
        <w:p w14:paraId="75CD1B51" w14:textId="432C1C23" w:rsidR="004851FD" w:rsidRPr="004851FD" w:rsidRDefault="004851FD" w:rsidP="004851FD">
          <w:pPr>
            <w:pStyle w:val="TOC1"/>
            <w:rPr>
              <w:rFonts w:eastAsiaTheme="minorEastAsia" w:cstheme="minorBidi"/>
              <w:bdr w:val="none" w:sz="0" w:space="0" w:color="auto"/>
              <w:lang w:eastAsia="en-GB"/>
            </w:rPr>
          </w:pPr>
          <w:hyperlink w:anchor="_Toc134728148" w:history="1">
            <w:r w:rsidRPr="004851FD">
              <w:rPr>
                <w:rStyle w:val="Hyperlink"/>
              </w:rPr>
              <w:t>The immanent and economic Trinity</w:t>
            </w:r>
            <w:r w:rsidRPr="004851FD">
              <w:rPr>
                <w:webHidden/>
              </w:rPr>
              <w:tab/>
            </w:r>
            <w:r w:rsidRPr="004851FD">
              <w:rPr>
                <w:webHidden/>
              </w:rPr>
              <w:fldChar w:fldCharType="begin"/>
            </w:r>
            <w:r w:rsidRPr="004851FD">
              <w:rPr>
                <w:webHidden/>
              </w:rPr>
              <w:instrText xml:space="preserve"> PAGEREF _Toc134728148 \h </w:instrText>
            </w:r>
            <w:r w:rsidRPr="004851FD">
              <w:rPr>
                <w:webHidden/>
              </w:rPr>
            </w:r>
            <w:r w:rsidRPr="004851FD">
              <w:rPr>
                <w:webHidden/>
              </w:rPr>
              <w:fldChar w:fldCharType="separate"/>
            </w:r>
            <w:r w:rsidRPr="004851FD">
              <w:rPr>
                <w:webHidden/>
              </w:rPr>
              <w:t>4</w:t>
            </w:r>
            <w:r w:rsidRPr="004851FD">
              <w:rPr>
                <w:webHidden/>
              </w:rPr>
              <w:fldChar w:fldCharType="end"/>
            </w:r>
          </w:hyperlink>
        </w:p>
        <w:p w14:paraId="589DEA63" w14:textId="68A6FE7E" w:rsidR="004851FD" w:rsidRPr="004851FD" w:rsidRDefault="004851FD" w:rsidP="004851FD">
          <w:pPr>
            <w:pStyle w:val="TOC1"/>
            <w:rPr>
              <w:rFonts w:eastAsiaTheme="minorEastAsia" w:cstheme="minorBidi"/>
              <w:bdr w:val="none" w:sz="0" w:space="0" w:color="auto"/>
              <w:lang w:eastAsia="en-GB"/>
            </w:rPr>
          </w:pPr>
          <w:hyperlink w:anchor="_Toc134728149" w:history="1">
            <w:r w:rsidRPr="004851FD">
              <w:rPr>
                <w:rStyle w:val="Hyperlink"/>
              </w:rPr>
              <w:t>‘Individualised’ trinitarian theologies</w:t>
            </w:r>
            <w:r w:rsidRPr="004851FD">
              <w:rPr>
                <w:webHidden/>
              </w:rPr>
              <w:tab/>
            </w:r>
            <w:r w:rsidRPr="004851FD">
              <w:rPr>
                <w:webHidden/>
              </w:rPr>
              <w:fldChar w:fldCharType="begin"/>
            </w:r>
            <w:r w:rsidRPr="004851FD">
              <w:rPr>
                <w:webHidden/>
              </w:rPr>
              <w:instrText xml:space="preserve"> PAGEREF _Toc134728149 \h </w:instrText>
            </w:r>
            <w:r w:rsidRPr="004851FD">
              <w:rPr>
                <w:webHidden/>
              </w:rPr>
            </w:r>
            <w:r w:rsidRPr="004851FD">
              <w:rPr>
                <w:webHidden/>
              </w:rPr>
              <w:fldChar w:fldCharType="separate"/>
            </w:r>
            <w:r w:rsidRPr="004851FD">
              <w:rPr>
                <w:webHidden/>
              </w:rPr>
              <w:t>7</w:t>
            </w:r>
            <w:r w:rsidRPr="004851FD">
              <w:rPr>
                <w:webHidden/>
              </w:rPr>
              <w:fldChar w:fldCharType="end"/>
            </w:r>
          </w:hyperlink>
        </w:p>
        <w:p w14:paraId="3D35AA76" w14:textId="447A85BB" w:rsidR="004851FD" w:rsidRPr="004851FD" w:rsidRDefault="004851FD" w:rsidP="004851FD">
          <w:pPr>
            <w:pStyle w:val="TOC1"/>
            <w:rPr>
              <w:rFonts w:eastAsiaTheme="minorEastAsia" w:cstheme="minorBidi"/>
              <w:bdr w:val="none" w:sz="0" w:space="0" w:color="auto"/>
              <w:lang w:eastAsia="en-GB"/>
            </w:rPr>
          </w:pPr>
          <w:hyperlink w:anchor="_Toc134728150" w:history="1">
            <w:r w:rsidRPr="004851FD">
              <w:rPr>
                <w:rStyle w:val="Hyperlink"/>
              </w:rPr>
              <w:t>Everyday culture as an experiential understanding of the Trinity</w:t>
            </w:r>
            <w:r w:rsidRPr="004851FD">
              <w:rPr>
                <w:webHidden/>
              </w:rPr>
              <w:tab/>
            </w:r>
            <w:r w:rsidRPr="004851FD">
              <w:rPr>
                <w:webHidden/>
              </w:rPr>
              <w:fldChar w:fldCharType="begin"/>
            </w:r>
            <w:r w:rsidRPr="004851FD">
              <w:rPr>
                <w:webHidden/>
              </w:rPr>
              <w:instrText xml:space="preserve"> PAGEREF _Toc134728150 \h </w:instrText>
            </w:r>
            <w:r w:rsidRPr="004851FD">
              <w:rPr>
                <w:webHidden/>
              </w:rPr>
            </w:r>
            <w:r w:rsidRPr="004851FD">
              <w:rPr>
                <w:webHidden/>
              </w:rPr>
              <w:fldChar w:fldCharType="separate"/>
            </w:r>
            <w:r w:rsidRPr="004851FD">
              <w:rPr>
                <w:webHidden/>
              </w:rPr>
              <w:t>7</w:t>
            </w:r>
            <w:r w:rsidRPr="004851FD">
              <w:rPr>
                <w:webHidden/>
              </w:rPr>
              <w:fldChar w:fldCharType="end"/>
            </w:r>
          </w:hyperlink>
        </w:p>
        <w:p w14:paraId="4ED94A2E" w14:textId="7FCC532B" w:rsidR="004851FD" w:rsidRPr="004851FD" w:rsidRDefault="004851FD" w:rsidP="004851FD">
          <w:pPr>
            <w:pStyle w:val="TOC1"/>
            <w:rPr>
              <w:rFonts w:eastAsiaTheme="minorEastAsia" w:cstheme="minorBidi"/>
              <w:bdr w:val="none" w:sz="0" w:space="0" w:color="auto"/>
              <w:lang w:eastAsia="en-GB"/>
            </w:rPr>
          </w:pPr>
          <w:hyperlink w:anchor="_Toc134728151" w:history="1">
            <w:r w:rsidRPr="004851FD">
              <w:rPr>
                <w:rStyle w:val="Hyperlink"/>
              </w:rPr>
              <w:t>Conclusion</w:t>
            </w:r>
            <w:r w:rsidRPr="004851FD">
              <w:rPr>
                <w:webHidden/>
              </w:rPr>
              <w:tab/>
            </w:r>
            <w:r w:rsidRPr="004851FD">
              <w:rPr>
                <w:webHidden/>
              </w:rPr>
              <w:fldChar w:fldCharType="begin"/>
            </w:r>
            <w:r w:rsidRPr="004851FD">
              <w:rPr>
                <w:webHidden/>
              </w:rPr>
              <w:instrText xml:space="preserve"> PAGEREF _Toc134728151 \h </w:instrText>
            </w:r>
            <w:r w:rsidRPr="004851FD">
              <w:rPr>
                <w:webHidden/>
              </w:rPr>
            </w:r>
            <w:r w:rsidRPr="004851FD">
              <w:rPr>
                <w:webHidden/>
              </w:rPr>
              <w:fldChar w:fldCharType="separate"/>
            </w:r>
            <w:r w:rsidRPr="004851FD">
              <w:rPr>
                <w:webHidden/>
              </w:rPr>
              <w:t>9</w:t>
            </w:r>
            <w:r w:rsidRPr="004851FD">
              <w:rPr>
                <w:webHidden/>
              </w:rPr>
              <w:fldChar w:fldCharType="end"/>
            </w:r>
          </w:hyperlink>
        </w:p>
        <w:p w14:paraId="00FFB456" w14:textId="1AE88E7B" w:rsidR="004851FD" w:rsidRPr="004851FD" w:rsidRDefault="004851FD" w:rsidP="004851FD">
          <w:pPr>
            <w:pStyle w:val="TOC1"/>
            <w:rPr>
              <w:rFonts w:eastAsiaTheme="minorEastAsia" w:cstheme="minorBidi"/>
              <w:bdr w:val="none" w:sz="0" w:space="0" w:color="auto"/>
              <w:lang w:eastAsia="en-GB"/>
            </w:rPr>
          </w:pPr>
          <w:hyperlink w:anchor="_Toc134728152" w:history="1">
            <w:r w:rsidRPr="004851FD">
              <w:rPr>
                <w:rStyle w:val="Hyperlink"/>
              </w:rPr>
              <w:t>Closing Remarks</w:t>
            </w:r>
            <w:r w:rsidRPr="004851FD">
              <w:rPr>
                <w:webHidden/>
              </w:rPr>
              <w:tab/>
            </w:r>
            <w:r w:rsidRPr="004851FD">
              <w:rPr>
                <w:webHidden/>
              </w:rPr>
              <w:fldChar w:fldCharType="begin"/>
            </w:r>
            <w:r w:rsidRPr="004851FD">
              <w:rPr>
                <w:webHidden/>
              </w:rPr>
              <w:instrText xml:space="preserve"> PAGEREF _Toc134728152 \h </w:instrText>
            </w:r>
            <w:r w:rsidRPr="004851FD">
              <w:rPr>
                <w:webHidden/>
              </w:rPr>
            </w:r>
            <w:r w:rsidRPr="004851FD">
              <w:rPr>
                <w:webHidden/>
              </w:rPr>
              <w:fldChar w:fldCharType="separate"/>
            </w:r>
            <w:r w:rsidRPr="004851FD">
              <w:rPr>
                <w:webHidden/>
              </w:rPr>
              <w:t>10</w:t>
            </w:r>
            <w:r w:rsidRPr="004851FD">
              <w:rPr>
                <w:webHidden/>
              </w:rPr>
              <w:fldChar w:fldCharType="end"/>
            </w:r>
          </w:hyperlink>
        </w:p>
        <w:p w14:paraId="6CB5F0C0" w14:textId="6EE13223" w:rsidR="004851FD" w:rsidRPr="004851FD" w:rsidRDefault="004851FD" w:rsidP="004851FD">
          <w:pPr>
            <w:pStyle w:val="TOC1"/>
            <w:rPr>
              <w:rFonts w:eastAsiaTheme="minorEastAsia" w:cstheme="minorBidi"/>
              <w:bdr w:val="none" w:sz="0" w:space="0" w:color="auto"/>
              <w:lang w:eastAsia="en-GB"/>
            </w:rPr>
          </w:pPr>
          <w:hyperlink w:anchor="_Toc134728153" w:history="1">
            <w:r w:rsidRPr="004851FD">
              <w:rPr>
                <w:rStyle w:val="Hyperlink"/>
              </w:rPr>
              <w:t>Bibliography</w:t>
            </w:r>
            <w:r w:rsidRPr="004851FD">
              <w:rPr>
                <w:webHidden/>
              </w:rPr>
              <w:tab/>
            </w:r>
            <w:r w:rsidRPr="004851FD">
              <w:rPr>
                <w:webHidden/>
              </w:rPr>
              <w:fldChar w:fldCharType="begin"/>
            </w:r>
            <w:r w:rsidRPr="004851FD">
              <w:rPr>
                <w:webHidden/>
              </w:rPr>
              <w:instrText xml:space="preserve"> PAGEREF _Toc134728153 \h </w:instrText>
            </w:r>
            <w:r w:rsidRPr="004851FD">
              <w:rPr>
                <w:webHidden/>
              </w:rPr>
            </w:r>
            <w:r w:rsidRPr="004851FD">
              <w:rPr>
                <w:webHidden/>
              </w:rPr>
              <w:fldChar w:fldCharType="separate"/>
            </w:r>
            <w:r w:rsidRPr="004851FD">
              <w:rPr>
                <w:webHidden/>
              </w:rPr>
              <w:t>10</w:t>
            </w:r>
            <w:r w:rsidRPr="004851FD">
              <w:rPr>
                <w:webHidden/>
              </w:rPr>
              <w:fldChar w:fldCharType="end"/>
            </w:r>
          </w:hyperlink>
        </w:p>
        <w:p w14:paraId="1AE1E7B8" w14:textId="65DCDFA4" w:rsidR="004851FD" w:rsidRPr="004851FD" w:rsidRDefault="004851FD" w:rsidP="004851FD">
          <w:pPr>
            <w:pStyle w:val="TOC1"/>
            <w:rPr>
              <w:rFonts w:eastAsiaTheme="minorEastAsia" w:cstheme="minorBidi"/>
              <w:bdr w:val="none" w:sz="0" w:space="0" w:color="auto"/>
              <w:lang w:eastAsia="en-GB"/>
            </w:rPr>
          </w:pPr>
          <w:hyperlink w:anchor="_Toc134728154" w:history="1">
            <w:r w:rsidRPr="004851FD">
              <w:rPr>
                <w:rStyle w:val="Hyperlink"/>
              </w:rPr>
              <w:t>Other Resources Consulted</w:t>
            </w:r>
            <w:r w:rsidRPr="004851FD">
              <w:rPr>
                <w:webHidden/>
              </w:rPr>
              <w:tab/>
            </w:r>
            <w:r w:rsidRPr="004851FD">
              <w:rPr>
                <w:webHidden/>
              </w:rPr>
              <w:fldChar w:fldCharType="begin"/>
            </w:r>
            <w:r w:rsidRPr="004851FD">
              <w:rPr>
                <w:webHidden/>
              </w:rPr>
              <w:instrText xml:space="preserve"> PAGEREF _Toc134728154 \h </w:instrText>
            </w:r>
            <w:r w:rsidRPr="004851FD">
              <w:rPr>
                <w:webHidden/>
              </w:rPr>
            </w:r>
            <w:r w:rsidRPr="004851FD">
              <w:rPr>
                <w:webHidden/>
              </w:rPr>
              <w:fldChar w:fldCharType="separate"/>
            </w:r>
            <w:r w:rsidRPr="004851FD">
              <w:rPr>
                <w:webHidden/>
              </w:rPr>
              <w:t>12</w:t>
            </w:r>
            <w:r w:rsidRPr="004851FD">
              <w:rPr>
                <w:webHidden/>
              </w:rPr>
              <w:fldChar w:fldCharType="end"/>
            </w:r>
          </w:hyperlink>
        </w:p>
        <w:p w14:paraId="5213AA0A" w14:textId="6783477F" w:rsidR="00901BFE" w:rsidRPr="000E5F58" w:rsidRDefault="003C584B" w:rsidP="001E3BA5">
          <w:pPr>
            <w:spacing w:line="300" w:lineRule="auto"/>
            <w:rPr>
              <w:rFonts w:asciiTheme="minorHAnsi" w:hAnsiTheme="minorHAnsi" w:cstheme="minorHAnsi"/>
            </w:rPr>
          </w:pPr>
          <w:r w:rsidRPr="004851FD">
            <w:rPr>
              <w:rFonts w:asciiTheme="minorHAnsi" w:hAnsiTheme="minorHAnsi" w:cstheme="minorHAnsi"/>
              <w:noProof/>
            </w:rPr>
            <w:fldChar w:fldCharType="end"/>
          </w:r>
        </w:p>
      </w:sdtContent>
    </w:sdt>
    <w:p w14:paraId="3A23AF2C" w14:textId="77777777" w:rsidR="001E3BA5" w:rsidRPr="000E5F58" w:rsidRDefault="001E3BA5">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b/>
          <w:bCs/>
          <w:bdr w:val="none" w:sz="0" w:space="0" w:color="auto"/>
          <w14:ligatures w14:val="standardContextual"/>
        </w:rPr>
      </w:pPr>
      <w:r w:rsidRPr="000E5F58">
        <w:rPr>
          <w:rFonts w:asciiTheme="minorHAnsi" w:eastAsiaTheme="minorHAnsi" w:hAnsiTheme="minorHAnsi" w:cstheme="minorHAnsi"/>
          <w:b/>
          <w:bCs/>
          <w:bdr w:val="none" w:sz="0" w:space="0" w:color="auto"/>
          <w14:ligatures w14:val="standardContextual"/>
        </w:rPr>
        <w:br w:type="page"/>
      </w:r>
    </w:p>
    <w:p w14:paraId="6CA593FF" w14:textId="6DADA86F" w:rsidR="00180AC1" w:rsidRPr="000E5F58" w:rsidRDefault="00180AC1"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dr w:val="none" w:sz="0" w:space="0" w:color="auto"/>
          <w14:ligatures w14:val="standardContextual"/>
        </w:rPr>
      </w:pPr>
      <w:r w:rsidRPr="000E5F58">
        <w:rPr>
          <w:rFonts w:asciiTheme="minorHAnsi" w:eastAsiaTheme="minorHAnsi" w:hAnsiTheme="minorHAnsi" w:cstheme="minorHAnsi"/>
          <w:b/>
          <w:bCs/>
          <w:bdr w:val="none" w:sz="0" w:space="0" w:color="auto"/>
          <w14:ligatures w14:val="standardContextual"/>
        </w:rPr>
        <w:lastRenderedPageBreak/>
        <w:t>Abbreviations</w:t>
      </w:r>
    </w:p>
    <w:p w14:paraId="602118BA" w14:textId="561FCEA9" w:rsidR="00901BFE" w:rsidRPr="000E5F58" w:rsidRDefault="00901BFE"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
          <w:bCs/>
          <w:bdr w:val="none" w:sz="0" w:space="0" w:color="auto"/>
          <w14:ligatures w14:val="standardContextual"/>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25"/>
        <w:gridCol w:w="4974"/>
      </w:tblGrid>
      <w:tr w:rsidR="000E5F58" w:rsidRPr="000E5F58" w14:paraId="1A9F5855" w14:textId="77777777" w:rsidTr="003164B8">
        <w:trPr>
          <w:jc w:val="center"/>
        </w:trPr>
        <w:tc>
          <w:tcPr>
            <w:tcW w:w="1825" w:type="dxa"/>
          </w:tcPr>
          <w:p w14:paraId="02870127" w14:textId="77777777" w:rsidR="003164B8" w:rsidRPr="000E5F58" w:rsidRDefault="003164B8"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bdr w:val="none" w:sz="0" w:space="0" w:color="auto"/>
                <w14:ligatures w14:val="standardContextual"/>
              </w:rPr>
            </w:pPr>
            <w:r w:rsidRPr="000E5F58">
              <w:rPr>
                <w:rFonts w:asciiTheme="minorHAnsi" w:eastAsiaTheme="minorHAnsi" w:hAnsiTheme="minorHAnsi" w:cstheme="minorHAnsi"/>
                <w:bdr w:val="none" w:sz="0" w:space="0" w:color="auto"/>
                <w14:ligatures w14:val="standardContextual"/>
              </w:rPr>
              <w:t>CDH</w:t>
            </w:r>
          </w:p>
        </w:tc>
        <w:tc>
          <w:tcPr>
            <w:tcW w:w="4974" w:type="dxa"/>
          </w:tcPr>
          <w:p w14:paraId="1043F875" w14:textId="77777777" w:rsidR="003164B8" w:rsidRPr="000E5F58" w:rsidRDefault="003164B8"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i/>
                <w:iCs/>
                <w:bdr w:val="none" w:sz="0" w:space="0" w:color="auto"/>
                <w14:ligatures w14:val="standardContextual"/>
              </w:rPr>
            </w:pPr>
            <w:r w:rsidRPr="000E5F58">
              <w:rPr>
                <w:rFonts w:asciiTheme="minorHAnsi" w:eastAsiaTheme="minorHAnsi" w:hAnsiTheme="minorHAnsi" w:cstheme="minorHAnsi"/>
                <w:bdr w:val="none" w:sz="0" w:space="0" w:color="auto"/>
                <w14:ligatures w14:val="standardContextual"/>
              </w:rPr>
              <w:t xml:space="preserve">Anselm’s </w:t>
            </w:r>
            <w:r w:rsidRPr="000E5F58">
              <w:rPr>
                <w:rFonts w:asciiTheme="minorHAnsi" w:eastAsiaTheme="minorHAnsi" w:hAnsiTheme="minorHAnsi" w:cstheme="minorHAnsi"/>
                <w:i/>
                <w:iCs/>
                <w:bdr w:val="none" w:sz="0" w:space="0" w:color="auto"/>
                <w14:ligatures w14:val="standardContextual"/>
              </w:rPr>
              <w:t>Cur Deus Homo</w:t>
            </w:r>
          </w:p>
        </w:tc>
      </w:tr>
      <w:tr w:rsidR="000E5F58" w:rsidRPr="000E5F58" w14:paraId="4E821FD9" w14:textId="77777777" w:rsidTr="003164B8">
        <w:trPr>
          <w:jc w:val="center"/>
        </w:trPr>
        <w:tc>
          <w:tcPr>
            <w:tcW w:w="1825" w:type="dxa"/>
          </w:tcPr>
          <w:p w14:paraId="6E0C655B" w14:textId="77777777" w:rsidR="003164B8" w:rsidRPr="000E5F58" w:rsidRDefault="003164B8"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bdr w:val="none" w:sz="0" w:space="0" w:color="auto"/>
                <w14:ligatures w14:val="standardContextual"/>
              </w:rPr>
            </w:pPr>
            <w:r w:rsidRPr="000E5F58">
              <w:rPr>
                <w:rFonts w:asciiTheme="minorHAnsi" w:eastAsiaTheme="minorHAnsi" w:hAnsiTheme="minorHAnsi" w:cstheme="minorHAnsi"/>
                <w:bdr w:val="none" w:sz="0" w:space="0" w:color="auto"/>
                <w14:ligatures w14:val="standardContextual"/>
              </w:rPr>
              <w:t xml:space="preserve">CD1.1 </w:t>
            </w:r>
          </w:p>
        </w:tc>
        <w:tc>
          <w:tcPr>
            <w:tcW w:w="4974" w:type="dxa"/>
          </w:tcPr>
          <w:p w14:paraId="6C9941E7" w14:textId="77777777" w:rsidR="003164B8" w:rsidRPr="000E5F58" w:rsidRDefault="003164B8"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bdr w:val="none" w:sz="0" w:space="0" w:color="auto"/>
                <w14:ligatures w14:val="standardContextual"/>
              </w:rPr>
            </w:pPr>
            <w:r w:rsidRPr="000E5F58">
              <w:rPr>
                <w:rFonts w:asciiTheme="minorHAnsi" w:eastAsiaTheme="minorHAnsi" w:hAnsiTheme="minorHAnsi" w:cstheme="minorHAnsi"/>
                <w:bdr w:val="none" w:sz="0" w:space="0" w:color="auto"/>
                <w14:ligatures w14:val="standardContextual"/>
              </w:rPr>
              <w:t xml:space="preserve">Karl Barth </w:t>
            </w:r>
            <w:r w:rsidRPr="000E5F58">
              <w:rPr>
                <w:rFonts w:asciiTheme="minorHAnsi" w:eastAsiaTheme="minorHAnsi" w:hAnsiTheme="minorHAnsi" w:cstheme="minorHAnsi"/>
                <w:i/>
                <w:iCs/>
                <w:bdr w:val="none" w:sz="0" w:space="0" w:color="auto"/>
                <w14:ligatures w14:val="standardContextual"/>
              </w:rPr>
              <w:t>Church Dogmatics</w:t>
            </w:r>
            <w:r w:rsidRPr="000E5F58">
              <w:rPr>
                <w:rFonts w:asciiTheme="minorHAnsi" w:eastAsiaTheme="minorHAnsi" w:hAnsiTheme="minorHAnsi" w:cstheme="minorHAnsi"/>
                <w:bdr w:val="none" w:sz="0" w:space="0" w:color="auto"/>
                <w14:ligatures w14:val="standardContextual"/>
              </w:rPr>
              <w:t xml:space="preserve"> Volume 1, Part 1</w:t>
            </w:r>
          </w:p>
        </w:tc>
      </w:tr>
      <w:tr w:rsidR="000E5F58" w:rsidRPr="000E5F58" w14:paraId="0939FB71" w14:textId="77777777" w:rsidTr="003164B8">
        <w:trPr>
          <w:jc w:val="center"/>
        </w:trPr>
        <w:tc>
          <w:tcPr>
            <w:tcW w:w="1825" w:type="dxa"/>
          </w:tcPr>
          <w:p w14:paraId="710C9515" w14:textId="77777777" w:rsidR="003164B8" w:rsidRPr="000E5F58" w:rsidRDefault="003164B8"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bdr w:val="none" w:sz="0" w:space="0" w:color="auto"/>
                <w14:ligatures w14:val="standardContextual"/>
              </w:rPr>
            </w:pPr>
            <w:r w:rsidRPr="000E5F58">
              <w:rPr>
                <w:rFonts w:asciiTheme="minorHAnsi" w:eastAsiaTheme="minorHAnsi" w:hAnsiTheme="minorHAnsi" w:cstheme="minorHAnsi"/>
                <w:bdr w:val="none" w:sz="0" w:space="0" w:color="auto"/>
                <w14:ligatures w14:val="standardContextual"/>
              </w:rPr>
              <w:t>CD1.2</w:t>
            </w:r>
          </w:p>
        </w:tc>
        <w:tc>
          <w:tcPr>
            <w:tcW w:w="4974" w:type="dxa"/>
          </w:tcPr>
          <w:p w14:paraId="0AC02AE3" w14:textId="77777777" w:rsidR="003164B8" w:rsidRPr="000E5F58" w:rsidRDefault="003164B8"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bdr w:val="none" w:sz="0" w:space="0" w:color="auto"/>
                <w14:ligatures w14:val="standardContextual"/>
              </w:rPr>
            </w:pPr>
            <w:r w:rsidRPr="000E5F58">
              <w:rPr>
                <w:rFonts w:asciiTheme="minorHAnsi" w:eastAsiaTheme="minorHAnsi" w:hAnsiTheme="minorHAnsi" w:cstheme="minorHAnsi"/>
                <w:bdr w:val="none" w:sz="0" w:space="0" w:color="auto"/>
                <w14:ligatures w14:val="standardContextual"/>
              </w:rPr>
              <w:t xml:space="preserve">Karl Barth </w:t>
            </w:r>
            <w:r w:rsidRPr="000E5F58">
              <w:rPr>
                <w:rFonts w:asciiTheme="minorHAnsi" w:eastAsiaTheme="minorHAnsi" w:hAnsiTheme="minorHAnsi" w:cstheme="minorHAnsi"/>
                <w:i/>
                <w:iCs/>
                <w:bdr w:val="none" w:sz="0" w:space="0" w:color="auto"/>
                <w14:ligatures w14:val="standardContextual"/>
              </w:rPr>
              <w:t>Church Dogmatics</w:t>
            </w:r>
            <w:r w:rsidRPr="000E5F58">
              <w:rPr>
                <w:rFonts w:asciiTheme="minorHAnsi" w:eastAsiaTheme="minorHAnsi" w:hAnsiTheme="minorHAnsi" w:cstheme="minorHAnsi"/>
                <w:bdr w:val="none" w:sz="0" w:space="0" w:color="auto"/>
                <w14:ligatures w14:val="standardContextual"/>
              </w:rPr>
              <w:t xml:space="preserve"> Volume 1, Part 2</w:t>
            </w:r>
          </w:p>
        </w:tc>
      </w:tr>
      <w:tr w:rsidR="000E5F58" w:rsidRPr="000E5F58" w14:paraId="36608F3F" w14:textId="77777777" w:rsidTr="003164B8">
        <w:trPr>
          <w:jc w:val="center"/>
        </w:trPr>
        <w:tc>
          <w:tcPr>
            <w:tcW w:w="1825" w:type="dxa"/>
          </w:tcPr>
          <w:p w14:paraId="5F2CA95C" w14:textId="2377CB4A" w:rsidR="003164B8" w:rsidRPr="000E5F58" w:rsidRDefault="007B381D"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bdr w:val="none" w:sz="0" w:space="0" w:color="auto"/>
                <w14:ligatures w14:val="standardContextual"/>
              </w:rPr>
            </w:pPr>
            <w:r w:rsidRPr="000E5F58">
              <w:rPr>
                <w:rFonts w:asciiTheme="minorHAnsi" w:eastAsiaTheme="minorHAnsi" w:hAnsiTheme="minorHAnsi" w:cstheme="minorHAnsi"/>
                <w:bdr w:val="none" w:sz="0" w:space="0" w:color="auto"/>
                <w14:ligatures w14:val="standardContextual"/>
              </w:rPr>
              <w:t>WW2</w:t>
            </w:r>
          </w:p>
        </w:tc>
        <w:tc>
          <w:tcPr>
            <w:tcW w:w="4974" w:type="dxa"/>
          </w:tcPr>
          <w:p w14:paraId="4F6A26D5" w14:textId="1E91067D" w:rsidR="003164B8" w:rsidRPr="000E5F58" w:rsidRDefault="007B381D"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dr w:val="none" w:sz="0" w:space="0" w:color="auto"/>
                <w14:ligatures w14:val="standardContextual"/>
              </w:rPr>
            </w:pPr>
            <w:r w:rsidRPr="000E5F58">
              <w:rPr>
                <w:rFonts w:asciiTheme="minorHAnsi" w:eastAsiaTheme="minorHAnsi" w:hAnsiTheme="minorHAnsi" w:cstheme="minorHAnsi"/>
                <w:bdr w:val="none" w:sz="0" w:space="0" w:color="auto"/>
                <w14:ligatures w14:val="standardContextual"/>
              </w:rPr>
              <w:t>World War 2</w:t>
            </w:r>
          </w:p>
        </w:tc>
      </w:tr>
      <w:tr w:rsidR="000E5F58" w:rsidRPr="000E5F58" w14:paraId="216F40F3" w14:textId="77777777" w:rsidTr="003164B8">
        <w:trPr>
          <w:jc w:val="center"/>
        </w:trPr>
        <w:tc>
          <w:tcPr>
            <w:tcW w:w="1825" w:type="dxa"/>
          </w:tcPr>
          <w:p w14:paraId="316443DF" w14:textId="77777777" w:rsidR="003164B8" w:rsidRPr="000E5F58" w:rsidRDefault="003164B8"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bdr w:val="none" w:sz="0" w:space="0" w:color="auto"/>
                <w14:ligatures w14:val="standardContextual"/>
              </w:rPr>
            </w:pPr>
          </w:p>
        </w:tc>
        <w:tc>
          <w:tcPr>
            <w:tcW w:w="4974" w:type="dxa"/>
          </w:tcPr>
          <w:p w14:paraId="6E8C8FA3" w14:textId="77777777" w:rsidR="003164B8" w:rsidRPr="000E5F58" w:rsidRDefault="003164B8"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dr w:val="none" w:sz="0" w:space="0" w:color="auto"/>
                <w14:ligatures w14:val="standardContextual"/>
              </w:rPr>
            </w:pPr>
          </w:p>
        </w:tc>
      </w:tr>
      <w:tr w:rsidR="003164B8" w:rsidRPr="000E5F58" w14:paraId="01F18A6C" w14:textId="77777777" w:rsidTr="003164B8">
        <w:trPr>
          <w:jc w:val="center"/>
        </w:trPr>
        <w:tc>
          <w:tcPr>
            <w:tcW w:w="1825" w:type="dxa"/>
          </w:tcPr>
          <w:p w14:paraId="441B70EF" w14:textId="77777777" w:rsidR="003164B8" w:rsidRPr="000E5F58" w:rsidRDefault="003164B8"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bdr w:val="none" w:sz="0" w:space="0" w:color="auto"/>
                <w14:ligatures w14:val="standardContextual"/>
              </w:rPr>
            </w:pPr>
          </w:p>
        </w:tc>
        <w:tc>
          <w:tcPr>
            <w:tcW w:w="4974" w:type="dxa"/>
          </w:tcPr>
          <w:p w14:paraId="6BC865AD" w14:textId="77777777" w:rsidR="003164B8" w:rsidRPr="000E5F58" w:rsidRDefault="003164B8"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dr w:val="none" w:sz="0" w:space="0" w:color="auto"/>
                <w14:ligatures w14:val="standardContextual"/>
              </w:rPr>
            </w:pPr>
          </w:p>
        </w:tc>
      </w:tr>
    </w:tbl>
    <w:p w14:paraId="1DC93809" w14:textId="77777777" w:rsidR="009751C2" w:rsidRPr="000E5F58" w:rsidRDefault="009751C2" w:rsidP="00A44595">
      <w:pPr>
        <w:pBdr>
          <w:top w:val="none" w:sz="0" w:space="0" w:color="auto"/>
          <w:left w:val="none" w:sz="0" w:space="0" w:color="auto"/>
          <w:bottom w:val="none" w:sz="0" w:space="0" w:color="auto"/>
          <w:right w:val="none" w:sz="0" w:space="0" w:color="auto"/>
          <w:between w:val="none" w:sz="0" w:space="0" w:color="auto"/>
          <w:bar w:val="none" w:sz="0" w:color="auto"/>
        </w:pBdr>
        <w:tabs>
          <w:tab w:val="left" w:pos="1938"/>
        </w:tabs>
        <w:autoSpaceDE w:val="0"/>
        <w:autoSpaceDN w:val="0"/>
        <w:adjustRightInd w:val="0"/>
        <w:spacing w:line="300" w:lineRule="auto"/>
        <w:ind w:left="-10"/>
        <w:jc w:val="center"/>
        <w:rPr>
          <w:rFonts w:asciiTheme="minorHAnsi" w:eastAsiaTheme="minorHAnsi" w:hAnsiTheme="minorHAnsi" w:cstheme="minorHAnsi"/>
          <w:bdr w:val="none" w:sz="0" w:space="0" w:color="auto"/>
          <w14:ligatures w14:val="standardContextual"/>
        </w:rPr>
      </w:pPr>
    </w:p>
    <w:p w14:paraId="17738682" w14:textId="02D8FD01" w:rsidR="002C5B51" w:rsidRPr="000E5F58" w:rsidRDefault="002C5B51" w:rsidP="00A44595">
      <w:pPr>
        <w:pBdr>
          <w:top w:val="none" w:sz="0" w:space="0" w:color="auto"/>
          <w:left w:val="none" w:sz="0" w:space="0" w:color="auto"/>
          <w:bottom w:val="none" w:sz="0" w:space="0" w:color="auto"/>
          <w:right w:val="none" w:sz="0" w:space="0" w:color="auto"/>
          <w:between w:val="none" w:sz="0" w:space="0" w:color="auto"/>
          <w:bar w:val="none" w:sz="0" w:color="auto"/>
        </w:pBdr>
        <w:tabs>
          <w:tab w:val="left" w:pos="1938"/>
        </w:tabs>
        <w:autoSpaceDE w:val="0"/>
        <w:autoSpaceDN w:val="0"/>
        <w:adjustRightInd w:val="0"/>
        <w:spacing w:line="300" w:lineRule="auto"/>
        <w:ind w:left="-10"/>
        <w:jc w:val="center"/>
        <w:rPr>
          <w:rFonts w:asciiTheme="minorHAnsi" w:eastAsiaTheme="minorHAnsi" w:hAnsiTheme="minorHAnsi" w:cstheme="minorHAnsi"/>
          <w:bdr w:val="none" w:sz="0" w:space="0" w:color="auto"/>
          <w14:ligatures w14:val="standardContextual"/>
        </w:rPr>
      </w:pPr>
      <w:r w:rsidRPr="000E5F58">
        <w:rPr>
          <w:rFonts w:asciiTheme="minorHAnsi" w:eastAsiaTheme="minorHAnsi" w:hAnsiTheme="minorHAnsi" w:cstheme="minorHAnsi"/>
          <w:bdr w:val="none" w:sz="0" w:space="0" w:color="auto"/>
          <w14:ligatures w14:val="standardContextual"/>
        </w:rPr>
        <w:t xml:space="preserve">Unless otherwise stated, </w:t>
      </w:r>
      <w:r w:rsidR="00100952" w:rsidRPr="000E5F58">
        <w:rPr>
          <w:rFonts w:asciiTheme="minorHAnsi" w:eastAsiaTheme="minorHAnsi" w:hAnsiTheme="minorHAnsi" w:cstheme="minorHAnsi"/>
          <w:bdr w:val="none" w:sz="0" w:space="0" w:color="auto"/>
          <w14:ligatures w14:val="standardContextual"/>
        </w:rPr>
        <w:t xml:space="preserve">quotations from </w:t>
      </w:r>
      <w:r w:rsidR="0023202E" w:rsidRPr="000E5F58">
        <w:rPr>
          <w:rFonts w:asciiTheme="minorHAnsi" w:eastAsiaTheme="minorHAnsi" w:hAnsiTheme="minorHAnsi" w:cstheme="minorHAnsi"/>
          <w:bdr w:val="none" w:sz="0" w:space="0" w:color="auto"/>
          <w14:ligatures w14:val="standardContextual"/>
        </w:rPr>
        <w:t>the Bible</w:t>
      </w:r>
      <w:r w:rsidR="00100952" w:rsidRPr="000E5F58">
        <w:rPr>
          <w:rFonts w:asciiTheme="minorHAnsi" w:eastAsiaTheme="minorHAnsi" w:hAnsiTheme="minorHAnsi" w:cstheme="minorHAnsi"/>
          <w:bdr w:val="none" w:sz="0" w:space="0" w:color="auto"/>
          <w14:ligatures w14:val="standardContextual"/>
        </w:rPr>
        <w:t xml:space="preserve"> are </w:t>
      </w:r>
      <w:r w:rsidR="00F11200" w:rsidRPr="000E5F58">
        <w:rPr>
          <w:rFonts w:asciiTheme="minorHAnsi" w:eastAsiaTheme="minorHAnsi" w:hAnsiTheme="minorHAnsi" w:cstheme="minorHAnsi"/>
          <w:bdr w:val="none" w:sz="0" w:space="0" w:color="auto"/>
          <w14:ligatures w14:val="standardContextual"/>
        </w:rPr>
        <w:t xml:space="preserve">taken </w:t>
      </w:r>
      <w:r w:rsidR="00100952" w:rsidRPr="000E5F58">
        <w:rPr>
          <w:rFonts w:asciiTheme="minorHAnsi" w:eastAsiaTheme="minorHAnsi" w:hAnsiTheme="minorHAnsi" w:cstheme="minorHAnsi"/>
          <w:bdr w:val="none" w:sz="0" w:space="0" w:color="auto"/>
          <w14:ligatures w14:val="standardContextual"/>
        </w:rPr>
        <w:t>from:</w:t>
      </w:r>
    </w:p>
    <w:p w14:paraId="24A765F5" w14:textId="596EC6BC" w:rsidR="00F11200" w:rsidRPr="000E5F58" w:rsidRDefault="00F11200" w:rsidP="00A44595">
      <w:pPr>
        <w:pBdr>
          <w:top w:val="none" w:sz="0" w:space="0" w:color="auto"/>
          <w:left w:val="none" w:sz="0" w:space="0" w:color="auto"/>
          <w:bottom w:val="none" w:sz="0" w:space="0" w:color="auto"/>
          <w:right w:val="none" w:sz="0" w:space="0" w:color="auto"/>
          <w:between w:val="none" w:sz="0" w:space="0" w:color="auto"/>
          <w:bar w:val="none" w:sz="0" w:color="auto"/>
        </w:pBdr>
        <w:tabs>
          <w:tab w:val="left" w:pos="1938"/>
        </w:tabs>
        <w:autoSpaceDE w:val="0"/>
        <w:autoSpaceDN w:val="0"/>
        <w:adjustRightInd w:val="0"/>
        <w:spacing w:line="300" w:lineRule="auto"/>
        <w:ind w:left="-10"/>
        <w:jc w:val="center"/>
        <w:rPr>
          <w:rFonts w:asciiTheme="minorHAnsi" w:eastAsiaTheme="minorHAnsi" w:hAnsiTheme="minorHAnsi" w:cstheme="minorHAnsi"/>
          <w:bdr w:val="none" w:sz="0" w:space="0" w:color="auto"/>
          <w14:ligatures w14:val="standardContextual"/>
        </w:rPr>
      </w:pPr>
    </w:p>
    <w:p w14:paraId="1C6EEE12" w14:textId="52FFEF53" w:rsidR="00180AC1" w:rsidRPr="000E5F58" w:rsidRDefault="00F11200" w:rsidP="00A44595">
      <w:pPr>
        <w:pBdr>
          <w:top w:val="none" w:sz="0" w:space="0" w:color="auto"/>
          <w:left w:val="none" w:sz="0" w:space="0" w:color="auto"/>
          <w:bottom w:val="none" w:sz="0" w:space="0" w:color="auto"/>
          <w:right w:val="none" w:sz="0" w:space="0" w:color="auto"/>
          <w:between w:val="none" w:sz="0" w:space="0" w:color="auto"/>
          <w:bar w:val="none" w:sz="0" w:color="auto"/>
        </w:pBdr>
        <w:tabs>
          <w:tab w:val="left" w:pos="1938"/>
        </w:tabs>
        <w:autoSpaceDE w:val="0"/>
        <w:autoSpaceDN w:val="0"/>
        <w:adjustRightInd w:val="0"/>
        <w:spacing w:line="300" w:lineRule="auto"/>
        <w:ind w:left="-10"/>
        <w:jc w:val="center"/>
        <w:rPr>
          <w:rFonts w:asciiTheme="minorHAnsi" w:eastAsiaTheme="minorHAnsi" w:hAnsiTheme="minorHAnsi" w:cstheme="minorHAnsi"/>
          <w:bdr w:val="none" w:sz="0" w:space="0" w:color="auto"/>
          <w14:ligatures w14:val="standardContextual"/>
        </w:rPr>
      </w:pPr>
      <w:r w:rsidRPr="000E5F58">
        <w:rPr>
          <w:rFonts w:asciiTheme="minorHAnsi" w:eastAsiaTheme="minorHAnsi" w:hAnsiTheme="minorHAnsi" w:cstheme="minorHAnsi"/>
          <w:i/>
          <w:iCs/>
          <w:bdr w:val="none" w:sz="0" w:space="0" w:color="auto"/>
          <w14:ligatures w14:val="standardContextual"/>
        </w:rPr>
        <w:t xml:space="preserve">The New Revised Standard Bible Version, Anglicized Edition, </w:t>
      </w:r>
      <w:r w:rsidRPr="000E5F58">
        <w:rPr>
          <w:rFonts w:asciiTheme="minorHAnsi" w:eastAsiaTheme="minorHAnsi" w:hAnsiTheme="minorHAnsi" w:cstheme="minorHAnsi"/>
          <w:bdr w:val="none" w:sz="0" w:space="0" w:color="auto"/>
          <w14:ligatures w14:val="standardContextual"/>
        </w:rPr>
        <w:t>copyright © 1989, 1995 National Council of Churches of Christ in the USA. Used with permission. All rights reserved.</w:t>
      </w:r>
    </w:p>
    <w:p w14:paraId="3F8D2469" w14:textId="77777777" w:rsidR="00FC3456" w:rsidRPr="000E5F58" w:rsidRDefault="00FC3456" w:rsidP="00A44595">
      <w:pPr>
        <w:pBdr>
          <w:top w:val="none" w:sz="0" w:space="0" w:color="auto"/>
          <w:left w:val="none" w:sz="0" w:space="0" w:color="auto"/>
          <w:bottom w:val="none" w:sz="0" w:space="0" w:color="auto"/>
          <w:right w:val="none" w:sz="0" w:space="0" w:color="auto"/>
          <w:between w:val="none" w:sz="0" w:space="0" w:color="auto"/>
          <w:bar w:val="none" w:sz="0" w:color="auto"/>
        </w:pBdr>
        <w:tabs>
          <w:tab w:val="left" w:pos="1938"/>
        </w:tabs>
        <w:autoSpaceDE w:val="0"/>
        <w:autoSpaceDN w:val="0"/>
        <w:adjustRightInd w:val="0"/>
        <w:spacing w:line="300" w:lineRule="auto"/>
        <w:ind w:left="-10"/>
        <w:jc w:val="center"/>
        <w:rPr>
          <w:rFonts w:asciiTheme="minorHAnsi" w:eastAsiaTheme="minorHAnsi" w:hAnsiTheme="minorHAnsi" w:cstheme="minorHAnsi"/>
          <w:bdr w:val="none" w:sz="0" w:space="0" w:color="auto"/>
          <w14:ligatures w14:val="standardContextual"/>
        </w:rPr>
      </w:pPr>
    </w:p>
    <w:p w14:paraId="66AFF0B1" w14:textId="77777777" w:rsidR="00180AC1" w:rsidRPr="000E5F58" w:rsidRDefault="00180AC1"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right"/>
        <w:rPr>
          <w:rFonts w:asciiTheme="minorHAnsi" w:eastAsiaTheme="minorHAnsi" w:hAnsiTheme="minorHAnsi" w:cstheme="minorHAnsi"/>
          <w:bdr w:val="none" w:sz="0" w:space="0" w:color="auto"/>
          <w14:ligatures w14:val="standardContextual"/>
        </w:rPr>
      </w:pPr>
      <w:r w:rsidRPr="000E5F58">
        <w:rPr>
          <w:rFonts w:asciiTheme="minorHAnsi" w:eastAsiaTheme="minorHAnsi" w:hAnsiTheme="minorHAnsi" w:cstheme="minorHAnsi"/>
          <w:bdr w:val="none" w:sz="0" w:space="0" w:color="auto"/>
          <w14:ligatures w14:val="standardContextual"/>
        </w:rPr>
        <w:t xml:space="preserve">  </w:t>
      </w:r>
    </w:p>
    <w:p w14:paraId="1EC21FCB" w14:textId="71E8DA5E" w:rsidR="000C1DA9" w:rsidRPr="000E5F58" w:rsidRDefault="000C1DA9"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bdr w:val="none" w:sz="0" w:space="0" w:color="auto"/>
          <w14:ligatures w14:val="standardContextual"/>
        </w:rPr>
      </w:pPr>
    </w:p>
    <w:p w14:paraId="6BD47494" w14:textId="060406C7" w:rsidR="001E3BA5" w:rsidRPr="000E5F58" w:rsidRDefault="001E3BA5">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b/>
          <w:bCs/>
          <w:bdr w:val="none" w:sz="0" w:space="0" w:color="auto"/>
          <w14:ligatures w14:val="standardContextual"/>
        </w:rPr>
      </w:pPr>
      <w:r w:rsidRPr="000E5F58">
        <w:rPr>
          <w:rFonts w:asciiTheme="minorHAnsi" w:eastAsiaTheme="minorHAnsi" w:hAnsiTheme="minorHAnsi" w:cstheme="minorHAnsi"/>
          <w:b/>
          <w:bCs/>
          <w:bdr w:val="none" w:sz="0" w:space="0" w:color="auto"/>
          <w14:ligatures w14:val="standardContextual"/>
        </w:rPr>
        <w:br w:type="page"/>
      </w:r>
    </w:p>
    <w:p w14:paraId="6384A0F6" w14:textId="77777777" w:rsidR="00FB48CD" w:rsidRPr="000E5F58" w:rsidRDefault="00FB48CD" w:rsidP="00A44595">
      <w:pPr>
        <w:pBdr>
          <w:top w:val="none" w:sz="0" w:space="0" w:color="auto"/>
          <w:left w:val="none" w:sz="0" w:space="0" w:color="auto"/>
          <w:bottom w:val="none" w:sz="0" w:space="0" w:color="auto"/>
          <w:right w:val="none" w:sz="0" w:space="0" w:color="auto"/>
          <w:between w:val="none" w:sz="0" w:space="0" w:color="auto"/>
          <w:bar w:val="none" w:sz="0" w:color="auto"/>
        </w:pBdr>
        <w:spacing w:line="300" w:lineRule="auto"/>
        <w:rPr>
          <w:rFonts w:asciiTheme="minorHAnsi" w:eastAsiaTheme="minorHAnsi" w:hAnsiTheme="minorHAnsi" w:cstheme="minorHAnsi"/>
          <w:b/>
          <w:bCs/>
          <w:bdr w:val="none" w:sz="0" w:space="0" w:color="auto"/>
          <w14:ligatures w14:val="standardContextual"/>
        </w:rPr>
      </w:pPr>
    </w:p>
    <w:p w14:paraId="3B51B480" w14:textId="49BA84D5" w:rsidR="00FB48CD" w:rsidRPr="000E5F58" w:rsidRDefault="00FB48CD" w:rsidP="001E3BA5">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00" w:lineRule="auto"/>
        <w:jc w:val="center"/>
        <w:rPr>
          <w:rFonts w:asciiTheme="minorHAnsi" w:eastAsia="Times New Roman" w:hAnsiTheme="minorHAnsi" w:cstheme="minorHAnsi"/>
          <w:bdr w:val="none" w:sz="0" w:space="0" w:color="auto"/>
          <w:lang w:eastAsia="en-GB"/>
        </w:rPr>
      </w:pPr>
      <w:r w:rsidRPr="000E5F58">
        <w:rPr>
          <w:rFonts w:asciiTheme="minorHAnsi" w:eastAsia="Times New Roman" w:hAnsiTheme="minorHAnsi" w:cstheme="minorHAnsi"/>
          <w:bdr w:val="none" w:sz="0" w:space="0" w:color="auto"/>
          <w:lang w:eastAsia="en-GB"/>
        </w:rPr>
        <w:t>‘We know God as three only as we meet God in Christ’.</w:t>
      </w:r>
      <w:r w:rsidRPr="000E5F58">
        <w:rPr>
          <w:rFonts w:asciiTheme="minorHAnsi" w:eastAsia="Times New Roman" w:hAnsiTheme="minorHAnsi" w:cstheme="minorHAnsi"/>
          <w:bdr w:val="none" w:sz="0" w:space="0" w:color="auto"/>
          <w:lang w:eastAsia="en-GB"/>
        </w:rPr>
        <w:br/>
        <w:t>What does this mean for the immanent Trinity?</w:t>
      </w:r>
    </w:p>
    <w:p w14:paraId="31E292DE" w14:textId="0D0D1E93" w:rsidR="00FB48CD" w:rsidRPr="000E5F58" w:rsidRDefault="003C584B" w:rsidP="001D16D7">
      <w:pPr>
        <w:pStyle w:val="Heading1"/>
        <w:spacing w:line="360" w:lineRule="auto"/>
        <w:rPr>
          <w:rFonts w:asciiTheme="minorHAnsi" w:eastAsiaTheme="minorHAnsi" w:hAnsiTheme="minorHAnsi" w:cstheme="minorHAnsi"/>
          <w:b/>
          <w:bCs/>
          <w:color w:val="auto"/>
          <w:sz w:val="24"/>
          <w:szCs w:val="24"/>
          <w:bdr w:val="none" w:sz="0" w:space="0" w:color="auto"/>
          <w14:ligatures w14:val="standardContextual"/>
        </w:rPr>
      </w:pPr>
      <w:bookmarkStart w:id="0" w:name="_Toc134728147"/>
      <w:r w:rsidRPr="000E5F58">
        <w:rPr>
          <w:rFonts w:asciiTheme="minorHAnsi" w:eastAsiaTheme="minorHAnsi" w:hAnsiTheme="minorHAnsi" w:cstheme="minorHAnsi"/>
          <w:b/>
          <w:bCs/>
          <w:color w:val="auto"/>
          <w:sz w:val="24"/>
          <w:szCs w:val="24"/>
          <w:bdr w:val="none" w:sz="0" w:space="0" w:color="auto"/>
          <w14:ligatures w14:val="standardContextual"/>
        </w:rPr>
        <w:t>Introduction</w:t>
      </w:r>
      <w:bookmarkEnd w:id="0"/>
    </w:p>
    <w:p w14:paraId="199AE76C" w14:textId="305ED9A5" w:rsidR="00E52551" w:rsidRPr="000E5F58" w:rsidRDefault="00FD6BDD" w:rsidP="001D16D7">
      <w:pPr>
        <w:spacing w:line="360" w:lineRule="auto"/>
        <w:jc w:val="center"/>
        <w:rPr>
          <w:rFonts w:asciiTheme="minorHAnsi" w:eastAsiaTheme="minorHAnsi" w:hAnsiTheme="minorHAnsi" w:cstheme="minorHAnsi"/>
          <w:bdr w:val="none" w:sz="0" w:space="0" w:color="auto"/>
          <w14:ligatures w14:val="standardContextual"/>
        </w:rPr>
      </w:pPr>
      <w:r w:rsidRPr="000E5F58">
        <w:rPr>
          <w:rFonts w:asciiTheme="minorHAnsi" w:eastAsiaTheme="minorHAnsi" w:hAnsiTheme="minorHAnsi" w:cstheme="minorHAnsi"/>
          <w:i/>
          <w:iCs/>
          <w:bdr w:val="none" w:sz="0" w:space="0" w:color="auto"/>
          <w14:ligatures w14:val="standardContextual"/>
        </w:rPr>
        <w:t>“In Christ alone, my hope is found</w:t>
      </w:r>
      <w:r w:rsidR="001E3BA5" w:rsidRPr="000E5F58">
        <w:rPr>
          <w:rFonts w:asciiTheme="minorHAnsi" w:eastAsiaTheme="minorHAnsi" w:hAnsiTheme="minorHAnsi" w:cstheme="minorHAnsi"/>
          <w:i/>
          <w:iCs/>
          <w:bdr w:val="none" w:sz="0" w:space="0" w:color="auto"/>
          <w14:ligatures w14:val="standardContextual"/>
        </w:rPr>
        <w:t>…</w:t>
      </w:r>
      <w:r w:rsidR="001E3BA5" w:rsidRPr="000E5F58">
        <w:rPr>
          <w:rFonts w:asciiTheme="minorHAnsi" w:hAnsiTheme="minorHAnsi" w:cstheme="minorHAnsi"/>
          <w:i/>
          <w:iCs/>
        </w:rPr>
        <w:t>who took on flesh. Fullness of God in helpless babe…This gift of love and righteousness scorned by the ones He came to save</w:t>
      </w:r>
      <w:r w:rsidR="001E3BA5" w:rsidRPr="000E5F58">
        <w:rPr>
          <w:rFonts w:asciiTheme="minorHAnsi" w:eastAsiaTheme="minorHAnsi" w:hAnsiTheme="minorHAnsi" w:cstheme="minorHAnsi"/>
          <w:i/>
          <w:iCs/>
          <w:bdr w:val="none" w:sz="0" w:space="0" w:color="auto"/>
          <w14:ligatures w14:val="standardContextual"/>
        </w:rPr>
        <w:t>…</w:t>
      </w:r>
      <w:r w:rsidRPr="000E5F58">
        <w:rPr>
          <w:rFonts w:asciiTheme="minorHAnsi" w:eastAsiaTheme="minorHAnsi" w:hAnsiTheme="minorHAnsi" w:cstheme="minorHAnsi"/>
          <w:i/>
          <w:iCs/>
          <w:bdr w:val="none" w:sz="0" w:space="0" w:color="auto"/>
          <w14:ligatures w14:val="standardContextual"/>
        </w:rPr>
        <w:t>and on that Cross, as Jesus died, the wrath of God was satisfied…here in the power of Christ I’ll stand”</w:t>
      </w:r>
      <w:r w:rsidR="00355FB2" w:rsidRPr="000E5F58">
        <w:rPr>
          <w:rStyle w:val="FootnoteReference"/>
          <w:rFonts w:asciiTheme="minorHAnsi" w:hAnsiTheme="minorHAnsi" w:cstheme="minorHAnsi"/>
          <w:i/>
          <w:iCs/>
        </w:rPr>
        <w:footnoteReference w:id="1"/>
      </w:r>
      <w:r w:rsidR="00F96262" w:rsidRPr="000E5F58">
        <w:rPr>
          <w:rFonts w:asciiTheme="minorHAnsi" w:eastAsiaTheme="minorHAnsi" w:hAnsiTheme="minorHAnsi" w:cstheme="minorHAnsi"/>
          <w:i/>
          <w:iCs/>
          <w:bdr w:val="none" w:sz="0" w:space="0" w:color="auto"/>
          <w14:ligatures w14:val="standardContextual"/>
        </w:rPr>
        <w:t>.</w:t>
      </w:r>
    </w:p>
    <w:p w14:paraId="40D9ADB9" w14:textId="388E1876" w:rsidR="003E669D" w:rsidRPr="000E5F58" w:rsidRDefault="00F96262" w:rsidP="001D16D7">
      <w:pPr>
        <w:spacing w:line="360" w:lineRule="auto"/>
        <w:rPr>
          <w:rFonts w:asciiTheme="minorHAnsi" w:eastAsiaTheme="minorHAnsi" w:hAnsiTheme="minorHAnsi" w:cstheme="minorHAnsi"/>
          <w:bdr w:val="none" w:sz="0" w:space="0" w:color="auto"/>
          <w14:ligatures w14:val="standardContextual"/>
        </w:rPr>
      </w:pPr>
      <w:r w:rsidRPr="000E5F58">
        <w:rPr>
          <w:rFonts w:asciiTheme="minorHAnsi" w:eastAsiaTheme="minorHAnsi" w:hAnsiTheme="minorHAnsi" w:cstheme="minorHAnsi"/>
          <w:bdr w:val="none" w:sz="0" w:space="0" w:color="auto"/>
          <w14:ligatures w14:val="standardContextual"/>
        </w:rPr>
        <w:t xml:space="preserve">Passionate voices sing of </w:t>
      </w:r>
      <w:r w:rsidR="00A66E90" w:rsidRPr="000E5F58">
        <w:rPr>
          <w:rFonts w:asciiTheme="minorHAnsi" w:eastAsiaTheme="minorHAnsi" w:hAnsiTheme="minorHAnsi" w:cstheme="minorHAnsi"/>
          <w:bdr w:val="none" w:sz="0" w:space="0" w:color="auto"/>
          <w14:ligatures w14:val="standardContextual"/>
        </w:rPr>
        <w:t xml:space="preserve">encountering </w:t>
      </w:r>
      <w:r w:rsidR="002D54C9" w:rsidRPr="000E5F58">
        <w:rPr>
          <w:rFonts w:asciiTheme="minorHAnsi" w:eastAsiaTheme="minorHAnsi" w:hAnsiTheme="minorHAnsi" w:cstheme="minorHAnsi"/>
          <w:bdr w:val="none" w:sz="0" w:space="0" w:color="auto"/>
          <w14:ligatures w14:val="standardContextual"/>
        </w:rPr>
        <w:t xml:space="preserve">the divine </w:t>
      </w:r>
      <w:r w:rsidR="00A66E90" w:rsidRPr="000E5F58">
        <w:rPr>
          <w:rFonts w:asciiTheme="minorHAnsi" w:eastAsiaTheme="minorHAnsi" w:hAnsiTheme="minorHAnsi" w:cstheme="minorHAnsi"/>
          <w:bdr w:val="none" w:sz="0" w:space="0" w:color="auto"/>
          <w14:ligatures w14:val="standardContextual"/>
        </w:rPr>
        <w:t>Christ in person and missional, redemptive activity</w:t>
      </w:r>
      <w:r w:rsidRPr="000E5F58">
        <w:rPr>
          <w:rFonts w:asciiTheme="minorHAnsi" w:eastAsiaTheme="minorHAnsi" w:hAnsiTheme="minorHAnsi" w:cstheme="minorHAnsi"/>
          <w:bdr w:val="none" w:sz="0" w:space="0" w:color="auto"/>
          <w14:ligatures w14:val="standardContextual"/>
        </w:rPr>
        <w:t xml:space="preserve"> </w:t>
      </w:r>
      <w:r w:rsidR="002D54C9" w:rsidRPr="000E5F58">
        <w:rPr>
          <w:rFonts w:asciiTheme="minorHAnsi" w:eastAsiaTheme="minorHAnsi" w:hAnsiTheme="minorHAnsi" w:cstheme="minorHAnsi"/>
          <w:bdr w:val="none" w:sz="0" w:space="0" w:color="auto"/>
          <w14:ligatures w14:val="standardContextual"/>
        </w:rPr>
        <w:t xml:space="preserve">against a background of </w:t>
      </w:r>
      <w:r w:rsidRPr="000E5F58">
        <w:rPr>
          <w:rFonts w:asciiTheme="minorHAnsi" w:eastAsiaTheme="minorHAnsi" w:hAnsiTheme="minorHAnsi" w:cstheme="minorHAnsi"/>
          <w:bdr w:val="none" w:sz="0" w:space="0" w:color="auto"/>
          <w14:ligatures w14:val="standardContextual"/>
        </w:rPr>
        <w:t>God</w:t>
      </w:r>
      <w:r w:rsidR="002D54C9" w:rsidRPr="000E5F58">
        <w:rPr>
          <w:rFonts w:asciiTheme="minorHAnsi" w:eastAsiaTheme="minorHAnsi" w:hAnsiTheme="minorHAnsi" w:cstheme="minorHAnsi"/>
          <w:bdr w:val="none" w:sz="0" w:space="0" w:color="auto"/>
          <w14:ligatures w14:val="standardContextual"/>
        </w:rPr>
        <w:t>’s triune, loving response to man’s sinfulness</w:t>
      </w:r>
      <w:r w:rsidR="00A66E90" w:rsidRPr="000E5F58">
        <w:rPr>
          <w:rFonts w:asciiTheme="minorHAnsi" w:eastAsiaTheme="minorHAnsi" w:hAnsiTheme="minorHAnsi" w:cstheme="minorHAnsi"/>
          <w:bdr w:val="none" w:sz="0" w:space="0" w:color="auto"/>
          <w14:ligatures w14:val="standardContextual"/>
        </w:rPr>
        <w:t xml:space="preserve">. </w:t>
      </w:r>
      <w:r w:rsidR="00A7376A" w:rsidRPr="000E5F58">
        <w:rPr>
          <w:rFonts w:asciiTheme="minorHAnsi" w:eastAsiaTheme="minorHAnsi" w:hAnsiTheme="minorHAnsi" w:cstheme="minorHAnsi"/>
          <w:bdr w:val="none" w:sz="0" w:space="0" w:color="auto"/>
          <w14:ligatures w14:val="standardContextual"/>
        </w:rPr>
        <w:t>Can we</w:t>
      </w:r>
      <w:r w:rsidR="00464BEB" w:rsidRPr="000E5F58">
        <w:rPr>
          <w:rFonts w:asciiTheme="minorHAnsi" w:eastAsiaTheme="minorHAnsi" w:hAnsiTheme="minorHAnsi" w:cstheme="minorHAnsi"/>
          <w:bdr w:val="none" w:sz="0" w:space="0" w:color="auto"/>
          <w14:ligatures w14:val="standardContextual"/>
        </w:rPr>
        <w:t xml:space="preserve"> know </w:t>
      </w:r>
      <w:r w:rsidR="00A7376A" w:rsidRPr="000E5F58">
        <w:rPr>
          <w:rFonts w:asciiTheme="minorHAnsi" w:eastAsiaTheme="minorHAnsi" w:hAnsiTheme="minorHAnsi" w:cstheme="minorHAnsi"/>
          <w:bdr w:val="none" w:sz="0" w:space="0" w:color="auto"/>
          <w14:ligatures w14:val="standardContextual"/>
        </w:rPr>
        <w:t>God</w:t>
      </w:r>
      <w:r w:rsidR="002D54C9" w:rsidRPr="000E5F58">
        <w:rPr>
          <w:rFonts w:asciiTheme="minorHAnsi" w:eastAsiaTheme="minorHAnsi" w:hAnsiTheme="minorHAnsi" w:cstheme="minorHAnsi"/>
          <w:bdr w:val="none" w:sz="0" w:space="0" w:color="auto"/>
          <w14:ligatures w14:val="standardContextual"/>
        </w:rPr>
        <w:t>’s triune immanence</w:t>
      </w:r>
      <w:r w:rsidR="009D2AF8" w:rsidRPr="000E5F58">
        <w:rPr>
          <w:rFonts w:asciiTheme="minorHAnsi" w:eastAsiaTheme="minorHAnsi" w:hAnsiTheme="minorHAnsi" w:cstheme="minorHAnsi"/>
          <w:bdr w:val="none" w:sz="0" w:space="0" w:color="auto"/>
          <w14:ligatures w14:val="standardContextual"/>
        </w:rPr>
        <w:t xml:space="preserve"> </w:t>
      </w:r>
      <w:r w:rsidR="00926909" w:rsidRPr="000E5F58">
        <w:rPr>
          <w:rFonts w:asciiTheme="minorHAnsi" w:eastAsiaTheme="minorHAnsi" w:hAnsiTheme="minorHAnsi" w:cstheme="minorHAnsi"/>
          <w:i/>
          <w:iCs/>
          <w:bdr w:val="none" w:sz="0" w:space="0" w:color="auto"/>
          <w14:ligatures w14:val="standardContextual"/>
        </w:rPr>
        <w:t>only</w:t>
      </w:r>
      <w:r w:rsidR="00926909" w:rsidRPr="000E5F58">
        <w:rPr>
          <w:rFonts w:asciiTheme="minorHAnsi" w:eastAsiaTheme="minorHAnsi" w:hAnsiTheme="minorHAnsi" w:cstheme="minorHAnsi"/>
          <w:bdr w:val="none" w:sz="0" w:space="0" w:color="auto"/>
          <w14:ligatures w14:val="standardContextual"/>
        </w:rPr>
        <w:t xml:space="preserve"> in</w:t>
      </w:r>
      <w:r w:rsidR="00464BEB" w:rsidRPr="000E5F58">
        <w:rPr>
          <w:rFonts w:asciiTheme="minorHAnsi" w:eastAsiaTheme="minorHAnsi" w:hAnsiTheme="minorHAnsi" w:cstheme="minorHAnsi"/>
          <w:bdr w:val="none" w:sz="0" w:space="0" w:color="auto"/>
          <w14:ligatures w14:val="standardContextual"/>
        </w:rPr>
        <w:t xml:space="preserve"> ‘meeting’ </w:t>
      </w:r>
      <w:r w:rsidR="00926909" w:rsidRPr="000E5F58">
        <w:rPr>
          <w:rFonts w:asciiTheme="minorHAnsi" w:eastAsiaTheme="minorHAnsi" w:hAnsiTheme="minorHAnsi" w:cstheme="minorHAnsi"/>
          <w:bdr w:val="none" w:sz="0" w:space="0" w:color="auto"/>
          <w14:ligatures w14:val="standardContextual"/>
        </w:rPr>
        <w:t xml:space="preserve">him in </w:t>
      </w:r>
      <w:r w:rsidR="00464BEB" w:rsidRPr="000E5F58">
        <w:rPr>
          <w:rFonts w:asciiTheme="minorHAnsi" w:eastAsiaTheme="minorHAnsi" w:hAnsiTheme="minorHAnsi" w:cstheme="minorHAnsi"/>
          <w:bdr w:val="none" w:sz="0" w:space="0" w:color="auto"/>
          <w14:ligatures w14:val="standardContextual"/>
        </w:rPr>
        <w:t xml:space="preserve">Christ </w:t>
      </w:r>
      <w:r w:rsidR="00A7376A" w:rsidRPr="000E5F58">
        <w:rPr>
          <w:rFonts w:asciiTheme="minorHAnsi" w:eastAsiaTheme="minorHAnsi" w:hAnsiTheme="minorHAnsi" w:cstheme="minorHAnsi"/>
          <w:bdr w:val="none" w:sz="0" w:space="0" w:color="auto"/>
          <w14:ligatures w14:val="standardContextual"/>
        </w:rPr>
        <w:t>(</w:t>
      </w:r>
      <w:r w:rsidR="00464BEB" w:rsidRPr="000E5F58">
        <w:rPr>
          <w:rFonts w:asciiTheme="minorHAnsi" w:eastAsiaTheme="minorHAnsi" w:hAnsiTheme="minorHAnsi" w:cstheme="minorHAnsi"/>
          <w:bdr w:val="none" w:sz="0" w:space="0" w:color="auto"/>
          <w14:ligatures w14:val="standardContextual"/>
        </w:rPr>
        <w:t>or the Spirit</w:t>
      </w:r>
      <w:r w:rsidR="009D2AF8" w:rsidRPr="000E5F58">
        <w:rPr>
          <w:rFonts w:asciiTheme="minorHAnsi" w:eastAsiaTheme="minorHAnsi" w:hAnsiTheme="minorHAnsi" w:cstheme="minorHAnsi"/>
          <w:bdr w:val="none" w:sz="0" w:space="0" w:color="auto"/>
          <w14:ligatures w14:val="standardContextual"/>
        </w:rPr>
        <w:t>)</w:t>
      </w:r>
      <w:r w:rsidR="00505F14" w:rsidRPr="000E5F58">
        <w:rPr>
          <w:rFonts w:asciiTheme="minorHAnsi" w:eastAsiaTheme="minorHAnsi" w:hAnsiTheme="minorHAnsi" w:cstheme="minorHAnsi"/>
          <w:bdr w:val="none" w:sz="0" w:space="0" w:color="auto"/>
          <w14:ligatures w14:val="standardContextual"/>
        </w:rPr>
        <w:t xml:space="preserve"> </w:t>
      </w:r>
      <w:r w:rsidR="009D2AF8" w:rsidRPr="000E5F58">
        <w:rPr>
          <w:rFonts w:asciiTheme="minorHAnsi" w:eastAsiaTheme="minorHAnsi" w:hAnsiTheme="minorHAnsi" w:cstheme="minorHAnsi"/>
          <w:bdr w:val="none" w:sz="0" w:space="0" w:color="auto"/>
          <w14:ligatures w14:val="standardContextual"/>
        </w:rPr>
        <w:t>in this world</w:t>
      </w:r>
      <w:r w:rsidR="00464BEB" w:rsidRPr="000E5F58">
        <w:rPr>
          <w:rFonts w:asciiTheme="minorHAnsi" w:eastAsiaTheme="minorHAnsi" w:hAnsiTheme="minorHAnsi" w:cstheme="minorHAnsi"/>
          <w:bdr w:val="none" w:sz="0" w:space="0" w:color="auto"/>
          <w14:ligatures w14:val="standardContextual"/>
        </w:rPr>
        <w:t xml:space="preserve">? </w:t>
      </w:r>
      <w:r w:rsidR="003E669D" w:rsidRPr="000E5F58">
        <w:rPr>
          <w:rFonts w:asciiTheme="minorHAnsi" w:eastAsiaTheme="minorHAnsi" w:hAnsiTheme="minorHAnsi" w:cstheme="minorHAnsi"/>
          <w:bdr w:val="none" w:sz="0" w:space="0" w:color="auto"/>
          <w14:ligatures w14:val="standardContextual"/>
        </w:rPr>
        <w:t>Rooted in</w:t>
      </w:r>
      <w:r w:rsidR="00A66E90" w:rsidRPr="000E5F58">
        <w:rPr>
          <w:rFonts w:asciiTheme="minorHAnsi" w:eastAsiaTheme="minorHAnsi" w:hAnsiTheme="minorHAnsi" w:cstheme="minorHAnsi"/>
          <w:bdr w:val="none" w:sz="0" w:space="0" w:color="auto"/>
          <w14:ligatures w14:val="standardContextual"/>
        </w:rPr>
        <w:t xml:space="preserve"> each credal statement enshrined in the Nicene and pseudo-Athanasian creeds is a reference to the immanence or the economic activity of the Trinity. </w:t>
      </w:r>
      <w:r w:rsidR="003E669D" w:rsidRPr="000E5F58">
        <w:rPr>
          <w:rFonts w:asciiTheme="minorHAnsi" w:eastAsiaTheme="minorHAnsi" w:hAnsiTheme="minorHAnsi" w:cstheme="minorHAnsi"/>
          <w:bdr w:val="none" w:sz="0" w:space="0" w:color="auto"/>
          <w14:ligatures w14:val="standardContextual"/>
        </w:rPr>
        <w:t>They express “an active love of God seeking a deeper knowledge of God”</w:t>
      </w:r>
      <w:r w:rsidR="003E669D" w:rsidRPr="000E5F58">
        <w:rPr>
          <w:rStyle w:val="FootnoteReference"/>
          <w:rFonts w:asciiTheme="minorHAnsi" w:hAnsiTheme="minorHAnsi" w:cstheme="minorHAnsi"/>
        </w:rPr>
        <w:footnoteReference w:id="2"/>
      </w:r>
      <w:r w:rsidR="003E669D" w:rsidRPr="000E5F58">
        <w:rPr>
          <w:rFonts w:asciiTheme="minorHAnsi" w:eastAsiaTheme="minorHAnsi" w:hAnsiTheme="minorHAnsi" w:cstheme="minorHAnsi"/>
          <w:bdr w:val="none" w:sz="0" w:space="0" w:color="auto"/>
          <w14:ligatures w14:val="standardContextual"/>
        </w:rPr>
        <w:t xml:space="preserve">. Despite doctrinal differences of the major influences on current trinitarian thinking, there is a surprising (and welcome) ‘interweaving’ of perspectives before </w:t>
      </w:r>
      <w:r w:rsidR="00D53E13" w:rsidRPr="000E5F58">
        <w:rPr>
          <w:rFonts w:asciiTheme="minorHAnsi" w:eastAsiaTheme="minorHAnsi" w:hAnsiTheme="minorHAnsi" w:cstheme="minorHAnsi"/>
          <w:bdr w:val="none" w:sz="0" w:space="0" w:color="auto"/>
          <w14:ligatures w14:val="standardContextual"/>
        </w:rPr>
        <w:t xml:space="preserve">their </w:t>
      </w:r>
      <w:r w:rsidR="003E669D" w:rsidRPr="000E5F58">
        <w:rPr>
          <w:rFonts w:asciiTheme="minorHAnsi" w:eastAsiaTheme="minorHAnsi" w:hAnsiTheme="minorHAnsi" w:cstheme="minorHAnsi"/>
          <w:bdr w:val="none" w:sz="0" w:space="0" w:color="auto"/>
          <w14:ligatures w14:val="standardContextual"/>
        </w:rPr>
        <w:t>divergence into denominational doctrinal stances.</w:t>
      </w:r>
      <w:r w:rsidR="003E669D" w:rsidRPr="000E5F58">
        <w:rPr>
          <w:rStyle w:val="FootnoteReference"/>
          <w:rFonts w:asciiTheme="minorHAnsi" w:eastAsiaTheme="minorHAnsi" w:hAnsiTheme="minorHAnsi" w:cstheme="minorHAnsi"/>
          <w:bdr w:val="none" w:sz="0" w:space="0" w:color="auto"/>
          <w14:ligatures w14:val="standardContextual"/>
        </w:rPr>
        <w:footnoteReference w:id="3"/>
      </w:r>
    </w:p>
    <w:p w14:paraId="616E4544" w14:textId="33224EF1" w:rsidR="00ED3949" w:rsidRPr="000E5F58" w:rsidRDefault="00A234AA" w:rsidP="001D16D7">
      <w:pPr>
        <w:pStyle w:val="Heading1"/>
        <w:spacing w:line="360" w:lineRule="auto"/>
        <w:rPr>
          <w:rFonts w:asciiTheme="minorHAnsi" w:eastAsiaTheme="minorHAnsi" w:hAnsiTheme="minorHAnsi" w:cstheme="minorHAnsi"/>
          <w:b/>
          <w:bCs/>
          <w:color w:val="auto"/>
          <w:sz w:val="24"/>
          <w:szCs w:val="24"/>
          <w:bdr w:val="none" w:sz="0" w:space="0" w:color="auto"/>
        </w:rPr>
      </w:pPr>
      <w:bookmarkStart w:id="1" w:name="_Toc134728148"/>
      <w:r w:rsidRPr="000E5F58">
        <w:rPr>
          <w:rFonts w:asciiTheme="minorHAnsi" w:eastAsiaTheme="minorHAnsi" w:hAnsiTheme="minorHAnsi" w:cstheme="minorHAnsi"/>
          <w:b/>
          <w:bCs/>
          <w:color w:val="auto"/>
          <w:sz w:val="24"/>
          <w:szCs w:val="24"/>
          <w:bdr w:val="none" w:sz="0" w:space="0" w:color="auto"/>
        </w:rPr>
        <w:t xml:space="preserve">The </w:t>
      </w:r>
      <w:r w:rsidR="00ED3949" w:rsidRPr="000E5F58">
        <w:rPr>
          <w:rFonts w:asciiTheme="minorHAnsi" w:eastAsiaTheme="minorHAnsi" w:hAnsiTheme="minorHAnsi" w:cstheme="minorHAnsi"/>
          <w:b/>
          <w:bCs/>
          <w:color w:val="auto"/>
          <w:sz w:val="24"/>
          <w:szCs w:val="24"/>
          <w:bdr w:val="none" w:sz="0" w:space="0" w:color="auto"/>
        </w:rPr>
        <w:t>immanent and economic Trinity</w:t>
      </w:r>
      <w:bookmarkEnd w:id="1"/>
    </w:p>
    <w:p w14:paraId="56637163" w14:textId="31C02FA4" w:rsidR="003B64AF" w:rsidRPr="000E5F58" w:rsidRDefault="007E4957" w:rsidP="001D16D7">
      <w:pPr>
        <w:spacing w:line="360" w:lineRule="auto"/>
        <w:rPr>
          <w:rFonts w:asciiTheme="minorHAnsi" w:eastAsiaTheme="minorHAnsi" w:hAnsiTheme="minorHAnsi" w:cstheme="minorHAnsi"/>
          <w:bdr w:val="none" w:sz="0" w:space="0" w:color="auto"/>
          <w:lang w:val="en-US"/>
          <w14:ligatures w14:val="standardContextual"/>
        </w:rPr>
      </w:pPr>
      <w:r w:rsidRPr="000E5F58">
        <w:rPr>
          <w:rFonts w:asciiTheme="minorHAnsi" w:eastAsiaTheme="minorHAnsi" w:hAnsiTheme="minorHAnsi" w:cstheme="minorHAnsi"/>
          <w:bdr w:val="none" w:sz="0" w:space="0" w:color="auto"/>
          <w14:ligatures w14:val="standardContextual"/>
        </w:rPr>
        <w:t xml:space="preserve">Karl Barth </w:t>
      </w:r>
      <w:r w:rsidR="00D53E13" w:rsidRPr="000E5F58">
        <w:rPr>
          <w:rFonts w:asciiTheme="minorHAnsi" w:eastAsiaTheme="minorHAnsi" w:hAnsiTheme="minorHAnsi" w:cstheme="minorHAnsi"/>
          <w:bdr w:val="none" w:sz="0" w:space="0" w:color="auto"/>
          <w14:ligatures w14:val="standardContextual"/>
        </w:rPr>
        <w:t xml:space="preserve">provides a firm starting point within the twentieth century revival of interest in the Trinity. </w:t>
      </w:r>
      <w:r w:rsidR="00A234AA" w:rsidRPr="000E5F58">
        <w:rPr>
          <w:rFonts w:asciiTheme="minorHAnsi" w:eastAsiaTheme="minorHAnsi" w:hAnsiTheme="minorHAnsi" w:cstheme="minorHAnsi"/>
          <w:bdr w:val="none" w:sz="0" w:space="0" w:color="auto"/>
          <w14:ligatures w14:val="standardContextual"/>
        </w:rPr>
        <w:t>God himself is the essence of all reality</w:t>
      </w:r>
      <w:r w:rsidR="00D53E13" w:rsidRPr="000E5F58">
        <w:rPr>
          <w:rFonts w:asciiTheme="minorHAnsi" w:eastAsiaTheme="minorHAnsi" w:hAnsiTheme="minorHAnsi" w:cstheme="minorHAnsi"/>
          <w:bdr w:val="none" w:sz="0" w:space="0" w:color="auto"/>
          <w14:ligatures w14:val="standardContextual"/>
        </w:rPr>
        <w:t>,</w:t>
      </w:r>
      <w:r w:rsidR="00A234AA" w:rsidRPr="000E5F58">
        <w:rPr>
          <w:rFonts w:asciiTheme="minorHAnsi" w:eastAsiaTheme="minorHAnsi" w:hAnsiTheme="minorHAnsi" w:cstheme="minorHAnsi"/>
          <w:bdr w:val="none" w:sz="0" w:space="0" w:color="auto"/>
          <w14:ligatures w14:val="standardContextual"/>
        </w:rPr>
        <w:t xml:space="preserve"> </w:t>
      </w:r>
      <w:r w:rsidR="00D53E13" w:rsidRPr="000E5F58">
        <w:rPr>
          <w:rFonts w:asciiTheme="minorHAnsi" w:eastAsiaTheme="minorHAnsi" w:hAnsiTheme="minorHAnsi" w:cstheme="minorHAnsi"/>
          <w:bdr w:val="none" w:sz="0" w:space="0" w:color="auto"/>
          <w14:ligatures w14:val="standardContextual"/>
        </w:rPr>
        <w:t>God’s</w:t>
      </w:r>
      <w:r w:rsidR="00A234AA" w:rsidRPr="000E5F58">
        <w:rPr>
          <w:rFonts w:asciiTheme="minorHAnsi" w:eastAsiaTheme="minorHAnsi" w:hAnsiTheme="minorHAnsi" w:cstheme="minorHAnsi"/>
          <w:bdr w:val="none" w:sz="0" w:space="0" w:color="auto"/>
          <w14:ligatures w14:val="standardContextual"/>
        </w:rPr>
        <w:t xml:space="preserve"> Word the essence of God’s self-revelation and work, which centres upon the ‘Word made Flesh’.</w:t>
      </w:r>
      <w:r w:rsidR="00A234AA" w:rsidRPr="000E5F58">
        <w:rPr>
          <w:rStyle w:val="FootnoteReference"/>
          <w:rFonts w:asciiTheme="minorHAnsi" w:hAnsiTheme="minorHAnsi" w:cstheme="minorHAnsi"/>
        </w:rPr>
        <w:footnoteReference w:id="4"/>
      </w:r>
      <w:r w:rsidR="00A234AA" w:rsidRPr="000E5F58">
        <w:rPr>
          <w:rFonts w:asciiTheme="minorHAnsi" w:eastAsiaTheme="minorHAnsi" w:hAnsiTheme="minorHAnsi" w:cstheme="minorHAnsi"/>
          <w:bdr w:val="none" w:sz="0" w:space="0" w:color="auto"/>
          <w14:ligatures w14:val="standardContextual"/>
        </w:rPr>
        <w:t xml:space="preserve"> </w:t>
      </w:r>
      <w:r w:rsidR="00D53E13" w:rsidRPr="000E5F58">
        <w:rPr>
          <w:rFonts w:asciiTheme="minorHAnsi" w:eastAsiaTheme="minorHAnsi" w:hAnsiTheme="minorHAnsi" w:cstheme="minorHAnsi"/>
          <w:bdr w:val="none" w:sz="0" w:space="0" w:color="auto"/>
          <w14:ligatures w14:val="standardContextual"/>
        </w:rPr>
        <w:t xml:space="preserve">It is </w:t>
      </w:r>
      <w:r w:rsidR="00A234AA" w:rsidRPr="000E5F58">
        <w:rPr>
          <w:rFonts w:asciiTheme="minorHAnsi" w:eastAsiaTheme="minorHAnsi" w:hAnsiTheme="minorHAnsi" w:cstheme="minorHAnsi"/>
          <w:bdr w:val="none" w:sz="0" w:space="0" w:color="auto"/>
          <w14:ligatures w14:val="standardContextual"/>
        </w:rPr>
        <w:t xml:space="preserve">God’s </w:t>
      </w:r>
      <w:r w:rsidR="00D53E13" w:rsidRPr="000E5F58">
        <w:rPr>
          <w:rFonts w:asciiTheme="minorHAnsi" w:eastAsiaTheme="minorHAnsi" w:hAnsiTheme="minorHAnsi" w:cstheme="minorHAnsi"/>
          <w:bdr w:val="none" w:sz="0" w:space="0" w:color="auto"/>
          <w14:ligatures w14:val="standardContextual"/>
        </w:rPr>
        <w:t xml:space="preserve">dynamic, </w:t>
      </w:r>
      <w:r w:rsidR="00A234AA" w:rsidRPr="000E5F58">
        <w:rPr>
          <w:rFonts w:asciiTheme="minorHAnsi" w:eastAsiaTheme="minorHAnsi" w:hAnsiTheme="minorHAnsi" w:cstheme="minorHAnsi"/>
          <w:bdr w:val="none" w:sz="0" w:space="0" w:color="auto"/>
          <w14:ligatures w14:val="standardContextual"/>
        </w:rPr>
        <w:t>self-revelat</w:t>
      </w:r>
      <w:r w:rsidR="00D53E13" w:rsidRPr="000E5F58">
        <w:rPr>
          <w:rFonts w:asciiTheme="minorHAnsi" w:eastAsiaTheme="minorHAnsi" w:hAnsiTheme="minorHAnsi" w:cstheme="minorHAnsi"/>
          <w:bdr w:val="none" w:sz="0" w:space="0" w:color="auto"/>
          <w14:ligatures w14:val="standardContextual"/>
        </w:rPr>
        <w:t xml:space="preserve">ory activity </w:t>
      </w:r>
      <w:r w:rsidR="00A234AA" w:rsidRPr="000E5F58">
        <w:rPr>
          <w:rFonts w:asciiTheme="minorHAnsi" w:eastAsiaTheme="minorHAnsi" w:hAnsiTheme="minorHAnsi" w:cstheme="minorHAnsi"/>
          <w:bdr w:val="none" w:sz="0" w:space="0" w:color="auto"/>
          <w14:ligatures w14:val="standardContextual"/>
        </w:rPr>
        <w:t xml:space="preserve">through the Son </w:t>
      </w:r>
      <w:r w:rsidR="00D53E13" w:rsidRPr="000E5F58">
        <w:rPr>
          <w:rFonts w:asciiTheme="minorHAnsi" w:eastAsiaTheme="minorHAnsi" w:hAnsiTheme="minorHAnsi" w:cstheme="minorHAnsi"/>
          <w:bdr w:val="none" w:sz="0" w:space="0" w:color="auto"/>
          <w14:ligatures w14:val="standardContextual"/>
        </w:rPr>
        <w:t>that</w:t>
      </w:r>
      <w:r w:rsidR="00A234AA" w:rsidRPr="000E5F58">
        <w:rPr>
          <w:rFonts w:asciiTheme="minorHAnsi" w:eastAsiaTheme="minorHAnsi" w:hAnsiTheme="minorHAnsi" w:cstheme="minorHAnsi"/>
          <w:bdr w:val="none" w:sz="0" w:space="0" w:color="auto"/>
          <w14:ligatures w14:val="standardContextual"/>
        </w:rPr>
        <w:t xml:space="preserve"> reveals God himself. </w:t>
      </w:r>
      <w:r w:rsidR="00D53E13" w:rsidRPr="000E5F58">
        <w:rPr>
          <w:rFonts w:asciiTheme="minorHAnsi" w:eastAsiaTheme="minorHAnsi" w:hAnsiTheme="minorHAnsi" w:cstheme="minorHAnsi"/>
          <w:bdr w:val="none" w:sz="0" w:space="0" w:color="auto"/>
          <w:lang w:val="en-US"/>
          <w14:ligatures w14:val="standardContextual"/>
        </w:rPr>
        <w:t>God’s activity as Creator, Mediator and Redeemer</w:t>
      </w:r>
      <w:r w:rsidR="00D53E13" w:rsidRPr="000E5F58">
        <w:rPr>
          <w:rFonts w:asciiTheme="minorHAnsi" w:eastAsiaTheme="minorHAnsi" w:hAnsiTheme="minorHAnsi" w:cstheme="minorHAnsi"/>
          <w:bdr w:val="none" w:sz="0" w:space="0" w:color="auto"/>
          <w14:ligatures w14:val="standardContextual"/>
        </w:rPr>
        <w:t xml:space="preserve"> is not </w:t>
      </w:r>
      <w:proofErr w:type="spellStart"/>
      <w:r w:rsidR="004F5DAD" w:rsidRPr="000E5F58">
        <w:rPr>
          <w:rFonts w:asciiTheme="minorHAnsi" w:eastAsiaTheme="minorHAnsi" w:hAnsiTheme="minorHAnsi" w:cstheme="minorHAnsi"/>
          <w:bdr w:val="none" w:sz="0" w:space="0" w:color="auto"/>
          <w14:ligatures w14:val="standardContextual"/>
        </w:rPr>
        <w:t>modalist</w:t>
      </w:r>
      <w:proofErr w:type="spellEnd"/>
      <w:r w:rsidR="00B8528F" w:rsidRPr="000E5F58">
        <w:rPr>
          <w:rFonts w:asciiTheme="minorHAnsi" w:eastAsiaTheme="minorHAnsi" w:hAnsiTheme="minorHAnsi" w:cstheme="minorHAnsi"/>
          <w:bdr w:val="none" w:sz="0" w:space="0" w:color="auto"/>
          <w:lang w:val="en-US"/>
          <w14:ligatures w14:val="standardContextual"/>
        </w:rPr>
        <w:t xml:space="preserve"> dogma</w:t>
      </w:r>
      <w:r w:rsidR="004F5DAD" w:rsidRPr="000E5F58">
        <w:rPr>
          <w:rFonts w:asciiTheme="minorHAnsi" w:eastAsiaTheme="minorHAnsi" w:hAnsiTheme="minorHAnsi" w:cstheme="minorHAnsi"/>
          <w:bdr w:val="none" w:sz="0" w:space="0" w:color="auto"/>
          <w:lang w:val="en-US"/>
          <w14:ligatures w14:val="standardContextual"/>
        </w:rPr>
        <w:t>;</w:t>
      </w:r>
      <w:r w:rsidR="00B8528F" w:rsidRPr="000E5F58">
        <w:rPr>
          <w:rFonts w:asciiTheme="minorHAnsi" w:eastAsiaTheme="minorHAnsi" w:hAnsiTheme="minorHAnsi" w:cstheme="minorHAnsi"/>
          <w:bdr w:val="none" w:sz="0" w:space="0" w:color="auto"/>
          <w:lang w:val="en-US"/>
          <w14:ligatures w14:val="standardContextual"/>
        </w:rPr>
        <w:t xml:space="preserve"> he is eternally </w:t>
      </w:r>
      <w:r w:rsidR="004F5DAD" w:rsidRPr="000E5F58">
        <w:rPr>
          <w:rFonts w:asciiTheme="minorHAnsi" w:eastAsiaTheme="minorHAnsi" w:hAnsiTheme="minorHAnsi" w:cstheme="minorHAnsi"/>
          <w:bdr w:val="none" w:sz="0" w:space="0" w:color="auto"/>
          <w:lang w:val="en-US"/>
          <w14:ligatures w14:val="standardContextual"/>
        </w:rPr>
        <w:t xml:space="preserve">the triune </w:t>
      </w:r>
      <w:r w:rsidR="00B8528F" w:rsidRPr="000E5F58">
        <w:rPr>
          <w:rFonts w:asciiTheme="minorHAnsi" w:eastAsiaTheme="minorHAnsi" w:hAnsiTheme="minorHAnsi" w:cstheme="minorHAnsi"/>
          <w:bdr w:val="none" w:sz="0" w:space="0" w:color="auto"/>
          <w:lang w:val="en-US"/>
          <w14:ligatures w14:val="standardContextual"/>
        </w:rPr>
        <w:t>God</w:t>
      </w:r>
      <w:r w:rsidR="004F5DAD" w:rsidRPr="000E5F58">
        <w:rPr>
          <w:rFonts w:asciiTheme="minorHAnsi" w:eastAsiaTheme="minorHAnsi" w:hAnsiTheme="minorHAnsi" w:cstheme="minorHAnsi"/>
          <w:bdr w:val="none" w:sz="0" w:space="0" w:color="auto"/>
          <w:lang w:val="en-US"/>
          <w14:ligatures w14:val="standardContextual"/>
        </w:rPr>
        <w:t>,</w:t>
      </w:r>
      <w:r w:rsidR="00B8528F" w:rsidRPr="000E5F58">
        <w:rPr>
          <w:rFonts w:asciiTheme="minorHAnsi" w:eastAsiaTheme="minorHAnsi" w:hAnsiTheme="minorHAnsi" w:cstheme="minorHAnsi"/>
          <w:bdr w:val="none" w:sz="0" w:space="0" w:color="auto"/>
          <w:lang w:val="en-US"/>
          <w14:ligatures w14:val="standardContextual"/>
        </w:rPr>
        <w:t xml:space="preserve"> Father Son and Holy Spirit, which “cannot be dissolved into his work and activity”</w:t>
      </w:r>
      <w:r w:rsidR="00B8528F" w:rsidRPr="000E5F58">
        <w:rPr>
          <w:rStyle w:val="FootnoteReference"/>
          <w:rFonts w:asciiTheme="minorHAnsi" w:hAnsiTheme="minorHAnsi" w:cstheme="minorHAnsi"/>
        </w:rPr>
        <w:footnoteReference w:id="5"/>
      </w:r>
      <w:r w:rsidR="005625E3" w:rsidRPr="000E5F58">
        <w:rPr>
          <w:rFonts w:asciiTheme="minorHAnsi" w:eastAsiaTheme="minorHAnsi" w:hAnsiTheme="minorHAnsi" w:cstheme="minorHAnsi"/>
          <w:bdr w:val="none" w:sz="0" w:space="0" w:color="auto"/>
          <w:lang w:val="en-US"/>
          <w14:ligatures w14:val="standardContextual"/>
        </w:rPr>
        <w:t>.</w:t>
      </w:r>
      <w:r w:rsidR="00B8528F" w:rsidRPr="000E5F58">
        <w:rPr>
          <w:rFonts w:asciiTheme="minorHAnsi" w:eastAsiaTheme="minorHAnsi" w:hAnsiTheme="minorHAnsi" w:cstheme="minorHAnsi"/>
          <w:bdr w:val="none" w:sz="0" w:space="0" w:color="auto"/>
          <w:lang w:val="en-US"/>
          <w14:ligatures w14:val="standardContextual"/>
        </w:rPr>
        <w:t xml:space="preserve"> </w:t>
      </w:r>
      <w:r w:rsidR="003B64AF" w:rsidRPr="000E5F58">
        <w:rPr>
          <w:rFonts w:asciiTheme="minorHAnsi" w:eastAsiaTheme="minorHAnsi" w:hAnsiTheme="minorHAnsi" w:cstheme="minorHAnsi"/>
          <w:bdr w:val="none" w:sz="0" w:space="0" w:color="auto"/>
          <w:lang w:val="en-US"/>
          <w14:ligatures w14:val="standardContextual"/>
        </w:rPr>
        <w:t>God</w:t>
      </w:r>
      <w:r w:rsidR="00B8528F" w:rsidRPr="000E5F58">
        <w:rPr>
          <w:rFonts w:asciiTheme="minorHAnsi" w:eastAsiaTheme="minorHAnsi" w:hAnsiTheme="minorHAnsi" w:cstheme="minorHAnsi"/>
          <w:bdr w:val="none" w:sz="0" w:space="0" w:color="auto"/>
          <w:lang w:val="en-US"/>
          <w14:ligatures w14:val="standardContextual"/>
        </w:rPr>
        <w:t>’s</w:t>
      </w:r>
      <w:r w:rsidR="003B64AF" w:rsidRPr="000E5F58">
        <w:rPr>
          <w:rFonts w:asciiTheme="minorHAnsi" w:eastAsiaTheme="minorHAnsi" w:hAnsiTheme="minorHAnsi" w:cstheme="minorHAnsi"/>
          <w:bdr w:val="none" w:sz="0" w:space="0" w:color="auto"/>
          <w:lang w:val="en-US"/>
          <w14:ligatures w14:val="standardContextual"/>
        </w:rPr>
        <w:t xml:space="preserve"> speak</w:t>
      </w:r>
      <w:r w:rsidR="00B8528F" w:rsidRPr="000E5F58">
        <w:rPr>
          <w:rFonts w:asciiTheme="minorHAnsi" w:eastAsiaTheme="minorHAnsi" w:hAnsiTheme="minorHAnsi" w:cstheme="minorHAnsi"/>
          <w:bdr w:val="none" w:sz="0" w:space="0" w:color="auto"/>
          <w:lang w:val="en-US"/>
          <w14:ligatures w14:val="standardContextual"/>
        </w:rPr>
        <w:t>ing</w:t>
      </w:r>
      <w:r w:rsidR="003B64AF" w:rsidRPr="000E5F58">
        <w:rPr>
          <w:rFonts w:asciiTheme="minorHAnsi" w:eastAsiaTheme="minorHAnsi" w:hAnsiTheme="minorHAnsi" w:cstheme="minorHAnsi"/>
          <w:bdr w:val="none" w:sz="0" w:space="0" w:color="auto"/>
          <w:lang w:val="en-US"/>
          <w14:ligatures w14:val="standardContextual"/>
        </w:rPr>
        <w:t xml:space="preserve"> in </w:t>
      </w:r>
      <w:r w:rsidR="003B64AF" w:rsidRPr="000E5F58">
        <w:rPr>
          <w:rFonts w:asciiTheme="minorHAnsi" w:eastAsiaTheme="minorHAnsi" w:hAnsiTheme="minorHAnsi" w:cstheme="minorHAnsi"/>
          <w:bdr w:val="none" w:sz="0" w:space="0" w:color="auto"/>
          <w:lang w:val="en-US"/>
          <w14:ligatures w14:val="standardContextual"/>
        </w:rPr>
        <w:lastRenderedPageBreak/>
        <w:t>the historical reality of Jesus Christ</w:t>
      </w:r>
      <w:r w:rsidR="00B8528F" w:rsidRPr="000E5F58">
        <w:rPr>
          <w:rFonts w:asciiTheme="minorHAnsi" w:eastAsiaTheme="minorHAnsi" w:hAnsiTheme="minorHAnsi" w:cstheme="minorHAnsi"/>
          <w:bdr w:val="none" w:sz="0" w:space="0" w:color="auto"/>
          <w:lang w:val="en-US"/>
          <w14:ligatures w14:val="standardContextual"/>
        </w:rPr>
        <w:t xml:space="preserve">, </w:t>
      </w:r>
      <w:r w:rsidR="003B64AF" w:rsidRPr="000E5F58">
        <w:rPr>
          <w:rFonts w:asciiTheme="minorHAnsi" w:eastAsiaTheme="minorHAnsi" w:hAnsiTheme="minorHAnsi" w:cstheme="minorHAnsi"/>
          <w:bdr w:val="none" w:sz="0" w:space="0" w:color="auto"/>
          <w:lang w:val="en-US"/>
          <w14:ligatures w14:val="standardContextual"/>
        </w:rPr>
        <w:t>by human witnesses,</w:t>
      </w:r>
      <w:r w:rsidR="00B8528F" w:rsidRPr="000E5F58">
        <w:rPr>
          <w:rFonts w:asciiTheme="minorHAnsi" w:eastAsiaTheme="minorHAnsi" w:hAnsiTheme="minorHAnsi" w:cstheme="minorHAnsi"/>
          <w:bdr w:val="none" w:sz="0" w:space="0" w:color="auto"/>
          <w:lang w:val="en-US"/>
          <w14:ligatures w14:val="standardContextual"/>
        </w:rPr>
        <w:t xml:space="preserve"> presents the Trinity’s</w:t>
      </w:r>
      <w:r w:rsidR="003B64AF" w:rsidRPr="000E5F58">
        <w:rPr>
          <w:rFonts w:asciiTheme="minorHAnsi" w:eastAsiaTheme="minorHAnsi" w:hAnsiTheme="minorHAnsi" w:cstheme="minorHAnsi"/>
          <w:bdr w:val="none" w:sz="0" w:space="0" w:color="auto"/>
          <w:lang w:val="en-US"/>
          <w14:ligatures w14:val="standardContextual"/>
        </w:rPr>
        <w:t xml:space="preserve"> </w:t>
      </w:r>
      <w:r w:rsidR="003B64AF" w:rsidRPr="000E5F58">
        <w:rPr>
          <w:rFonts w:asciiTheme="minorHAnsi" w:eastAsia="Times New Roman" w:hAnsiTheme="minorHAnsi" w:cstheme="minorHAnsi"/>
          <w:lang w:eastAsia="en-GB"/>
        </w:rPr>
        <w:t>“irreducible diversity … represented as the single act of the one God”</w:t>
      </w:r>
      <w:r w:rsidR="003B64AF" w:rsidRPr="000E5F58">
        <w:rPr>
          <w:rStyle w:val="FootnoteReference"/>
          <w:rFonts w:asciiTheme="minorHAnsi" w:hAnsiTheme="minorHAnsi" w:cstheme="minorHAnsi"/>
        </w:rPr>
        <w:footnoteReference w:id="6"/>
      </w:r>
      <w:r w:rsidR="003B64AF" w:rsidRPr="000E5F58">
        <w:rPr>
          <w:rFonts w:asciiTheme="minorHAnsi" w:eastAsiaTheme="minorHAnsi" w:hAnsiTheme="minorHAnsi" w:cstheme="minorHAnsi"/>
          <w:bdr w:val="none" w:sz="0" w:space="0" w:color="auto"/>
          <w:lang w:val="en-US"/>
          <w14:ligatures w14:val="standardContextual"/>
        </w:rPr>
        <w:t xml:space="preserve">. </w:t>
      </w:r>
    </w:p>
    <w:p w14:paraId="20E557C8" w14:textId="77777777" w:rsidR="003B64AF" w:rsidRPr="000E5F58" w:rsidRDefault="003B64AF" w:rsidP="001D16D7">
      <w:pPr>
        <w:spacing w:line="360" w:lineRule="auto"/>
        <w:rPr>
          <w:rFonts w:asciiTheme="minorHAnsi" w:eastAsiaTheme="minorHAnsi" w:hAnsiTheme="minorHAnsi" w:cstheme="minorHAnsi"/>
          <w:bdr w:val="none" w:sz="0" w:space="0" w:color="auto"/>
          <w:lang w:val="en-US"/>
          <w14:ligatures w14:val="standardContextual"/>
        </w:rPr>
      </w:pPr>
    </w:p>
    <w:p w14:paraId="35FA0682" w14:textId="161B11E0" w:rsidR="00AA0F21" w:rsidRPr="000E5F58" w:rsidRDefault="004F5DAD" w:rsidP="001D16D7">
      <w:pPr>
        <w:spacing w:line="360" w:lineRule="auto"/>
        <w:rPr>
          <w:rFonts w:asciiTheme="minorHAnsi" w:eastAsiaTheme="minorHAnsi" w:hAnsiTheme="minorHAnsi" w:cstheme="minorHAnsi"/>
          <w:bdr w:val="none" w:sz="0" w:space="0" w:color="auto"/>
          <w14:ligatures w14:val="standardContextual"/>
        </w:rPr>
      </w:pPr>
      <w:r w:rsidRPr="000E5F58">
        <w:rPr>
          <w:rFonts w:asciiTheme="minorHAnsi" w:eastAsiaTheme="minorHAnsi" w:hAnsiTheme="minorHAnsi" w:cstheme="minorHAnsi"/>
          <w:bdr w:val="none" w:sz="0" w:space="0" w:color="auto"/>
          <w14:ligatures w14:val="standardContextual"/>
        </w:rPr>
        <w:t xml:space="preserve">More broadly, </w:t>
      </w:r>
      <w:r w:rsidR="001E7D0E" w:rsidRPr="000E5F58">
        <w:rPr>
          <w:rFonts w:asciiTheme="minorHAnsi" w:eastAsiaTheme="minorHAnsi" w:hAnsiTheme="minorHAnsi" w:cstheme="minorHAnsi"/>
          <w:bdr w:val="none" w:sz="0" w:space="0" w:color="auto"/>
          <w14:ligatures w14:val="standardContextual"/>
        </w:rPr>
        <w:t xml:space="preserve">many </w:t>
      </w:r>
      <w:r w:rsidRPr="000E5F58">
        <w:rPr>
          <w:rFonts w:asciiTheme="minorHAnsi" w:eastAsiaTheme="minorHAnsi" w:hAnsiTheme="minorHAnsi" w:cstheme="minorHAnsi"/>
          <w:bdr w:val="none" w:sz="0" w:space="0" w:color="auto"/>
          <w14:ligatures w14:val="standardContextual"/>
        </w:rPr>
        <w:t>P</w:t>
      </w:r>
      <w:r w:rsidR="00A234AA" w:rsidRPr="000E5F58">
        <w:rPr>
          <w:rFonts w:asciiTheme="minorHAnsi" w:eastAsiaTheme="minorHAnsi" w:hAnsiTheme="minorHAnsi" w:cstheme="minorHAnsi"/>
          <w:bdr w:val="none" w:sz="0" w:space="0" w:color="auto"/>
          <w14:ligatures w14:val="standardContextual"/>
        </w:rPr>
        <w:t>rotestant</w:t>
      </w:r>
      <w:r w:rsidRPr="000E5F58">
        <w:rPr>
          <w:rFonts w:asciiTheme="minorHAnsi" w:eastAsiaTheme="minorHAnsi" w:hAnsiTheme="minorHAnsi" w:cstheme="minorHAnsi"/>
          <w:bdr w:val="none" w:sz="0" w:space="0" w:color="auto"/>
          <w14:ligatures w14:val="standardContextual"/>
        </w:rPr>
        <w:t>s</w:t>
      </w:r>
      <w:r w:rsidR="00A234AA" w:rsidRPr="000E5F58">
        <w:rPr>
          <w:rFonts w:asciiTheme="minorHAnsi" w:eastAsiaTheme="minorHAnsi" w:hAnsiTheme="minorHAnsi" w:cstheme="minorHAnsi"/>
          <w:bdr w:val="none" w:sz="0" w:space="0" w:color="auto"/>
          <w14:ligatures w14:val="standardContextual"/>
        </w:rPr>
        <w:t>, Catholic</w:t>
      </w:r>
      <w:r w:rsidRPr="000E5F58">
        <w:rPr>
          <w:rFonts w:asciiTheme="minorHAnsi" w:eastAsiaTheme="minorHAnsi" w:hAnsiTheme="minorHAnsi" w:cstheme="minorHAnsi"/>
          <w:bdr w:val="none" w:sz="0" w:space="0" w:color="auto"/>
          <w14:ligatures w14:val="standardContextual"/>
        </w:rPr>
        <w:t>s</w:t>
      </w:r>
      <w:r w:rsidR="00A234AA" w:rsidRPr="000E5F58">
        <w:rPr>
          <w:rFonts w:asciiTheme="minorHAnsi" w:eastAsiaTheme="minorHAnsi" w:hAnsiTheme="minorHAnsi" w:cstheme="minorHAnsi"/>
          <w:bdr w:val="none" w:sz="0" w:space="0" w:color="auto"/>
          <w14:ligatures w14:val="standardContextual"/>
        </w:rPr>
        <w:t xml:space="preserve"> and Orthodox alike inexorably espouse </w:t>
      </w:r>
      <w:r w:rsidR="003E669D" w:rsidRPr="000E5F58">
        <w:rPr>
          <w:rFonts w:asciiTheme="minorHAnsi" w:eastAsiaTheme="minorHAnsi" w:hAnsiTheme="minorHAnsi" w:cstheme="minorHAnsi"/>
          <w:bdr w:val="none" w:sz="0" w:space="0" w:color="auto"/>
          <w14:ligatures w14:val="standardContextual"/>
        </w:rPr>
        <w:t>a</w:t>
      </w:r>
      <w:r w:rsidR="00A234AA" w:rsidRPr="000E5F58">
        <w:rPr>
          <w:rFonts w:asciiTheme="minorHAnsi" w:eastAsiaTheme="minorHAnsi" w:hAnsiTheme="minorHAnsi" w:cstheme="minorHAnsi"/>
          <w:bdr w:val="none" w:sz="0" w:space="0" w:color="auto"/>
          <w14:ligatures w14:val="standardContextual"/>
        </w:rPr>
        <w:t xml:space="preserve"> </w:t>
      </w:r>
      <w:r w:rsidRPr="000E5F58">
        <w:rPr>
          <w:rFonts w:asciiTheme="minorHAnsi" w:eastAsiaTheme="minorHAnsi" w:hAnsiTheme="minorHAnsi" w:cstheme="minorHAnsi"/>
          <w:bdr w:val="none" w:sz="0" w:space="0" w:color="auto"/>
          <w14:ligatures w14:val="standardContextual"/>
        </w:rPr>
        <w:t xml:space="preserve">trinitarian </w:t>
      </w:r>
      <w:r w:rsidR="00A234AA" w:rsidRPr="000E5F58">
        <w:rPr>
          <w:rFonts w:asciiTheme="minorHAnsi" w:eastAsiaTheme="minorHAnsi" w:hAnsiTheme="minorHAnsi" w:cstheme="minorHAnsi"/>
          <w:bdr w:val="none" w:sz="0" w:space="0" w:color="auto"/>
          <w14:ligatures w14:val="standardContextual"/>
        </w:rPr>
        <w:t xml:space="preserve">mutuality of relationship. All doctrinal discussion about Jesus Christ revolves around people ‘meeting’ God in a communicative, dynamic, </w:t>
      </w:r>
      <w:r w:rsidR="00A234AA" w:rsidRPr="000E5F58">
        <w:rPr>
          <w:rFonts w:asciiTheme="minorHAnsi" w:eastAsiaTheme="minorHAnsi" w:hAnsiTheme="minorHAnsi" w:cstheme="minorHAnsi"/>
          <w:i/>
          <w:iCs/>
          <w:bdr w:val="none" w:sz="0" w:space="0" w:color="auto"/>
          <w14:ligatures w14:val="standardContextual"/>
        </w:rPr>
        <w:t xml:space="preserve">relational </w:t>
      </w:r>
      <w:r w:rsidR="00A234AA" w:rsidRPr="000E5F58">
        <w:rPr>
          <w:rFonts w:asciiTheme="minorHAnsi" w:eastAsiaTheme="minorHAnsi" w:hAnsiTheme="minorHAnsi" w:cstheme="minorHAnsi"/>
          <w:bdr w:val="none" w:sz="0" w:space="0" w:color="auto"/>
          <w14:ligatures w14:val="standardContextual"/>
        </w:rPr>
        <w:t>activity. Jesus Christ is the link between humanity’s past, present and future life</w:t>
      </w:r>
      <w:r w:rsidR="00A234AA" w:rsidRPr="000E5F58">
        <w:rPr>
          <w:rStyle w:val="FootnoteReference"/>
          <w:rFonts w:asciiTheme="minorHAnsi" w:hAnsiTheme="minorHAnsi" w:cstheme="minorHAnsi"/>
        </w:rPr>
        <w:footnoteReference w:id="7"/>
      </w:r>
      <w:r w:rsidR="00D55547" w:rsidRPr="000E5F58">
        <w:rPr>
          <w:rFonts w:asciiTheme="minorHAnsi" w:eastAsiaTheme="minorHAnsi" w:hAnsiTheme="minorHAnsi" w:cstheme="minorHAnsi"/>
          <w:bdr w:val="none" w:sz="0" w:space="0" w:color="auto"/>
          <w14:ligatures w14:val="standardContextual"/>
        </w:rPr>
        <w:t>, for</w:t>
      </w:r>
      <w:r w:rsidR="00A234AA" w:rsidRPr="000E5F58">
        <w:rPr>
          <w:rFonts w:asciiTheme="minorHAnsi" w:eastAsiaTheme="minorHAnsi" w:hAnsiTheme="minorHAnsi" w:cstheme="minorHAnsi"/>
          <w:bdr w:val="none" w:sz="0" w:space="0" w:color="auto"/>
          <w14:ligatures w14:val="standardContextual"/>
        </w:rPr>
        <w:t xml:space="preserve"> </w:t>
      </w:r>
      <w:r w:rsidR="00D55547" w:rsidRPr="000E5F58">
        <w:rPr>
          <w:rFonts w:asciiTheme="minorHAnsi" w:eastAsiaTheme="minorHAnsi" w:hAnsiTheme="minorHAnsi" w:cstheme="minorHAnsi"/>
          <w:bdr w:val="none" w:sz="0" w:space="0" w:color="auto"/>
          <w14:ligatures w14:val="standardContextual"/>
        </w:rPr>
        <w:t>m</w:t>
      </w:r>
      <w:r w:rsidR="00A234AA" w:rsidRPr="000E5F58">
        <w:rPr>
          <w:rFonts w:asciiTheme="minorHAnsi" w:eastAsiaTheme="minorHAnsi" w:hAnsiTheme="minorHAnsi" w:cstheme="minorHAnsi"/>
          <w:bdr w:val="none" w:sz="0" w:space="0" w:color="auto"/>
          <w14:ligatures w14:val="standardContextual"/>
        </w:rPr>
        <w:t xml:space="preserve">ankind </w:t>
      </w:r>
      <w:r w:rsidR="00A234AA" w:rsidRPr="000E5F58">
        <w:rPr>
          <w:rFonts w:asciiTheme="minorHAnsi" w:eastAsiaTheme="minorHAnsi" w:hAnsiTheme="minorHAnsi" w:cstheme="minorHAnsi"/>
          <w:i/>
          <w:iCs/>
          <w:bdr w:val="none" w:sz="0" w:space="0" w:color="auto"/>
          <w14:ligatures w14:val="standardContextual"/>
        </w:rPr>
        <w:t>has</w:t>
      </w:r>
      <w:r w:rsidR="00A234AA" w:rsidRPr="000E5F58">
        <w:rPr>
          <w:rFonts w:asciiTheme="minorHAnsi" w:eastAsiaTheme="minorHAnsi" w:hAnsiTheme="minorHAnsi" w:cstheme="minorHAnsi"/>
          <w:bdr w:val="none" w:sz="0" w:space="0" w:color="auto"/>
          <w14:ligatures w14:val="standardContextual"/>
        </w:rPr>
        <w:t xml:space="preserve"> relationships, but God </w:t>
      </w:r>
      <w:r w:rsidR="00A234AA" w:rsidRPr="000E5F58">
        <w:rPr>
          <w:rFonts w:asciiTheme="minorHAnsi" w:eastAsiaTheme="minorHAnsi" w:hAnsiTheme="minorHAnsi" w:cstheme="minorHAnsi"/>
          <w:i/>
          <w:iCs/>
          <w:bdr w:val="none" w:sz="0" w:space="0" w:color="auto"/>
          <w14:ligatures w14:val="standardContextual"/>
        </w:rPr>
        <w:t xml:space="preserve">is </w:t>
      </w:r>
      <w:r w:rsidR="00A234AA" w:rsidRPr="000E5F58">
        <w:rPr>
          <w:rFonts w:asciiTheme="minorHAnsi" w:eastAsiaTheme="minorHAnsi" w:hAnsiTheme="minorHAnsi" w:cstheme="minorHAnsi"/>
          <w:bdr w:val="none" w:sz="0" w:space="0" w:color="auto"/>
          <w14:ligatures w14:val="standardContextual"/>
        </w:rPr>
        <w:t>relations he has, “relationship with no remainder”</w:t>
      </w:r>
      <w:r w:rsidR="00A234AA" w:rsidRPr="000E5F58">
        <w:rPr>
          <w:rStyle w:val="FootnoteReference"/>
          <w:rFonts w:asciiTheme="minorHAnsi" w:hAnsiTheme="minorHAnsi" w:cstheme="minorHAnsi"/>
        </w:rPr>
        <w:footnoteReference w:id="8"/>
      </w:r>
      <w:r w:rsidR="001E7D0E" w:rsidRPr="000E5F58">
        <w:rPr>
          <w:rFonts w:asciiTheme="minorHAnsi" w:eastAsiaTheme="minorHAnsi" w:hAnsiTheme="minorHAnsi" w:cstheme="minorHAnsi"/>
          <w:bdr w:val="none" w:sz="0" w:space="0" w:color="auto"/>
          <w14:ligatures w14:val="standardContextual"/>
        </w:rPr>
        <w:t>.</w:t>
      </w:r>
      <w:r w:rsidR="00A234AA" w:rsidRPr="000E5F58">
        <w:rPr>
          <w:rFonts w:asciiTheme="minorHAnsi" w:eastAsiaTheme="minorHAnsi" w:hAnsiTheme="minorHAnsi" w:cstheme="minorHAnsi"/>
          <w:bdr w:val="none" w:sz="0" w:space="0" w:color="auto"/>
          <w14:ligatures w14:val="standardContextual"/>
        </w:rPr>
        <w:t xml:space="preserve"> Indeed, mankind’s relationship with and knowledge of God occurs uniquely through a </w:t>
      </w:r>
      <w:r w:rsidR="00A234AA" w:rsidRPr="000E5F58">
        <w:rPr>
          <w:rFonts w:asciiTheme="minorHAnsi" w:eastAsiaTheme="minorHAnsi" w:hAnsiTheme="minorHAnsi" w:cstheme="minorHAnsi"/>
          <w:i/>
          <w:iCs/>
          <w:bdr w:val="none" w:sz="0" w:space="0" w:color="auto"/>
          <w14:ligatures w14:val="standardContextual"/>
        </w:rPr>
        <w:t>personal</w:t>
      </w:r>
      <w:r w:rsidR="007E4957" w:rsidRPr="000E5F58">
        <w:rPr>
          <w:rFonts w:asciiTheme="minorHAnsi" w:eastAsiaTheme="minorHAnsi" w:hAnsiTheme="minorHAnsi" w:cstheme="minorHAnsi"/>
          <w:bdr w:val="none" w:sz="0" w:space="0" w:color="auto"/>
          <w14:ligatures w14:val="standardContextual"/>
        </w:rPr>
        <w:t xml:space="preserve"> encounter</w:t>
      </w:r>
      <w:r w:rsidR="00A234AA" w:rsidRPr="000E5F58">
        <w:rPr>
          <w:rFonts w:asciiTheme="minorHAnsi" w:eastAsiaTheme="minorHAnsi" w:hAnsiTheme="minorHAnsi" w:cstheme="minorHAnsi"/>
          <w:bdr w:val="none" w:sz="0" w:space="0" w:color="auto"/>
          <w14:ligatures w14:val="standardContextual"/>
        </w:rPr>
        <w:t xml:space="preserve"> with God in Christ, God’s revelatory activity within the Trinity, “the Word of the act or the act of the Word”</w:t>
      </w:r>
      <w:r w:rsidR="00A234AA" w:rsidRPr="000E5F58">
        <w:rPr>
          <w:rStyle w:val="FootnoteReference"/>
          <w:rFonts w:asciiTheme="minorHAnsi" w:hAnsiTheme="minorHAnsi" w:cstheme="minorHAnsi"/>
        </w:rPr>
        <w:footnoteReference w:id="9"/>
      </w:r>
      <w:r w:rsidR="00A234AA" w:rsidRPr="000E5F58">
        <w:rPr>
          <w:rFonts w:asciiTheme="minorHAnsi" w:eastAsiaTheme="minorHAnsi" w:hAnsiTheme="minorHAnsi" w:cstheme="minorHAnsi"/>
          <w:bdr w:val="none" w:sz="0" w:space="0" w:color="auto"/>
          <w14:ligatures w14:val="standardContextual"/>
        </w:rPr>
        <w:t xml:space="preserve">. Gerald </w:t>
      </w:r>
      <w:proofErr w:type="spellStart"/>
      <w:r w:rsidR="00A234AA" w:rsidRPr="000E5F58">
        <w:rPr>
          <w:rFonts w:asciiTheme="minorHAnsi" w:eastAsiaTheme="minorHAnsi" w:hAnsiTheme="minorHAnsi" w:cstheme="minorHAnsi"/>
          <w:bdr w:val="none" w:sz="0" w:space="0" w:color="auto"/>
          <w14:ligatures w14:val="standardContextual"/>
        </w:rPr>
        <w:t>O’Collins</w:t>
      </w:r>
      <w:proofErr w:type="spellEnd"/>
      <w:r w:rsidR="00A234AA" w:rsidRPr="000E5F58">
        <w:rPr>
          <w:rFonts w:asciiTheme="minorHAnsi" w:eastAsiaTheme="minorHAnsi" w:hAnsiTheme="minorHAnsi" w:cstheme="minorHAnsi"/>
          <w:bdr w:val="none" w:sz="0" w:space="0" w:color="auto"/>
          <w14:ligatures w14:val="standardContextual"/>
        </w:rPr>
        <w:t xml:space="preserve"> S.J. </w:t>
      </w:r>
      <w:r w:rsidRPr="000E5F58">
        <w:rPr>
          <w:rFonts w:asciiTheme="minorHAnsi" w:eastAsiaTheme="minorHAnsi" w:hAnsiTheme="minorHAnsi" w:cstheme="minorHAnsi"/>
          <w:bdr w:val="none" w:sz="0" w:space="0" w:color="auto"/>
          <w14:ligatures w14:val="standardContextual"/>
        </w:rPr>
        <w:t>approaches from a different angle, t</w:t>
      </w:r>
      <w:r w:rsidR="005B5D2D" w:rsidRPr="000E5F58">
        <w:rPr>
          <w:rFonts w:asciiTheme="minorHAnsi" w:eastAsiaTheme="minorHAnsi" w:hAnsiTheme="minorHAnsi" w:cstheme="minorHAnsi"/>
          <w:bdr w:val="none" w:sz="0" w:space="0" w:color="auto"/>
          <w14:ligatures w14:val="standardContextual"/>
        </w:rPr>
        <w:t xml:space="preserve">hat since humanity </w:t>
      </w:r>
      <w:r w:rsidR="00A234AA" w:rsidRPr="000E5F58">
        <w:rPr>
          <w:rFonts w:asciiTheme="minorHAnsi" w:eastAsiaTheme="minorHAnsi" w:hAnsiTheme="minorHAnsi" w:cstheme="minorHAnsi"/>
          <w:bdr w:val="none" w:sz="0" w:space="0" w:color="auto"/>
          <w14:ligatures w14:val="standardContextual"/>
        </w:rPr>
        <w:t>bear</w:t>
      </w:r>
      <w:r w:rsidR="005B5D2D" w:rsidRPr="000E5F58">
        <w:rPr>
          <w:rFonts w:asciiTheme="minorHAnsi" w:eastAsiaTheme="minorHAnsi" w:hAnsiTheme="minorHAnsi" w:cstheme="minorHAnsi"/>
          <w:bdr w:val="none" w:sz="0" w:space="0" w:color="auto"/>
          <w14:ligatures w14:val="standardContextual"/>
        </w:rPr>
        <w:t>s</w:t>
      </w:r>
      <w:r w:rsidR="00A234AA" w:rsidRPr="000E5F58">
        <w:rPr>
          <w:rFonts w:asciiTheme="minorHAnsi" w:eastAsiaTheme="minorHAnsi" w:hAnsiTheme="minorHAnsi" w:cstheme="minorHAnsi"/>
          <w:bdr w:val="none" w:sz="0" w:space="0" w:color="auto"/>
          <w14:ligatures w14:val="standardContextual"/>
        </w:rPr>
        <w:t xml:space="preserve"> the imprint of God</w:t>
      </w:r>
      <w:r w:rsidR="00A234AA" w:rsidRPr="000E5F58">
        <w:rPr>
          <w:rStyle w:val="FootnoteReference"/>
          <w:rFonts w:asciiTheme="minorHAnsi" w:hAnsiTheme="minorHAnsi" w:cstheme="minorHAnsi"/>
        </w:rPr>
        <w:footnoteReference w:id="10"/>
      </w:r>
      <w:r w:rsidR="005B5D2D" w:rsidRPr="000E5F58">
        <w:rPr>
          <w:rFonts w:asciiTheme="minorHAnsi" w:eastAsiaTheme="minorHAnsi" w:hAnsiTheme="minorHAnsi" w:cstheme="minorHAnsi"/>
          <w:bdr w:val="none" w:sz="0" w:space="0" w:color="auto"/>
          <w14:ligatures w14:val="standardContextual"/>
        </w:rPr>
        <w:t>,</w:t>
      </w:r>
      <w:r w:rsidR="00A234AA" w:rsidRPr="000E5F58">
        <w:rPr>
          <w:rFonts w:asciiTheme="minorHAnsi" w:eastAsiaTheme="minorHAnsi" w:hAnsiTheme="minorHAnsi" w:cstheme="minorHAnsi"/>
          <w:bdr w:val="none" w:sz="0" w:space="0" w:color="auto"/>
          <w14:ligatures w14:val="standardContextual"/>
        </w:rPr>
        <w:t xml:space="preserve"> God’s missional purpose is humanity’s “fullest possible assimilation to God and participation in the divine presence”, through his ever-present loving and life-giving power in the incarnation, death and resurrection of Jesus Christ.</w:t>
      </w:r>
      <w:r w:rsidR="00A234AA" w:rsidRPr="000E5F58">
        <w:rPr>
          <w:rStyle w:val="FootnoteReference"/>
          <w:rFonts w:asciiTheme="minorHAnsi" w:hAnsiTheme="minorHAnsi" w:cstheme="minorHAnsi"/>
        </w:rPr>
        <w:footnoteReference w:id="11"/>
      </w:r>
      <w:r w:rsidR="00A234AA" w:rsidRPr="000E5F58">
        <w:rPr>
          <w:rFonts w:asciiTheme="minorHAnsi" w:eastAsiaTheme="minorHAnsi" w:hAnsiTheme="minorHAnsi" w:cstheme="minorHAnsi"/>
          <w:bdr w:val="none" w:sz="0" w:space="0" w:color="auto"/>
          <w14:ligatures w14:val="standardContextual"/>
        </w:rPr>
        <w:t xml:space="preserve"> </w:t>
      </w:r>
      <w:r w:rsidR="005B5D2D" w:rsidRPr="000E5F58">
        <w:rPr>
          <w:rFonts w:asciiTheme="minorHAnsi" w:eastAsiaTheme="minorHAnsi" w:hAnsiTheme="minorHAnsi" w:cstheme="minorHAnsi"/>
          <w:bdr w:val="none" w:sz="0" w:space="0" w:color="auto"/>
          <w14:ligatures w14:val="standardContextual"/>
        </w:rPr>
        <w:t>The Father’s</w:t>
      </w:r>
      <w:r w:rsidR="00A234AA" w:rsidRPr="000E5F58">
        <w:rPr>
          <w:rFonts w:asciiTheme="minorHAnsi" w:eastAsiaTheme="minorHAnsi" w:hAnsiTheme="minorHAnsi" w:cstheme="minorHAnsi"/>
          <w:bdr w:val="none" w:sz="0" w:space="0" w:color="auto"/>
          <w14:ligatures w14:val="standardContextual"/>
        </w:rPr>
        <w:t xml:space="preserve"> omnipresence in the life and work of his Son </w:t>
      </w:r>
      <w:r w:rsidR="007E4957" w:rsidRPr="000E5F58">
        <w:rPr>
          <w:rFonts w:asciiTheme="minorHAnsi" w:eastAsiaTheme="minorHAnsi" w:hAnsiTheme="minorHAnsi" w:cstheme="minorHAnsi"/>
          <w:bdr w:val="none" w:sz="0" w:space="0" w:color="auto"/>
          <w14:ligatures w14:val="standardContextual"/>
        </w:rPr>
        <w:t>infer</w:t>
      </w:r>
      <w:r w:rsidR="005B5D2D" w:rsidRPr="000E5F58">
        <w:rPr>
          <w:rFonts w:asciiTheme="minorHAnsi" w:eastAsiaTheme="minorHAnsi" w:hAnsiTheme="minorHAnsi" w:cstheme="minorHAnsi"/>
          <w:bdr w:val="none" w:sz="0" w:space="0" w:color="auto"/>
          <w14:ligatures w14:val="standardContextual"/>
        </w:rPr>
        <w:t>s</w:t>
      </w:r>
      <w:r w:rsidR="007E4957" w:rsidRPr="000E5F58">
        <w:rPr>
          <w:rFonts w:asciiTheme="minorHAnsi" w:eastAsiaTheme="minorHAnsi" w:hAnsiTheme="minorHAnsi" w:cstheme="minorHAnsi"/>
          <w:bdr w:val="none" w:sz="0" w:space="0" w:color="auto"/>
          <w14:ligatures w14:val="standardContextual"/>
        </w:rPr>
        <w:t xml:space="preserve"> </w:t>
      </w:r>
      <w:r w:rsidR="00A234AA" w:rsidRPr="000E5F58">
        <w:rPr>
          <w:rFonts w:asciiTheme="minorHAnsi" w:eastAsiaTheme="minorHAnsi" w:hAnsiTheme="minorHAnsi" w:cstheme="minorHAnsi"/>
          <w:bdr w:val="none" w:sz="0" w:space="0" w:color="auto"/>
          <w14:ligatures w14:val="standardContextual"/>
        </w:rPr>
        <w:t>the need for a confessional claim to ‘know’ Jesus as the route to knowing the triune God.</w:t>
      </w:r>
      <w:r w:rsidR="00A234AA" w:rsidRPr="000E5F58">
        <w:rPr>
          <w:rStyle w:val="FootnoteReference"/>
          <w:rFonts w:asciiTheme="minorHAnsi" w:hAnsiTheme="minorHAnsi" w:cstheme="minorHAnsi"/>
        </w:rPr>
        <w:footnoteReference w:id="12"/>
      </w:r>
      <w:r w:rsidR="007E4957" w:rsidRPr="000E5F58">
        <w:rPr>
          <w:rFonts w:asciiTheme="minorHAnsi" w:eastAsiaTheme="minorHAnsi" w:hAnsiTheme="minorHAnsi" w:cstheme="minorHAnsi"/>
          <w:bdr w:val="none" w:sz="0" w:space="0" w:color="auto"/>
          <w14:ligatures w14:val="standardContextual"/>
        </w:rPr>
        <w:t xml:space="preserve"> </w:t>
      </w:r>
      <w:r w:rsidR="001E7D0E" w:rsidRPr="000E5F58">
        <w:rPr>
          <w:rFonts w:asciiTheme="minorHAnsi" w:eastAsiaTheme="minorHAnsi" w:hAnsiTheme="minorHAnsi" w:cstheme="minorHAnsi"/>
          <w:bdr w:val="none" w:sz="0" w:space="0" w:color="auto"/>
          <w14:ligatures w14:val="standardContextual"/>
        </w:rPr>
        <w:t xml:space="preserve">Furthermore, </w:t>
      </w:r>
      <w:r w:rsidR="007E4957" w:rsidRPr="000E5F58">
        <w:rPr>
          <w:rFonts w:asciiTheme="minorHAnsi" w:eastAsiaTheme="minorHAnsi" w:hAnsiTheme="minorHAnsi" w:cstheme="minorHAnsi"/>
          <w:bdr w:val="none" w:sz="0" w:space="0" w:color="auto"/>
          <w14:ligatures w14:val="standardContextual"/>
        </w:rPr>
        <w:t xml:space="preserve">Johannes </w:t>
      </w:r>
      <w:proofErr w:type="spellStart"/>
      <w:r w:rsidR="007E4957" w:rsidRPr="000E5F58">
        <w:rPr>
          <w:rFonts w:asciiTheme="minorHAnsi" w:eastAsiaTheme="minorHAnsi" w:hAnsiTheme="minorHAnsi" w:cstheme="minorHAnsi"/>
          <w:bdr w:val="none" w:sz="0" w:space="0" w:color="auto"/>
          <w14:ligatures w14:val="standardContextual"/>
        </w:rPr>
        <w:t>Deetlefs</w:t>
      </w:r>
      <w:proofErr w:type="spellEnd"/>
      <w:r w:rsidR="007E4957" w:rsidRPr="000E5F58">
        <w:rPr>
          <w:rFonts w:asciiTheme="minorHAnsi" w:eastAsiaTheme="minorHAnsi" w:hAnsiTheme="minorHAnsi" w:cstheme="minorHAnsi"/>
          <w:bdr w:val="none" w:sz="0" w:space="0" w:color="auto"/>
          <w14:ligatures w14:val="standardContextual"/>
        </w:rPr>
        <w:t xml:space="preserve"> grounds trinitarian theology in scripture, helpfully defining it as </w:t>
      </w:r>
      <w:r w:rsidR="007E4957" w:rsidRPr="000E5F58">
        <w:rPr>
          <w:rFonts w:asciiTheme="minorHAnsi" w:eastAsiaTheme="minorHAnsi" w:hAnsiTheme="minorHAnsi" w:cstheme="minorHAnsi"/>
          <w:i/>
          <w:iCs/>
          <w:bdr w:val="none" w:sz="0" w:space="0" w:color="auto"/>
          <w14:ligatures w14:val="standardContextual"/>
        </w:rPr>
        <w:t>mono</w:t>
      </w:r>
      <w:r w:rsidR="007E4957" w:rsidRPr="000E5F58">
        <w:rPr>
          <w:rFonts w:asciiTheme="minorHAnsi" w:eastAsiaTheme="minorHAnsi" w:hAnsiTheme="minorHAnsi" w:cstheme="minorHAnsi"/>
          <w:bdr w:val="none" w:sz="0" w:space="0" w:color="auto"/>
          <w14:ligatures w14:val="standardContextual"/>
        </w:rPr>
        <w:t>theism where</w:t>
      </w:r>
    </w:p>
    <w:p w14:paraId="31FB4DF0" w14:textId="10E9C370" w:rsidR="00AA0F21" w:rsidRPr="000E5F58" w:rsidRDefault="007E4957" w:rsidP="001D16D7">
      <w:pPr>
        <w:spacing w:line="360" w:lineRule="auto"/>
        <w:ind w:left="720"/>
        <w:rPr>
          <w:rFonts w:asciiTheme="minorHAnsi" w:eastAsia="Times New Roman" w:hAnsiTheme="minorHAnsi" w:cstheme="minorHAnsi"/>
          <w:bdr w:val="none" w:sz="0" w:space="0" w:color="auto"/>
        </w:rPr>
      </w:pPr>
      <w:r w:rsidRPr="000E5F58">
        <w:rPr>
          <w:rFonts w:asciiTheme="minorHAnsi" w:eastAsiaTheme="minorHAnsi" w:hAnsiTheme="minorHAnsi" w:cstheme="minorHAnsi"/>
          <w:bdr w:val="none" w:sz="0" w:space="0" w:color="auto"/>
          <w14:ligatures w14:val="standardContextual"/>
        </w:rPr>
        <w:t>“</w:t>
      </w:r>
      <w:r w:rsidRPr="000E5F58">
        <w:rPr>
          <w:rFonts w:asciiTheme="minorHAnsi" w:eastAsia="Times New Roman" w:hAnsiTheme="minorHAnsi" w:cstheme="minorHAnsi"/>
          <w:bdr w:val="none" w:sz="0" w:space="0" w:color="auto"/>
        </w:rPr>
        <w:t>confession that there is only one God (against all forms of polytheism) is maintained and emphasised while, at the same time, the biblical revelation that this one God eternally exists in three persons – Father, Son and Holy Spirit (against all forms of modalism) – is confirmed.”</w:t>
      </w:r>
      <w:r w:rsidRPr="000E5F58">
        <w:rPr>
          <w:rStyle w:val="FootnoteReference"/>
          <w:rFonts w:asciiTheme="minorHAnsi" w:hAnsiTheme="minorHAnsi" w:cstheme="minorHAnsi"/>
        </w:rPr>
        <w:footnoteReference w:id="13"/>
      </w:r>
      <w:r w:rsidRPr="000E5F58">
        <w:rPr>
          <w:rFonts w:asciiTheme="minorHAnsi" w:eastAsia="Times New Roman" w:hAnsiTheme="minorHAnsi" w:cstheme="minorHAnsi"/>
          <w:bdr w:val="none" w:sz="0" w:space="0" w:color="auto"/>
        </w:rPr>
        <w:t xml:space="preserve"> </w:t>
      </w:r>
    </w:p>
    <w:p w14:paraId="69016A8E" w14:textId="3014ADFA" w:rsidR="007E4957" w:rsidRPr="000E5F58" w:rsidRDefault="001E7D0E" w:rsidP="001D16D7">
      <w:pPr>
        <w:spacing w:line="360" w:lineRule="auto"/>
        <w:rPr>
          <w:rFonts w:asciiTheme="minorHAnsi" w:eastAsiaTheme="minorHAnsi" w:hAnsiTheme="minorHAnsi" w:cstheme="minorHAnsi"/>
          <w:bdr w:val="none" w:sz="0" w:space="0" w:color="auto"/>
          <w14:ligatures w14:val="standardContextual"/>
        </w:rPr>
      </w:pPr>
      <w:r w:rsidRPr="000E5F58">
        <w:rPr>
          <w:rFonts w:asciiTheme="minorHAnsi" w:eastAsia="Times New Roman" w:hAnsiTheme="minorHAnsi" w:cstheme="minorHAnsi"/>
          <w:bdr w:val="none" w:sz="0" w:space="0" w:color="auto"/>
        </w:rPr>
        <w:t xml:space="preserve">The impact of these broad views strongly </w:t>
      </w:r>
      <w:r w:rsidR="00ED4457" w:rsidRPr="000E5F58">
        <w:rPr>
          <w:rFonts w:asciiTheme="minorHAnsi" w:eastAsia="Times New Roman" w:hAnsiTheme="minorHAnsi" w:cstheme="minorHAnsi"/>
          <w:bdr w:val="none" w:sz="0" w:space="0" w:color="auto"/>
        </w:rPr>
        <w:t>encapsulate</w:t>
      </w:r>
      <w:r w:rsidR="009063BF">
        <w:rPr>
          <w:rFonts w:asciiTheme="minorHAnsi" w:eastAsia="Times New Roman" w:hAnsiTheme="minorHAnsi" w:cstheme="minorHAnsi"/>
          <w:bdr w:val="none" w:sz="0" w:space="0" w:color="auto"/>
        </w:rPr>
        <w:t>s</w:t>
      </w:r>
      <w:r w:rsidR="007E4957" w:rsidRPr="000E5F58">
        <w:rPr>
          <w:rFonts w:asciiTheme="minorHAnsi" w:eastAsia="Times New Roman" w:hAnsiTheme="minorHAnsi" w:cstheme="minorHAnsi"/>
          <w:bdr w:val="none" w:sz="0" w:space="0" w:color="auto"/>
        </w:rPr>
        <w:t xml:space="preserve"> </w:t>
      </w:r>
      <w:r w:rsidR="00ED4457" w:rsidRPr="000E5F58">
        <w:rPr>
          <w:rFonts w:asciiTheme="minorHAnsi" w:eastAsia="Times New Roman" w:hAnsiTheme="minorHAnsi" w:cstheme="minorHAnsi"/>
          <w:bdr w:val="none" w:sz="0" w:space="0" w:color="auto"/>
        </w:rPr>
        <w:t>and exemplif</w:t>
      </w:r>
      <w:r w:rsidR="009063BF">
        <w:rPr>
          <w:rFonts w:asciiTheme="minorHAnsi" w:eastAsia="Times New Roman" w:hAnsiTheme="minorHAnsi" w:cstheme="minorHAnsi"/>
          <w:bdr w:val="none" w:sz="0" w:space="0" w:color="auto"/>
        </w:rPr>
        <w:t>ies</w:t>
      </w:r>
      <w:r w:rsidR="00ED4457" w:rsidRPr="000E5F58">
        <w:rPr>
          <w:rFonts w:asciiTheme="minorHAnsi" w:eastAsia="Times New Roman" w:hAnsiTheme="minorHAnsi" w:cstheme="minorHAnsi"/>
          <w:bdr w:val="none" w:sz="0" w:space="0" w:color="auto"/>
        </w:rPr>
        <w:t xml:space="preserve"> </w:t>
      </w:r>
      <w:r w:rsidR="007E4957" w:rsidRPr="000E5F58">
        <w:rPr>
          <w:rFonts w:asciiTheme="minorHAnsi" w:eastAsia="Times New Roman" w:hAnsiTheme="minorHAnsi" w:cstheme="minorHAnsi"/>
          <w:bdr w:val="none" w:sz="0" w:space="0" w:color="auto"/>
        </w:rPr>
        <w:t xml:space="preserve">the immanence of the Trinity, </w:t>
      </w:r>
      <w:r w:rsidR="007E4957" w:rsidRPr="000E5F58">
        <w:rPr>
          <w:rFonts w:asciiTheme="minorHAnsi" w:eastAsiaTheme="minorHAnsi" w:hAnsiTheme="minorHAnsi" w:cstheme="minorHAnsi"/>
          <w:bdr w:val="none" w:sz="0" w:space="0" w:color="auto"/>
          <w14:ligatures w14:val="standardContextual"/>
        </w:rPr>
        <w:t xml:space="preserve">the very essence of God’s identity and characteristics, </w:t>
      </w:r>
      <w:r w:rsidRPr="000E5F58">
        <w:rPr>
          <w:rFonts w:asciiTheme="minorHAnsi" w:eastAsiaTheme="minorHAnsi" w:hAnsiTheme="minorHAnsi" w:cstheme="minorHAnsi"/>
          <w:bdr w:val="none" w:sz="0" w:space="0" w:color="auto"/>
          <w14:ligatures w14:val="standardContextual"/>
        </w:rPr>
        <w:t xml:space="preserve">as </w:t>
      </w:r>
      <w:r w:rsidR="007E4957" w:rsidRPr="000E5F58">
        <w:rPr>
          <w:rFonts w:asciiTheme="minorHAnsi" w:eastAsiaTheme="minorHAnsi" w:hAnsiTheme="minorHAnsi" w:cstheme="minorHAnsi"/>
          <w:bdr w:val="none" w:sz="0" w:space="0" w:color="auto"/>
          <w14:ligatures w14:val="standardContextual"/>
        </w:rPr>
        <w:t xml:space="preserve">knowable </w:t>
      </w:r>
      <w:r w:rsidR="00ED4457" w:rsidRPr="000E5F58">
        <w:rPr>
          <w:rFonts w:asciiTheme="minorHAnsi" w:eastAsiaTheme="minorHAnsi" w:hAnsiTheme="minorHAnsi" w:cstheme="minorHAnsi"/>
          <w:i/>
          <w:iCs/>
          <w:bdr w:val="none" w:sz="0" w:space="0" w:color="auto"/>
          <w14:ligatures w14:val="standardContextual"/>
        </w:rPr>
        <w:t>solely</w:t>
      </w:r>
      <w:r w:rsidR="00ED4457" w:rsidRPr="000E5F58">
        <w:rPr>
          <w:rFonts w:asciiTheme="minorHAnsi" w:eastAsiaTheme="minorHAnsi" w:hAnsiTheme="minorHAnsi" w:cstheme="minorHAnsi"/>
          <w:bdr w:val="none" w:sz="0" w:space="0" w:color="auto"/>
          <w14:ligatures w14:val="standardContextual"/>
        </w:rPr>
        <w:t xml:space="preserve"> </w:t>
      </w:r>
      <w:r w:rsidR="007E4957" w:rsidRPr="000E5F58">
        <w:rPr>
          <w:rFonts w:asciiTheme="minorHAnsi" w:eastAsiaTheme="minorHAnsi" w:hAnsiTheme="minorHAnsi" w:cstheme="minorHAnsi"/>
          <w:bdr w:val="none" w:sz="0" w:space="0" w:color="auto"/>
          <w14:ligatures w14:val="standardContextual"/>
        </w:rPr>
        <w:t>through his manifestations</w:t>
      </w:r>
      <w:r w:rsidR="00ED4457" w:rsidRPr="000E5F58">
        <w:rPr>
          <w:rFonts w:asciiTheme="minorHAnsi" w:eastAsiaTheme="minorHAnsi" w:hAnsiTheme="minorHAnsi" w:cstheme="minorHAnsi"/>
          <w:bdr w:val="none" w:sz="0" w:space="0" w:color="auto"/>
          <w14:ligatures w14:val="standardContextual"/>
        </w:rPr>
        <w:t>.</w:t>
      </w:r>
    </w:p>
    <w:p w14:paraId="1095FB37" w14:textId="289A3ADB" w:rsidR="00E7298A" w:rsidRPr="000E5F58" w:rsidRDefault="00E7298A" w:rsidP="001D16D7">
      <w:pPr>
        <w:spacing w:line="360" w:lineRule="auto"/>
        <w:rPr>
          <w:rFonts w:asciiTheme="minorHAnsi" w:eastAsiaTheme="minorHAnsi" w:hAnsiTheme="minorHAnsi" w:cstheme="minorHAnsi"/>
          <w:b/>
          <w:bCs/>
          <w:bdr w:val="none" w:sz="0" w:space="0" w:color="auto"/>
          <w14:ligatures w14:val="standardContextual"/>
        </w:rPr>
      </w:pPr>
    </w:p>
    <w:p w14:paraId="15B7723A" w14:textId="0CF475C4" w:rsidR="00EC478A" w:rsidRPr="000E5F58" w:rsidRDefault="00EC478A" w:rsidP="001D16D7">
      <w:pPr>
        <w:spacing w:line="360" w:lineRule="auto"/>
        <w:rPr>
          <w:rFonts w:asciiTheme="minorHAnsi" w:eastAsiaTheme="minorHAnsi" w:hAnsiTheme="minorHAnsi" w:cstheme="minorHAnsi"/>
          <w:bdr w:val="none" w:sz="0" w:space="0" w:color="auto"/>
          <w14:ligatures w14:val="standardContextual"/>
        </w:rPr>
      </w:pPr>
      <w:r w:rsidRPr="000E5F58">
        <w:rPr>
          <w:rFonts w:asciiTheme="minorHAnsi" w:eastAsiaTheme="minorHAnsi" w:hAnsiTheme="minorHAnsi" w:cstheme="minorHAnsi"/>
          <w:bdr w:val="none" w:sz="0" w:space="0" w:color="auto"/>
          <w14:ligatures w14:val="standardContextual"/>
        </w:rPr>
        <w:t>Like Barth</w:t>
      </w:r>
      <w:r w:rsidR="00F7715E" w:rsidRPr="000E5F58">
        <w:rPr>
          <w:rFonts w:asciiTheme="minorHAnsi" w:eastAsiaTheme="minorHAnsi" w:hAnsiTheme="minorHAnsi" w:cstheme="minorHAnsi"/>
          <w:bdr w:val="none" w:sz="0" w:space="0" w:color="auto"/>
          <w14:ligatures w14:val="standardContextual"/>
        </w:rPr>
        <w:t xml:space="preserve">, </w:t>
      </w:r>
      <w:r w:rsidRPr="000E5F58">
        <w:rPr>
          <w:rFonts w:asciiTheme="minorHAnsi" w:eastAsiaTheme="minorHAnsi" w:hAnsiTheme="minorHAnsi" w:cstheme="minorHAnsi"/>
          <w:bdr w:val="none" w:sz="0" w:space="0" w:color="auto"/>
          <w14:ligatures w14:val="standardContextual"/>
        </w:rPr>
        <w:t xml:space="preserve">Hans </w:t>
      </w:r>
      <w:proofErr w:type="spellStart"/>
      <w:r w:rsidRPr="000E5F58">
        <w:rPr>
          <w:rFonts w:asciiTheme="minorHAnsi" w:eastAsiaTheme="minorHAnsi" w:hAnsiTheme="minorHAnsi" w:cstheme="minorHAnsi"/>
          <w:bdr w:val="none" w:sz="0" w:space="0" w:color="auto"/>
          <w14:ligatures w14:val="standardContextual"/>
        </w:rPr>
        <w:t>Urs</w:t>
      </w:r>
      <w:proofErr w:type="spellEnd"/>
      <w:r w:rsidRPr="000E5F58">
        <w:rPr>
          <w:rFonts w:asciiTheme="minorHAnsi" w:eastAsiaTheme="minorHAnsi" w:hAnsiTheme="minorHAnsi" w:cstheme="minorHAnsi"/>
          <w:bdr w:val="none" w:sz="0" w:space="0" w:color="auto"/>
          <w14:ligatures w14:val="standardContextual"/>
        </w:rPr>
        <w:t xml:space="preserve"> von Balthasar presents God as exercising</w:t>
      </w:r>
      <w:r w:rsidR="001E7D0E" w:rsidRPr="000E5F58">
        <w:rPr>
          <w:rFonts w:asciiTheme="minorHAnsi" w:eastAsiaTheme="minorHAnsi" w:hAnsiTheme="minorHAnsi" w:cstheme="minorHAnsi"/>
          <w:bdr w:val="none" w:sz="0" w:space="0" w:color="auto"/>
          <w14:ligatures w14:val="standardContextual"/>
        </w:rPr>
        <w:t>,</w:t>
      </w:r>
      <w:r w:rsidRPr="000E5F58">
        <w:rPr>
          <w:rFonts w:asciiTheme="minorHAnsi" w:eastAsiaTheme="minorHAnsi" w:hAnsiTheme="minorHAnsi" w:cstheme="minorHAnsi"/>
          <w:bdr w:val="none" w:sz="0" w:space="0" w:color="auto"/>
          <w14:ligatures w14:val="standardContextual"/>
        </w:rPr>
        <w:t xml:space="preserve"> as he wills</w:t>
      </w:r>
      <w:r w:rsidR="001E7D0E" w:rsidRPr="000E5F58">
        <w:rPr>
          <w:rFonts w:asciiTheme="minorHAnsi" w:eastAsiaTheme="minorHAnsi" w:hAnsiTheme="minorHAnsi" w:cstheme="minorHAnsi"/>
          <w:bdr w:val="none" w:sz="0" w:space="0" w:color="auto"/>
          <w14:ligatures w14:val="standardContextual"/>
        </w:rPr>
        <w:t>,</w:t>
      </w:r>
      <w:r w:rsidRPr="000E5F58">
        <w:rPr>
          <w:rFonts w:asciiTheme="minorHAnsi" w:eastAsiaTheme="minorHAnsi" w:hAnsiTheme="minorHAnsi" w:cstheme="minorHAnsi"/>
          <w:bdr w:val="none" w:sz="0" w:space="0" w:color="auto"/>
          <w14:ligatures w14:val="standardContextual"/>
        </w:rPr>
        <w:t xml:space="preserve"> his absolute freedom to reveal his triune life in the events of Christ, </w:t>
      </w:r>
      <w:r w:rsidR="00F7715E" w:rsidRPr="000E5F58">
        <w:rPr>
          <w:rFonts w:asciiTheme="minorHAnsi" w:eastAsiaTheme="minorHAnsi" w:hAnsiTheme="minorHAnsi" w:cstheme="minorHAnsi"/>
          <w:bdr w:val="none" w:sz="0" w:space="0" w:color="auto"/>
          <w14:ligatures w14:val="standardContextual"/>
        </w:rPr>
        <w:t>thereby exposing</w:t>
      </w:r>
      <w:r w:rsidRPr="000E5F58">
        <w:rPr>
          <w:rFonts w:asciiTheme="minorHAnsi" w:eastAsiaTheme="minorHAnsi" w:hAnsiTheme="minorHAnsi" w:cstheme="minorHAnsi"/>
          <w:bdr w:val="none" w:sz="0" w:space="0" w:color="auto"/>
          <w14:ligatures w14:val="standardContextual"/>
        </w:rPr>
        <w:t xml:space="preserve"> all the complexities of human existence.</w:t>
      </w:r>
      <w:r w:rsidR="004708F4" w:rsidRPr="000E5F58">
        <w:rPr>
          <w:rFonts w:asciiTheme="minorHAnsi" w:eastAsiaTheme="minorHAnsi" w:hAnsiTheme="minorHAnsi" w:cstheme="minorHAnsi"/>
          <w:bdr w:val="none" w:sz="0" w:space="0" w:color="auto"/>
          <w14:ligatures w14:val="standardContextual"/>
        </w:rPr>
        <w:t xml:space="preserve"> </w:t>
      </w:r>
      <w:r w:rsidR="00E7298A" w:rsidRPr="000E5F58">
        <w:rPr>
          <w:rFonts w:asciiTheme="minorHAnsi" w:eastAsiaTheme="minorHAnsi" w:hAnsiTheme="minorHAnsi" w:cstheme="minorHAnsi"/>
          <w:bdr w:val="none" w:sz="0" w:space="0" w:color="auto"/>
          <w14:ligatures w14:val="standardContextual"/>
        </w:rPr>
        <w:t>God’s</w:t>
      </w:r>
      <w:r w:rsidR="004708F4" w:rsidRPr="000E5F58">
        <w:rPr>
          <w:rFonts w:asciiTheme="minorHAnsi" w:eastAsiaTheme="minorHAnsi" w:hAnsiTheme="minorHAnsi" w:cstheme="minorHAnsi"/>
          <w:bdr w:val="none" w:sz="0" w:space="0" w:color="auto"/>
          <w14:ligatures w14:val="standardContextual"/>
        </w:rPr>
        <w:t xml:space="preserve"> </w:t>
      </w:r>
      <w:r w:rsidR="00E7298A" w:rsidRPr="000E5F58">
        <w:rPr>
          <w:rFonts w:asciiTheme="minorHAnsi" w:eastAsiaTheme="minorHAnsi" w:hAnsiTheme="minorHAnsi" w:cstheme="minorHAnsi"/>
          <w:bdr w:val="none" w:sz="0" w:space="0" w:color="auto"/>
          <w14:ligatures w14:val="standardContextual"/>
        </w:rPr>
        <w:t>self-</w:t>
      </w:r>
      <w:r w:rsidR="004708F4" w:rsidRPr="000E5F58">
        <w:rPr>
          <w:rFonts w:asciiTheme="minorHAnsi" w:eastAsiaTheme="minorHAnsi" w:hAnsiTheme="minorHAnsi" w:cstheme="minorHAnsi"/>
          <w:bdr w:val="none" w:sz="0" w:space="0" w:color="auto"/>
          <w14:ligatures w14:val="standardContextual"/>
        </w:rPr>
        <w:t>revelation exacts divine meaning out of the totality of human existence. It acts to call people to obedience to enable them to become “the true persons they were created to be”</w:t>
      </w:r>
      <w:r w:rsidR="002D568F">
        <w:rPr>
          <w:rStyle w:val="FootnoteReference"/>
          <w:rFonts w:asciiTheme="minorHAnsi" w:eastAsiaTheme="minorHAnsi" w:hAnsiTheme="minorHAnsi" w:cstheme="minorHAnsi"/>
          <w:bdr w:val="none" w:sz="0" w:space="0" w:color="auto"/>
          <w14:ligatures w14:val="standardContextual"/>
        </w:rPr>
        <w:footnoteReference w:id="14"/>
      </w:r>
      <w:r w:rsidR="004708F4" w:rsidRPr="000E5F58">
        <w:rPr>
          <w:rFonts w:asciiTheme="minorHAnsi" w:eastAsiaTheme="minorHAnsi" w:hAnsiTheme="minorHAnsi" w:cstheme="minorHAnsi"/>
          <w:bdr w:val="none" w:sz="0" w:space="0" w:color="auto"/>
          <w14:ligatures w14:val="standardContextual"/>
        </w:rPr>
        <w:t xml:space="preserve">. </w:t>
      </w:r>
      <w:r w:rsidR="00031898" w:rsidRPr="000E5F58">
        <w:rPr>
          <w:rFonts w:asciiTheme="minorHAnsi" w:eastAsiaTheme="minorHAnsi" w:hAnsiTheme="minorHAnsi" w:cstheme="minorHAnsi"/>
          <w:bdr w:val="none" w:sz="0" w:space="0" w:color="auto"/>
          <w14:ligatures w14:val="standardContextual"/>
        </w:rPr>
        <w:t xml:space="preserve">The Word brings the perfection of the triune relationships as the ideal communal and social relationships </w:t>
      </w:r>
      <w:r w:rsidR="00F7715E" w:rsidRPr="000E5F58">
        <w:rPr>
          <w:rFonts w:asciiTheme="minorHAnsi" w:eastAsiaTheme="minorHAnsi" w:hAnsiTheme="minorHAnsi" w:cstheme="minorHAnsi"/>
          <w:bdr w:val="none" w:sz="0" w:space="0" w:color="auto"/>
          <w14:ligatures w14:val="standardContextual"/>
        </w:rPr>
        <w:t xml:space="preserve">to which </w:t>
      </w:r>
      <w:r w:rsidR="00031898" w:rsidRPr="000E5F58">
        <w:rPr>
          <w:rFonts w:asciiTheme="minorHAnsi" w:eastAsiaTheme="minorHAnsi" w:hAnsiTheme="minorHAnsi" w:cstheme="minorHAnsi"/>
          <w:bdr w:val="none" w:sz="0" w:space="0" w:color="auto"/>
          <w14:ligatures w14:val="standardContextual"/>
        </w:rPr>
        <w:t xml:space="preserve">human institutions should aspire. </w:t>
      </w:r>
      <w:r w:rsidR="00CC2168" w:rsidRPr="000E5F58">
        <w:rPr>
          <w:rFonts w:asciiTheme="minorHAnsi" w:eastAsiaTheme="minorHAnsi" w:hAnsiTheme="minorHAnsi" w:cstheme="minorHAnsi"/>
          <w:bdr w:val="none" w:sz="0" w:space="0" w:color="auto"/>
          <w14:ligatures w14:val="standardContextual"/>
        </w:rPr>
        <w:t>V</w:t>
      </w:r>
      <w:r w:rsidR="00031898" w:rsidRPr="000E5F58">
        <w:rPr>
          <w:rFonts w:asciiTheme="minorHAnsi" w:eastAsiaTheme="minorHAnsi" w:hAnsiTheme="minorHAnsi" w:cstheme="minorHAnsi"/>
          <w:bdr w:val="none" w:sz="0" w:space="0" w:color="auto"/>
          <w14:ligatures w14:val="standardContextual"/>
        </w:rPr>
        <w:t xml:space="preserve">on Balthasar’s Christology </w:t>
      </w:r>
      <w:r w:rsidR="001E7D0E" w:rsidRPr="000E5F58">
        <w:rPr>
          <w:rFonts w:asciiTheme="minorHAnsi" w:eastAsiaTheme="minorHAnsi" w:hAnsiTheme="minorHAnsi" w:cstheme="minorHAnsi"/>
          <w:bdr w:val="none" w:sz="0" w:space="0" w:color="auto"/>
          <w14:ligatures w14:val="standardContextual"/>
        </w:rPr>
        <w:t>illuminates</w:t>
      </w:r>
      <w:r w:rsidR="00031898" w:rsidRPr="000E5F58">
        <w:rPr>
          <w:rFonts w:asciiTheme="minorHAnsi" w:eastAsiaTheme="minorHAnsi" w:hAnsiTheme="minorHAnsi" w:cstheme="minorHAnsi"/>
          <w:bdr w:val="none" w:sz="0" w:space="0" w:color="auto"/>
          <w14:ligatures w14:val="standardContextual"/>
        </w:rPr>
        <w:t xml:space="preserve"> the Trinity’s unerring servanthood of self-giving. God’s final </w:t>
      </w:r>
      <w:r w:rsidR="004917F4" w:rsidRPr="000E5F58">
        <w:rPr>
          <w:rFonts w:asciiTheme="minorHAnsi" w:eastAsiaTheme="minorHAnsi" w:hAnsiTheme="minorHAnsi" w:cstheme="minorHAnsi"/>
          <w:bdr w:val="none" w:sz="0" w:space="0" w:color="auto"/>
          <w14:ligatures w14:val="standardContextual"/>
        </w:rPr>
        <w:t>self-giving revelation was the “sacrificed Word slowly dissolving in the words of the Cross…which sums up all…that God had to communicate to us”</w:t>
      </w:r>
      <w:r w:rsidR="002D568F">
        <w:rPr>
          <w:rStyle w:val="FootnoteReference"/>
          <w:rFonts w:asciiTheme="minorHAnsi" w:eastAsiaTheme="minorHAnsi" w:hAnsiTheme="minorHAnsi" w:cstheme="minorHAnsi"/>
          <w:bdr w:val="none" w:sz="0" w:space="0" w:color="auto"/>
          <w14:ligatures w14:val="standardContextual"/>
        </w:rPr>
        <w:footnoteReference w:id="15"/>
      </w:r>
      <w:r w:rsidR="004917F4" w:rsidRPr="000E5F58">
        <w:rPr>
          <w:rFonts w:asciiTheme="minorHAnsi" w:eastAsiaTheme="minorHAnsi" w:hAnsiTheme="minorHAnsi" w:cstheme="minorHAnsi"/>
          <w:bdr w:val="none" w:sz="0" w:space="0" w:color="auto"/>
          <w14:ligatures w14:val="standardContextual"/>
        </w:rPr>
        <w:t xml:space="preserve">. </w:t>
      </w:r>
      <w:r w:rsidR="001E7D0E" w:rsidRPr="000E5F58">
        <w:rPr>
          <w:rFonts w:asciiTheme="minorHAnsi" w:eastAsiaTheme="minorHAnsi" w:hAnsiTheme="minorHAnsi" w:cstheme="minorHAnsi"/>
          <w:bdr w:val="none" w:sz="0" w:space="0" w:color="auto"/>
          <w14:ligatures w14:val="standardContextual"/>
        </w:rPr>
        <w:t xml:space="preserve">Von Balthasar cogently </w:t>
      </w:r>
      <w:r w:rsidR="00E7298A" w:rsidRPr="000E5F58">
        <w:rPr>
          <w:rFonts w:asciiTheme="minorHAnsi" w:eastAsiaTheme="minorHAnsi" w:hAnsiTheme="minorHAnsi" w:cstheme="minorHAnsi"/>
          <w:bdr w:val="none" w:sz="0" w:space="0" w:color="auto"/>
          <w14:ligatures w14:val="standardContextual"/>
        </w:rPr>
        <w:t xml:space="preserve">reveals the </w:t>
      </w:r>
      <w:r w:rsidR="00E7298A" w:rsidRPr="000E5F58">
        <w:rPr>
          <w:rFonts w:asciiTheme="minorHAnsi" w:eastAsiaTheme="minorHAnsi" w:hAnsiTheme="minorHAnsi" w:cstheme="minorHAnsi"/>
          <w:i/>
          <w:iCs/>
          <w:bdr w:val="none" w:sz="0" w:space="0" w:color="auto"/>
          <w14:ligatures w14:val="standardContextual"/>
        </w:rPr>
        <w:t>essence</w:t>
      </w:r>
      <w:r w:rsidR="00E7298A" w:rsidRPr="000E5F58">
        <w:rPr>
          <w:rFonts w:asciiTheme="minorHAnsi" w:eastAsiaTheme="minorHAnsi" w:hAnsiTheme="minorHAnsi" w:cstheme="minorHAnsi"/>
          <w:bdr w:val="none" w:sz="0" w:space="0" w:color="auto"/>
          <w14:ligatures w14:val="standardContextual"/>
        </w:rPr>
        <w:t xml:space="preserve"> of God but</w:t>
      </w:r>
      <w:r w:rsidR="005A7BC6" w:rsidRPr="000E5F58">
        <w:rPr>
          <w:rFonts w:asciiTheme="minorHAnsi" w:eastAsiaTheme="minorHAnsi" w:hAnsiTheme="minorHAnsi" w:cstheme="minorHAnsi"/>
          <w:bdr w:val="none" w:sz="0" w:space="0" w:color="auto"/>
          <w14:ligatures w14:val="standardContextual"/>
        </w:rPr>
        <w:t xml:space="preserve">, despite his different approach, </w:t>
      </w:r>
      <w:r w:rsidR="004917F4" w:rsidRPr="000E5F58">
        <w:rPr>
          <w:rFonts w:asciiTheme="minorHAnsi" w:eastAsiaTheme="minorHAnsi" w:hAnsiTheme="minorHAnsi" w:cstheme="minorHAnsi"/>
          <w:bdr w:val="none" w:sz="0" w:space="0" w:color="auto"/>
          <w14:ligatures w14:val="standardContextual"/>
        </w:rPr>
        <w:t>indicat</w:t>
      </w:r>
      <w:r w:rsidR="005A7BC6" w:rsidRPr="000E5F58">
        <w:rPr>
          <w:rFonts w:asciiTheme="minorHAnsi" w:eastAsiaTheme="minorHAnsi" w:hAnsiTheme="minorHAnsi" w:cstheme="minorHAnsi"/>
          <w:bdr w:val="none" w:sz="0" w:space="0" w:color="auto"/>
          <w14:ligatures w14:val="standardContextual"/>
        </w:rPr>
        <w:t>es</w:t>
      </w:r>
      <w:r w:rsidR="004917F4" w:rsidRPr="000E5F58">
        <w:rPr>
          <w:rFonts w:asciiTheme="minorHAnsi" w:eastAsiaTheme="minorHAnsi" w:hAnsiTheme="minorHAnsi" w:cstheme="minorHAnsi"/>
          <w:bdr w:val="none" w:sz="0" w:space="0" w:color="auto"/>
          <w14:ligatures w14:val="standardContextual"/>
        </w:rPr>
        <w:t xml:space="preserve"> the necessity to </w:t>
      </w:r>
      <w:r w:rsidR="004917F4" w:rsidRPr="000E5F58">
        <w:rPr>
          <w:rFonts w:asciiTheme="minorHAnsi" w:eastAsiaTheme="minorHAnsi" w:hAnsiTheme="minorHAnsi" w:cstheme="minorHAnsi"/>
          <w:i/>
          <w:iCs/>
          <w:bdr w:val="none" w:sz="0" w:space="0" w:color="auto"/>
          <w14:ligatures w14:val="standardContextual"/>
        </w:rPr>
        <w:t>encounter</w:t>
      </w:r>
      <w:r w:rsidR="004917F4" w:rsidRPr="000E5F58">
        <w:rPr>
          <w:rFonts w:asciiTheme="minorHAnsi" w:eastAsiaTheme="minorHAnsi" w:hAnsiTheme="minorHAnsi" w:cstheme="minorHAnsi"/>
          <w:bdr w:val="none" w:sz="0" w:space="0" w:color="auto"/>
          <w14:ligatures w14:val="standardContextual"/>
        </w:rPr>
        <w:t xml:space="preserve"> God’s activity in the life and witness of Christ</w:t>
      </w:r>
      <w:r w:rsidR="005A7BC6" w:rsidRPr="000E5F58">
        <w:rPr>
          <w:rFonts w:asciiTheme="minorHAnsi" w:eastAsiaTheme="minorHAnsi" w:hAnsiTheme="minorHAnsi" w:cstheme="minorHAnsi"/>
          <w:bdr w:val="none" w:sz="0" w:space="0" w:color="auto"/>
          <w14:ligatures w14:val="standardContextual"/>
        </w:rPr>
        <w:t xml:space="preserve"> for a better</w:t>
      </w:r>
      <w:r w:rsidR="001E7D0E" w:rsidRPr="000E5F58">
        <w:rPr>
          <w:rFonts w:asciiTheme="minorHAnsi" w:eastAsiaTheme="minorHAnsi" w:hAnsiTheme="minorHAnsi" w:cstheme="minorHAnsi"/>
          <w:bdr w:val="none" w:sz="0" w:space="0" w:color="auto"/>
          <w14:ligatures w14:val="standardContextual"/>
        </w:rPr>
        <w:t xml:space="preserve"> understand</w:t>
      </w:r>
      <w:r w:rsidR="005A7BC6" w:rsidRPr="000E5F58">
        <w:rPr>
          <w:rFonts w:asciiTheme="minorHAnsi" w:eastAsiaTheme="minorHAnsi" w:hAnsiTheme="minorHAnsi" w:cstheme="minorHAnsi"/>
          <w:bdr w:val="none" w:sz="0" w:space="0" w:color="auto"/>
          <w14:ligatures w14:val="standardContextual"/>
        </w:rPr>
        <w:t>ing</w:t>
      </w:r>
      <w:r w:rsidR="004917F4" w:rsidRPr="000E5F58">
        <w:rPr>
          <w:rFonts w:asciiTheme="minorHAnsi" w:eastAsiaTheme="minorHAnsi" w:hAnsiTheme="minorHAnsi" w:cstheme="minorHAnsi"/>
          <w:bdr w:val="none" w:sz="0" w:space="0" w:color="auto"/>
          <w14:ligatures w14:val="standardContextual"/>
        </w:rPr>
        <w:t xml:space="preserve"> </w:t>
      </w:r>
      <w:r w:rsidR="005A7BC6" w:rsidRPr="000E5F58">
        <w:rPr>
          <w:rFonts w:asciiTheme="minorHAnsi" w:eastAsiaTheme="minorHAnsi" w:hAnsiTheme="minorHAnsi" w:cstheme="minorHAnsi"/>
          <w:bdr w:val="none" w:sz="0" w:space="0" w:color="auto"/>
          <w14:ligatures w14:val="standardContextual"/>
        </w:rPr>
        <w:t>of the Trinity’s</w:t>
      </w:r>
      <w:r w:rsidR="004917F4" w:rsidRPr="000E5F58">
        <w:rPr>
          <w:rFonts w:asciiTheme="minorHAnsi" w:eastAsiaTheme="minorHAnsi" w:hAnsiTheme="minorHAnsi" w:cstheme="minorHAnsi"/>
          <w:bdr w:val="none" w:sz="0" w:space="0" w:color="auto"/>
          <w14:ligatures w14:val="standardContextual"/>
        </w:rPr>
        <w:t xml:space="preserve"> immanen</w:t>
      </w:r>
      <w:r w:rsidR="005A7BC6" w:rsidRPr="000E5F58">
        <w:rPr>
          <w:rFonts w:asciiTheme="minorHAnsi" w:eastAsiaTheme="minorHAnsi" w:hAnsiTheme="minorHAnsi" w:cstheme="minorHAnsi"/>
          <w:bdr w:val="none" w:sz="0" w:space="0" w:color="auto"/>
          <w14:ligatures w14:val="standardContextual"/>
        </w:rPr>
        <w:t>t nature</w:t>
      </w:r>
      <w:r w:rsidR="004917F4" w:rsidRPr="000E5F58">
        <w:rPr>
          <w:rFonts w:asciiTheme="minorHAnsi" w:eastAsiaTheme="minorHAnsi" w:hAnsiTheme="minorHAnsi" w:cstheme="minorHAnsi"/>
          <w:bdr w:val="none" w:sz="0" w:space="0" w:color="auto"/>
          <w14:ligatures w14:val="standardContextual"/>
        </w:rPr>
        <w:t>.</w:t>
      </w:r>
      <w:r w:rsidR="008D7F45">
        <w:rPr>
          <w:rFonts w:asciiTheme="minorHAnsi" w:eastAsiaTheme="minorHAnsi" w:hAnsiTheme="minorHAnsi" w:cstheme="minorHAnsi"/>
          <w:bdr w:val="none" w:sz="0" w:space="0" w:color="auto"/>
          <w14:ligatures w14:val="standardContextual"/>
        </w:rPr>
        <w:t xml:space="preserve"> Indeed, von Balthasar maintains God’s ontological proximity to the world.</w:t>
      </w:r>
      <w:r w:rsidR="008D7F45">
        <w:rPr>
          <w:rStyle w:val="FootnoteReference"/>
          <w:rFonts w:asciiTheme="minorHAnsi" w:eastAsiaTheme="minorHAnsi" w:hAnsiTheme="minorHAnsi" w:cstheme="minorHAnsi"/>
          <w:bdr w:val="none" w:sz="0" w:space="0" w:color="auto"/>
          <w14:ligatures w14:val="standardContextual"/>
        </w:rPr>
        <w:footnoteReference w:id="16"/>
      </w:r>
    </w:p>
    <w:p w14:paraId="45078ED9" w14:textId="77777777" w:rsidR="00217658" w:rsidRPr="000E5F58" w:rsidRDefault="00217658" w:rsidP="001D16D7">
      <w:pPr>
        <w:spacing w:line="360" w:lineRule="auto"/>
        <w:rPr>
          <w:rFonts w:asciiTheme="minorHAnsi" w:eastAsiaTheme="minorHAnsi" w:hAnsiTheme="minorHAnsi" w:cstheme="minorHAnsi"/>
          <w:b/>
          <w:bCs/>
          <w:bdr w:val="none" w:sz="0" w:space="0" w:color="auto"/>
          <w14:ligatures w14:val="standardContextual"/>
        </w:rPr>
      </w:pPr>
    </w:p>
    <w:p w14:paraId="46517408" w14:textId="3FD0B6F4" w:rsidR="005E57B3" w:rsidRPr="000E5F58" w:rsidRDefault="00ED3949" w:rsidP="001D16D7">
      <w:pPr>
        <w:spacing w:line="360" w:lineRule="auto"/>
        <w:rPr>
          <w:rFonts w:asciiTheme="minorHAnsi" w:hAnsiTheme="minorHAnsi" w:cstheme="minorHAnsi"/>
        </w:rPr>
      </w:pPr>
      <w:r w:rsidRPr="000E5F58">
        <w:rPr>
          <w:rFonts w:asciiTheme="minorHAnsi" w:hAnsiTheme="minorHAnsi" w:cstheme="minorHAnsi"/>
        </w:rPr>
        <w:t>F</w:t>
      </w:r>
      <w:r w:rsidR="00E7298A" w:rsidRPr="000E5F58">
        <w:rPr>
          <w:rFonts w:asciiTheme="minorHAnsi" w:hAnsiTheme="minorHAnsi" w:cstheme="minorHAnsi"/>
        </w:rPr>
        <w:t xml:space="preserve">urthermore, </w:t>
      </w:r>
      <w:r w:rsidR="005E57B3" w:rsidRPr="000E5F58">
        <w:rPr>
          <w:rFonts w:asciiTheme="minorHAnsi" w:hAnsiTheme="minorHAnsi" w:cstheme="minorHAnsi"/>
        </w:rPr>
        <w:t xml:space="preserve">German Catholic cardinal Walter Kasper’s approach </w:t>
      </w:r>
      <w:r w:rsidR="005E57B3" w:rsidRPr="000E5F58">
        <w:rPr>
          <w:rFonts w:asciiTheme="minorHAnsi" w:hAnsiTheme="minorHAnsi" w:cstheme="minorHAnsi"/>
          <w:i/>
          <w:iCs/>
        </w:rPr>
        <w:t>within</w:t>
      </w:r>
      <w:r w:rsidR="005E57B3" w:rsidRPr="000E5F58">
        <w:rPr>
          <w:rFonts w:asciiTheme="minorHAnsi" w:hAnsiTheme="minorHAnsi" w:cstheme="minorHAnsi"/>
        </w:rPr>
        <w:t xml:space="preserve"> Christianity questions the traditional </w:t>
      </w:r>
      <w:r w:rsidR="005E57B3" w:rsidRPr="000E5F58">
        <w:rPr>
          <w:rFonts w:asciiTheme="minorHAnsi" w:hAnsiTheme="minorHAnsi" w:cstheme="minorHAnsi"/>
          <w:i/>
          <w:iCs/>
        </w:rPr>
        <w:t xml:space="preserve">patriarchal </w:t>
      </w:r>
      <w:r w:rsidR="005E57B3" w:rsidRPr="000E5F58">
        <w:rPr>
          <w:rFonts w:asciiTheme="minorHAnsi" w:hAnsiTheme="minorHAnsi" w:cstheme="minorHAnsi"/>
        </w:rPr>
        <w:t xml:space="preserve">concept of Trinity for today’s society and asks novel questions about the trinitarian doctrine in the face of modern atheism. The God of Jesus Christ is the only knowable way to knowledge of the triunity of God. He </w:t>
      </w:r>
      <w:r w:rsidR="005E57B3" w:rsidRPr="000E5F58">
        <w:rPr>
          <w:rFonts w:asciiTheme="minorHAnsi" w:hAnsiTheme="minorHAnsi" w:cstheme="minorHAnsi"/>
          <w:i/>
          <w:iCs/>
        </w:rPr>
        <w:t>is</w:t>
      </w:r>
      <w:r w:rsidR="005E57B3" w:rsidRPr="000E5F58">
        <w:rPr>
          <w:rFonts w:asciiTheme="minorHAnsi" w:hAnsiTheme="minorHAnsi" w:cstheme="minorHAnsi"/>
        </w:rPr>
        <w:t xml:space="preserve"> God’s self-revelation in Jesus Christ in the Holy Spirit.</w:t>
      </w:r>
      <w:r w:rsidR="00CC2168" w:rsidRPr="000E5F58">
        <w:rPr>
          <w:rStyle w:val="FootnoteReference"/>
          <w:rFonts w:asciiTheme="minorHAnsi" w:hAnsiTheme="minorHAnsi" w:cstheme="minorHAnsi"/>
        </w:rPr>
        <w:t xml:space="preserve"> </w:t>
      </w:r>
      <w:r w:rsidR="00CC2168" w:rsidRPr="000E5F58">
        <w:rPr>
          <w:rStyle w:val="FootnoteReference"/>
          <w:rFonts w:asciiTheme="minorHAnsi" w:hAnsiTheme="minorHAnsi" w:cstheme="minorHAnsi"/>
        </w:rPr>
        <w:footnoteReference w:id="17"/>
      </w:r>
      <w:r w:rsidR="00CC2168" w:rsidRPr="000E5F58">
        <w:rPr>
          <w:rFonts w:asciiTheme="minorHAnsi" w:hAnsiTheme="minorHAnsi" w:cstheme="minorHAnsi"/>
        </w:rPr>
        <w:t>.</w:t>
      </w:r>
      <w:r w:rsidR="005E57B3" w:rsidRPr="000E5F58">
        <w:rPr>
          <w:rFonts w:asciiTheme="minorHAnsi" w:hAnsiTheme="minorHAnsi" w:cstheme="minorHAnsi"/>
        </w:rPr>
        <w:t xml:space="preserve"> For Kasper, the Church’s confession of faith is both the vital economic activity of the Trinity and the God of Jesus Christ in the Spirit</w:t>
      </w:r>
      <w:r w:rsidR="00735C36" w:rsidRPr="000E5F58">
        <w:rPr>
          <w:rFonts w:asciiTheme="minorHAnsi" w:hAnsiTheme="minorHAnsi" w:cstheme="minorHAnsi"/>
        </w:rPr>
        <w:t>.</w:t>
      </w:r>
      <w:r w:rsidR="005E57B3" w:rsidRPr="000E5F58">
        <w:rPr>
          <w:rFonts w:asciiTheme="minorHAnsi" w:hAnsiTheme="minorHAnsi" w:cstheme="minorHAnsi"/>
        </w:rPr>
        <w:t xml:space="preserve"> Salvation rests in communion with the God “who through all eternity </w:t>
      </w:r>
      <w:r w:rsidR="005E57B3" w:rsidRPr="000E5F58">
        <w:rPr>
          <w:rFonts w:asciiTheme="minorHAnsi" w:hAnsiTheme="minorHAnsi" w:cstheme="minorHAnsi"/>
          <w:i/>
          <w:iCs/>
        </w:rPr>
        <w:t>is</w:t>
      </w:r>
      <w:r w:rsidR="005E57B3" w:rsidRPr="000E5F58">
        <w:rPr>
          <w:rFonts w:asciiTheme="minorHAnsi" w:hAnsiTheme="minorHAnsi" w:cstheme="minorHAnsi"/>
        </w:rPr>
        <w:t xml:space="preserve"> love”</w:t>
      </w:r>
      <w:r w:rsidR="005E57B3" w:rsidRPr="000E5F58">
        <w:rPr>
          <w:rStyle w:val="FootnoteReference"/>
          <w:rFonts w:asciiTheme="minorHAnsi" w:hAnsiTheme="minorHAnsi" w:cstheme="minorHAnsi"/>
        </w:rPr>
        <w:footnoteReference w:id="18"/>
      </w:r>
      <w:r w:rsidR="005E57B3" w:rsidRPr="000E5F58">
        <w:rPr>
          <w:rFonts w:asciiTheme="minorHAnsi" w:hAnsiTheme="minorHAnsi" w:cstheme="minorHAnsi"/>
        </w:rPr>
        <w:t xml:space="preserve">. </w:t>
      </w:r>
      <w:r w:rsidR="005E57B3" w:rsidRPr="000E5F58">
        <w:rPr>
          <w:rFonts w:asciiTheme="minorHAnsi" w:eastAsiaTheme="minorHAnsi" w:hAnsiTheme="minorHAnsi" w:cstheme="minorHAnsi"/>
          <w:bdr w:val="none" w:sz="0" w:space="0" w:color="auto"/>
          <w14:ligatures w14:val="standardContextual"/>
        </w:rPr>
        <w:t xml:space="preserve">Kasper’s conclusions suggest a </w:t>
      </w:r>
      <w:r w:rsidR="005E57B3" w:rsidRPr="000E5F58">
        <w:rPr>
          <w:rFonts w:asciiTheme="minorHAnsi" w:eastAsiaTheme="minorHAnsi" w:hAnsiTheme="minorHAnsi" w:cstheme="minorHAnsi"/>
          <w:i/>
          <w:iCs/>
          <w:bdr w:val="none" w:sz="0" w:space="0" w:color="auto"/>
          <w14:ligatures w14:val="standardContextual"/>
        </w:rPr>
        <w:t>social</w:t>
      </w:r>
      <w:r w:rsidR="005E57B3" w:rsidRPr="000E5F58">
        <w:rPr>
          <w:rFonts w:asciiTheme="minorHAnsi" w:eastAsiaTheme="minorHAnsi" w:hAnsiTheme="minorHAnsi" w:cstheme="minorHAnsi"/>
          <w:bdr w:val="none" w:sz="0" w:space="0" w:color="auto"/>
          <w14:ligatures w14:val="standardContextual"/>
        </w:rPr>
        <w:t xml:space="preserve"> implication to both economic and immanent Trinity. This </w:t>
      </w:r>
      <w:r w:rsidR="00735C36" w:rsidRPr="000E5F58">
        <w:rPr>
          <w:rFonts w:asciiTheme="minorHAnsi" w:eastAsiaTheme="minorHAnsi" w:hAnsiTheme="minorHAnsi" w:cstheme="minorHAnsi"/>
          <w:bdr w:val="none" w:sz="0" w:space="0" w:color="auto"/>
          <w14:ligatures w14:val="standardContextual"/>
        </w:rPr>
        <w:t>d</w:t>
      </w:r>
      <w:r w:rsidR="005E57B3" w:rsidRPr="000E5F58">
        <w:rPr>
          <w:rFonts w:asciiTheme="minorHAnsi" w:eastAsiaTheme="minorHAnsi" w:hAnsiTheme="minorHAnsi" w:cstheme="minorHAnsi"/>
          <w:bdr w:val="none" w:sz="0" w:space="0" w:color="auto"/>
          <w14:ligatures w14:val="standardContextual"/>
        </w:rPr>
        <w:t>ynamic relatedness of the nature of God</w:t>
      </w:r>
      <w:r w:rsidR="005E57B3" w:rsidRPr="000E5F58">
        <w:rPr>
          <w:rStyle w:val="FootnoteReference"/>
          <w:rFonts w:asciiTheme="minorHAnsi" w:hAnsiTheme="minorHAnsi" w:cstheme="minorHAnsi"/>
        </w:rPr>
        <w:footnoteReference w:id="19"/>
      </w:r>
      <w:r w:rsidR="005E57B3" w:rsidRPr="000E5F58">
        <w:rPr>
          <w:rFonts w:asciiTheme="minorHAnsi" w:eastAsiaTheme="minorHAnsi" w:hAnsiTheme="minorHAnsi" w:cstheme="minorHAnsi"/>
          <w:bdr w:val="none" w:sz="0" w:space="0" w:color="auto"/>
          <w14:ligatures w14:val="standardContextual"/>
        </w:rPr>
        <w:t xml:space="preserve"> </w:t>
      </w:r>
      <w:r w:rsidR="00735C36" w:rsidRPr="000E5F58">
        <w:rPr>
          <w:rFonts w:asciiTheme="minorHAnsi" w:eastAsiaTheme="minorHAnsi" w:hAnsiTheme="minorHAnsi" w:cstheme="minorHAnsi"/>
          <w:bdr w:val="none" w:sz="0" w:space="0" w:color="auto"/>
          <w14:ligatures w14:val="standardContextual"/>
        </w:rPr>
        <w:t>is</w:t>
      </w:r>
      <w:r w:rsidR="005A7BC6" w:rsidRPr="000E5F58">
        <w:rPr>
          <w:rFonts w:asciiTheme="minorHAnsi" w:eastAsiaTheme="minorHAnsi" w:hAnsiTheme="minorHAnsi" w:cstheme="minorHAnsi"/>
          <w:bdr w:val="none" w:sz="0" w:space="0" w:color="auto"/>
          <w14:ligatures w14:val="standardContextual"/>
        </w:rPr>
        <w:t xml:space="preserve"> particularly</w:t>
      </w:r>
      <w:r w:rsidR="00735C36" w:rsidRPr="000E5F58">
        <w:rPr>
          <w:rFonts w:asciiTheme="minorHAnsi" w:eastAsiaTheme="minorHAnsi" w:hAnsiTheme="minorHAnsi" w:cstheme="minorHAnsi"/>
          <w:bdr w:val="none" w:sz="0" w:space="0" w:color="auto"/>
          <w14:ligatures w14:val="standardContextual"/>
        </w:rPr>
        <w:t xml:space="preserve"> </w:t>
      </w:r>
      <w:r w:rsidR="005E57B3" w:rsidRPr="000E5F58">
        <w:rPr>
          <w:rFonts w:asciiTheme="minorHAnsi" w:eastAsiaTheme="minorHAnsi" w:hAnsiTheme="minorHAnsi" w:cstheme="minorHAnsi"/>
          <w:bdr w:val="none" w:sz="0" w:space="0" w:color="auto"/>
          <w14:ligatures w14:val="standardContextual"/>
        </w:rPr>
        <w:t xml:space="preserve">helpful in the field of pastoral ministry. </w:t>
      </w:r>
      <w:r w:rsidR="005E57B3" w:rsidRPr="000E5F58">
        <w:rPr>
          <w:rFonts w:asciiTheme="minorHAnsi" w:hAnsiTheme="minorHAnsi" w:cstheme="minorHAnsi"/>
        </w:rPr>
        <w:t xml:space="preserve">Karl </w:t>
      </w:r>
      <w:proofErr w:type="spellStart"/>
      <w:r w:rsidR="005E57B3" w:rsidRPr="000E5F58">
        <w:rPr>
          <w:rFonts w:asciiTheme="minorHAnsi" w:hAnsiTheme="minorHAnsi" w:cstheme="minorHAnsi"/>
        </w:rPr>
        <w:t>Rahner’s</w:t>
      </w:r>
      <w:proofErr w:type="spellEnd"/>
      <w:r w:rsidR="005E57B3" w:rsidRPr="000E5F58">
        <w:rPr>
          <w:rFonts w:asciiTheme="minorHAnsi" w:hAnsiTheme="minorHAnsi" w:cstheme="minorHAnsi"/>
        </w:rPr>
        <w:t xml:space="preserve"> </w:t>
      </w:r>
      <w:r w:rsidR="005A7BC6" w:rsidRPr="000E5F58">
        <w:rPr>
          <w:rFonts w:asciiTheme="minorHAnsi" w:hAnsiTheme="minorHAnsi" w:cstheme="minorHAnsi"/>
        </w:rPr>
        <w:t xml:space="preserve">much maligned </w:t>
      </w:r>
      <w:r w:rsidR="005E57B3" w:rsidRPr="000E5F58">
        <w:rPr>
          <w:rFonts w:asciiTheme="minorHAnsi" w:hAnsiTheme="minorHAnsi" w:cstheme="minorHAnsi"/>
        </w:rPr>
        <w:t xml:space="preserve">epigram concerning the mystery of salvation “the </w:t>
      </w:r>
      <w:r w:rsidR="005E57B3" w:rsidRPr="000E5F58">
        <w:rPr>
          <w:rFonts w:asciiTheme="minorHAnsi" w:hAnsiTheme="minorHAnsi" w:cstheme="minorHAnsi"/>
        </w:rPr>
        <w:lastRenderedPageBreak/>
        <w:t>‘economic’ Trinity is the ‘immanent’ Trinity, and the ‘immanent’ Trinity is the ‘economic’ Trinity”</w:t>
      </w:r>
      <w:r w:rsidR="005E57B3" w:rsidRPr="000E5F58">
        <w:rPr>
          <w:rStyle w:val="FootnoteReference"/>
          <w:rFonts w:asciiTheme="minorHAnsi" w:hAnsiTheme="minorHAnsi" w:cstheme="minorHAnsi"/>
        </w:rPr>
        <w:footnoteReference w:id="20"/>
      </w:r>
      <w:r w:rsidR="005E57B3" w:rsidRPr="000E5F58">
        <w:rPr>
          <w:rFonts w:asciiTheme="minorHAnsi" w:hAnsiTheme="minorHAnsi" w:cstheme="minorHAnsi"/>
        </w:rPr>
        <w:t xml:space="preserve"> </w:t>
      </w:r>
      <w:r w:rsidR="005A7BC6" w:rsidRPr="000E5F58">
        <w:rPr>
          <w:rFonts w:asciiTheme="minorHAnsi" w:hAnsiTheme="minorHAnsi" w:cstheme="minorHAnsi"/>
        </w:rPr>
        <w:t>aligns with Kasper</w:t>
      </w:r>
      <w:r w:rsidR="005E57B3" w:rsidRPr="000E5F58">
        <w:rPr>
          <w:rFonts w:asciiTheme="minorHAnsi" w:hAnsiTheme="minorHAnsi" w:cstheme="minorHAnsi"/>
        </w:rPr>
        <w:t xml:space="preserve"> in as much as it establishes a firm interplay between developing an understanding of who God is and how/why God acts.</w:t>
      </w:r>
      <w:r w:rsidR="00F30748" w:rsidRPr="000E5F58">
        <w:rPr>
          <w:rFonts w:asciiTheme="minorHAnsi" w:hAnsiTheme="minorHAnsi" w:cstheme="minorHAnsi"/>
        </w:rPr>
        <w:t xml:space="preserve"> </w:t>
      </w:r>
      <w:r w:rsidR="005E57B3" w:rsidRPr="000E5F58">
        <w:rPr>
          <w:rFonts w:asciiTheme="minorHAnsi" w:hAnsiTheme="minorHAnsi" w:cstheme="minorHAnsi"/>
        </w:rPr>
        <w:t xml:space="preserve">The perichoretic Eastern approach captures </w:t>
      </w:r>
      <w:r w:rsidR="00057FE7" w:rsidRPr="000E5F58">
        <w:rPr>
          <w:rFonts w:asciiTheme="minorHAnsi" w:hAnsiTheme="minorHAnsi" w:cstheme="minorHAnsi"/>
        </w:rPr>
        <w:t>this</w:t>
      </w:r>
      <w:r w:rsidR="005E57B3" w:rsidRPr="000E5F58">
        <w:rPr>
          <w:rFonts w:asciiTheme="minorHAnsi" w:hAnsiTheme="minorHAnsi" w:cstheme="minorHAnsi"/>
        </w:rPr>
        <w:t xml:space="preserve"> more dynamic relationship, which according to </w:t>
      </w:r>
      <w:proofErr w:type="spellStart"/>
      <w:r w:rsidR="005E57B3" w:rsidRPr="000E5F58">
        <w:rPr>
          <w:rFonts w:asciiTheme="minorHAnsi" w:hAnsiTheme="minorHAnsi" w:cstheme="minorHAnsi"/>
        </w:rPr>
        <w:t>Moltmann</w:t>
      </w:r>
      <w:proofErr w:type="spellEnd"/>
      <w:r w:rsidR="005E57B3" w:rsidRPr="000E5F58">
        <w:rPr>
          <w:rFonts w:asciiTheme="minorHAnsi" w:hAnsiTheme="minorHAnsi" w:cstheme="minorHAnsi"/>
        </w:rPr>
        <w:t xml:space="preserve"> “links together in a brilliant way the </w:t>
      </w:r>
      <w:proofErr w:type="spellStart"/>
      <w:r w:rsidR="005E57B3" w:rsidRPr="000E5F58">
        <w:rPr>
          <w:rFonts w:asciiTheme="minorHAnsi" w:hAnsiTheme="minorHAnsi" w:cstheme="minorHAnsi"/>
        </w:rPr>
        <w:t>threeness</w:t>
      </w:r>
      <w:proofErr w:type="spellEnd"/>
      <w:r w:rsidR="005E57B3" w:rsidRPr="000E5F58">
        <w:rPr>
          <w:rFonts w:asciiTheme="minorHAnsi" w:hAnsiTheme="minorHAnsi" w:cstheme="minorHAnsi"/>
        </w:rPr>
        <w:t xml:space="preserve"> and the unity, without reducing the </w:t>
      </w:r>
      <w:proofErr w:type="spellStart"/>
      <w:r w:rsidR="005E57B3" w:rsidRPr="000E5F58">
        <w:rPr>
          <w:rFonts w:asciiTheme="minorHAnsi" w:hAnsiTheme="minorHAnsi" w:cstheme="minorHAnsi"/>
        </w:rPr>
        <w:t>threeness</w:t>
      </w:r>
      <w:proofErr w:type="spellEnd"/>
      <w:r w:rsidR="005E57B3" w:rsidRPr="000E5F58">
        <w:rPr>
          <w:rFonts w:asciiTheme="minorHAnsi" w:hAnsiTheme="minorHAnsi" w:cstheme="minorHAnsi"/>
        </w:rPr>
        <w:t xml:space="preserve"> into the unity, or dissolving the unity in the </w:t>
      </w:r>
      <w:proofErr w:type="spellStart"/>
      <w:r w:rsidR="005E57B3" w:rsidRPr="000E5F58">
        <w:rPr>
          <w:rFonts w:asciiTheme="minorHAnsi" w:hAnsiTheme="minorHAnsi" w:cstheme="minorHAnsi"/>
        </w:rPr>
        <w:t>threeness</w:t>
      </w:r>
      <w:proofErr w:type="spellEnd"/>
      <w:r w:rsidR="005E57B3" w:rsidRPr="000E5F58">
        <w:rPr>
          <w:rFonts w:asciiTheme="minorHAnsi" w:hAnsiTheme="minorHAnsi" w:cstheme="minorHAnsi"/>
        </w:rPr>
        <w:t>”</w:t>
      </w:r>
      <w:r w:rsidR="00F30748" w:rsidRPr="000E5F58">
        <w:rPr>
          <w:rStyle w:val="FootnoteReference"/>
          <w:rFonts w:asciiTheme="minorHAnsi" w:hAnsiTheme="minorHAnsi" w:cstheme="minorHAnsi"/>
        </w:rPr>
        <w:footnoteReference w:id="21"/>
      </w:r>
      <w:r w:rsidR="00057FE7" w:rsidRPr="000E5F58">
        <w:rPr>
          <w:rFonts w:asciiTheme="minorHAnsi" w:hAnsiTheme="minorHAnsi" w:cstheme="minorHAnsi"/>
        </w:rPr>
        <w:t>.</w:t>
      </w:r>
      <w:r w:rsidR="005E57B3" w:rsidRPr="000E5F58">
        <w:rPr>
          <w:rFonts w:asciiTheme="minorHAnsi" w:hAnsiTheme="minorHAnsi" w:cstheme="minorHAnsi"/>
        </w:rPr>
        <w:t xml:space="preserve">It lays the way open for a much wider application </w:t>
      </w:r>
      <w:r w:rsidR="007F7694" w:rsidRPr="000E5F58">
        <w:rPr>
          <w:rFonts w:asciiTheme="minorHAnsi" w:hAnsiTheme="minorHAnsi" w:cstheme="minorHAnsi"/>
        </w:rPr>
        <w:t>of</w:t>
      </w:r>
      <w:r w:rsidR="005E57B3" w:rsidRPr="000E5F58">
        <w:rPr>
          <w:rFonts w:asciiTheme="minorHAnsi" w:hAnsiTheme="minorHAnsi" w:cstheme="minorHAnsi"/>
        </w:rPr>
        <w:t xml:space="preserve"> Christian theology, </w:t>
      </w:r>
      <w:r w:rsidR="00057FE7" w:rsidRPr="000E5F58">
        <w:rPr>
          <w:rFonts w:asciiTheme="minorHAnsi" w:hAnsiTheme="minorHAnsi" w:cstheme="minorHAnsi"/>
        </w:rPr>
        <w:t xml:space="preserve">both in experiential, charismatic worship and </w:t>
      </w:r>
      <w:r w:rsidR="005E57B3" w:rsidRPr="000E5F58">
        <w:rPr>
          <w:rFonts w:asciiTheme="minorHAnsi" w:hAnsiTheme="minorHAnsi" w:cstheme="minorHAnsi"/>
        </w:rPr>
        <w:t xml:space="preserve">‘individualised’ theologies, rooted in the suffering and oppression </w:t>
      </w:r>
      <w:r w:rsidR="007F7694" w:rsidRPr="000E5F58">
        <w:rPr>
          <w:rFonts w:asciiTheme="minorHAnsi" w:hAnsiTheme="minorHAnsi" w:cstheme="minorHAnsi"/>
        </w:rPr>
        <w:t>felt by</w:t>
      </w:r>
      <w:r w:rsidR="005E57B3" w:rsidRPr="000E5F58">
        <w:rPr>
          <w:rFonts w:asciiTheme="minorHAnsi" w:hAnsiTheme="minorHAnsi" w:cstheme="minorHAnsi"/>
        </w:rPr>
        <w:t xml:space="preserve"> sections of humanity. </w:t>
      </w:r>
    </w:p>
    <w:p w14:paraId="29B72ADE" w14:textId="7B9B18FE" w:rsidR="00E7298A" w:rsidRPr="000E5F58" w:rsidRDefault="00E7298A" w:rsidP="001D16D7">
      <w:pPr>
        <w:pStyle w:val="Heading1"/>
        <w:spacing w:line="360" w:lineRule="auto"/>
        <w:rPr>
          <w:rFonts w:asciiTheme="minorHAnsi" w:eastAsiaTheme="minorHAnsi" w:hAnsiTheme="minorHAnsi" w:cstheme="minorHAnsi"/>
          <w:b/>
          <w:bCs/>
          <w:color w:val="auto"/>
          <w:sz w:val="24"/>
          <w:szCs w:val="24"/>
          <w:bdr w:val="none" w:sz="0" w:space="0" w:color="auto"/>
        </w:rPr>
      </w:pPr>
      <w:bookmarkStart w:id="2" w:name="_Toc134728149"/>
      <w:r w:rsidRPr="000E5F58">
        <w:rPr>
          <w:rFonts w:asciiTheme="minorHAnsi" w:eastAsiaTheme="minorHAnsi" w:hAnsiTheme="minorHAnsi" w:cstheme="minorHAnsi"/>
          <w:b/>
          <w:bCs/>
          <w:color w:val="auto"/>
          <w:sz w:val="24"/>
          <w:szCs w:val="24"/>
          <w:bdr w:val="none" w:sz="0" w:space="0" w:color="auto"/>
        </w:rPr>
        <w:t>‘Individualised’ trinitarian theologies</w:t>
      </w:r>
      <w:bookmarkEnd w:id="2"/>
    </w:p>
    <w:p w14:paraId="6B2C6B8B" w14:textId="15ADBE28" w:rsidR="005E57B3" w:rsidRPr="000E5F58" w:rsidRDefault="00A22B21" w:rsidP="001D16D7">
      <w:pPr>
        <w:spacing w:line="360" w:lineRule="auto"/>
        <w:rPr>
          <w:rFonts w:asciiTheme="minorHAnsi" w:eastAsiaTheme="minorHAnsi" w:hAnsiTheme="minorHAnsi" w:cstheme="minorHAnsi"/>
          <w:bdr w:val="none" w:sz="0" w:space="0" w:color="auto"/>
          <w14:ligatures w14:val="standardContextual"/>
        </w:rPr>
      </w:pPr>
      <w:r w:rsidRPr="000E5F58">
        <w:rPr>
          <w:rFonts w:asciiTheme="minorHAnsi" w:eastAsiaTheme="minorHAnsi" w:hAnsiTheme="minorHAnsi" w:cstheme="minorHAnsi"/>
          <w:bdr w:val="none" w:sz="0" w:space="0" w:color="auto"/>
          <w14:ligatures w14:val="standardContextual"/>
        </w:rPr>
        <w:t xml:space="preserve">Whilst </w:t>
      </w:r>
      <w:r w:rsidR="002D568F">
        <w:rPr>
          <w:rFonts w:asciiTheme="minorHAnsi" w:eastAsiaTheme="minorHAnsi" w:hAnsiTheme="minorHAnsi" w:cstheme="minorHAnsi"/>
          <w:bdr w:val="none" w:sz="0" w:space="0" w:color="auto"/>
          <w14:ligatures w14:val="standardContextual"/>
        </w:rPr>
        <w:t xml:space="preserve">John </w:t>
      </w:r>
      <w:proofErr w:type="spellStart"/>
      <w:r w:rsidRPr="000E5F58">
        <w:rPr>
          <w:rFonts w:asciiTheme="minorHAnsi" w:eastAsiaTheme="minorHAnsi" w:hAnsiTheme="minorHAnsi" w:cstheme="minorHAnsi"/>
          <w:bdr w:val="none" w:sz="0" w:space="0" w:color="auto"/>
          <w14:ligatures w14:val="standardContextual"/>
        </w:rPr>
        <w:t>Zizioulas</w:t>
      </w:r>
      <w:proofErr w:type="spellEnd"/>
      <w:r w:rsidRPr="000E5F58">
        <w:rPr>
          <w:rFonts w:asciiTheme="minorHAnsi" w:eastAsiaTheme="minorHAnsi" w:hAnsiTheme="minorHAnsi" w:cstheme="minorHAnsi"/>
          <w:bdr w:val="none" w:sz="0" w:space="0" w:color="auto"/>
          <w14:ligatures w14:val="standardContextual"/>
        </w:rPr>
        <w:t xml:space="preserve"> maintains the hierarchical structure of the Trinity within the Orthodox tradition</w:t>
      </w:r>
      <w:r w:rsidR="002D568F">
        <w:rPr>
          <w:rStyle w:val="FootnoteReference"/>
          <w:rFonts w:asciiTheme="minorHAnsi" w:eastAsiaTheme="minorHAnsi" w:hAnsiTheme="minorHAnsi" w:cstheme="minorHAnsi"/>
          <w:bdr w:val="none" w:sz="0" w:space="0" w:color="auto"/>
          <w14:ligatures w14:val="standardContextual"/>
        </w:rPr>
        <w:footnoteReference w:id="22"/>
      </w:r>
      <w:r w:rsidRPr="000E5F58">
        <w:rPr>
          <w:rFonts w:asciiTheme="minorHAnsi" w:eastAsiaTheme="minorHAnsi" w:hAnsiTheme="minorHAnsi" w:cstheme="minorHAnsi"/>
          <w:bdr w:val="none" w:sz="0" w:space="0" w:color="auto"/>
          <w14:ligatures w14:val="standardContextual"/>
        </w:rPr>
        <w:t xml:space="preserve">, Barbara Brown Zikmund views the Cappadocian perichoretic understanding of the Trinity differently. For, </w:t>
      </w:r>
      <w:r w:rsidR="00CA4BDD" w:rsidRPr="000E5F58">
        <w:rPr>
          <w:rFonts w:asciiTheme="minorHAnsi" w:eastAsiaTheme="minorHAnsi" w:hAnsiTheme="minorHAnsi" w:cstheme="minorHAnsi"/>
          <w:bdr w:val="none" w:sz="0" w:space="0" w:color="auto"/>
          <w14:ligatures w14:val="standardContextual"/>
        </w:rPr>
        <w:t>“</w:t>
      </w:r>
      <w:r w:rsidR="00F471FA" w:rsidRPr="000E5F58">
        <w:rPr>
          <w:rFonts w:asciiTheme="minorHAnsi" w:eastAsiaTheme="minorHAnsi" w:hAnsiTheme="minorHAnsi" w:cstheme="minorHAnsi"/>
          <w:bdr w:val="none" w:sz="0" w:space="0" w:color="auto"/>
          <w14:ligatures w14:val="standardContextual"/>
        </w:rPr>
        <w:t>t</w:t>
      </w:r>
      <w:r w:rsidR="00CA4BDD" w:rsidRPr="000E5F58">
        <w:rPr>
          <w:rFonts w:asciiTheme="minorHAnsi" w:eastAsiaTheme="minorHAnsi" w:hAnsiTheme="minorHAnsi" w:cstheme="minorHAnsi"/>
          <w:bdr w:val="none" w:sz="0" w:space="0" w:color="auto"/>
          <w14:ligatures w14:val="standardContextual"/>
        </w:rPr>
        <w:t>o believe in a triune God</w:t>
      </w:r>
      <w:r w:rsidRPr="000E5F58">
        <w:rPr>
          <w:rFonts w:asciiTheme="minorHAnsi" w:eastAsiaTheme="minorHAnsi" w:hAnsiTheme="minorHAnsi" w:cstheme="minorHAnsi"/>
          <w:bdr w:val="none" w:sz="0" w:space="0" w:color="auto"/>
          <w14:ligatures w14:val="standardContextual"/>
        </w:rPr>
        <w:t xml:space="preserve"> </w:t>
      </w:r>
      <w:r w:rsidR="00CA4BDD" w:rsidRPr="000E5F58">
        <w:rPr>
          <w:rFonts w:asciiTheme="minorHAnsi" w:eastAsiaTheme="minorHAnsi" w:hAnsiTheme="minorHAnsi" w:cstheme="minorHAnsi"/>
          <w:bdr w:val="none" w:sz="0" w:space="0" w:color="auto"/>
          <w14:ligatures w14:val="standardContextual"/>
        </w:rPr>
        <w:t>is to suggest…an inner relational energy within Godself which spills over into the Christian life”</w:t>
      </w:r>
      <w:r w:rsidR="00CA4BDD" w:rsidRPr="000E5F58">
        <w:rPr>
          <w:rStyle w:val="FootnoteReference"/>
          <w:rFonts w:asciiTheme="minorHAnsi" w:eastAsiaTheme="minorHAnsi" w:hAnsiTheme="minorHAnsi" w:cstheme="minorHAnsi"/>
          <w:bdr w:val="none" w:sz="0" w:space="0" w:color="auto"/>
          <w14:ligatures w14:val="standardContextual"/>
        </w:rPr>
        <w:footnoteReference w:id="23"/>
      </w:r>
      <w:r w:rsidR="00CA4BDD" w:rsidRPr="000E5F58">
        <w:rPr>
          <w:rFonts w:asciiTheme="minorHAnsi" w:eastAsiaTheme="minorHAnsi" w:hAnsiTheme="minorHAnsi" w:cstheme="minorHAnsi"/>
          <w:bdr w:val="none" w:sz="0" w:space="0" w:color="auto"/>
          <w14:ligatures w14:val="standardContextual"/>
        </w:rPr>
        <w:t xml:space="preserve">. </w:t>
      </w:r>
      <w:r w:rsidRPr="000E5F58">
        <w:rPr>
          <w:rFonts w:asciiTheme="minorHAnsi" w:eastAsiaTheme="minorHAnsi" w:hAnsiTheme="minorHAnsi" w:cstheme="minorHAnsi"/>
          <w:bdr w:val="none" w:sz="0" w:space="0" w:color="auto"/>
          <w14:ligatures w14:val="standardContextual"/>
        </w:rPr>
        <w:t>In contrast to the historically subservient place of women in church</w:t>
      </w:r>
      <w:r w:rsidR="00F471FA" w:rsidRPr="000E5F58">
        <w:rPr>
          <w:rFonts w:asciiTheme="minorHAnsi" w:eastAsiaTheme="minorHAnsi" w:hAnsiTheme="minorHAnsi" w:cstheme="minorHAnsi"/>
          <w:bdr w:val="none" w:sz="0" w:space="0" w:color="auto"/>
          <w14:ligatures w14:val="standardContextual"/>
        </w:rPr>
        <w:t>, the dynamic internal relationships of the perichoretic understanding of the Trinity, she avers, chimes well with women’s</w:t>
      </w:r>
      <w:r w:rsidRPr="000E5F58">
        <w:rPr>
          <w:rFonts w:asciiTheme="minorHAnsi" w:eastAsiaTheme="minorHAnsi" w:hAnsiTheme="minorHAnsi" w:cstheme="minorHAnsi"/>
          <w:bdr w:val="none" w:sz="0" w:space="0" w:color="auto"/>
          <w14:ligatures w14:val="standardContextual"/>
        </w:rPr>
        <w:t xml:space="preserve"> innate psychological state</w:t>
      </w:r>
      <w:r w:rsidR="00F471FA" w:rsidRPr="000E5F58">
        <w:rPr>
          <w:rFonts w:asciiTheme="minorHAnsi" w:eastAsiaTheme="minorHAnsi" w:hAnsiTheme="minorHAnsi" w:cstheme="minorHAnsi"/>
          <w:bdr w:val="none" w:sz="0" w:space="0" w:color="auto"/>
          <w14:ligatures w14:val="standardContextual"/>
        </w:rPr>
        <w:t xml:space="preserve">. </w:t>
      </w:r>
      <w:r w:rsidR="00CA4BDD" w:rsidRPr="000E5F58">
        <w:rPr>
          <w:rFonts w:asciiTheme="minorHAnsi" w:eastAsiaTheme="minorHAnsi" w:hAnsiTheme="minorHAnsi" w:cstheme="minorHAnsi"/>
          <w:bdr w:val="none" w:sz="0" w:space="0" w:color="auto"/>
          <w14:ligatures w14:val="standardContextual"/>
        </w:rPr>
        <w:t xml:space="preserve">As God’s children experience God’s love, all people are invited to discover their personal identity through recognising the </w:t>
      </w:r>
      <w:r w:rsidR="00CA4BDD" w:rsidRPr="000E5F58">
        <w:rPr>
          <w:rFonts w:asciiTheme="minorHAnsi" w:eastAsiaTheme="minorHAnsi" w:hAnsiTheme="minorHAnsi" w:cstheme="minorHAnsi"/>
          <w:i/>
          <w:iCs/>
          <w:bdr w:val="none" w:sz="0" w:space="0" w:color="auto"/>
          <w14:ligatures w14:val="standardContextual"/>
        </w:rPr>
        <w:t>relational nature</w:t>
      </w:r>
      <w:r w:rsidR="00CA4BDD" w:rsidRPr="000E5F58">
        <w:rPr>
          <w:rFonts w:asciiTheme="minorHAnsi" w:eastAsiaTheme="minorHAnsi" w:hAnsiTheme="minorHAnsi" w:cstheme="minorHAnsi"/>
          <w:bdr w:val="none" w:sz="0" w:space="0" w:color="auto"/>
          <w14:ligatures w14:val="standardContextual"/>
        </w:rPr>
        <w:t xml:space="preserve"> of God.</w:t>
      </w:r>
      <w:r w:rsidR="00CA4BDD" w:rsidRPr="000E5F58">
        <w:rPr>
          <w:rStyle w:val="FootnoteReference"/>
          <w:rFonts w:asciiTheme="minorHAnsi" w:eastAsiaTheme="minorHAnsi" w:hAnsiTheme="minorHAnsi" w:cstheme="minorHAnsi"/>
          <w:bdr w:val="none" w:sz="0" w:space="0" w:color="auto"/>
          <w14:ligatures w14:val="standardContextual"/>
        </w:rPr>
        <w:footnoteReference w:id="24"/>
      </w:r>
      <w:r w:rsidR="00CA4BDD" w:rsidRPr="000E5F58">
        <w:rPr>
          <w:rFonts w:asciiTheme="minorHAnsi" w:eastAsiaTheme="minorHAnsi" w:hAnsiTheme="minorHAnsi" w:cstheme="minorHAnsi"/>
          <w:bdr w:val="none" w:sz="0" w:space="0" w:color="auto"/>
          <w14:ligatures w14:val="standardContextual"/>
        </w:rPr>
        <w:t xml:space="preserve"> </w:t>
      </w:r>
      <w:r w:rsidR="00D0781C" w:rsidRPr="000E5F58">
        <w:rPr>
          <w:rFonts w:asciiTheme="minorHAnsi" w:eastAsiaTheme="minorHAnsi" w:hAnsiTheme="minorHAnsi" w:cstheme="minorHAnsi"/>
          <w:bdr w:val="none" w:sz="0" w:space="0" w:color="auto"/>
          <w14:ligatures w14:val="standardContextual"/>
        </w:rPr>
        <w:t xml:space="preserve">In some respects this view </w:t>
      </w:r>
      <w:r w:rsidR="00F471FA" w:rsidRPr="000E5F58">
        <w:rPr>
          <w:rFonts w:asciiTheme="minorHAnsi" w:eastAsiaTheme="minorHAnsi" w:hAnsiTheme="minorHAnsi" w:cstheme="minorHAnsi"/>
          <w:bdr w:val="none" w:sz="0" w:space="0" w:color="auto"/>
          <w14:ligatures w14:val="standardContextual"/>
        </w:rPr>
        <w:t xml:space="preserve">also </w:t>
      </w:r>
      <w:r w:rsidR="00472631" w:rsidRPr="000E5F58">
        <w:rPr>
          <w:rFonts w:asciiTheme="minorHAnsi" w:eastAsiaTheme="minorHAnsi" w:hAnsiTheme="minorHAnsi" w:cstheme="minorHAnsi"/>
          <w:bdr w:val="none" w:sz="0" w:space="0" w:color="auto"/>
          <w14:ligatures w14:val="standardContextual"/>
        </w:rPr>
        <w:t xml:space="preserve">underpins </w:t>
      </w:r>
      <w:r w:rsidR="00D0781C" w:rsidRPr="000E5F58">
        <w:rPr>
          <w:rFonts w:asciiTheme="minorHAnsi" w:eastAsiaTheme="minorHAnsi" w:hAnsiTheme="minorHAnsi" w:cstheme="minorHAnsi"/>
          <w:bdr w:val="none" w:sz="0" w:space="0" w:color="auto"/>
          <w14:ligatures w14:val="standardContextual"/>
        </w:rPr>
        <w:t xml:space="preserve">liberation, black, </w:t>
      </w:r>
      <w:r w:rsidR="002744C2" w:rsidRPr="000E5F58">
        <w:rPr>
          <w:rFonts w:asciiTheme="minorHAnsi" w:eastAsiaTheme="minorHAnsi" w:hAnsiTheme="minorHAnsi" w:cstheme="minorHAnsi"/>
          <w:bdr w:val="none" w:sz="0" w:space="0" w:color="auto"/>
          <w14:ligatures w14:val="standardContextual"/>
        </w:rPr>
        <w:t>LGBTQ+</w:t>
      </w:r>
      <w:r w:rsidR="00D0781C" w:rsidRPr="000E5F58">
        <w:rPr>
          <w:rFonts w:asciiTheme="minorHAnsi" w:eastAsiaTheme="minorHAnsi" w:hAnsiTheme="minorHAnsi" w:cstheme="minorHAnsi"/>
          <w:bdr w:val="none" w:sz="0" w:space="0" w:color="auto"/>
          <w14:ligatures w14:val="standardContextual"/>
        </w:rPr>
        <w:t xml:space="preserve"> and other theologies</w:t>
      </w:r>
      <w:r w:rsidR="00472631" w:rsidRPr="000E5F58">
        <w:rPr>
          <w:rFonts w:asciiTheme="minorHAnsi" w:eastAsiaTheme="minorHAnsi" w:hAnsiTheme="minorHAnsi" w:cstheme="minorHAnsi"/>
          <w:bdr w:val="none" w:sz="0" w:space="0" w:color="auto"/>
          <w14:ligatures w14:val="standardContextual"/>
        </w:rPr>
        <w:t>, all with their</w:t>
      </w:r>
      <w:r w:rsidR="00D0781C" w:rsidRPr="000E5F58">
        <w:rPr>
          <w:rFonts w:asciiTheme="minorHAnsi" w:eastAsiaTheme="minorHAnsi" w:hAnsiTheme="minorHAnsi" w:cstheme="minorHAnsi"/>
          <w:bdr w:val="none" w:sz="0" w:space="0" w:color="auto"/>
          <w14:ligatures w14:val="standardContextual"/>
        </w:rPr>
        <w:t xml:space="preserve"> </w:t>
      </w:r>
      <w:r w:rsidR="00472631" w:rsidRPr="000E5F58">
        <w:rPr>
          <w:rFonts w:asciiTheme="minorHAnsi" w:eastAsiaTheme="minorHAnsi" w:hAnsiTheme="minorHAnsi" w:cstheme="minorHAnsi"/>
          <w:bdr w:val="none" w:sz="0" w:space="0" w:color="auto"/>
          <w14:ligatures w14:val="standardContextual"/>
        </w:rPr>
        <w:t>diverse</w:t>
      </w:r>
      <w:r w:rsidR="00D0781C" w:rsidRPr="000E5F58">
        <w:rPr>
          <w:rFonts w:asciiTheme="minorHAnsi" w:eastAsiaTheme="minorHAnsi" w:hAnsiTheme="minorHAnsi" w:cstheme="minorHAnsi"/>
          <w:bdr w:val="none" w:sz="0" w:space="0" w:color="auto"/>
          <w14:ligatures w14:val="standardContextual"/>
        </w:rPr>
        <w:t xml:space="preserve"> roots and missions, but </w:t>
      </w:r>
      <w:r w:rsidR="00472631" w:rsidRPr="000E5F58">
        <w:rPr>
          <w:rFonts w:asciiTheme="minorHAnsi" w:eastAsiaTheme="minorHAnsi" w:hAnsiTheme="minorHAnsi" w:cstheme="minorHAnsi"/>
          <w:bdr w:val="none" w:sz="0" w:space="0" w:color="auto"/>
          <w14:ligatures w14:val="standardContextual"/>
        </w:rPr>
        <w:t xml:space="preserve">with </w:t>
      </w:r>
      <w:r w:rsidR="00D0781C" w:rsidRPr="000E5F58">
        <w:rPr>
          <w:rFonts w:asciiTheme="minorHAnsi" w:eastAsiaTheme="minorHAnsi" w:hAnsiTheme="minorHAnsi" w:cstheme="minorHAnsi"/>
          <w:bdr w:val="none" w:sz="0" w:space="0" w:color="auto"/>
          <w14:ligatures w14:val="standardContextual"/>
        </w:rPr>
        <w:t xml:space="preserve">the same recognition that </w:t>
      </w:r>
      <w:r w:rsidR="003E3157" w:rsidRPr="000E5F58">
        <w:rPr>
          <w:rFonts w:asciiTheme="minorHAnsi" w:eastAsiaTheme="minorHAnsi" w:hAnsiTheme="minorHAnsi" w:cstheme="minorHAnsi"/>
          <w:bdr w:val="none" w:sz="0" w:space="0" w:color="auto"/>
          <w14:ligatures w14:val="standardContextual"/>
        </w:rPr>
        <w:t>Love is the essence of God</w:t>
      </w:r>
      <w:r w:rsidR="00D0781C" w:rsidRPr="000E5F58">
        <w:rPr>
          <w:rFonts w:asciiTheme="minorHAnsi" w:eastAsiaTheme="minorHAnsi" w:hAnsiTheme="minorHAnsi" w:cstheme="minorHAnsi"/>
          <w:bdr w:val="none" w:sz="0" w:space="0" w:color="auto"/>
          <w14:ligatures w14:val="standardContextual"/>
        </w:rPr>
        <w:t>.</w:t>
      </w:r>
      <w:r w:rsidR="003E3157" w:rsidRPr="000E5F58">
        <w:rPr>
          <w:rFonts w:asciiTheme="minorHAnsi" w:eastAsiaTheme="minorHAnsi" w:hAnsiTheme="minorHAnsi" w:cstheme="minorHAnsi"/>
          <w:bdr w:val="none" w:sz="0" w:space="0" w:color="auto"/>
          <w14:ligatures w14:val="standardContextual"/>
        </w:rPr>
        <w:t xml:space="preserve"> </w:t>
      </w:r>
      <w:r w:rsidR="00D0781C" w:rsidRPr="000E5F58">
        <w:rPr>
          <w:rFonts w:asciiTheme="minorHAnsi" w:eastAsiaTheme="minorHAnsi" w:hAnsiTheme="minorHAnsi" w:cstheme="minorHAnsi"/>
          <w:bdr w:val="none" w:sz="0" w:space="0" w:color="auto"/>
          <w14:ligatures w14:val="standardContextual"/>
        </w:rPr>
        <w:t>L</w:t>
      </w:r>
      <w:r w:rsidR="003E3157" w:rsidRPr="000E5F58">
        <w:rPr>
          <w:rFonts w:asciiTheme="minorHAnsi" w:eastAsiaTheme="minorHAnsi" w:hAnsiTheme="minorHAnsi" w:cstheme="minorHAnsi"/>
          <w:bdr w:val="none" w:sz="0" w:space="0" w:color="auto"/>
          <w14:ligatures w14:val="standardContextual"/>
        </w:rPr>
        <w:t xml:space="preserve">ove requires interpersonal relationships, communication and deep emotional and empathetic bonds. </w:t>
      </w:r>
      <w:r w:rsidR="00962CAA" w:rsidRPr="000E5F58">
        <w:rPr>
          <w:rFonts w:asciiTheme="minorHAnsi" w:eastAsiaTheme="minorHAnsi" w:hAnsiTheme="minorHAnsi" w:cstheme="minorHAnsi"/>
          <w:bdr w:val="none" w:sz="0" w:space="0" w:color="auto"/>
          <w14:ligatures w14:val="standardContextual"/>
        </w:rPr>
        <w:t xml:space="preserve">Emphatically, for Zikmund, </w:t>
      </w:r>
      <w:r w:rsidR="000B4265" w:rsidRPr="000E5F58">
        <w:rPr>
          <w:rFonts w:asciiTheme="minorHAnsi" w:eastAsiaTheme="minorHAnsi" w:hAnsiTheme="minorHAnsi" w:cstheme="minorHAnsi"/>
          <w:bdr w:val="none" w:sz="0" w:space="0" w:color="auto"/>
          <w14:ligatures w14:val="standardContextual"/>
        </w:rPr>
        <w:t>it is the activity of the Trinity by which the triune God’s immanence is known.</w:t>
      </w:r>
    </w:p>
    <w:p w14:paraId="16D648C1" w14:textId="3FFAB310" w:rsidR="000D3186" w:rsidRPr="000E5F58" w:rsidRDefault="002744C2" w:rsidP="001D16D7">
      <w:pPr>
        <w:pStyle w:val="Heading1"/>
        <w:spacing w:line="360" w:lineRule="auto"/>
        <w:rPr>
          <w:rFonts w:asciiTheme="minorHAnsi" w:eastAsiaTheme="minorHAnsi" w:hAnsiTheme="minorHAnsi" w:cstheme="minorHAnsi"/>
          <w:b/>
          <w:bCs/>
          <w:color w:val="auto"/>
          <w:sz w:val="24"/>
          <w:szCs w:val="24"/>
          <w:bdr w:val="none" w:sz="0" w:space="0" w:color="auto"/>
        </w:rPr>
      </w:pPr>
      <w:bookmarkStart w:id="3" w:name="_Toc134728150"/>
      <w:r w:rsidRPr="000E5F58">
        <w:rPr>
          <w:rFonts w:asciiTheme="minorHAnsi" w:eastAsiaTheme="minorHAnsi" w:hAnsiTheme="minorHAnsi" w:cstheme="minorHAnsi"/>
          <w:b/>
          <w:bCs/>
          <w:color w:val="auto"/>
          <w:sz w:val="24"/>
          <w:szCs w:val="24"/>
          <w:bdr w:val="none" w:sz="0" w:space="0" w:color="auto"/>
        </w:rPr>
        <w:t xml:space="preserve">Everyday </w:t>
      </w:r>
      <w:r w:rsidR="000B4265" w:rsidRPr="000E5F58">
        <w:rPr>
          <w:rFonts w:asciiTheme="minorHAnsi" w:eastAsiaTheme="minorHAnsi" w:hAnsiTheme="minorHAnsi" w:cstheme="minorHAnsi"/>
          <w:b/>
          <w:bCs/>
          <w:color w:val="auto"/>
          <w:sz w:val="24"/>
          <w:szCs w:val="24"/>
          <w:bdr w:val="none" w:sz="0" w:space="0" w:color="auto"/>
        </w:rPr>
        <w:t>culture as an</w:t>
      </w:r>
      <w:r w:rsidRPr="000E5F58">
        <w:rPr>
          <w:rFonts w:asciiTheme="minorHAnsi" w:eastAsiaTheme="minorHAnsi" w:hAnsiTheme="minorHAnsi" w:cstheme="minorHAnsi"/>
          <w:b/>
          <w:bCs/>
          <w:color w:val="auto"/>
          <w:sz w:val="24"/>
          <w:szCs w:val="24"/>
          <w:bdr w:val="none" w:sz="0" w:space="0" w:color="auto"/>
        </w:rPr>
        <w:t xml:space="preserve"> </w:t>
      </w:r>
      <w:r w:rsidR="000D3186" w:rsidRPr="000E5F58">
        <w:rPr>
          <w:rFonts w:asciiTheme="minorHAnsi" w:eastAsiaTheme="minorHAnsi" w:hAnsiTheme="minorHAnsi" w:cstheme="minorHAnsi"/>
          <w:b/>
          <w:bCs/>
          <w:color w:val="auto"/>
          <w:sz w:val="24"/>
          <w:szCs w:val="24"/>
          <w:bdr w:val="none" w:sz="0" w:space="0" w:color="auto"/>
        </w:rPr>
        <w:t>experiential understanding of the Trinity</w:t>
      </w:r>
      <w:bookmarkEnd w:id="3"/>
    </w:p>
    <w:p w14:paraId="67590FC6" w14:textId="20D35F15" w:rsidR="000B4265" w:rsidRPr="000E5F58" w:rsidRDefault="00CA4BDD" w:rsidP="001D16D7">
      <w:pPr>
        <w:spacing w:line="360" w:lineRule="auto"/>
        <w:rPr>
          <w:rFonts w:asciiTheme="minorHAnsi" w:eastAsiaTheme="minorHAnsi" w:hAnsiTheme="minorHAnsi" w:cstheme="minorHAnsi"/>
          <w:bdr w:val="none" w:sz="0" w:space="0" w:color="auto"/>
          <w14:ligatures w14:val="standardContextual"/>
        </w:rPr>
      </w:pPr>
      <w:r w:rsidRPr="000E5F58">
        <w:rPr>
          <w:rFonts w:asciiTheme="minorHAnsi" w:eastAsiaTheme="minorHAnsi" w:hAnsiTheme="minorHAnsi" w:cstheme="minorHAnsi"/>
          <w:bdr w:val="none" w:sz="0" w:space="0" w:color="auto"/>
          <w14:ligatures w14:val="standardContextual"/>
        </w:rPr>
        <w:t xml:space="preserve">The rootedness of love in the perichoretic Trinity </w:t>
      </w:r>
      <w:r w:rsidR="00472631" w:rsidRPr="000E5F58">
        <w:rPr>
          <w:rFonts w:asciiTheme="minorHAnsi" w:eastAsiaTheme="minorHAnsi" w:hAnsiTheme="minorHAnsi" w:cstheme="minorHAnsi"/>
          <w:bdr w:val="none" w:sz="0" w:space="0" w:color="auto"/>
          <w14:ligatures w14:val="standardContextual"/>
        </w:rPr>
        <w:t>also underpins</w:t>
      </w:r>
      <w:r w:rsidR="004C6324" w:rsidRPr="000E5F58">
        <w:rPr>
          <w:rFonts w:asciiTheme="minorHAnsi" w:eastAsiaTheme="minorHAnsi" w:hAnsiTheme="minorHAnsi" w:cstheme="minorHAnsi"/>
          <w:bdr w:val="none" w:sz="0" w:space="0" w:color="auto"/>
          <w14:ligatures w14:val="standardContextual"/>
        </w:rPr>
        <w:t xml:space="preserve"> the </w:t>
      </w:r>
      <w:r w:rsidRPr="000E5F58">
        <w:rPr>
          <w:rFonts w:asciiTheme="minorHAnsi" w:eastAsiaTheme="minorHAnsi" w:hAnsiTheme="minorHAnsi" w:cstheme="minorHAnsi"/>
          <w:bdr w:val="none" w:sz="0" w:space="0" w:color="auto"/>
          <w14:ligatures w14:val="standardContextual"/>
        </w:rPr>
        <w:t xml:space="preserve">everyday inter-relationships </w:t>
      </w:r>
      <w:r w:rsidR="004C6324" w:rsidRPr="000E5F58">
        <w:rPr>
          <w:rFonts w:asciiTheme="minorHAnsi" w:eastAsiaTheme="minorHAnsi" w:hAnsiTheme="minorHAnsi" w:cstheme="minorHAnsi"/>
          <w:bdr w:val="none" w:sz="0" w:space="0" w:color="auto"/>
          <w14:ligatures w14:val="standardContextual"/>
        </w:rPr>
        <w:t>at</w:t>
      </w:r>
      <w:r w:rsidRPr="000E5F58">
        <w:rPr>
          <w:rFonts w:asciiTheme="minorHAnsi" w:eastAsiaTheme="minorHAnsi" w:hAnsiTheme="minorHAnsi" w:cstheme="minorHAnsi"/>
          <w:bdr w:val="none" w:sz="0" w:space="0" w:color="auto"/>
          <w14:ligatures w14:val="standardContextual"/>
        </w:rPr>
        <w:t xml:space="preserve"> the core of community and culture.</w:t>
      </w:r>
      <w:r w:rsidR="004C6324" w:rsidRPr="000E5F58">
        <w:rPr>
          <w:rFonts w:asciiTheme="minorHAnsi" w:eastAsiaTheme="minorHAnsi" w:hAnsiTheme="minorHAnsi" w:cstheme="minorHAnsi"/>
          <w:bdr w:val="none" w:sz="0" w:space="0" w:color="auto"/>
          <w14:ligatures w14:val="standardContextual"/>
        </w:rPr>
        <w:t xml:space="preserve"> Culture gives meaning to life; indeed, </w:t>
      </w:r>
      <w:r w:rsidR="004C6324" w:rsidRPr="000E5F58">
        <w:rPr>
          <w:rFonts w:asciiTheme="minorHAnsi" w:eastAsiaTheme="minorHAnsi" w:hAnsiTheme="minorHAnsi" w:cstheme="minorHAnsi"/>
          <w:bdr w:val="none" w:sz="0" w:space="0" w:color="auto"/>
          <w14:ligatures w14:val="standardContextual"/>
        </w:rPr>
        <w:lastRenderedPageBreak/>
        <w:t>Genesis 2 brings the surprising twist of God’s creation of Man in the Garden as a “culture maker”, where the garden is “nature plus culture” and “culture is God’s gift to Adam”</w:t>
      </w:r>
      <w:r w:rsidR="00E11546">
        <w:rPr>
          <w:rStyle w:val="FootnoteReference"/>
          <w:rFonts w:asciiTheme="minorHAnsi" w:eastAsiaTheme="minorHAnsi" w:hAnsiTheme="minorHAnsi" w:cstheme="minorHAnsi"/>
          <w:bdr w:val="none" w:sz="0" w:space="0" w:color="auto"/>
          <w14:ligatures w14:val="standardContextual"/>
        </w:rPr>
        <w:footnoteReference w:id="25"/>
      </w:r>
      <w:r w:rsidR="004C6324" w:rsidRPr="000E5F58">
        <w:rPr>
          <w:rFonts w:asciiTheme="minorHAnsi" w:eastAsiaTheme="minorHAnsi" w:hAnsiTheme="minorHAnsi" w:cstheme="minorHAnsi"/>
          <w:bdr w:val="none" w:sz="0" w:space="0" w:color="auto"/>
          <w14:ligatures w14:val="standardContextual"/>
        </w:rPr>
        <w:t>.</w:t>
      </w:r>
      <w:r w:rsidR="007E12BD" w:rsidRPr="000E5F58">
        <w:rPr>
          <w:rFonts w:asciiTheme="minorHAnsi" w:eastAsiaTheme="minorHAnsi" w:hAnsiTheme="minorHAnsi" w:cstheme="minorHAnsi"/>
          <w:bdr w:val="none" w:sz="0" w:space="0" w:color="auto"/>
          <w14:ligatures w14:val="standardContextual"/>
        </w:rPr>
        <w:t xml:space="preserve"> Culture creates spaces for </w:t>
      </w:r>
      <w:r w:rsidR="002A701E" w:rsidRPr="000E5F58">
        <w:rPr>
          <w:rFonts w:asciiTheme="minorHAnsi" w:eastAsiaTheme="minorHAnsi" w:hAnsiTheme="minorHAnsi" w:cstheme="minorHAnsi"/>
          <w:bdr w:val="none" w:sz="0" w:space="0" w:color="auto"/>
          <w14:ligatures w14:val="standardContextual"/>
        </w:rPr>
        <w:t>beauty and the potential for what John Paul II called “new epiphanies of beauty” to be created, a revelatory channel between God and humanity.</w:t>
      </w:r>
      <w:r w:rsidR="00E11546">
        <w:rPr>
          <w:rStyle w:val="FootnoteReference"/>
          <w:rFonts w:asciiTheme="minorHAnsi" w:eastAsiaTheme="minorHAnsi" w:hAnsiTheme="minorHAnsi" w:cstheme="minorHAnsi"/>
          <w:bdr w:val="none" w:sz="0" w:space="0" w:color="auto"/>
          <w14:ligatures w14:val="standardContextual"/>
        </w:rPr>
        <w:footnoteReference w:id="26"/>
      </w:r>
      <w:r w:rsidR="002A701E" w:rsidRPr="000E5F58">
        <w:rPr>
          <w:rFonts w:asciiTheme="minorHAnsi" w:eastAsiaTheme="minorHAnsi" w:hAnsiTheme="minorHAnsi" w:cstheme="minorHAnsi"/>
          <w:bdr w:val="none" w:sz="0" w:space="0" w:color="auto"/>
          <w14:ligatures w14:val="standardContextual"/>
        </w:rPr>
        <w:t xml:space="preserve"> Th</w:t>
      </w:r>
      <w:r w:rsidR="000C1D39" w:rsidRPr="000E5F58">
        <w:rPr>
          <w:rFonts w:asciiTheme="minorHAnsi" w:eastAsiaTheme="minorHAnsi" w:hAnsiTheme="minorHAnsi" w:cstheme="minorHAnsi"/>
          <w:bdr w:val="none" w:sz="0" w:space="0" w:color="auto"/>
          <w14:ligatures w14:val="standardContextual"/>
        </w:rPr>
        <w:t>e</w:t>
      </w:r>
      <w:r w:rsidR="002A701E" w:rsidRPr="000E5F58">
        <w:rPr>
          <w:rFonts w:asciiTheme="minorHAnsi" w:eastAsiaTheme="minorHAnsi" w:hAnsiTheme="minorHAnsi" w:cstheme="minorHAnsi"/>
          <w:bdr w:val="none" w:sz="0" w:space="0" w:color="auto"/>
          <w14:ligatures w14:val="standardContextual"/>
        </w:rPr>
        <w:t xml:space="preserve"> </w:t>
      </w:r>
      <w:r w:rsidR="000C1D39" w:rsidRPr="000E5F58">
        <w:rPr>
          <w:rFonts w:asciiTheme="minorHAnsi" w:eastAsiaTheme="minorHAnsi" w:hAnsiTheme="minorHAnsi" w:cstheme="minorHAnsi"/>
          <w:bdr w:val="none" w:sz="0" w:space="0" w:color="auto"/>
          <w14:ligatures w14:val="standardContextual"/>
        </w:rPr>
        <w:t>God-gifted</w:t>
      </w:r>
      <w:r w:rsidR="002A701E" w:rsidRPr="000E5F58">
        <w:rPr>
          <w:rFonts w:asciiTheme="minorHAnsi" w:eastAsiaTheme="minorHAnsi" w:hAnsiTheme="minorHAnsi" w:cstheme="minorHAnsi"/>
          <w:bdr w:val="none" w:sz="0" w:space="0" w:color="auto"/>
          <w14:ligatures w14:val="standardContextual"/>
        </w:rPr>
        <w:t xml:space="preserve"> </w:t>
      </w:r>
      <w:r w:rsidR="000C1D39" w:rsidRPr="000E5F58">
        <w:rPr>
          <w:rFonts w:asciiTheme="minorHAnsi" w:eastAsiaTheme="minorHAnsi" w:hAnsiTheme="minorHAnsi" w:cstheme="minorHAnsi"/>
          <w:bdr w:val="none" w:sz="0" w:space="0" w:color="auto"/>
          <w14:ligatures w14:val="standardContextual"/>
        </w:rPr>
        <w:t>benefits, in Thomas Aquinas’ terms,</w:t>
      </w:r>
      <w:r w:rsidR="002A701E" w:rsidRPr="000E5F58">
        <w:rPr>
          <w:rFonts w:asciiTheme="minorHAnsi" w:eastAsiaTheme="minorHAnsi" w:hAnsiTheme="minorHAnsi" w:cstheme="minorHAnsi"/>
          <w:bdr w:val="none" w:sz="0" w:space="0" w:color="auto"/>
          <w14:ligatures w14:val="standardContextual"/>
        </w:rPr>
        <w:t xml:space="preserve"> bring wholeness, harmony and radiance</w:t>
      </w:r>
      <w:r w:rsidR="000C1D39" w:rsidRPr="000E5F58">
        <w:rPr>
          <w:rFonts w:asciiTheme="minorHAnsi" w:eastAsiaTheme="minorHAnsi" w:hAnsiTheme="minorHAnsi" w:cstheme="minorHAnsi"/>
          <w:bdr w:val="none" w:sz="0" w:space="0" w:color="auto"/>
          <w14:ligatures w14:val="standardContextual"/>
        </w:rPr>
        <w:t xml:space="preserve"> to life</w:t>
      </w:r>
      <w:r w:rsidR="000C1D39" w:rsidRPr="000E5F58">
        <w:rPr>
          <w:rStyle w:val="FootnoteReference"/>
          <w:rFonts w:asciiTheme="minorHAnsi" w:eastAsiaTheme="minorHAnsi" w:hAnsiTheme="minorHAnsi" w:cstheme="minorHAnsi"/>
          <w:bdr w:val="none" w:sz="0" w:space="0" w:color="auto"/>
          <w14:ligatures w14:val="standardContextual"/>
        </w:rPr>
        <w:footnoteReference w:id="27"/>
      </w:r>
      <w:r w:rsidR="000C1D39" w:rsidRPr="000E5F58">
        <w:rPr>
          <w:rFonts w:asciiTheme="minorHAnsi" w:eastAsiaTheme="minorHAnsi" w:hAnsiTheme="minorHAnsi" w:cstheme="minorHAnsi"/>
          <w:bdr w:val="none" w:sz="0" w:space="0" w:color="auto"/>
          <w14:ligatures w14:val="standardContextual"/>
        </w:rPr>
        <w:t>, the joy of reflecting the “communitarian” nature of the triune God.</w:t>
      </w:r>
      <w:r w:rsidR="00E11546">
        <w:rPr>
          <w:rStyle w:val="FootnoteReference"/>
          <w:rFonts w:asciiTheme="minorHAnsi" w:eastAsiaTheme="minorHAnsi" w:hAnsiTheme="minorHAnsi" w:cstheme="minorHAnsi"/>
          <w:bdr w:val="none" w:sz="0" w:space="0" w:color="auto"/>
          <w14:ligatures w14:val="standardContextual"/>
        </w:rPr>
        <w:footnoteReference w:id="28"/>
      </w:r>
      <w:r w:rsidR="000C1D39" w:rsidRPr="000E5F58">
        <w:rPr>
          <w:rFonts w:asciiTheme="minorHAnsi" w:eastAsiaTheme="minorHAnsi" w:hAnsiTheme="minorHAnsi" w:cstheme="minorHAnsi"/>
          <w:bdr w:val="none" w:sz="0" w:space="0" w:color="auto"/>
          <w14:ligatures w14:val="standardContextual"/>
        </w:rPr>
        <w:t xml:space="preserve"> Kevin </w:t>
      </w:r>
      <w:proofErr w:type="spellStart"/>
      <w:r w:rsidR="000C1D39" w:rsidRPr="000E5F58">
        <w:rPr>
          <w:rFonts w:asciiTheme="minorHAnsi" w:eastAsiaTheme="minorHAnsi" w:hAnsiTheme="minorHAnsi" w:cstheme="minorHAnsi"/>
          <w:bdr w:val="none" w:sz="0" w:space="0" w:color="auto"/>
          <w14:ligatures w14:val="standardContextual"/>
        </w:rPr>
        <w:t>Vanhoozer</w:t>
      </w:r>
      <w:proofErr w:type="spellEnd"/>
      <w:r w:rsidR="000C1D39" w:rsidRPr="000E5F58">
        <w:rPr>
          <w:rFonts w:asciiTheme="minorHAnsi" w:eastAsiaTheme="minorHAnsi" w:hAnsiTheme="minorHAnsi" w:cstheme="minorHAnsi"/>
          <w:bdr w:val="none" w:sz="0" w:space="0" w:color="auto"/>
          <w14:ligatures w14:val="standardContextual"/>
        </w:rPr>
        <w:t xml:space="preserve"> </w:t>
      </w:r>
      <w:r w:rsidR="00A8196C" w:rsidRPr="000E5F58">
        <w:rPr>
          <w:rFonts w:asciiTheme="minorHAnsi" w:eastAsiaTheme="minorHAnsi" w:hAnsiTheme="minorHAnsi" w:cstheme="minorHAnsi"/>
          <w:bdr w:val="none" w:sz="0" w:space="0" w:color="auto"/>
          <w14:ligatures w14:val="standardContextual"/>
        </w:rPr>
        <w:t>emphasises that Christians hold dual citizenship in both the earthly city of man and the heavenly city of God</w:t>
      </w:r>
      <w:r w:rsidR="00A8196C" w:rsidRPr="000E5F58">
        <w:rPr>
          <w:rStyle w:val="FootnoteReference"/>
          <w:rFonts w:asciiTheme="minorHAnsi" w:eastAsiaTheme="minorHAnsi" w:hAnsiTheme="minorHAnsi" w:cstheme="minorHAnsi"/>
          <w:bdr w:val="none" w:sz="0" w:space="0" w:color="auto"/>
          <w14:ligatures w14:val="standardContextual"/>
        </w:rPr>
        <w:footnoteReference w:id="29"/>
      </w:r>
      <w:r w:rsidR="00A8196C" w:rsidRPr="000E5F58">
        <w:rPr>
          <w:rFonts w:asciiTheme="minorHAnsi" w:eastAsiaTheme="minorHAnsi" w:hAnsiTheme="minorHAnsi" w:cstheme="minorHAnsi"/>
          <w:bdr w:val="none" w:sz="0" w:space="0" w:color="auto"/>
          <w14:ligatures w14:val="standardContextual"/>
        </w:rPr>
        <w:t xml:space="preserve">, where Christian cultural agency is the art of being ‘in between’ Christ and everyday culture. </w:t>
      </w:r>
      <w:r w:rsidR="002328C2" w:rsidRPr="000E5F58">
        <w:rPr>
          <w:rFonts w:asciiTheme="minorHAnsi" w:eastAsiaTheme="minorHAnsi" w:hAnsiTheme="minorHAnsi" w:cstheme="minorHAnsi"/>
          <w:bdr w:val="none" w:sz="0" w:space="0" w:color="auto"/>
          <w14:ligatures w14:val="standardContextual"/>
        </w:rPr>
        <w:t xml:space="preserve">Knowing God, for </w:t>
      </w:r>
      <w:proofErr w:type="spellStart"/>
      <w:r w:rsidR="002328C2" w:rsidRPr="000E5F58">
        <w:rPr>
          <w:rFonts w:asciiTheme="minorHAnsi" w:eastAsiaTheme="minorHAnsi" w:hAnsiTheme="minorHAnsi" w:cstheme="minorHAnsi"/>
          <w:bdr w:val="none" w:sz="0" w:space="0" w:color="auto"/>
          <w14:ligatures w14:val="standardContextual"/>
        </w:rPr>
        <w:t>Vanhoozer</w:t>
      </w:r>
      <w:proofErr w:type="spellEnd"/>
      <w:r w:rsidR="002328C2" w:rsidRPr="000E5F58">
        <w:rPr>
          <w:rFonts w:asciiTheme="minorHAnsi" w:eastAsiaTheme="minorHAnsi" w:hAnsiTheme="minorHAnsi" w:cstheme="minorHAnsi"/>
          <w:bdr w:val="none" w:sz="0" w:space="0" w:color="auto"/>
          <w14:ligatures w14:val="standardContextual"/>
        </w:rPr>
        <w:t>, is directly related to the kingdom of God inaugurated in concrete cultural form through the Incarnation</w:t>
      </w:r>
      <w:r w:rsidR="00472631" w:rsidRPr="000E5F58">
        <w:rPr>
          <w:rFonts w:asciiTheme="minorHAnsi" w:eastAsiaTheme="minorHAnsi" w:hAnsiTheme="minorHAnsi" w:cstheme="minorHAnsi"/>
          <w:bdr w:val="none" w:sz="0" w:space="0" w:color="auto"/>
          <w14:ligatures w14:val="standardContextual"/>
        </w:rPr>
        <w:t>.</w:t>
      </w:r>
      <w:r w:rsidR="002328C2" w:rsidRPr="000E5F58">
        <w:rPr>
          <w:rFonts w:asciiTheme="minorHAnsi" w:eastAsiaTheme="minorHAnsi" w:hAnsiTheme="minorHAnsi" w:cstheme="minorHAnsi"/>
          <w:bdr w:val="none" w:sz="0" w:space="0" w:color="auto"/>
          <w14:ligatures w14:val="standardContextual"/>
        </w:rPr>
        <w:t xml:space="preserve"> </w:t>
      </w:r>
      <w:r w:rsidR="00472631" w:rsidRPr="000E5F58">
        <w:rPr>
          <w:rFonts w:asciiTheme="minorHAnsi" w:eastAsiaTheme="minorHAnsi" w:hAnsiTheme="minorHAnsi" w:cstheme="minorHAnsi"/>
          <w:bdr w:val="none" w:sz="0" w:space="0" w:color="auto"/>
          <w14:ligatures w14:val="standardContextual"/>
        </w:rPr>
        <w:t>T</w:t>
      </w:r>
      <w:r w:rsidR="002328C2" w:rsidRPr="000E5F58">
        <w:rPr>
          <w:rFonts w:asciiTheme="minorHAnsi" w:eastAsiaTheme="minorHAnsi" w:hAnsiTheme="minorHAnsi" w:cstheme="minorHAnsi"/>
          <w:bdr w:val="none" w:sz="0" w:space="0" w:color="auto"/>
          <w14:ligatures w14:val="standardContextual"/>
        </w:rPr>
        <w:t>he intimate relationship of the economic and immanent nature of the Trinity</w:t>
      </w:r>
      <w:r w:rsidR="00472631" w:rsidRPr="000E5F58">
        <w:rPr>
          <w:rFonts w:asciiTheme="minorHAnsi" w:eastAsiaTheme="minorHAnsi" w:hAnsiTheme="minorHAnsi" w:cstheme="minorHAnsi"/>
          <w:bdr w:val="none" w:sz="0" w:space="0" w:color="auto"/>
          <w14:ligatures w14:val="standardContextual"/>
        </w:rPr>
        <w:t xml:space="preserve"> is once more emphasised</w:t>
      </w:r>
      <w:r w:rsidR="002328C2" w:rsidRPr="000E5F58">
        <w:rPr>
          <w:rFonts w:asciiTheme="minorHAnsi" w:eastAsiaTheme="minorHAnsi" w:hAnsiTheme="minorHAnsi" w:cstheme="minorHAnsi"/>
          <w:bdr w:val="none" w:sz="0" w:space="0" w:color="auto"/>
          <w14:ligatures w14:val="standardContextual"/>
        </w:rPr>
        <w:t>.</w:t>
      </w:r>
      <w:r w:rsidR="002328C2" w:rsidRPr="000E5F58">
        <w:rPr>
          <w:rStyle w:val="FootnoteReference"/>
          <w:rFonts w:asciiTheme="minorHAnsi" w:eastAsiaTheme="minorHAnsi" w:hAnsiTheme="minorHAnsi" w:cstheme="minorHAnsi"/>
          <w:bdr w:val="none" w:sz="0" w:space="0" w:color="auto"/>
          <w14:ligatures w14:val="standardContextual"/>
        </w:rPr>
        <w:footnoteReference w:id="30"/>
      </w:r>
      <w:r w:rsidR="002328C2" w:rsidRPr="000E5F58">
        <w:rPr>
          <w:rFonts w:asciiTheme="minorHAnsi" w:eastAsiaTheme="minorHAnsi" w:hAnsiTheme="minorHAnsi" w:cstheme="minorHAnsi"/>
          <w:bdr w:val="none" w:sz="0" w:space="0" w:color="auto"/>
          <w14:ligatures w14:val="standardContextual"/>
        </w:rPr>
        <w:t xml:space="preserve"> Clearly, it is through meeting and knowing the God-Christ in their </w:t>
      </w:r>
      <w:r w:rsidR="00472631" w:rsidRPr="000E5F58">
        <w:rPr>
          <w:rFonts w:asciiTheme="minorHAnsi" w:eastAsiaTheme="minorHAnsi" w:hAnsiTheme="minorHAnsi" w:cstheme="minorHAnsi"/>
          <w:bdr w:val="none" w:sz="0" w:space="0" w:color="auto"/>
          <w14:ligatures w14:val="standardContextual"/>
        </w:rPr>
        <w:t xml:space="preserve">everyday </w:t>
      </w:r>
      <w:r w:rsidR="002328C2" w:rsidRPr="000E5F58">
        <w:rPr>
          <w:rFonts w:asciiTheme="minorHAnsi" w:eastAsiaTheme="minorHAnsi" w:hAnsiTheme="minorHAnsi" w:cstheme="minorHAnsi"/>
          <w:bdr w:val="none" w:sz="0" w:space="0" w:color="auto"/>
          <w14:ligatures w14:val="standardContextual"/>
        </w:rPr>
        <w:t>culture that people can know the triune God. All of this reinforces God’s self-revelat</w:t>
      </w:r>
      <w:r w:rsidR="00472631" w:rsidRPr="000E5F58">
        <w:rPr>
          <w:rFonts w:asciiTheme="minorHAnsi" w:eastAsiaTheme="minorHAnsi" w:hAnsiTheme="minorHAnsi" w:cstheme="minorHAnsi"/>
          <w:bdr w:val="none" w:sz="0" w:space="0" w:color="auto"/>
          <w14:ligatures w14:val="standardContextual"/>
        </w:rPr>
        <w:t>ory activity</w:t>
      </w:r>
      <w:r w:rsidR="002328C2" w:rsidRPr="000E5F58">
        <w:rPr>
          <w:rFonts w:asciiTheme="minorHAnsi" w:eastAsiaTheme="minorHAnsi" w:hAnsiTheme="minorHAnsi" w:cstheme="minorHAnsi"/>
          <w:bdr w:val="none" w:sz="0" w:space="0" w:color="auto"/>
          <w14:ligatures w14:val="standardContextual"/>
        </w:rPr>
        <w:t xml:space="preserve"> </w:t>
      </w:r>
      <w:r w:rsidR="00472631" w:rsidRPr="000E5F58">
        <w:rPr>
          <w:rFonts w:asciiTheme="minorHAnsi" w:eastAsiaTheme="minorHAnsi" w:hAnsiTheme="minorHAnsi" w:cstheme="minorHAnsi"/>
          <w:bdr w:val="none" w:sz="0" w:space="0" w:color="auto"/>
          <w14:ligatures w14:val="standardContextual"/>
        </w:rPr>
        <w:t>being</w:t>
      </w:r>
      <w:r w:rsidR="002328C2" w:rsidRPr="000E5F58">
        <w:rPr>
          <w:rFonts w:asciiTheme="minorHAnsi" w:eastAsiaTheme="minorHAnsi" w:hAnsiTheme="minorHAnsi" w:cstheme="minorHAnsi"/>
          <w:bdr w:val="none" w:sz="0" w:space="0" w:color="auto"/>
          <w14:ligatures w14:val="standardContextual"/>
        </w:rPr>
        <w:t xml:space="preserve"> intimately linked with God’s character. Walter Brueggemann se</w:t>
      </w:r>
      <w:r w:rsidR="00E8407B" w:rsidRPr="000E5F58">
        <w:rPr>
          <w:rFonts w:asciiTheme="minorHAnsi" w:eastAsiaTheme="minorHAnsi" w:hAnsiTheme="minorHAnsi" w:cstheme="minorHAnsi"/>
          <w:bdr w:val="none" w:sz="0" w:space="0" w:color="auto"/>
          <w14:ligatures w14:val="standardContextual"/>
        </w:rPr>
        <w:t xml:space="preserve">es </w:t>
      </w:r>
      <w:r w:rsidR="002328C2" w:rsidRPr="000E5F58">
        <w:rPr>
          <w:rFonts w:asciiTheme="minorHAnsi" w:eastAsiaTheme="minorHAnsi" w:hAnsiTheme="minorHAnsi" w:cstheme="minorHAnsi"/>
          <w:bdr w:val="none" w:sz="0" w:space="0" w:color="auto"/>
          <w14:ligatures w14:val="standardContextual"/>
        </w:rPr>
        <w:t>this</w:t>
      </w:r>
      <w:r w:rsidR="00E8407B" w:rsidRPr="000E5F58">
        <w:rPr>
          <w:rFonts w:asciiTheme="minorHAnsi" w:eastAsiaTheme="minorHAnsi" w:hAnsiTheme="minorHAnsi" w:cstheme="minorHAnsi"/>
          <w:bdr w:val="none" w:sz="0" w:space="0" w:color="auto"/>
          <w14:ligatures w14:val="standardContextual"/>
        </w:rPr>
        <w:t xml:space="preserve"> as a salvific “dramatic movement” between God and Israel and God and humans, for “this drama of brokenness and restoration is the primary ingredient of life with YWWH”</w:t>
      </w:r>
      <w:r w:rsidR="00E8407B" w:rsidRPr="000E5F58">
        <w:rPr>
          <w:rStyle w:val="FootnoteReference"/>
          <w:rFonts w:asciiTheme="minorHAnsi" w:eastAsiaTheme="minorHAnsi" w:hAnsiTheme="minorHAnsi" w:cstheme="minorHAnsi"/>
          <w:bdr w:val="none" w:sz="0" w:space="0" w:color="auto"/>
          <w14:ligatures w14:val="standardContextual"/>
        </w:rPr>
        <w:footnoteReference w:id="31"/>
      </w:r>
      <w:r w:rsidR="00E8407B" w:rsidRPr="000E5F58">
        <w:rPr>
          <w:rFonts w:asciiTheme="minorHAnsi" w:eastAsiaTheme="minorHAnsi" w:hAnsiTheme="minorHAnsi" w:cstheme="minorHAnsi"/>
          <w:bdr w:val="none" w:sz="0" w:space="0" w:color="auto"/>
          <w14:ligatures w14:val="standardContextual"/>
        </w:rPr>
        <w:t xml:space="preserve">. </w:t>
      </w:r>
      <w:r w:rsidR="000B4265" w:rsidRPr="000E5F58">
        <w:rPr>
          <w:rFonts w:asciiTheme="minorHAnsi" w:eastAsiaTheme="minorHAnsi" w:hAnsiTheme="minorHAnsi" w:cstheme="minorHAnsi"/>
          <w:bdr w:val="none" w:sz="0" w:space="0" w:color="auto"/>
          <w14:ligatures w14:val="standardContextual"/>
        </w:rPr>
        <w:t xml:space="preserve">A reading of the Hebrew scriptures is </w:t>
      </w:r>
      <w:r w:rsidR="00472631" w:rsidRPr="000E5F58">
        <w:rPr>
          <w:rFonts w:asciiTheme="minorHAnsi" w:eastAsiaTheme="minorHAnsi" w:hAnsiTheme="minorHAnsi" w:cstheme="minorHAnsi"/>
          <w:bdr w:val="none" w:sz="0" w:space="0" w:color="auto"/>
          <w14:ligatures w14:val="standardContextual"/>
        </w:rPr>
        <w:t xml:space="preserve">thus </w:t>
      </w:r>
      <w:r w:rsidR="000B4265" w:rsidRPr="000E5F58">
        <w:rPr>
          <w:rFonts w:asciiTheme="minorHAnsi" w:eastAsiaTheme="minorHAnsi" w:hAnsiTheme="minorHAnsi" w:cstheme="minorHAnsi"/>
          <w:bdr w:val="none" w:sz="0" w:space="0" w:color="auto"/>
          <w14:ligatures w14:val="standardContextual"/>
        </w:rPr>
        <w:t xml:space="preserve">vital for </w:t>
      </w:r>
      <w:r w:rsidR="00485642" w:rsidRPr="000E5F58">
        <w:rPr>
          <w:rFonts w:asciiTheme="minorHAnsi" w:eastAsiaTheme="minorHAnsi" w:hAnsiTheme="minorHAnsi" w:cstheme="minorHAnsi"/>
          <w:bdr w:val="none" w:sz="0" w:space="0" w:color="auto"/>
          <w14:ligatures w14:val="standardContextual"/>
        </w:rPr>
        <w:t xml:space="preserve">Christian faith. It reveals the most explicit way of </w:t>
      </w:r>
      <w:r w:rsidR="00BB3C76" w:rsidRPr="000E5F58">
        <w:rPr>
          <w:rFonts w:asciiTheme="minorHAnsi" w:eastAsiaTheme="minorHAnsi" w:hAnsiTheme="minorHAnsi" w:cstheme="minorHAnsi"/>
          <w:bdr w:val="none" w:sz="0" w:space="0" w:color="auto"/>
          <w14:ligatures w14:val="standardContextual"/>
        </w:rPr>
        <w:t>know</w:t>
      </w:r>
      <w:r w:rsidR="00485642" w:rsidRPr="000E5F58">
        <w:rPr>
          <w:rFonts w:asciiTheme="minorHAnsi" w:eastAsiaTheme="minorHAnsi" w:hAnsiTheme="minorHAnsi" w:cstheme="minorHAnsi"/>
          <w:bdr w:val="none" w:sz="0" w:space="0" w:color="auto"/>
          <w14:ligatures w14:val="standardContextual"/>
        </w:rPr>
        <w:t>ing</w:t>
      </w:r>
      <w:r w:rsidR="00BB3C76" w:rsidRPr="000E5F58">
        <w:rPr>
          <w:rFonts w:asciiTheme="minorHAnsi" w:eastAsiaTheme="minorHAnsi" w:hAnsiTheme="minorHAnsi" w:cstheme="minorHAnsi"/>
          <w:bdr w:val="none" w:sz="0" w:space="0" w:color="auto"/>
          <w14:ligatures w14:val="standardContextual"/>
        </w:rPr>
        <w:t xml:space="preserve"> and understand</w:t>
      </w:r>
      <w:r w:rsidR="00485642" w:rsidRPr="000E5F58">
        <w:rPr>
          <w:rFonts w:asciiTheme="minorHAnsi" w:eastAsiaTheme="minorHAnsi" w:hAnsiTheme="minorHAnsi" w:cstheme="minorHAnsi"/>
          <w:bdr w:val="none" w:sz="0" w:space="0" w:color="auto"/>
          <w14:ligatures w14:val="standardContextual"/>
        </w:rPr>
        <w:t>ing</w:t>
      </w:r>
      <w:r w:rsidR="00BB3C76" w:rsidRPr="000E5F58">
        <w:rPr>
          <w:rFonts w:asciiTheme="minorHAnsi" w:eastAsiaTheme="minorHAnsi" w:hAnsiTheme="minorHAnsi" w:cstheme="minorHAnsi"/>
          <w:bdr w:val="none" w:sz="0" w:space="0" w:color="auto"/>
          <w14:ligatures w14:val="standardContextual"/>
        </w:rPr>
        <w:t xml:space="preserve"> God’s triune character and desires </w:t>
      </w:r>
      <w:r w:rsidR="00485642" w:rsidRPr="000E5F58">
        <w:rPr>
          <w:rFonts w:asciiTheme="minorHAnsi" w:eastAsiaTheme="minorHAnsi" w:hAnsiTheme="minorHAnsi" w:cstheme="minorHAnsi"/>
          <w:bdr w:val="none" w:sz="0" w:space="0" w:color="auto"/>
          <w14:ligatures w14:val="standardContextual"/>
        </w:rPr>
        <w:t>in preparation for</w:t>
      </w:r>
      <w:r w:rsidR="00BB3C76" w:rsidRPr="000E5F58">
        <w:rPr>
          <w:rFonts w:asciiTheme="minorHAnsi" w:eastAsiaTheme="minorHAnsi" w:hAnsiTheme="minorHAnsi" w:cstheme="minorHAnsi"/>
          <w:bdr w:val="none" w:sz="0" w:space="0" w:color="auto"/>
          <w14:ligatures w14:val="standardContextual"/>
        </w:rPr>
        <w:t xml:space="preserve"> the Incarnation</w:t>
      </w:r>
      <w:r w:rsidR="00485642" w:rsidRPr="000E5F58">
        <w:rPr>
          <w:rFonts w:asciiTheme="minorHAnsi" w:eastAsiaTheme="minorHAnsi" w:hAnsiTheme="minorHAnsi" w:cstheme="minorHAnsi"/>
          <w:bdr w:val="none" w:sz="0" w:space="0" w:color="auto"/>
          <w14:ligatures w14:val="standardContextual"/>
        </w:rPr>
        <w:t xml:space="preserve"> and all that follows.</w:t>
      </w:r>
      <w:r w:rsidR="00BB3C76" w:rsidRPr="000E5F58">
        <w:rPr>
          <w:rFonts w:asciiTheme="minorHAnsi" w:eastAsiaTheme="minorHAnsi" w:hAnsiTheme="minorHAnsi" w:cstheme="minorHAnsi"/>
          <w:bdr w:val="none" w:sz="0" w:space="0" w:color="auto"/>
          <w14:ligatures w14:val="standardContextual"/>
        </w:rPr>
        <w:t xml:space="preserve"> </w:t>
      </w:r>
      <w:r w:rsidR="00485642" w:rsidRPr="000E5F58">
        <w:rPr>
          <w:rFonts w:asciiTheme="minorHAnsi" w:eastAsiaTheme="minorHAnsi" w:hAnsiTheme="minorHAnsi" w:cstheme="minorHAnsi"/>
          <w:bdr w:val="none" w:sz="0" w:space="0" w:color="auto"/>
          <w14:ligatures w14:val="standardContextual"/>
        </w:rPr>
        <w:t>It explains</w:t>
      </w:r>
      <w:r w:rsidR="00485642" w:rsidRPr="000E5F58">
        <w:rPr>
          <w:rFonts w:asciiTheme="minorHAnsi" w:eastAsiaTheme="minorHAnsi" w:hAnsiTheme="minorHAnsi" w:cstheme="minorHAnsi"/>
          <w:i/>
          <w:iCs/>
          <w:bdr w:val="none" w:sz="0" w:space="0" w:color="auto"/>
          <w14:ligatures w14:val="standardContextual"/>
        </w:rPr>
        <w:t xml:space="preserve"> </w:t>
      </w:r>
      <w:r w:rsidR="00485642" w:rsidRPr="000E5F58">
        <w:rPr>
          <w:rFonts w:asciiTheme="minorHAnsi" w:eastAsiaTheme="minorHAnsi" w:hAnsiTheme="minorHAnsi" w:cstheme="minorHAnsi"/>
          <w:bdr w:val="none" w:sz="0" w:space="0" w:color="auto"/>
          <w14:ligatures w14:val="standardContextual"/>
        </w:rPr>
        <w:t>the very reason that God became man</w:t>
      </w:r>
      <w:r w:rsidR="00485642" w:rsidRPr="000E5F58">
        <w:rPr>
          <w:rStyle w:val="FootnoteReference"/>
          <w:rFonts w:asciiTheme="minorHAnsi" w:eastAsiaTheme="minorHAnsi" w:hAnsiTheme="minorHAnsi" w:cstheme="minorHAnsi"/>
          <w:bdr w:val="none" w:sz="0" w:space="0" w:color="auto"/>
          <w14:ligatures w14:val="standardContextual"/>
        </w:rPr>
        <w:footnoteReference w:id="32"/>
      </w:r>
      <w:r w:rsidR="00485642" w:rsidRPr="000E5F58">
        <w:rPr>
          <w:rFonts w:asciiTheme="minorHAnsi" w:eastAsiaTheme="minorHAnsi" w:hAnsiTheme="minorHAnsi" w:cstheme="minorHAnsi"/>
          <w:bdr w:val="none" w:sz="0" w:space="0" w:color="auto"/>
          <w14:ligatures w14:val="standardContextual"/>
        </w:rPr>
        <w:t xml:space="preserve"> and enables Aquinas’ wholeness, harmony and radiance for life in all its fulness which finds expression, purpose and completion in the Cross. It affirms the tenets of Faith enshrined in the Creeds</w:t>
      </w:r>
      <w:r w:rsidR="004C77DD" w:rsidRPr="000E5F58">
        <w:rPr>
          <w:rFonts w:asciiTheme="minorHAnsi" w:eastAsiaTheme="minorHAnsi" w:hAnsiTheme="minorHAnsi" w:cstheme="minorHAnsi"/>
          <w:bdr w:val="none" w:sz="0" w:space="0" w:color="auto"/>
          <w14:ligatures w14:val="standardContextual"/>
        </w:rPr>
        <w:t xml:space="preserve">, </w:t>
      </w:r>
      <w:r w:rsidR="000B4265" w:rsidRPr="000E5F58">
        <w:rPr>
          <w:rFonts w:asciiTheme="minorHAnsi" w:eastAsiaTheme="minorHAnsi" w:hAnsiTheme="minorHAnsi" w:cstheme="minorHAnsi"/>
          <w:bdr w:val="none" w:sz="0" w:space="0" w:color="auto"/>
          <w14:ligatures w14:val="standardContextual"/>
        </w:rPr>
        <w:t xml:space="preserve">the very truth of a Godly understanding of Being in all its facets </w:t>
      </w:r>
      <w:r w:rsidR="004C77DD" w:rsidRPr="000E5F58">
        <w:rPr>
          <w:rFonts w:asciiTheme="minorHAnsi" w:eastAsiaTheme="minorHAnsi" w:hAnsiTheme="minorHAnsi" w:cstheme="minorHAnsi"/>
          <w:bdr w:val="none" w:sz="0" w:space="0" w:color="auto"/>
          <w14:ligatures w14:val="standardContextual"/>
        </w:rPr>
        <w:t xml:space="preserve">which </w:t>
      </w:r>
      <w:r w:rsidR="000B4265" w:rsidRPr="000E5F58">
        <w:rPr>
          <w:rFonts w:asciiTheme="minorHAnsi" w:eastAsiaTheme="minorHAnsi" w:hAnsiTheme="minorHAnsi" w:cstheme="minorHAnsi"/>
          <w:bdr w:val="none" w:sz="0" w:space="0" w:color="auto"/>
          <w14:ligatures w14:val="standardContextual"/>
        </w:rPr>
        <w:t xml:space="preserve">is rooted </w:t>
      </w:r>
      <w:r w:rsidR="000B4265" w:rsidRPr="000E5F58">
        <w:rPr>
          <w:rFonts w:asciiTheme="minorHAnsi" w:eastAsiaTheme="minorHAnsi" w:hAnsiTheme="minorHAnsi" w:cstheme="minorHAnsi"/>
          <w:bdr w:val="none" w:sz="0" w:space="0" w:color="auto"/>
          <w14:ligatures w14:val="standardContextual"/>
        </w:rPr>
        <w:lastRenderedPageBreak/>
        <w:t>in the Cross, the</w:t>
      </w:r>
      <w:r w:rsidR="004C77DD" w:rsidRPr="000E5F58">
        <w:rPr>
          <w:rFonts w:asciiTheme="minorHAnsi" w:eastAsiaTheme="minorHAnsi" w:hAnsiTheme="minorHAnsi" w:cstheme="minorHAnsi"/>
          <w:bdr w:val="none" w:sz="0" w:space="0" w:color="auto"/>
          <w14:ligatures w14:val="standardContextual"/>
        </w:rPr>
        <w:t xml:space="preserve"> Carthusian motto</w:t>
      </w:r>
      <w:r w:rsidR="000B4265" w:rsidRPr="000E5F58">
        <w:rPr>
          <w:rFonts w:asciiTheme="minorHAnsi" w:eastAsiaTheme="minorHAnsi" w:hAnsiTheme="minorHAnsi" w:cstheme="minorHAnsi"/>
          <w:bdr w:val="none" w:sz="0" w:space="0" w:color="auto"/>
          <w14:ligatures w14:val="standardContextual"/>
        </w:rPr>
        <w:t xml:space="preserve"> </w:t>
      </w:r>
      <w:r w:rsidR="000B4265" w:rsidRPr="000E5F58">
        <w:rPr>
          <w:rFonts w:asciiTheme="minorHAnsi" w:eastAsiaTheme="minorHAnsi" w:hAnsiTheme="minorHAnsi" w:cstheme="minorHAnsi"/>
          <w:i/>
          <w:iCs/>
          <w:bdr w:val="none" w:sz="0" w:space="0" w:color="auto"/>
          <w14:ligatures w14:val="standardContextual"/>
        </w:rPr>
        <w:t xml:space="preserve">Crux Stat Dum Orbis </w:t>
      </w:r>
      <w:proofErr w:type="spellStart"/>
      <w:r w:rsidR="000B4265" w:rsidRPr="000E5F58">
        <w:rPr>
          <w:rFonts w:asciiTheme="minorHAnsi" w:eastAsiaTheme="minorHAnsi" w:hAnsiTheme="minorHAnsi" w:cstheme="minorHAnsi"/>
          <w:i/>
          <w:iCs/>
          <w:bdr w:val="none" w:sz="0" w:space="0" w:color="auto"/>
          <w14:ligatures w14:val="standardContextual"/>
        </w:rPr>
        <w:t>Volvitur</w:t>
      </w:r>
      <w:proofErr w:type="spellEnd"/>
      <w:r w:rsidR="000B4265" w:rsidRPr="000E5F58">
        <w:rPr>
          <w:rFonts w:asciiTheme="minorHAnsi" w:eastAsiaTheme="minorHAnsi" w:hAnsiTheme="minorHAnsi" w:cstheme="minorHAnsi"/>
          <w:bdr w:val="none" w:sz="0" w:space="0" w:color="auto"/>
          <w14:ligatures w14:val="standardContextual"/>
        </w:rPr>
        <w:t xml:space="preserve">, planted firmly at the centre of reality, the Trinity in being and action. </w:t>
      </w:r>
    </w:p>
    <w:p w14:paraId="164F961F" w14:textId="368E0FD6" w:rsidR="0038310D" w:rsidRPr="000E5F58" w:rsidRDefault="00A44595" w:rsidP="001D16D7">
      <w:pPr>
        <w:pStyle w:val="Heading1"/>
        <w:spacing w:line="360" w:lineRule="auto"/>
        <w:rPr>
          <w:rFonts w:asciiTheme="minorHAnsi" w:eastAsiaTheme="minorHAnsi" w:hAnsiTheme="minorHAnsi" w:cstheme="minorHAnsi"/>
          <w:b/>
          <w:bCs/>
          <w:color w:val="auto"/>
          <w:sz w:val="24"/>
          <w:szCs w:val="24"/>
          <w:bdr w:val="none" w:sz="0" w:space="0" w:color="auto"/>
        </w:rPr>
      </w:pPr>
      <w:bookmarkStart w:id="4" w:name="_Toc134728151"/>
      <w:r w:rsidRPr="000E5F58">
        <w:rPr>
          <w:rFonts w:asciiTheme="minorHAnsi" w:eastAsiaTheme="minorHAnsi" w:hAnsiTheme="minorHAnsi" w:cstheme="minorHAnsi"/>
          <w:b/>
          <w:bCs/>
          <w:color w:val="auto"/>
          <w:sz w:val="24"/>
          <w:szCs w:val="24"/>
          <w:bdr w:val="none" w:sz="0" w:space="0" w:color="auto"/>
        </w:rPr>
        <w:t>Conclusion</w:t>
      </w:r>
      <w:bookmarkEnd w:id="4"/>
    </w:p>
    <w:p w14:paraId="73F17876" w14:textId="3A0D8E07" w:rsidR="00B2257F" w:rsidRPr="000E5F58" w:rsidRDefault="00DE6FCC" w:rsidP="001D16D7">
      <w:pPr>
        <w:spacing w:line="360" w:lineRule="auto"/>
        <w:rPr>
          <w:rFonts w:asciiTheme="minorHAnsi" w:eastAsiaTheme="minorHAnsi" w:hAnsiTheme="minorHAnsi" w:cstheme="minorHAnsi"/>
          <w:bdr w:val="none" w:sz="0" w:space="0" w:color="auto"/>
          <w14:ligatures w14:val="standardContextual"/>
        </w:rPr>
      </w:pPr>
      <w:proofErr w:type="spellStart"/>
      <w:r w:rsidRPr="000E5F58">
        <w:rPr>
          <w:rFonts w:asciiTheme="minorHAnsi" w:eastAsiaTheme="minorHAnsi" w:hAnsiTheme="minorHAnsi" w:cstheme="minorHAnsi"/>
          <w:bdr w:val="none" w:sz="0" w:space="0" w:color="auto"/>
          <w14:ligatures w14:val="standardContextual"/>
        </w:rPr>
        <w:t>Rahner</w:t>
      </w:r>
      <w:proofErr w:type="spellEnd"/>
      <w:r w:rsidRPr="000E5F58">
        <w:rPr>
          <w:rFonts w:asciiTheme="minorHAnsi" w:eastAsiaTheme="minorHAnsi" w:hAnsiTheme="minorHAnsi" w:cstheme="minorHAnsi"/>
          <w:bdr w:val="none" w:sz="0" w:space="0" w:color="auto"/>
          <w14:ligatures w14:val="standardContextual"/>
        </w:rPr>
        <w:t xml:space="preserve">, von Balthasar, </w:t>
      </w:r>
      <w:proofErr w:type="spellStart"/>
      <w:r w:rsidRPr="000E5F58">
        <w:rPr>
          <w:rFonts w:asciiTheme="minorHAnsi" w:eastAsiaTheme="minorHAnsi" w:hAnsiTheme="minorHAnsi" w:cstheme="minorHAnsi"/>
          <w:bdr w:val="none" w:sz="0" w:space="0" w:color="auto"/>
          <w14:ligatures w14:val="standardContextual"/>
        </w:rPr>
        <w:t>O’Collins</w:t>
      </w:r>
      <w:proofErr w:type="spellEnd"/>
      <w:r w:rsidRPr="000E5F58">
        <w:rPr>
          <w:rFonts w:asciiTheme="minorHAnsi" w:eastAsiaTheme="minorHAnsi" w:hAnsiTheme="minorHAnsi" w:cstheme="minorHAnsi"/>
          <w:bdr w:val="none" w:sz="0" w:space="0" w:color="auto"/>
          <w14:ligatures w14:val="standardContextual"/>
        </w:rPr>
        <w:t xml:space="preserve">, </w:t>
      </w:r>
      <w:proofErr w:type="spellStart"/>
      <w:r w:rsidRPr="000E5F58">
        <w:rPr>
          <w:rFonts w:asciiTheme="minorHAnsi" w:eastAsiaTheme="minorHAnsi" w:hAnsiTheme="minorHAnsi" w:cstheme="minorHAnsi"/>
          <w:bdr w:val="none" w:sz="0" w:space="0" w:color="auto"/>
          <w14:ligatures w14:val="standardContextual"/>
        </w:rPr>
        <w:t>Deetlefs</w:t>
      </w:r>
      <w:proofErr w:type="spellEnd"/>
      <w:r w:rsidRPr="000E5F58">
        <w:rPr>
          <w:rFonts w:asciiTheme="minorHAnsi" w:eastAsiaTheme="minorHAnsi" w:hAnsiTheme="minorHAnsi" w:cstheme="minorHAnsi"/>
          <w:bdr w:val="none" w:sz="0" w:space="0" w:color="auto"/>
          <w14:ligatures w14:val="standardContextual"/>
        </w:rPr>
        <w:t xml:space="preserve">, even </w:t>
      </w:r>
      <w:proofErr w:type="spellStart"/>
      <w:r w:rsidRPr="000E5F58">
        <w:rPr>
          <w:rFonts w:asciiTheme="minorHAnsi" w:eastAsiaTheme="minorHAnsi" w:hAnsiTheme="minorHAnsi" w:cstheme="minorHAnsi"/>
          <w:bdr w:val="none" w:sz="0" w:space="0" w:color="auto"/>
          <w14:ligatures w14:val="standardContextual"/>
        </w:rPr>
        <w:t>Vanhoozer</w:t>
      </w:r>
      <w:proofErr w:type="spellEnd"/>
      <w:r w:rsidRPr="000E5F58">
        <w:rPr>
          <w:rFonts w:asciiTheme="minorHAnsi" w:eastAsiaTheme="minorHAnsi" w:hAnsiTheme="minorHAnsi" w:cstheme="minorHAnsi"/>
          <w:bdr w:val="none" w:sz="0" w:space="0" w:color="auto"/>
          <w14:ligatures w14:val="standardContextual"/>
        </w:rPr>
        <w:t xml:space="preserve"> and Zikmund and the many other past and present theologians together with many diverse denominational readings of Christianity and people’s constantly changing contextual culture </w:t>
      </w:r>
      <w:r w:rsidR="00BF54EC" w:rsidRPr="000E5F58">
        <w:rPr>
          <w:rFonts w:asciiTheme="minorHAnsi" w:eastAsiaTheme="minorHAnsi" w:hAnsiTheme="minorHAnsi" w:cstheme="minorHAnsi"/>
          <w:bdr w:val="none" w:sz="0" w:space="0" w:color="auto"/>
          <w14:ligatures w14:val="standardContextual"/>
        </w:rPr>
        <w:t xml:space="preserve">all </w:t>
      </w:r>
      <w:r w:rsidRPr="000E5F58">
        <w:rPr>
          <w:rFonts w:asciiTheme="minorHAnsi" w:eastAsiaTheme="minorHAnsi" w:hAnsiTheme="minorHAnsi" w:cstheme="minorHAnsi"/>
          <w:bdr w:val="none" w:sz="0" w:space="0" w:color="auto"/>
          <w14:ligatures w14:val="standardContextual"/>
        </w:rPr>
        <w:t xml:space="preserve">emphasise that the immanent nature of God in Trinity is only to be found in God’s economic activity in incarnation. God’s purposeful nature is knowable only through Christ’s death and resurrection. The personal answer to hope and confidence in the world and in the well-being of each person is solely known through the proclamation and reality of Christ’s sacrificial atonement once and for all time </w:t>
      </w:r>
      <w:r w:rsidR="00BF54EC" w:rsidRPr="000E5F58">
        <w:rPr>
          <w:rFonts w:asciiTheme="minorHAnsi" w:eastAsiaTheme="minorHAnsi" w:hAnsiTheme="minorHAnsi" w:cstheme="minorHAnsi"/>
          <w:bdr w:val="none" w:sz="0" w:space="0" w:color="auto"/>
          <w14:ligatures w14:val="standardContextual"/>
        </w:rPr>
        <w:t>on</w:t>
      </w:r>
      <w:r w:rsidRPr="000E5F58">
        <w:rPr>
          <w:rFonts w:asciiTheme="minorHAnsi" w:eastAsiaTheme="minorHAnsi" w:hAnsiTheme="minorHAnsi" w:cstheme="minorHAnsi"/>
          <w:bdr w:val="none" w:sz="0" w:space="0" w:color="auto"/>
          <w14:ligatures w14:val="standardContextual"/>
        </w:rPr>
        <w:t xml:space="preserve"> the Cross. All </w:t>
      </w:r>
      <w:r w:rsidR="004C77DD" w:rsidRPr="000E5F58">
        <w:rPr>
          <w:rFonts w:asciiTheme="minorHAnsi" w:eastAsiaTheme="minorHAnsi" w:hAnsiTheme="minorHAnsi" w:cstheme="minorHAnsi"/>
          <w:bdr w:val="none" w:sz="0" w:space="0" w:color="auto"/>
          <w14:ligatures w14:val="standardContextual"/>
        </w:rPr>
        <w:t xml:space="preserve">present reasoning </w:t>
      </w:r>
      <w:r w:rsidR="00FF2F8C" w:rsidRPr="000E5F58">
        <w:rPr>
          <w:rFonts w:asciiTheme="minorHAnsi" w:eastAsiaTheme="minorHAnsi" w:hAnsiTheme="minorHAnsi" w:cstheme="minorHAnsi"/>
          <w:bdr w:val="none" w:sz="0" w:space="0" w:color="auto"/>
          <w14:ligatures w14:val="standardContextual"/>
        </w:rPr>
        <w:t xml:space="preserve">points to scripture as the fundamental means by which God is known in the action, mission and words of Jesus, the chronicles, poetry, drama and prophetic words of the Hebrew scriptures and the post-Pentecost events following the Resurrection. </w:t>
      </w:r>
      <w:r w:rsidR="00B2257F" w:rsidRPr="000E5F58">
        <w:rPr>
          <w:rFonts w:asciiTheme="minorHAnsi" w:eastAsiaTheme="minorHAnsi" w:hAnsiTheme="minorHAnsi" w:cstheme="minorHAnsi"/>
          <w:bdr w:val="none" w:sz="0" w:space="0" w:color="auto"/>
          <w14:ligatures w14:val="standardContextual"/>
        </w:rPr>
        <w:t>The</w:t>
      </w:r>
      <w:r w:rsidRPr="000E5F58">
        <w:rPr>
          <w:rFonts w:asciiTheme="minorHAnsi" w:eastAsiaTheme="minorHAnsi" w:hAnsiTheme="minorHAnsi" w:cstheme="minorHAnsi"/>
          <w:bdr w:val="none" w:sz="0" w:space="0" w:color="auto"/>
          <w14:ligatures w14:val="standardContextual"/>
        </w:rPr>
        <w:t xml:space="preserve"> broad range of traditions point</w:t>
      </w:r>
      <w:r w:rsidR="00F355D7">
        <w:rPr>
          <w:rFonts w:asciiTheme="minorHAnsi" w:eastAsiaTheme="minorHAnsi" w:hAnsiTheme="minorHAnsi" w:cstheme="minorHAnsi"/>
          <w:bdr w:val="none" w:sz="0" w:space="0" w:color="auto"/>
          <w14:ligatures w14:val="standardContextual"/>
        </w:rPr>
        <w:t>s</w:t>
      </w:r>
      <w:r w:rsidRPr="000E5F58">
        <w:rPr>
          <w:rFonts w:asciiTheme="minorHAnsi" w:eastAsiaTheme="minorHAnsi" w:hAnsiTheme="minorHAnsi" w:cstheme="minorHAnsi"/>
          <w:bdr w:val="none" w:sz="0" w:space="0" w:color="auto"/>
          <w14:ligatures w14:val="standardContextual"/>
        </w:rPr>
        <w:t xml:space="preserve"> towards the revelation of God through personal experience of Jesus Christ </w:t>
      </w:r>
      <w:r w:rsidR="00BF54EC" w:rsidRPr="000E5F58">
        <w:rPr>
          <w:rFonts w:asciiTheme="minorHAnsi" w:eastAsiaTheme="minorHAnsi" w:hAnsiTheme="minorHAnsi" w:cstheme="minorHAnsi"/>
          <w:bdr w:val="none" w:sz="0" w:space="0" w:color="auto"/>
          <w14:ligatures w14:val="standardContextual"/>
        </w:rPr>
        <w:t>by</w:t>
      </w:r>
      <w:r w:rsidRPr="000E5F58">
        <w:rPr>
          <w:rFonts w:asciiTheme="minorHAnsi" w:eastAsiaTheme="minorHAnsi" w:hAnsiTheme="minorHAnsi" w:cstheme="minorHAnsi"/>
          <w:bdr w:val="none" w:sz="0" w:space="0" w:color="auto"/>
          <w14:ligatures w14:val="standardContextual"/>
        </w:rPr>
        <w:t xml:space="preserve"> his Spirit, which </w:t>
      </w:r>
      <w:r w:rsidR="00BF54EC" w:rsidRPr="000E5F58">
        <w:rPr>
          <w:rFonts w:asciiTheme="minorHAnsi" w:eastAsiaTheme="minorHAnsi" w:hAnsiTheme="minorHAnsi" w:cstheme="minorHAnsi"/>
          <w:bdr w:val="none" w:sz="0" w:space="0" w:color="auto"/>
          <w14:ligatures w14:val="standardContextual"/>
        </w:rPr>
        <w:t>does</w:t>
      </w:r>
      <w:r w:rsidRPr="000E5F58">
        <w:rPr>
          <w:rFonts w:asciiTheme="minorHAnsi" w:eastAsiaTheme="minorHAnsi" w:hAnsiTheme="minorHAnsi" w:cstheme="minorHAnsi"/>
          <w:bdr w:val="none" w:sz="0" w:space="0" w:color="auto"/>
          <w14:ligatures w14:val="standardContextual"/>
        </w:rPr>
        <w:t xml:space="preserve"> not simply point to the divine-human Christ, but Christ actively point</w:t>
      </w:r>
      <w:r w:rsidR="00BF54EC" w:rsidRPr="000E5F58">
        <w:rPr>
          <w:rFonts w:asciiTheme="minorHAnsi" w:eastAsiaTheme="minorHAnsi" w:hAnsiTheme="minorHAnsi" w:cstheme="minorHAnsi"/>
          <w:bdr w:val="none" w:sz="0" w:space="0" w:color="auto"/>
          <w14:ligatures w14:val="standardContextual"/>
        </w:rPr>
        <w:t>ing</w:t>
      </w:r>
      <w:r w:rsidRPr="000E5F58">
        <w:rPr>
          <w:rFonts w:asciiTheme="minorHAnsi" w:eastAsiaTheme="minorHAnsi" w:hAnsiTheme="minorHAnsi" w:cstheme="minorHAnsi"/>
          <w:bdr w:val="none" w:sz="0" w:space="0" w:color="auto"/>
          <w14:ligatures w14:val="standardContextual"/>
        </w:rPr>
        <w:t xml:space="preserve"> back to God in His triunity</w:t>
      </w:r>
      <w:r w:rsidR="00BF54EC" w:rsidRPr="000E5F58">
        <w:rPr>
          <w:rFonts w:asciiTheme="minorHAnsi" w:eastAsiaTheme="minorHAnsi" w:hAnsiTheme="minorHAnsi" w:cstheme="minorHAnsi"/>
          <w:bdr w:val="none" w:sz="0" w:space="0" w:color="auto"/>
          <w14:ligatures w14:val="standardContextual"/>
        </w:rPr>
        <w:t>. It</w:t>
      </w:r>
      <w:r w:rsidRPr="000E5F58">
        <w:rPr>
          <w:rFonts w:asciiTheme="minorHAnsi" w:eastAsiaTheme="minorHAnsi" w:hAnsiTheme="minorHAnsi" w:cstheme="minorHAnsi"/>
          <w:bdr w:val="none" w:sz="0" w:space="0" w:color="auto"/>
          <w14:ligatures w14:val="standardContextual"/>
        </w:rPr>
        <w:t xml:space="preserve"> </w:t>
      </w:r>
      <w:r w:rsidR="00BF54EC" w:rsidRPr="000E5F58">
        <w:rPr>
          <w:rFonts w:asciiTheme="minorHAnsi" w:eastAsiaTheme="minorHAnsi" w:hAnsiTheme="minorHAnsi" w:cstheme="minorHAnsi"/>
          <w:bdr w:val="none" w:sz="0" w:space="0" w:color="auto"/>
          <w14:ligatures w14:val="standardContextual"/>
        </w:rPr>
        <w:t>reveals</w:t>
      </w:r>
      <w:r w:rsidRPr="000E5F58">
        <w:rPr>
          <w:rFonts w:asciiTheme="minorHAnsi" w:eastAsiaTheme="minorHAnsi" w:hAnsiTheme="minorHAnsi" w:cstheme="minorHAnsi"/>
          <w:bdr w:val="none" w:sz="0" w:space="0" w:color="auto"/>
          <w14:ligatures w14:val="standardContextual"/>
        </w:rPr>
        <w:t xml:space="preserve"> the Trinity’s nature and purposes for His beloved creation. </w:t>
      </w:r>
      <w:proofErr w:type="spellStart"/>
      <w:r w:rsidRPr="000E5F58">
        <w:rPr>
          <w:rFonts w:asciiTheme="minorHAnsi" w:eastAsiaTheme="minorHAnsi" w:hAnsiTheme="minorHAnsi" w:cstheme="minorHAnsi"/>
          <w:bdr w:val="none" w:sz="0" w:space="0" w:color="auto"/>
          <w14:ligatures w14:val="standardContextual"/>
        </w:rPr>
        <w:t>Gunton</w:t>
      </w:r>
      <w:proofErr w:type="spellEnd"/>
      <w:r w:rsidRPr="000E5F58">
        <w:rPr>
          <w:rFonts w:asciiTheme="minorHAnsi" w:eastAsiaTheme="minorHAnsi" w:hAnsiTheme="minorHAnsi" w:cstheme="minorHAnsi"/>
          <w:bdr w:val="none" w:sz="0" w:space="0" w:color="auto"/>
          <w14:ligatures w14:val="standardContextual"/>
        </w:rPr>
        <w:t xml:space="preserve"> draws the argument back to Barth, that “the triadic revelation bespeaks the very being of God who immanently must be triune for it to be a divine revelation.”</w:t>
      </w:r>
      <w:r w:rsidRPr="000E5F58">
        <w:rPr>
          <w:rStyle w:val="FootnoteReference"/>
          <w:rFonts w:asciiTheme="minorHAnsi" w:eastAsiaTheme="minorHAnsi" w:hAnsiTheme="minorHAnsi" w:cstheme="minorHAnsi"/>
          <w:bdr w:val="none" w:sz="0" w:space="0" w:color="auto"/>
          <w14:ligatures w14:val="standardContextual"/>
        </w:rPr>
        <w:footnoteReference w:id="33"/>
      </w:r>
      <w:r w:rsidR="00B2257F" w:rsidRPr="000E5F58">
        <w:rPr>
          <w:rFonts w:asciiTheme="minorHAnsi" w:eastAsiaTheme="minorHAnsi" w:hAnsiTheme="minorHAnsi" w:cstheme="minorHAnsi"/>
          <w:bdr w:val="none" w:sz="0" w:space="0" w:color="auto"/>
          <w14:ligatures w14:val="standardContextual"/>
        </w:rPr>
        <w:t xml:space="preserve"> It is logically clear that the more that people come to know the God-ness of Jesus Christ, the more God is revealed. Theology is never static, it responds to each dynamic and changeability of contemporary culture. But the truth remains, the immanent nature of the Trinity cannot be known other than by knowing Jesus Christ. Although he never uses the word ‘Trinity’ to describe his relationship with the multi-faceted nature and activity of God his Father, Jesus frequently refers throughout the Gospels to his Father and the Spirit</w:t>
      </w:r>
      <w:r w:rsidR="00A47B63" w:rsidRPr="000E5F58">
        <w:rPr>
          <w:rFonts w:asciiTheme="minorHAnsi" w:eastAsiaTheme="minorHAnsi" w:hAnsiTheme="minorHAnsi" w:cstheme="minorHAnsi"/>
          <w:bdr w:val="none" w:sz="0" w:space="0" w:color="auto"/>
          <w14:ligatures w14:val="standardContextual"/>
        </w:rPr>
        <w:t xml:space="preserve"> (e.g. </w:t>
      </w:r>
      <w:r w:rsidR="00A47B63" w:rsidRPr="000E5F58">
        <w:rPr>
          <w:rFonts w:asciiTheme="minorHAnsi" w:hAnsiTheme="minorHAnsi" w:cstheme="minorHAnsi"/>
        </w:rPr>
        <w:t>Mt. 11:27; 26:39, 42; Lk. 15:11-32, 22:29</w:t>
      </w:r>
      <w:r w:rsidR="00A22B21" w:rsidRPr="000E5F58">
        <w:rPr>
          <w:rFonts w:asciiTheme="minorHAnsi" w:hAnsiTheme="minorHAnsi" w:cstheme="minorHAnsi"/>
        </w:rPr>
        <w:t>-30</w:t>
      </w:r>
      <w:r w:rsidR="00A47B63" w:rsidRPr="000E5F58">
        <w:rPr>
          <w:rFonts w:asciiTheme="minorHAnsi" w:hAnsiTheme="minorHAnsi" w:cstheme="minorHAnsi"/>
        </w:rPr>
        <w:t>; 23:46; Jn 14:20, 26)</w:t>
      </w:r>
      <w:r w:rsidR="00B2257F" w:rsidRPr="000E5F58">
        <w:rPr>
          <w:rFonts w:asciiTheme="minorHAnsi" w:eastAsiaTheme="minorHAnsi" w:hAnsiTheme="minorHAnsi" w:cstheme="minorHAnsi"/>
          <w:bdr w:val="none" w:sz="0" w:space="0" w:color="auto"/>
          <w14:ligatures w14:val="standardContextual"/>
        </w:rPr>
        <w:t>. It is through him and the economy of the triun</w:t>
      </w:r>
      <w:r w:rsidR="00BF54EC" w:rsidRPr="000E5F58">
        <w:rPr>
          <w:rFonts w:asciiTheme="minorHAnsi" w:eastAsiaTheme="minorHAnsi" w:hAnsiTheme="minorHAnsi" w:cstheme="minorHAnsi"/>
          <w:bdr w:val="none" w:sz="0" w:space="0" w:color="auto"/>
          <w14:ligatures w14:val="standardContextual"/>
        </w:rPr>
        <w:t>e</w:t>
      </w:r>
      <w:r w:rsidR="00B2257F" w:rsidRPr="000E5F58">
        <w:rPr>
          <w:rFonts w:asciiTheme="minorHAnsi" w:eastAsiaTheme="minorHAnsi" w:hAnsiTheme="minorHAnsi" w:cstheme="minorHAnsi"/>
          <w:bdr w:val="none" w:sz="0" w:space="0" w:color="auto"/>
          <w14:ligatures w14:val="standardContextual"/>
        </w:rPr>
        <w:t xml:space="preserve"> Godhead that ordinary people come to understand something about God and his nature. </w:t>
      </w:r>
    </w:p>
    <w:p w14:paraId="37F6D1D6" w14:textId="45F18579" w:rsidR="0038310D" w:rsidRPr="000E5F58" w:rsidRDefault="000D3186" w:rsidP="001D16D7">
      <w:pPr>
        <w:pStyle w:val="Heading1"/>
        <w:spacing w:line="360" w:lineRule="auto"/>
        <w:rPr>
          <w:rFonts w:asciiTheme="minorHAnsi" w:eastAsiaTheme="minorHAnsi" w:hAnsiTheme="minorHAnsi" w:cstheme="minorHAnsi"/>
          <w:b/>
          <w:bCs/>
          <w:color w:val="auto"/>
          <w:sz w:val="24"/>
          <w:szCs w:val="24"/>
          <w:bdr w:val="none" w:sz="0" w:space="0" w:color="auto"/>
        </w:rPr>
      </w:pPr>
      <w:bookmarkStart w:id="5" w:name="_Toc134728152"/>
      <w:r w:rsidRPr="000E5F58">
        <w:rPr>
          <w:rFonts w:asciiTheme="minorHAnsi" w:eastAsiaTheme="minorHAnsi" w:hAnsiTheme="minorHAnsi" w:cstheme="minorHAnsi"/>
          <w:b/>
          <w:bCs/>
          <w:color w:val="auto"/>
          <w:sz w:val="24"/>
          <w:szCs w:val="24"/>
          <w:bdr w:val="none" w:sz="0" w:space="0" w:color="auto"/>
        </w:rPr>
        <w:lastRenderedPageBreak/>
        <w:t>C</w:t>
      </w:r>
      <w:r w:rsidR="00E35B52" w:rsidRPr="000E5F58">
        <w:rPr>
          <w:rFonts w:asciiTheme="minorHAnsi" w:eastAsiaTheme="minorHAnsi" w:hAnsiTheme="minorHAnsi" w:cstheme="minorHAnsi"/>
          <w:b/>
          <w:bCs/>
          <w:color w:val="auto"/>
          <w:sz w:val="24"/>
          <w:szCs w:val="24"/>
          <w:bdr w:val="none" w:sz="0" w:space="0" w:color="auto"/>
        </w:rPr>
        <w:t>losing Remarks</w:t>
      </w:r>
      <w:bookmarkEnd w:id="5"/>
    </w:p>
    <w:p w14:paraId="3BBB9154" w14:textId="3CF1CA18" w:rsidR="0038310D" w:rsidRPr="000E5F58" w:rsidRDefault="000D3186" w:rsidP="001D16D7">
      <w:pPr>
        <w:spacing w:line="360" w:lineRule="auto"/>
        <w:rPr>
          <w:rFonts w:asciiTheme="minorHAnsi" w:eastAsiaTheme="minorHAnsi" w:hAnsiTheme="minorHAnsi" w:cstheme="minorHAnsi"/>
          <w:b/>
          <w:bCs/>
          <w:bdr w:val="none" w:sz="0" w:space="0" w:color="auto"/>
          <w14:ligatures w14:val="standardContextual"/>
        </w:rPr>
      </w:pPr>
      <w:r w:rsidRPr="000E5F58">
        <w:rPr>
          <w:rFonts w:asciiTheme="minorHAnsi" w:eastAsiaTheme="minorHAnsi" w:hAnsiTheme="minorHAnsi" w:cstheme="minorHAnsi"/>
          <w:bdr w:val="none" w:sz="0" w:space="0" w:color="auto"/>
          <w14:ligatures w14:val="standardContextual"/>
        </w:rPr>
        <w:t xml:space="preserve">This essay set out </w:t>
      </w:r>
      <w:r w:rsidR="000B4265" w:rsidRPr="000E5F58">
        <w:rPr>
          <w:rFonts w:asciiTheme="minorHAnsi" w:eastAsiaTheme="minorHAnsi" w:hAnsiTheme="minorHAnsi" w:cstheme="minorHAnsi"/>
          <w:bdr w:val="none" w:sz="0" w:space="0" w:color="auto"/>
          <w14:ligatures w14:val="standardContextual"/>
        </w:rPr>
        <w:t>to explore whether</w:t>
      </w:r>
      <w:r w:rsidRPr="000E5F58">
        <w:rPr>
          <w:rFonts w:asciiTheme="minorHAnsi" w:eastAsiaTheme="minorHAnsi" w:hAnsiTheme="minorHAnsi" w:cstheme="minorHAnsi"/>
          <w:bdr w:val="none" w:sz="0" w:space="0" w:color="auto"/>
          <w14:ligatures w14:val="standardContextual"/>
        </w:rPr>
        <w:t xml:space="preserve"> Is it </w:t>
      </w:r>
      <w:r w:rsidRPr="000E5F58">
        <w:rPr>
          <w:rFonts w:asciiTheme="minorHAnsi" w:eastAsiaTheme="minorHAnsi" w:hAnsiTheme="minorHAnsi" w:cstheme="minorHAnsi"/>
          <w:b/>
          <w:bCs/>
          <w:bdr w:val="none" w:sz="0" w:space="0" w:color="auto"/>
          <w14:ligatures w14:val="standardContextual"/>
        </w:rPr>
        <w:t>only</w:t>
      </w:r>
      <w:r w:rsidRPr="000E5F58">
        <w:rPr>
          <w:rFonts w:asciiTheme="minorHAnsi" w:eastAsiaTheme="minorHAnsi" w:hAnsiTheme="minorHAnsi" w:cstheme="minorHAnsi"/>
          <w:bdr w:val="none" w:sz="0" w:space="0" w:color="auto"/>
          <w14:ligatures w14:val="standardContextual"/>
        </w:rPr>
        <w:t xml:space="preserve"> by meeting God in Christ that we can know God as three</w:t>
      </w:r>
      <w:r w:rsidR="000B4265" w:rsidRPr="000E5F58">
        <w:rPr>
          <w:rFonts w:asciiTheme="minorHAnsi" w:eastAsiaTheme="minorHAnsi" w:hAnsiTheme="minorHAnsi" w:cstheme="minorHAnsi"/>
          <w:bdr w:val="none" w:sz="0" w:space="0" w:color="auto"/>
          <w14:ligatures w14:val="standardContextual"/>
        </w:rPr>
        <w:t>.</w:t>
      </w:r>
      <w:r w:rsidRPr="000E5F58">
        <w:rPr>
          <w:rFonts w:asciiTheme="minorHAnsi" w:eastAsiaTheme="minorHAnsi" w:hAnsiTheme="minorHAnsi" w:cstheme="minorHAnsi"/>
          <w:bdr w:val="none" w:sz="0" w:space="0" w:color="auto"/>
          <w14:ligatures w14:val="standardContextual"/>
        </w:rPr>
        <w:t xml:space="preserve"> The treatment of Christ-as-incarnate-Word as an independently functioning part of the Trinity is dismissed peremptorily by many leading twentieth/twenty-first century theologians</w:t>
      </w:r>
      <w:r w:rsidR="00DE6FCC" w:rsidRPr="000E5F58">
        <w:rPr>
          <w:rFonts w:asciiTheme="minorHAnsi" w:eastAsiaTheme="minorHAnsi" w:hAnsiTheme="minorHAnsi" w:cstheme="minorHAnsi"/>
          <w:bdr w:val="none" w:sz="0" w:space="0" w:color="auto"/>
          <w14:ligatures w14:val="standardContextual"/>
        </w:rPr>
        <w:t xml:space="preserve"> as suggesting bi-/tri-theism</w:t>
      </w:r>
      <w:r w:rsidRPr="000E5F58">
        <w:rPr>
          <w:rFonts w:asciiTheme="minorHAnsi" w:eastAsiaTheme="minorHAnsi" w:hAnsiTheme="minorHAnsi" w:cstheme="minorHAnsi"/>
          <w:bdr w:val="none" w:sz="0" w:space="0" w:color="auto"/>
          <w14:ligatures w14:val="standardContextual"/>
        </w:rPr>
        <w:t xml:space="preserve">. Instead, what becomes clear is the importance of harmony to maintain a balance </w:t>
      </w:r>
      <w:r w:rsidR="00B72803" w:rsidRPr="000E5F58">
        <w:rPr>
          <w:rFonts w:asciiTheme="minorHAnsi" w:eastAsiaTheme="minorHAnsi" w:hAnsiTheme="minorHAnsi" w:cstheme="minorHAnsi"/>
          <w:bdr w:val="none" w:sz="0" w:space="0" w:color="auto"/>
          <w14:ligatures w14:val="standardContextual"/>
        </w:rPr>
        <w:t xml:space="preserve">in the inter-relational tension that holds the </w:t>
      </w:r>
      <w:r w:rsidRPr="000E5F58">
        <w:rPr>
          <w:rFonts w:asciiTheme="minorHAnsi" w:eastAsiaTheme="minorHAnsi" w:hAnsiTheme="minorHAnsi" w:cstheme="minorHAnsi"/>
          <w:bdr w:val="none" w:sz="0" w:space="0" w:color="auto"/>
          <w14:ligatures w14:val="standardContextual"/>
        </w:rPr>
        <w:t>immanent and economic Trinity</w:t>
      </w:r>
      <w:r w:rsidR="00B72803" w:rsidRPr="000E5F58">
        <w:rPr>
          <w:rFonts w:asciiTheme="minorHAnsi" w:eastAsiaTheme="minorHAnsi" w:hAnsiTheme="minorHAnsi" w:cstheme="minorHAnsi"/>
          <w:bdr w:val="none" w:sz="0" w:space="0" w:color="auto"/>
          <w14:ligatures w14:val="standardContextual"/>
        </w:rPr>
        <w:t xml:space="preserve"> together</w:t>
      </w:r>
      <w:r w:rsidRPr="000E5F58">
        <w:rPr>
          <w:rFonts w:asciiTheme="minorHAnsi" w:eastAsiaTheme="minorHAnsi" w:hAnsiTheme="minorHAnsi" w:cstheme="minorHAnsi"/>
          <w:bdr w:val="none" w:sz="0" w:space="0" w:color="auto"/>
          <w14:ligatures w14:val="standardContextual"/>
        </w:rPr>
        <w:t>.</w:t>
      </w:r>
      <w:r w:rsidR="00B72803" w:rsidRPr="000E5F58">
        <w:rPr>
          <w:rFonts w:asciiTheme="minorHAnsi" w:eastAsiaTheme="minorHAnsi" w:hAnsiTheme="minorHAnsi" w:cstheme="minorHAnsi"/>
          <w:bdr w:val="none" w:sz="0" w:space="0" w:color="auto"/>
          <w14:ligatures w14:val="standardContextual"/>
        </w:rPr>
        <w:t xml:space="preserve"> Where this will lead in the future will naturally evolve as the world and its questioning about the </w:t>
      </w:r>
      <w:r w:rsidR="00BF54EC" w:rsidRPr="000E5F58">
        <w:rPr>
          <w:rFonts w:asciiTheme="minorHAnsi" w:eastAsiaTheme="minorHAnsi" w:hAnsiTheme="minorHAnsi" w:cstheme="minorHAnsi"/>
          <w:bdr w:val="none" w:sz="0" w:space="0" w:color="auto"/>
          <w14:ligatures w14:val="standardContextual"/>
        </w:rPr>
        <w:t>development</w:t>
      </w:r>
      <w:r w:rsidR="00B72803" w:rsidRPr="000E5F58">
        <w:rPr>
          <w:rFonts w:asciiTheme="minorHAnsi" w:eastAsiaTheme="minorHAnsi" w:hAnsiTheme="minorHAnsi" w:cstheme="minorHAnsi"/>
          <w:bdr w:val="none" w:sz="0" w:space="0" w:color="auto"/>
          <w14:ligatures w14:val="standardContextual"/>
        </w:rPr>
        <w:t xml:space="preserve"> of mankind and the universe advances. Mankind’s quest continues to be a search to find relevance for their lives. Knowing God in knowing Jesus Christ not only gives meaning to human life, but draws humanity ever closer to God</w:t>
      </w:r>
      <w:r w:rsidR="00B2257F" w:rsidRPr="000E5F58">
        <w:rPr>
          <w:rFonts w:asciiTheme="minorHAnsi" w:eastAsiaTheme="minorHAnsi" w:hAnsiTheme="minorHAnsi" w:cstheme="minorHAnsi"/>
          <w:bdr w:val="none" w:sz="0" w:space="0" w:color="auto"/>
          <w14:ligatures w14:val="standardContextual"/>
        </w:rPr>
        <w:t>. Jesus says frequently that he does only what his Father says</w:t>
      </w:r>
      <w:r w:rsidR="00A47B63" w:rsidRPr="000E5F58">
        <w:rPr>
          <w:rFonts w:asciiTheme="minorHAnsi" w:eastAsiaTheme="minorHAnsi" w:hAnsiTheme="minorHAnsi" w:cstheme="minorHAnsi"/>
          <w:bdr w:val="none" w:sz="0" w:space="0" w:color="auto"/>
          <w14:ligatures w14:val="standardContextual"/>
        </w:rPr>
        <w:t xml:space="preserve"> (e.g. Jn. 5:43; 6:40, 42; 8:28; 12:49; 14:10-14)</w:t>
      </w:r>
      <w:r w:rsidR="00B2257F" w:rsidRPr="000E5F58">
        <w:rPr>
          <w:rFonts w:asciiTheme="minorHAnsi" w:eastAsiaTheme="minorHAnsi" w:hAnsiTheme="minorHAnsi" w:cstheme="minorHAnsi"/>
          <w:bdr w:val="none" w:sz="0" w:space="0" w:color="auto"/>
          <w14:ligatures w14:val="standardContextual"/>
        </w:rPr>
        <w:t>. It is Spirit proceeding from the Father and/or the Son which reveals God’s wisdom, guidance and unwavering love for humanity through the Word. This brings completion to the cycle of knowing God</w:t>
      </w:r>
      <w:r w:rsidR="003405DD" w:rsidRPr="000E5F58">
        <w:rPr>
          <w:rFonts w:asciiTheme="minorHAnsi" w:eastAsiaTheme="minorHAnsi" w:hAnsiTheme="minorHAnsi" w:cstheme="minorHAnsi"/>
          <w:bdr w:val="none" w:sz="0" w:space="0" w:color="auto"/>
          <w14:ligatures w14:val="standardContextual"/>
        </w:rPr>
        <w:t xml:space="preserve"> of the Trinity</w:t>
      </w:r>
      <w:r w:rsidR="00B2257F" w:rsidRPr="000E5F58">
        <w:rPr>
          <w:rFonts w:asciiTheme="minorHAnsi" w:eastAsiaTheme="minorHAnsi" w:hAnsiTheme="minorHAnsi" w:cstheme="minorHAnsi"/>
          <w:bdr w:val="none" w:sz="0" w:space="0" w:color="auto"/>
          <w14:ligatures w14:val="standardContextual"/>
        </w:rPr>
        <w:t xml:space="preserve"> and places the greatest value </w:t>
      </w:r>
      <w:r w:rsidR="003405DD" w:rsidRPr="000E5F58">
        <w:rPr>
          <w:rFonts w:asciiTheme="minorHAnsi" w:eastAsiaTheme="minorHAnsi" w:hAnsiTheme="minorHAnsi" w:cstheme="minorHAnsi"/>
          <w:bdr w:val="none" w:sz="0" w:space="0" w:color="auto"/>
          <w14:ligatures w14:val="standardContextual"/>
        </w:rPr>
        <w:t>on</w:t>
      </w:r>
      <w:r w:rsidR="00B2257F" w:rsidRPr="000E5F58">
        <w:rPr>
          <w:rFonts w:asciiTheme="minorHAnsi" w:eastAsiaTheme="minorHAnsi" w:hAnsiTheme="minorHAnsi" w:cstheme="minorHAnsi"/>
          <w:bdr w:val="none" w:sz="0" w:space="0" w:color="auto"/>
          <w14:ligatures w14:val="standardContextual"/>
        </w:rPr>
        <w:t xml:space="preserve"> finding the way to know God truly only through the Shepherd’s Gate, the Way</w:t>
      </w:r>
      <w:r w:rsidR="003405DD" w:rsidRPr="000E5F58">
        <w:rPr>
          <w:rFonts w:asciiTheme="minorHAnsi" w:eastAsiaTheme="minorHAnsi" w:hAnsiTheme="minorHAnsi" w:cstheme="minorHAnsi"/>
          <w:bdr w:val="none" w:sz="0" w:space="0" w:color="auto"/>
          <w14:ligatures w14:val="standardContextual"/>
        </w:rPr>
        <w:t>,</w:t>
      </w:r>
      <w:r w:rsidR="00B2257F" w:rsidRPr="000E5F58">
        <w:rPr>
          <w:rFonts w:asciiTheme="minorHAnsi" w:eastAsiaTheme="minorHAnsi" w:hAnsiTheme="minorHAnsi" w:cstheme="minorHAnsi"/>
          <w:bdr w:val="none" w:sz="0" w:space="0" w:color="auto"/>
          <w14:ligatures w14:val="standardContextual"/>
        </w:rPr>
        <w:t xml:space="preserve"> the Truth and the Li</w:t>
      </w:r>
      <w:r w:rsidR="0057275C" w:rsidRPr="000E5F58">
        <w:rPr>
          <w:rFonts w:asciiTheme="minorHAnsi" w:eastAsiaTheme="minorHAnsi" w:hAnsiTheme="minorHAnsi" w:cstheme="minorHAnsi"/>
          <w:bdr w:val="none" w:sz="0" w:space="0" w:color="auto"/>
          <w14:ligatures w14:val="standardContextual"/>
        </w:rPr>
        <w:t>fe</w:t>
      </w:r>
      <w:r w:rsidR="00A47B63" w:rsidRPr="000E5F58">
        <w:rPr>
          <w:rFonts w:asciiTheme="minorHAnsi" w:eastAsiaTheme="minorHAnsi" w:hAnsiTheme="minorHAnsi" w:cstheme="minorHAnsi"/>
          <w:bdr w:val="none" w:sz="0" w:space="0" w:color="auto"/>
          <w14:ligatures w14:val="standardContextual"/>
        </w:rPr>
        <w:t xml:space="preserve"> (e.g. </w:t>
      </w:r>
      <w:r w:rsidR="00A47B63" w:rsidRPr="000E5F58">
        <w:rPr>
          <w:rFonts w:asciiTheme="minorHAnsi" w:hAnsiTheme="minorHAnsi" w:cstheme="minorHAnsi"/>
        </w:rPr>
        <w:t>Jn. 10:7-9; 10:11-14; 14:6)</w:t>
      </w:r>
      <w:r w:rsidR="00B2257F" w:rsidRPr="000E5F58">
        <w:rPr>
          <w:rFonts w:asciiTheme="minorHAnsi" w:eastAsiaTheme="minorHAnsi" w:hAnsiTheme="minorHAnsi" w:cstheme="minorHAnsi"/>
          <w:bdr w:val="none" w:sz="0" w:space="0" w:color="auto"/>
          <w14:ligatures w14:val="standardContextual"/>
        </w:rPr>
        <w:t>, for God tru</w:t>
      </w:r>
      <w:r w:rsidR="003405DD" w:rsidRPr="000E5F58">
        <w:rPr>
          <w:rFonts w:asciiTheme="minorHAnsi" w:eastAsiaTheme="minorHAnsi" w:hAnsiTheme="minorHAnsi" w:cstheme="minorHAnsi"/>
          <w:bdr w:val="none" w:sz="0" w:space="0" w:color="auto"/>
          <w14:ligatures w14:val="standardContextual"/>
        </w:rPr>
        <w:t>l</w:t>
      </w:r>
      <w:r w:rsidR="00B2257F" w:rsidRPr="000E5F58">
        <w:rPr>
          <w:rFonts w:asciiTheme="minorHAnsi" w:eastAsiaTheme="minorHAnsi" w:hAnsiTheme="minorHAnsi" w:cstheme="minorHAnsi"/>
          <w:bdr w:val="none" w:sz="0" w:space="0" w:color="auto"/>
          <w14:ligatures w14:val="standardContextual"/>
        </w:rPr>
        <w:t xml:space="preserve">y is love and those who worship him </w:t>
      </w:r>
      <w:r w:rsidR="003405DD" w:rsidRPr="000E5F58">
        <w:rPr>
          <w:rFonts w:asciiTheme="minorHAnsi" w:eastAsiaTheme="minorHAnsi" w:hAnsiTheme="minorHAnsi" w:cstheme="minorHAnsi"/>
          <w:bdr w:val="none" w:sz="0" w:space="0" w:color="auto"/>
          <w14:ligatures w14:val="standardContextual"/>
        </w:rPr>
        <w:t>worship in truth and love</w:t>
      </w:r>
      <w:r w:rsidR="00A47B63" w:rsidRPr="000E5F58">
        <w:rPr>
          <w:rFonts w:asciiTheme="minorHAnsi" w:eastAsiaTheme="minorHAnsi" w:hAnsiTheme="minorHAnsi" w:cstheme="minorHAnsi"/>
          <w:bdr w:val="none" w:sz="0" w:space="0" w:color="auto"/>
          <w14:ligatures w14:val="standardContextual"/>
        </w:rPr>
        <w:t xml:space="preserve"> (</w:t>
      </w:r>
      <w:r w:rsidR="00A47B63" w:rsidRPr="000E5F58">
        <w:rPr>
          <w:rFonts w:asciiTheme="minorHAnsi" w:hAnsiTheme="minorHAnsi" w:cstheme="minorHAnsi"/>
        </w:rPr>
        <w:t>Jn. 4:24, 23)</w:t>
      </w:r>
      <w:r w:rsidR="003405DD" w:rsidRPr="000E5F58">
        <w:rPr>
          <w:rFonts w:asciiTheme="minorHAnsi" w:eastAsiaTheme="minorHAnsi" w:hAnsiTheme="minorHAnsi" w:cstheme="minorHAnsi"/>
          <w:bdr w:val="none" w:sz="0" w:space="0" w:color="auto"/>
          <w14:ligatures w14:val="standardContextual"/>
        </w:rPr>
        <w:t xml:space="preserve"> in the sure hope of life in all its fulness both now and in eternity</w:t>
      </w:r>
      <w:r w:rsidR="00A47B63" w:rsidRPr="000E5F58">
        <w:rPr>
          <w:rFonts w:asciiTheme="minorHAnsi" w:eastAsiaTheme="minorHAnsi" w:hAnsiTheme="minorHAnsi" w:cstheme="minorHAnsi"/>
          <w:bdr w:val="none" w:sz="0" w:space="0" w:color="auto"/>
          <w14:ligatures w14:val="standardContextual"/>
        </w:rPr>
        <w:t xml:space="preserve"> (Jn. 10:10)</w:t>
      </w:r>
      <w:r w:rsidR="0053106E" w:rsidRPr="000E5F58">
        <w:rPr>
          <w:rFonts w:asciiTheme="minorHAnsi" w:eastAsiaTheme="minorHAnsi" w:hAnsiTheme="minorHAnsi" w:cstheme="minorHAnsi"/>
          <w:bdr w:val="none" w:sz="0" w:space="0" w:color="auto"/>
          <w14:ligatures w14:val="standardContextual"/>
        </w:rPr>
        <w:t>.</w:t>
      </w:r>
      <w:r w:rsidR="003405DD" w:rsidRPr="000E5F58">
        <w:rPr>
          <w:rFonts w:asciiTheme="minorHAnsi" w:eastAsiaTheme="minorHAnsi" w:hAnsiTheme="minorHAnsi" w:cstheme="minorHAnsi"/>
          <w:bdr w:val="none" w:sz="0" w:space="0" w:color="auto"/>
          <w14:ligatures w14:val="standardContextual"/>
        </w:rPr>
        <w:t xml:space="preserve"> </w:t>
      </w:r>
    </w:p>
    <w:p w14:paraId="4A7D8FE4" w14:textId="77777777" w:rsidR="0038310D" w:rsidRPr="000E5F58" w:rsidRDefault="0038310D" w:rsidP="00A44595">
      <w:pPr>
        <w:spacing w:line="300" w:lineRule="auto"/>
        <w:rPr>
          <w:rFonts w:asciiTheme="minorHAnsi" w:eastAsiaTheme="minorHAnsi" w:hAnsiTheme="minorHAnsi" w:cstheme="minorHAnsi"/>
          <w:bdr w:val="none" w:sz="0" w:space="0" w:color="auto"/>
          <w14:ligatures w14:val="standardContextual"/>
        </w:rPr>
      </w:pPr>
    </w:p>
    <w:p w14:paraId="3EDD35B8" w14:textId="5399F18C" w:rsidR="00BE1FB2" w:rsidRPr="000E5F58" w:rsidRDefault="00497481" w:rsidP="00BE1FB2">
      <w:pPr>
        <w:pBdr>
          <w:top w:val="none" w:sz="0" w:space="0" w:color="auto"/>
          <w:left w:val="none" w:sz="0" w:space="0" w:color="auto"/>
          <w:bottom w:val="none" w:sz="0" w:space="0" w:color="auto"/>
          <w:right w:val="none" w:sz="0" w:space="0" w:color="auto"/>
          <w:between w:val="none" w:sz="0" w:space="0" w:color="auto"/>
          <w:bar w:val="none" w:sz="0" w:color="auto"/>
        </w:pBdr>
        <w:spacing w:line="300" w:lineRule="auto"/>
        <w:rPr>
          <w:rFonts w:asciiTheme="minorHAnsi" w:eastAsiaTheme="minorHAnsi" w:hAnsiTheme="minorHAnsi" w:cstheme="minorHAnsi"/>
          <w:b/>
          <w:bCs/>
          <w:u w:color="0000E9"/>
          <w:bdr w:val="none" w:sz="0" w:space="0" w:color="auto"/>
          <w14:ligatures w14:val="standardContextual"/>
        </w:rPr>
      </w:pPr>
      <w:r>
        <w:rPr>
          <w:rFonts w:asciiTheme="minorHAnsi" w:eastAsiaTheme="minorHAnsi" w:hAnsiTheme="minorHAnsi" w:cstheme="minorHAnsi"/>
          <w:b/>
          <w:bCs/>
          <w:u w:color="0000E9"/>
          <w:bdr w:val="none" w:sz="0" w:space="0" w:color="auto"/>
          <w14:ligatures w14:val="standardContextual"/>
        </w:rPr>
        <w:t>20</w:t>
      </w:r>
      <w:r w:rsidR="00D14400">
        <w:rPr>
          <w:rFonts w:asciiTheme="minorHAnsi" w:eastAsiaTheme="minorHAnsi" w:hAnsiTheme="minorHAnsi" w:cstheme="minorHAnsi"/>
          <w:b/>
          <w:bCs/>
          <w:u w:color="0000E9"/>
          <w:bdr w:val="none" w:sz="0" w:space="0" w:color="auto"/>
          <w14:ligatures w14:val="standardContextual"/>
        </w:rPr>
        <w:t>78</w:t>
      </w:r>
      <w:r w:rsidR="00F471FA" w:rsidRPr="000E5F58">
        <w:rPr>
          <w:rFonts w:asciiTheme="minorHAnsi" w:eastAsiaTheme="minorHAnsi" w:hAnsiTheme="minorHAnsi" w:cstheme="minorHAnsi"/>
          <w:b/>
          <w:bCs/>
          <w:u w:color="0000E9"/>
          <w:bdr w:val="none" w:sz="0" w:space="0" w:color="auto"/>
          <w14:ligatures w14:val="standardContextual"/>
        </w:rPr>
        <w:t xml:space="preserve"> words</w:t>
      </w:r>
    </w:p>
    <w:p w14:paraId="4762B420" w14:textId="77777777" w:rsidR="00BE1FB2" w:rsidRPr="000E5F58" w:rsidRDefault="00BE1FB2" w:rsidP="00BE1FB2">
      <w:pPr>
        <w:pStyle w:val="Heading1"/>
        <w:spacing w:line="300" w:lineRule="auto"/>
        <w:rPr>
          <w:rFonts w:asciiTheme="minorHAnsi" w:eastAsiaTheme="minorHAnsi" w:hAnsiTheme="minorHAnsi" w:cstheme="minorHAnsi"/>
          <w:b/>
          <w:bCs/>
          <w:color w:val="auto"/>
          <w:sz w:val="24"/>
          <w:szCs w:val="24"/>
          <w:u w:color="0000E9"/>
          <w:bdr w:val="none" w:sz="0" w:space="0" w:color="auto"/>
        </w:rPr>
      </w:pPr>
      <w:bookmarkStart w:id="6" w:name="_Toc134728153"/>
      <w:r w:rsidRPr="000E5F58">
        <w:rPr>
          <w:rFonts w:asciiTheme="minorHAnsi" w:eastAsiaTheme="minorHAnsi" w:hAnsiTheme="minorHAnsi" w:cstheme="minorHAnsi"/>
          <w:b/>
          <w:bCs/>
          <w:color w:val="auto"/>
          <w:sz w:val="24"/>
          <w:szCs w:val="24"/>
          <w:u w:color="0000E9"/>
          <w:bdr w:val="none" w:sz="0" w:space="0" w:color="auto"/>
        </w:rPr>
        <w:t>Bibliography</w:t>
      </w:r>
      <w:bookmarkEnd w:id="6"/>
    </w:p>
    <w:p w14:paraId="30A51920" w14:textId="77777777" w:rsidR="00BE1FB2" w:rsidRPr="000E5F58" w:rsidRDefault="00BE1FB2" w:rsidP="00BE1FB2">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u w:color="0000E9"/>
          <w:bdr w:val="none" w:sz="0" w:space="0" w:color="auto"/>
          <w14:ligatures w14:val="standardContextual"/>
        </w:rPr>
      </w:pPr>
    </w:p>
    <w:p w14:paraId="60317363" w14:textId="77777777" w:rsidR="00D87290" w:rsidRPr="00D87290" w:rsidRDefault="00BE1FB2" w:rsidP="00D87290">
      <w:pPr>
        <w:pStyle w:val="Bibliography"/>
        <w:rPr>
          <w:rFonts w:ascii="Calibri" w:hAnsiTheme="minorHAnsi" w:cs="Calibri"/>
        </w:rPr>
      </w:pPr>
      <w:r w:rsidRPr="000E5F58">
        <w:rPr>
          <w:rFonts w:asciiTheme="minorHAnsi" w:hAnsiTheme="minorHAnsi" w:cstheme="minorHAnsi"/>
          <w:u w:color="0000E9"/>
          <w:bdr w:val="none" w:sz="0" w:space="0" w:color="auto"/>
        </w:rPr>
        <w:fldChar w:fldCharType="begin"/>
      </w:r>
      <w:r w:rsidR="00C36606">
        <w:rPr>
          <w:rFonts w:asciiTheme="minorHAnsi" w:hAnsiTheme="minorHAnsi" w:cstheme="minorHAnsi"/>
          <w:u w:color="0000E9"/>
          <w:bdr w:val="none" w:sz="0" w:space="0" w:color="auto"/>
        </w:rPr>
        <w:instrText xml:space="preserve"> ADDIN ZOTERO_BIBL {"uncited":[],"omitted":[],"custom":[]} CSL_BIBLIOGRAPHY </w:instrText>
      </w:r>
      <w:r w:rsidRPr="000E5F58">
        <w:rPr>
          <w:rFonts w:asciiTheme="minorHAnsi" w:hAnsiTheme="minorHAnsi" w:cstheme="minorHAnsi"/>
          <w:u w:color="0000E9"/>
          <w:bdr w:val="none" w:sz="0" w:space="0" w:color="auto"/>
        </w:rPr>
        <w:fldChar w:fldCharType="separate"/>
      </w:r>
      <w:proofErr w:type="spellStart"/>
      <w:r w:rsidR="00D87290" w:rsidRPr="00D87290">
        <w:rPr>
          <w:rFonts w:ascii="Calibri" w:hAnsiTheme="minorHAnsi" w:cs="Calibri"/>
        </w:rPr>
        <w:t>Augustinus</w:t>
      </w:r>
      <w:proofErr w:type="spellEnd"/>
      <w:r w:rsidR="00D87290" w:rsidRPr="00D87290">
        <w:rPr>
          <w:rFonts w:ascii="Calibri" w:hAnsiTheme="minorHAnsi" w:cs="Calibri"/>
        </w:rPr>
        <w:t xml:space="preserve">, Aurelius, </w:t>
      </w:r>
      <w:r w:rsidR="00D87290" w:rsidRPr="00D87290">
        <w:rPr>
          <w:rFonts w:ascii="Calibri" w:hAnsiTheme="minorHAnsi" w:cs="Calibri"/>
          <w:i/>
          <w:iCs/>
        </w:rPr>
        <w:t>Concerning the City of God against the Pagans</w:t>
      </w:r>
      <w:r w:rsidR="00D87290" w:rsidRPr="00D87290">
        <w:rPr>
          <w:rFonts w:ascii="Calibri" w:hAnsiTheme="minorHAnsi" w:cs="Calibri"/>
        </w:rPr>
        <w:t xml:space="preserve">, trans. by Henry </w:t>
      </w:r>
      <w:proofErr w:type="spellStart"/>
      <w:r w:rsidR="00D87290" w:rsidRPr="00D87290">
        <w:rPr>
          <w:rFonts w:ascii="Calibri" w:hAnsiTheme="minorHAnsi" w:cs="Calibri"/>
        </w:rPr>
        <w:t>Bettenson</w:t>
      </w:r>
      <w:proofErr w:type="spellEnd"/>
      <w:r w:rsidR="00D87290" w:rsidRPr="00D87290">
        <w:rPr>
          <w:rFonts w:ascii="Calibri" w:hAnsiTheme="minorHAnsi" w:cs="Calibri"/>
        </w:rPr>
        <w:t>, Penguin Classics, Reprint. with a new introduction (London: Penguin Books, 1984)</w:t>
      </w:r>
    </w:p>
    <w:p w14:paraId="6424972C" w14:textId="77777777" w:rsidR="00D87290" w:rsidRPr="00D87290" w:rsidRDefault="00D87290" w:rsidP="00D87290">
      <w:pPr>
        <w:pStyle w:val="Bibliography"/>
        <w:rPr>
          <w:rFonts w:ascii="Calibri" w:hAnsiTheme="minorHAnsi" w:cs="Calibri"/>
        </w:rPr>
      </w:pPr>
      <w:r w:rsidRPr="00D87290">
        <w:rPr>
          <w:rFonts w:ascii="Calibri" w:hAnsiTheme="minorHAnsi" w:cs="Calibri"/>
        </w:rPr>
        <w:t xml:space="preserve">Barth, Karl, and G.T Thomson, </w:t>
      </w:r>
      <w:r w:rsidRPr="00D87290">
        <w:rPr>
          <w:rFonts w:ascii="Calibri" w:hAnsiTheme="minorHAnsi" w:cs="Calibri"/>
          <w:i/>
          <w:iCs/>
        </w:rPr>
        <w:t>Dogmatics in outline.</w:t>
      </w:r>
      <w:r w:rsidRPr="00D87290">
        <w:rPr>
          <w:rFonts w:ascii="Calibri" w:hAnsiTheme="minorHAnsi" w:cs="Calibri"/>
        </w:rPr>
        <w:t xml:space="preserve"> (Martino Publishing: Connecticut, 2014)</w:t>
      </w:r>
    </w:p>
    <w:p w14:paraId="6AC856A3" w14:textId="77777777" w:rsidR="00D87290" w:rsidRPr="00D87290" w:rsidRDefault="00D87290" w:rsidP="00D87290">
      <w:pPr>
        <w:pStyle w:val="Bibliography"/>
        <w:rPr>
          <w:rFonts w:ascii="Calibri" w:hAnsiTheme="minorHAnsi" w:cs="Calibri"/>
        </w:rPr>
      </w:pPr>
      <w:r w:rsidRPr="00D87290">
        <w:rPr>
          <w:rFonts w:ascii="Calibri" w:hAnsiTheme="minorHAnsi" w:cs="Calibri"/>
        </w:rPr>
        <w:t xml:space="preserve">Brueggemann, Walter, </w:t>
      </w:r>
      <w:r w:rsidRPr="00D87290">
        <w:rPr>
          <w:rFonts w:ascii="Calibri" w:hAnsiTheme="minorHAnsi" w:cs="Calibri"/>
          <w:i/>
          <w:iCs/>
        </w:rPr>
        <w:t>An Unsettling God: The Heart of the Hebrew Bible</w:t>
      </w:r>
      <w:r w:rsidRPr="00D87290">
        <w:rPr>
          <w:rFonts w:ascii="Calibri" w:hAnsiTheme="minorHAnsi" w:cs="Calibri"/>
        </w:rPr>
        <w:t xml:space="preserve"> (Minneapolis: Fortress Press, 2009)</w:t>
      </w:r>
    </w:p>
    <w:p w14:paraId="22B09B62" w14:textId="77777777" w:rsidR="00D87290" w:rsidRPr="00D87290" w:rsidRDefault="00D87290" w:rsidP="00D87290">
      <w:pPr>
        <w:pStyle w:val="Bibliography"/>
        <w:rPr>
          <w:rFonts w:ascii="Calibri" w:hAnsiTheme="minorHAnsi" w:cs="Calibri"/>
        </w:rPr>
      </w:pPr>
      <w:r w:rsidRPr="00D87290">
        <w:rPr>
          <w:rFonts w:ascii="Calibri" w:hAnsiTheme="minorHAnsi" w:cs="Calibri"/>
        </w:rPr>
        <w:t xml:space="preserve">Come, A.B., </w:t>
      </w:r>
      <w:r w:rsidRPr="00D87290">
        <w:rPr>
          <w:rFonts w:ascii="Calibri" w:hAnsiTheme="minorHAnsi" w:cs="Calibri"/>
          <w:i/>
          <w:iCs/>
        </w:rPr>
        <w:t>An Introduction to Barth’s Dogmatics for Preachers</w:t>
      </w:r>
      <w:r w:rsidRPr="00D87290">
        <w:rPr>
          <w:rFonts w:ascii="Calibri" w:hAnsiTheme="minorHAnsi" w:cs="Calibri"/>
        </w:rPr>
        <w:t>, The Preacher’s Library (Westminster Press, 1963) &lt;https://books.google.co.uk/books?id=EVwRAQAAIAAJ&gt;</w:t>
      </w:r>
    </w:p>
    <w:p w14:paraId="6C45D54B" w14:textId="77777777" w:rsidR="00D87290" w:rsidRPr="00D87290" w:rsidRDefault="00D87290" w:rsidP="00D87290">
      <w:pPr>
        <w:pStyle w:val="Bibliography"/>
        <w:rPr>
          <w:rFonts w:ascii="Calibri" w:hAnsiTheme="minorHAnsi" w:cs="Calibri"/>
        </w:rPr>
      </w:pPr>
      <w:r w:rsidRPr="00D87290">
        <w:rPr>
          <w:rFonts w:ascii="Calibri" w:hAnsiTheme="minorHAnsi" w:cs="Calibri"/>
        </w:rPr>
        <w:t xml:space="preserve">Crouch, Andy, </w:t>
      </w:r>
      <w:r w:rsidRPr="00D87290">
        <w:rPr>
          <w:rFonts w:ascii="Calibri" w:hAnsiTheme="minorHAnsi" w:cs="Calibri"/>
          <w:i/>
          <w:iCs/>
        </w:rPr>
        <w:t>‘The Gospel: How Is Art a Gift, a Calling, and an Obedience?’ in For the Beauty of the Church: Casting a Vision for the Arts</w:t>
      </w:r>
      <w:r w:rsidRPr="00D87290">
        <w:rPr>
          <w:rFonts w:ascii="Calibri" w:hAnsiTheme="minorHAnsi" w:cs="Calibri"/>
        </w:rPr>
        <w:t xml:space="preserve">, ed. by W. David O. Taylor (Grand Rapids, </w:t>
      </w:r>
      <w:proofErr w:type="spellStart"/>
      <w:r w:rsidRPr="00D87290">
        <w:rPr>
          <w:rFonts w:ascii="Calibri" w:hAnsiTheme="minorHAnsi" w:cs="Calibri"/>
        </w:rPr>
        <w:t>Mich</w:t>
      </w:r>
      <w:proofErr w:type="spellEnd"/>
      <w:r w:rsidRPr="00D87290">
        <w:rPr>
          <w:rFonts w:ascii="Calibri" w:hAnsiTheme="minorHAnsi" w:cs="Calibri"/>
        </w:rPr>
        <w:t>: Baker Books, 2010)</w:t>
      </w:r>
    </w:p>
    <w:p w14:paraId="4E147E27" w14:textId="77777777" w:rsidR="00D87290" w:rsidRPr="00D87290" w:rsidRDefault="00D87290" w:rsidP="00D87290">
      <w:pPr>
        <w:pStyle w:val="Bibliography"/>
        <w:rPr>
          <w:rFonts w:ascii="Calibri" w:hAnsiTheme="minorHAnsi" w:cs="Calibri"/>
        </w:rPr>
      </w:pPr>
      <w:proofErr w:type="spellStart"/>
      <w:r w:rsidRPr="00D87290">
        <w:rPr>
          <w:rFonts w:ascii="Calibri" w:hAnsiTheme="minorHAnsi" w:cs="Calibri"/>
        </w:rPr>
        <w:lastRenderedPageBreak/>
        <w:t>Deetlefs</w:t>
      </w:r>
      <w:proofErr w:type="spellEnd"/>
      <w:r w:rsidRPr="00D87290">
        <w:rPr>
          <w:rFonts w:ascii="Calibri" w:hAnsiTheme="minorHAnsi" w:cs="Calibri"/>
        </w:rPr>
        <w:t xml:space="preserve"> Johannes P., ‘Political Implications of the Trinity : Two Approaches’, </w:t>
      </w:r>
      <w:r w:rsidRPr="00D87290">
        <w:rPr>
          <w:rFonts w:ascii="Calibri" w:hAnsiTheme="minorHAnsi" w:cs="Calibri"/>
          <w:i/>
          <w:iCs/>
        </w:rPr>
        <w:t>HTS : Theological Studies</w:t>
      </w:r>
      <w:r w:rsidRPr="00D87290">
        <w:rPr>
          <w:rFonts w:ascii="Calibri" w:hAnsiTheme="minorHAnsi" w:cs="Calibri"/>
        </w:rPr>
        <w:t>, 75.1 (2019), 1–8 &lt;https://doi.org/10.4102/hts.v75i1.5396&gt;</w:t>
      </w:r>
    </w:p>
    <w:p w14:paraId="03388B31" w14:textId="77777777" w:rsidR="00D87290" w:rsidRPr="00D87290" w:rsidRDefault="00D87290" w:rsidP="00D87290">
      <w:pPr>
        <w:pStyle w:val="Bibliography"/>
        <w:rPr>
          <w:rFonts w:ascii="Calibri" w:hAnsiTheme="minorHAnsi" w:cs="Calibri"/>
        </w:rPr>
      </w:pPr>
      <w:proofErr w:type="spellStart"/>
      <w:r w:rsidRPr="00D87290">
        <w:rPr>
          <w:rFonts w:ascii="Calibri" w:hAnsiTheme="minorHAnsi" w:cs="Calibri"/>
        </w:rPr>
        <w:t>Gunton</w:t>
      </w:r>
      <w:proofErr w:type="spellEnd"/>
      <w:r w:rsidRPr="00D87290">
        <w:rPr>
          <w:rFonts w:ascii="Calibri" w:hAnsiTheme="minorHAnsi" w:cs="Calibri"/>
        </w:rPr>
        <w:t xml:space="preserve">, Colin E., ed., </w:t>
      </w:r>
      <w:r w:rsidRPr="00D87290">
        <w:rPr>
          <w:rFonts w:ascii="Calibri" w:hAnsiTheme="minorHAnsi" w:cs="Calibri"/>
          <w:i/>
          <w:iCs/>
        </w:rPr>
        <w:t>The Cambridge Companion to Christian Doctrine</w:t>
      </w:r>
      <w:r w:rsidRPr="00D87290">
        <w:rPr>
          <w:rFonts w:ascii="Calibri" w:hAnsiTheme="minorHAnsi" w:cs="Calibri"/>
        </w:rPr>
        <w:t>, Cambridge Companions to Religion (Cambridge [England] ; New York: Cambridge University Press, 1997)</w:t>
      </w:r>
    </w:p>
    <w:p w14:paraId="2B40954B" w14:textId="77777777" w:rsidR="00D87290" w:rsidRPr="00D87290" w:rsidRDefault="00D87290" w:rsidP="00D87290">
      <w:pPr>
        <w:pStyle w:val="Bibliography"/>
        <w:rPr>
          <w:rFonts w:ascii="Calibri" w:hAnsiTheme="minorHAnsi" w:cs="Calibri"/>
        </w:rPr>
      </w:pPr>
      <w:r w:rsidRPr="00D87290">
        <w:rPr>
          <w:rFonts w:ascii="Calibri" w:hAnsiTheme="minorHAnsi" w:cs="Calibri"/>
        </w:rPr>
        <w:t xml:space="preserve">Kasper, Walter, </w:t>
      </w:r>
      <w:r w:rsidRPr="00D87290">
        <w:rPr>
          <w:rFonts w:ascii="Calibri" w:hAnsiTheme="minorHAnsi" w:cs="Calibri"/>
          <w:i/>
          <w:iCs/>
        </w:rPr>
        <w:t>The God of Jesus Christ</w:t>
      </w:r>
      <w:r w:rsidRPr="00D87290">
        <w:rPr>
          <w:rFonts w:ascii="Calibri" w:hAnsiTheme="minorHAnsi" w:cs="Calibri"/>
        </w:rPr>
        <w:t xml:space="preserve"> (New York: Crossroad Publishing Company, 1997)</w:t>
      </w:r>
    </w:p>
    <w:p w14:paraId="67AC2474" w14:textId="77777777" w:rsidR="00D87290" w:rsidRPr="00D87290" w:rsidRDefault="00D87290" w:rsidP="00D87290">
      <w:pPr>
        <w:pStyle w:val="Bibliography"/>
        <w:rPr>
          <w:rFonts w:ascii="Calibri" w:hAnsiTheme="minorHAnsi" w:cs="Calibri"/>
        </w:rPr>
      </w:pPr>
      <w:r w:rsidRPr="00D87290">
        <w:rPr>
          <w:rFonts w:ascii="Calibri" w:hAnsiTheme="minorHAnsi" w:cs="Calibri"/>
        </w:rPr>
        <w:t xml:space="preserve">Kilby, Karen, ‘Perichoresis and Projection: Problems with Social Doctrines of the Trinity’, </w:t>
      </w:r>
      <w:r w:rsidRPr="00D87290">
        <w:rPr>
          <w:rFonts w:ascii="Calibri" w:hAnsiTheme="minorHAnsi" w:cs="Calibri"/>
          <w:i/>
          <w:iCs/>
        </w:rPr>
        <w:t>New Blackfriars</w:t>
      </w:r>
      <w:r w:rsidRPr="00D87290">
        <w:rPr>
          <w:rFonts w:ascii="Calibri" w:hAnsiTheme="minorHAnsi" w:cs="Calibri"/>
        </w:rPr>
        <w:t>, 81.956 (2000), 432–45</w:t>
      </w:r>
    </w:p>
    <w:p w14:paraId="51FF6E8D" w14:textId="77777777" w:rsidR="00D87290" w:rsidRPr="00D87290" w:rsidRDefault="00D87290" w:rsidP="00D87290">
      <w:pPr>
        <w:pStyle w:val="Bibliography"/>
        <w:rPr>
          <w:rFonts w:ascii="Calibri" w:hAnsiTheme="minorHAnsi" w:cs="Calibri"/>
        </w:rPr>
      </w:pPr>
      <w:r w:rsidRPr="00D87290">
        <w:rPr>
          <w:rFonts w:ascii="Calibri" w:hAnsiTheme="minorHAnsi" w:cs="Calibri"/>
        </w:rPr>
        <w:t xml:space="preserve">Lash, Nicholas, </w:t>
      </w:r>
      <w:r w:rsidRPr="00D87290">
        <w:rPr>
          <w:rFonts w:ascii="Calibri" w:hAnsiTheme="minorHAnsi" w:cs="Calibri"/>
          <w:i/>
          <w:iCs/>
        </w:rPr>
        <w:t>Believing Three Ways in One God: A Reading of the Apostles’ Creed</w:t>
      </w:r>
      <w:r w:rsidRPr="00D87290">
        <w:rPr>
          <w:rFonts w:ascii="Calibri" w:hAnsiTheme="minorHAnsi" w:cs="Calibri"/>
        </w:rPr>
        <w:t xml:space="preserve">, 2. </w:t>
      </w:r>
      <w:proofErr w:type="spellStart"/>
      <w:r w:rsidRPr="00D87290">
        <w:rPr>
          <w:rFonts w:ascii="Calibri" w:hAnsiTheme="minorHAnsi" w:cs="Calibri"/>
        </w:rPr>
        <w:t>impr</w:t>
      </w:r>
      <w:proofErr w:type="spellEnd"/>
      <w:r w:rsidRPr="00D87290">
        <w:rPr>
          <w:rFonts w:ascii="Calibri" w:hAnsiTheme="minorHAnsi" w:cs="Calibri"/>
        </w:rPr>
        <w:t xml:space="preserve"> (London: SCM Press, 1994)</w:t>
      </w:r>
    </w:p>
    <w:p w14:paraId="4F40ED17" w14:textId="77777777" w:rsidR="00D87290" w:rsidRPr="00D87290" w:rsidRDefault="00D87290" w:rsidP="00D87290">
      <w:pPr>
        <w:pStyle w:val="Bibliography"/>
        <w:rPr>
          <w:rFonts w:ascii="Calibri" w:hAnsiTheme="minorHAnsi" w:cs="Calibri"/>
        </w:rPr>
      </w:pPr>
      <w:r w:rsidRPr="00D87290">
        <w:rPr>
          <w:rFonts w:ascii="Calibri" w:hAnsiTheme="minorHAnsi" w:cs="Calibri"/>
        </w:rPr>
        <w:t xml:space="preserve">McIntosh, Mark A., </w:t>
      </w:r>
      <w:r w:rsidRPr="00D87290">
        <w:rPr>
          <w:rFonts w:ascii="Calibri" w:hAnsiTheme="minorHAnsi" w:cs="Calibri"/>
          <w:i/>
          <w:iCs/>
        </w:rPr>
        <w:t xml:space="preserve">‘Christology’ in The Cambridge Companion to Hans </w:t>
      </w:r>
      <w:proofErr w:type="spellStart"/>
      <w:r w:rsidRPr="00D87290">
        <w:rPr>
          <w:rFonts w:ascii="Calibri" w:hAnsiTheme="minorHAnsi" w:cs="Calibri"/>
          <w:i/>
          <w:iCs/>
        </w:rPr>
        <w:t>Urs</w:t>
      </w:r>
      <w:proofErr w:type="spellEnd"/>
      <w:r w:rsidRPr="00D87290">
        <w:rPr>
          <w:rFonts w:ascii="Calibri" w:hAnsiTheme="minorHAnsi" w:cs="Calibri"/>
          <w:i/>
          <w:iCs/>
        </w:rPr>
        <w:t xml:space="preserve"> von Balthasar</w:t>
      </w:r>
      <w:r w:rsidRPr="00D87290">
        <w:rPr>
          <w:rFonts w:ascii="Calibri" w:hAnsiTheme="minorHAnsi" w:cs="Calibri"/>
        </w:rPr>
        <w:t>, ed. by Edward T. Oakes and David Moss, Cambridge Companions to Religion (Cambridge, U.K. ; New York: Cambridge University Press, 2004)</w:t>
      </w:r>
    </w:p>
    <w:p w14:paraId="08D46B58" w14:textId="77777777" w:rsidR="00D87290" w:rsidRPr="00D87290" w:rsidRDefault="00D87290" w:rsidP="00D87290">
      <w:pPr>
        <w:pStyle w:val="Bibliography"/>
        <w:rPr>
          <w:rFonts w:ascii="Calibri" w:hAnsiTheme="minorHAnsi" w:cs="Calibri"/>
        </w:rPr>
      </w:pPr>
      <w:r w:rsidRPr="00D87290">
        <w:rPr>
          <w:rFonts w:ascii="Calibri" w:hAnsiTheme="minorHAnsi" w:cs="Calibri"/>
        </w:rPr>
        <w:t xml:space="preserve">Molnar, Paul D., ‘Toward a Contemporary Doctrine of the Immanent Trinity: Karl Barth and the Present Discussion’, </w:t>
      </w:r>
      <w:r w:rsidRPr="00D87290">
        <w:rPr>
          <w:rFonts w:ascii="Calibri" w:hAnsiTheme="minorHAnsi" w:cs="Calibri"/>
          <w:i/>
          <w:iCs/>
        </w:rPr>
        <w:t>Scottish Journal of Theology</w:t>
      </w:r>
      <w:r w:rsidRPr="00D87290">
        <w:rPr>
          <w:rFonts w:ascii="Calibri" w:hAnsiTheme="minorHAnsi" w:cs="Calibri"/>
        </w:rPr>
        <w:t>, 49.3 (1996), 311–58 &lt;https://doi.org/10.1017/S0036930600048213&gt;</w:t>
      </w:r>
    </w:p>
    <w:p w14:paraId="5826B63B" w14:textId="77777777" w:rsidR="00D87290" w:rsidRPr="00D87290" w:rsidRDefault="00D87290" w:rsidP="00D87290">
      <w:pPr>
        <w:pStyle w:val="Bibliography"/>
        <w:rPr>
          <w:rFonts w:ascii="Calibri" w:hAnsiTheme="minorHAnsi" w:cs="Calibri"/>
        </w:rPr>
      </w:pPr>
      <w:r w:rsidRPr="00D87290">
        <w:rPr>
          <w:rFonts w:ascii="Calibri" w:hAnsiTheme="minorHAnsi" w:cs="Calibri"/>
        </w:rPr>
        <w:t xml:space="preserve">Nicolosi, Barbara, </w:t>
      </w:r>
      <w:r w:rsidRPr="00D87290">
        <w:rPr>
          <w:rFonts w:ascii="Calibri" w:hAnsiTheme="minorHAnsi" w:cs="Calibri"/>
          <w:i/>
          <w:iCs/>
        </w:rPr>
        <w:t xml:space="preserve">‘The </w:t>
      </w:r>
      <w:proofErr w:type="spellStart"/>
      <w:r w:rsidRPr="00D87290">
        <w:rPr>
          <w:rFonts w:ascii="Calibri" w:hAnsiTheme="minorHAnsi" w:cs="Calibri"/>
          <w:i/>
          <w:iCs/>
        </w:rPr>
        <w:t>Artist:What</w:t>
      </w:r>
      <w:proofErr w:type="spellEnd"/>
      <w:r w:rsidRPr="00D87290">
        <w:rPr>
          <w:rFonts w:ascii="Calibri" w:hAnsiTheme="minorHAnsi" w:cs="Calibri"/>
          <w:i/>
          <w:iCs/>
        </w:rPr>
        <w:t xml:space="preserve"> Exactly Is an Artist, and How Do We Shepherd Them?’ in For the Beauty of the Church: Casting a Vision for the Arts</w:t>
      </w:r>
      <w:r w:rsidRPr="00D87290">
        <w:rPr>
          <w:rFonts w:ascii="Calibri" w:hAnsiTheme="minorHAnsi" w:cs="Calibri"/>
        </w:rPr>
        <w:t xml:space="preserve">, ed. by W. David O. Taylor (Grand Rapids, </w:t>
      </w:r>
      <w:proofErr w:type="spellStart"/>
      <w:r w:rsidRPr="00D87290">
        <w:rPr>
          <w:rFonts w:ascii="Calibri" w:hAnsiTheme="minorHAnsi" w:cs="Calibri"/>
        </w:rPr>
        <w:t>Mich</w:t>
      </w:r>
      <w:proofErr w:type="spellEnd"/>
      <w:r w:rsidRPr="00D87290">
        <w:rPr>
          <w:rFonts w:ascii="Calibri" w:hAnsiTheme="minorHAnsi" w:cs="Calibri"/>
        </w:rPr>
        <w:t>: Baker Books, 2010)</w:t>
      </w:r>
    </w:p>
    <w:p w14:paraId="6029D62A" w14:textId="77777777" w:rsidR="00D87290" w:rsidRPr="00D87290" w:rsidRDefault="00D87290" w:rsidP="00D87290">
      <w:pPr>
        <w:pStyle w:val="Bibliography"/>
        <w:rPr>
          <w:rFonts w:ascii="Calibri" w:hAnsiTheme="minorHAnsi" w:cs="Calibri"/>
        </w:rPr>
      </w:pPr>
      <w:proofErr w:type="spellStart"/>
      <w:r w:rsidRPr="00D87290">
        <w:rPr>
          <w:rFonts w:ascii="Calibri" w:hAnsiTheme="minorHAnsi" w:cs="Calibri"/>
        </w:rPr>
        <w:t>O’Collins</w:t>
      </w:r>
      <w:proofErr w:type="spellEnd"/>
      <w:r w:rsidRPr="00D87290">
        <w:rPr>
          <w:rFonts w:ascii="Calibri" w:hAnsiTheme="minorHAnsi" w:cs="Calibri"/>
        </w:rPr>
        <w:t xml:space="preserve">, Gerald, </w:t>
      </w:r>
      <w:r w:rsidRPr="00D87290">
        <w:rPr>
          <w:rFonts w:ascii="Calibri" w:hAnsiTheme="minorHAnsi" w:cs="Calibri"/>
          <w:i/>
          <w:iCs/>
        </w:rPr>
        <w:t>Christology: A Biblical, Historical, and Systematic Study of Jesus Christ</w:t>
      </w:r>
      <w:r w:rsidRPr="00D87290">
        <w:rPr>
          <w:rFonts w:ascii="Calibri" w:hAnsiTheme="minorHAnsi" w:cs="Calibri"/>
        </w:rPr>
        <w:t xml:space="preserve"> (Oxford ; New York: Oxford University Press, 1995)</w:t>
      </w:r>
    </w:p>
    <w:p w14:paraId="4009F634" w14:textId="77777777" w:rsidR="00D87290" w:rsidRPr="00D87290" w:rsidRDefault="00D87290" w:rsidP="00D87290">
      <w:pPr>
        <w:pStyle w:val="Bibliography"/>
        <w:rPr>
          <w:rFonts w:ascii="Calibri" w:hAnsiTheme="minorHAnsi" w:cs="Calibri"/>
        </w:rPr>
      </w:pPr>
      <w:proofErr w:type="spellStart"/>
      <w:r w:rsidRPr="00D87290">
        <w:rPr>
          <w:rFonts w:ascii="Calibri" w:hAnsiTheme="minorHAnsi" w:cs="Calibri"/>
        </w:rPr>
        <w:t>Rahner</w:t>
      </w:r>
      <w:proofErr w:type="spellEnd"/>
      <w:r w:rsidRPr="00D87290">
        <w:rPr>
          <w:rFonts w:ascii="Calibri" w:hAnsiTheme="minorHAnsi" w:cs="Calibri"/>
        </w:rPr>
        <w:t xml:space="preserve">, Karl, and Johannes </w:t>
      </w:r>
      <w:proofErr w:type="spellStart"/>
      <w:r w:rsidRPr="00D87290">
        <w:rPr>
          <w:rFonts w:ascii="Calibri" w:hAnsiTheme="minorHAnsi" w:cs="Calibri"/>
        </w:rPr>
        <w:t>Feiner</w:t>
      </w:r>
      <w:proofErr w:type="spellEnd"/>
      <w:r w:rsidRPr="00D87290">
        <w:rPr>
          <w:rFonts w:ascii="Calibri" w:hAnsiTheme="minorHAnsi" w:cs="Calibri"/>
        </w:rPr>
        <w:t xml:space="preserve">, </w:t>
      </w:r>
      <w:r w:rsidRPr="00D87290">
        <w:rPr>
          <w:rFonts w:ascii="Calibri" w:hAnsiTheme="minorHAnsi" w:cs="Calibri"/>
          <w:i/>
          <w:iCs/>
        </w:rPr>
        <w:t>The Trinity</w:t>
      </w:r>
      <w:r w:rsidRPr="00D87290">
        <w:rPr>
          <w:rFonts w:ascii="Calibri" w:hAnsiTheme="minorHAnsi" w:cs="Calibri"/>
        </w:rPr>
        <w:t xml:space="preserve">, </w:t>
      </w:r>
      <w:proofErr w:type="spellStart"/>
      <w:r w:rsidRPr="00D87290">
        <w:rPr>
          <w:rFonts w:ascii="Calibri" w:hAnsiTheme="minorHAnsi" w:cs="Calibri"/>
        </w:rPr>
        <w:t>Mysterium</w:t>
      </w:r>
      <w:proofErr w:type="spellEnd"/>
      <w:r w:rsidRPr="00D87290">
        <w:rPr>
          <w:rFonts w:ascii="Calibri" w:hAnsiTheme="minorHAnsi" w:cs="Calibri"/>
        </w:rPr>
        <w:t xml:space="preserve"> </w:t>
      </w:r>
      <w:proofErr w:type="spellStart"/>
      <w:r w:rsidRPr="00D87290">
        <w:rPr>
          <w:rFonts w:ascii="Calibri" w:hAnsiTheme="minorHAnsi" w:cs="Calibri"/>
        </w:rPr>
        <w:t>Salutis</w:t>
      </w:r>
      <w:proofErr w:type="spellEnd"/>
      <w:r w:rsidRPr="00D87290">
        <w:rPr>
          <w:rFonts w:ascii="Calibri" w:hAnsiTheme="minorHAnsi" w:cs="Calibri"/>
        </w:rPr>
        <w:t xml:space="preserve"> (London, [New York]: Burns &amp; Oates; Herder and Herder, 1970)</w:t>
      </w:r>
    </w:p>
    <w:p w14:paraId="2F0BCAA0" w14:textId="77777777" w:rsidR="00D87290" w:rsidRPr="00D87290" w:rsidRDefault="00D87290" w:rsidP="00D87290">
      <w:pPr>
        <w:pStyle w:val="Bibliography"/>
        <w:rPr>
          <w:rFonts w:ascii="Calibri" w:hAnsiTheme="minorHAnsi" w:cs="Calibri"/>
        </w:rPr>
      </w:pPr>
      <w:proofErr w:type="spellStart"/>
      <w:r w:rsidRPr="00D87290">
        <w:rPr>
          <w:rFonts w:ascii="Calibri" w:hAnsiTheme="minorHAnsi" w:cs="Calibri"/>
        </w:rPr>
        <w:t>Thiselton</w:t>
      </w:r>
      <w:proofErr w:type="spellEnd"/>
      <w:r w:rsidRPr="00D87290">
        <w:rPr>
          <w:rFonts w:ascii="Calibri" w:hAnsiTheme="minorHAnsi" w:cs="Calibri"/>
        </w:rPr>
        <w:t xml:space="preserve">, Anthony C., </w:t>
      </w:r>
      <w:r w:rsidRPr="00D87290">
        <w:rPr>
          <w:rFonts w:ascii="Calibri" w:hAnsiTheme="minorHAnsi" w:cs="Calibri"/>
          <w:i/>
          <w:iCs/>
        </w:rPr>
        <w:t>Approaching the Study of Theology: An Introduction to Key Thinkers, Concepts, Methods and Debates</w:t>
      </w:r>
      <w:r w:rsidRPr="00D87290">
        <w:rPr>
          <w:rFonts w:ascii="Calibri" w:hAnsiTheme="minorHAnsi" w:cs="Calibri"/>
        </w:rPr>
        <w:t xml:space="preserve"> (London: SPCK, 2017)</w:t>
      </w:r>
    </w:p>
    <w:p w14:paraId="726916CB" w14:textId="77777777" w:rsidR="00D87290" w:rsidRPr="00D87290" w:rsidRDefault="00D87290" w:rsidP="00D87290">
      <w:pPr>
        <w:pStyle w:val="Bibliography"/>
        <w:rPr>
          <w:rFonts w:ascii="Calibri" w:hAnsiTheme="minorHAnsi" w:cs="Calibri"/>
        </w:rPr>
      </w:pPr>
      <w:r w:rsidRPr="00D87290">
        <w:rPr>
          <w:rFonts w:ascii="Calibri" w:hAnsiTheme="minorHAnsi" w:cs="Calibri"/>
        </w:rPr>
        <w:t xml:space="preserve">Thompson, John, </w:t>
      </w:r>
      <w:r w:rsidRPr="00D87290">
        <w:rPr>
          <w:rFonts w:ascii="Calibri" w:hAnsiTheme="minorHAnsi" w:cs="Calibri"/>
          <w:i/>
          <w:iCs/>
        </w:rPr>
        <w:t>Modern Trinitarian Perspectives</w:t>
      </w:r>
      <w:r w:rsidRPr="00D87290">
        <w:rPr>
          <w:rFonts w:ascii="Calibri" w:hAnsiTheme="minorHAnsi" w:cs="Calibri"/>
        </w:rPr>
        <w:t xml:space="preserve"> (New York: Oxford University Press, 1994)</w:t>
      </w:r>
    </w:p>
    <w:p w14:paraId="449C4C34" w14:textId="77777777" w:rsidR="00D87290" w:rsidRPr="00D87290" w:rsidRDefault="00D87290" w:rsidP="00D87290">
      <w:pPr>
        <w:pStyle w:val="Bibliography"/>
        <w:rPr>
          <w:rFonts w:ascii="Calibri" w:hAnsiTheme="minorHAnsi" w:cs="Calibri"/>
        </w:rPr>
      </w:pPr>
      <w:r w:rsidRPr="00D87290">
        <w:rPr>
          <w:rFonts w:ascii="Calibri" w:hAnsiTheme="minorHAnsi" w:cs="Calibri"/>
        </w:rPr>
        <w:t xml:space="preserve">Townend, Stuart, and Keith Getty, ‘In Christ Alone’, </w:t>
      </w:r>
      <w:r w:rsidRPr="00D87290">
        <w:rPr>
          <w:rFonts w:ascii="Calibri" w:hAnsiTheme="minorHAnsi" w:cs="Calibri"/>
          <w:i/>
          <w:iCs/>
        </w:rPr>
        <w:t>Stuart Townend</w:t>
      </w:r>
      <w:r w:rsidRPr="00D87290">
        <w:rPr>
          <w:rFonts w:ascii="Calibri" w:hAnsiTheme="minorHAnsi" w:cs="Calibri"/>
        </w:rPr>
        <w:t xml:space="preserve"> &lt;https://www.stuarttownend.co.uk/song/in-christ-alone/&gt; [accessed 18 April 2023]</w:t>
      </w:r>
    </w:p>
    <w:p w14:paraId="3B243471" w14:textId="77777777" w:rsidR="00D87290" w:rsidRPr="00D87290" w:rsidRDefault="00D87290" w:rsidP="00D87290">
      <w:pPr>
        <w:pStyle w:val="Bibliography"/>
        <w:rPr>
          <w:rFonts w:ascii="Calibri" w:hAnsiTheme="minorHAnsi" w:cs="Calibri"/>
        </w:rPr>
      </w:pPr>
      <w:proofErr w:type="spellStart"/>
      <w:r w:rsidRPr="00D87290">
        <w:rPr>
          <w:rFonts w:ascii="Calibri" w:hAnsiTheme="minorHAnsi" w:cs="Calibri"/>
        </w:rPr>
        <w:t>Vanhoozer</w:t>
      </w:r>
      <w:proofErr w:type="spellEnd"/>
      <w:r w:rsidRPr="00D87290">
        <w:rPr>
          <w:rFonts w:ascii="Calibri" w:hAnsiTheme="minorHAnsi" w:cs="Calibri"/>
        </w:rPr>
        <w:t xml:space="preserve">, Kevin J., Charles A. Anderson, and Michael J. </w:t>
      </w:r>
      <w:proofErr w:type="spellStart"/>
      <w:r w:rsidRPr="00D87290">
        <w:rPr>
          <w:rFonts w:ascii="Calibri" w:hAnsiTheme="minorHAnsi" w:cs="Calibri"/>
        </w:rPr>
        <w:t>Sleasman</w:t>
      </w:r>
      <w:proofErr w:type="spellEnd"/>
      <w:r w:rsidRPr="00D87290">
        <w:rPr>
          <w:rFonts w:ascii="Calibri" w:hAnsiTheme="minorHAnsi" w:cs="Calibri"/>
        </w:rPr>
        <w:t xml:space="preserve">, eds., </w:t>
      </w:r>
      <w:r w:rsidRPr="00D87290">
        <w:rPr>
          <w:rFonts w:ascii="Calibri" w:hAnsiTheme="minorHAnsi" w:cs="Calibri"/>
          <w:i/>
          <w:iCs/>
        </w:rPr>
        <w:t>Everyday Theology: How to Read Cultural Texts and Interpret Trends</w:t>
      </w:r>
      <w:r w:rsidRPr="00D87290">
        <w:rPr>
          <w:rFonts w:ascii="Calibri" w:hAnsiTheme="minorHAnsi" w:cs="Calibri"/>
        </w:rPr>
        <w:t xml:space="preserve">, Cultural Exegesis (Grand Rapids, </w:t>
      </w:r>
      <w:proofErr w:type="spellStart"/>
      <w:r w:rsidRPr="00D87290">
        <w:rPr>
          <w:rFonts w:ascii="Calibri" w:hAnsiTheme="minorHAnsi" w:cs="Calibri"/>
        </w:rPr>
        <w:t>Mich</w:t>
      </w:r>
      <w:proofErr w:type="spellEnd"/>
      <w:r w:rsidRPr="00D87290">
        <w:rPr>
          <w:rFonts w:ascii="Calibri" w:hAnsiTheme="minorHAnsi" w:cs="Calibri"/>
        </w:rPr>
        <w:t>: Baker Academic, 2007)</w:t>
      </w:r>
    </w:p>
    <w:p w14:paraId="76FCACD0" w14:textId="77777777" w:rsidR="00D87290" w:rsidRPr="00D87290" w:rsidRDefault="00D87290" w:rsidP="00D87290">
      <w:pPr>
        <w:pStyle w:val="Bibliography"/>
        <w:rPr>
          <w:rFonts w:ascii="Calibri" w:hAnsiTheme="minorHAnsi" w:cs="Calibri"/>
        </w:rPr>
      </w:pPr>
      <w:proofErr w:type="spellStart"/>
      <w:r w:rsidRPr="00D87290">
        <w:rPr>
          <w:rFonts w:ascii="Calibri" w:hAnsiTheme="minorHAnsi" w:cs="Calibri"/>
        </w:rPr>
        <w:t>Volf</w:t>
      </w:r>
      <w:proofErr w:type="spellEnd"/>
      <w:r w:rsidRPr="00D87290">
        <w:rPr>
          <w:rFonts w:ascii="Calibri" w:hAnsiTheme="minorHAnsi" w:cs="Calibri"/>
        </w:rPr>
        <w:t xml:space="preserve">, Miroslav, </w:t>
      </w:r>
      <w:r w:rsidRPr="00D87290">
        <w:rPr>
          <w:rFonts w:ascii="Calibri" w:hAnsiTheme="minorHAnsi" w:cs="Calibri"/>
          <w:i/>
          <w:iCs/>
        </w:rPr>
        <w:t>After Our Likeness: The Church as the Image of the Trinity</w:t>
      </w:r>
      <w:r w:rsidRPr="00D87290">
        <w:rPr>
          <w:rFonts w:ascii="Calibri" w:hAnsiTheme="minorHAnsi" w:cs="Calibri"/>
        </w:rPr>
        <w:t xml:space="preserve">, Sacra </w:t>
      </w:r>
      <w:proofErr w:type="spellStart"/>
      <w:r w:rsidRPr="00D87290">
        <w:rPr>
          <w:rFonts w:ascii="Calibri" w:hAnsiTheme="minorHAnsi" w:cs="Calibri"/>
        </w:rPr>
        <w:t>Doctrina</w:t>
      </w:r>
      <w:proofErr w:type="spellEnd"/>
      <w:r w:rsidRPr="00D87290">
        <w:rPr>
          <w:rFonts w:ascii="Calibri" w:hAnsiTheme="minorHAnsi" w:cs="Calibri"/>
        </w:rPr>
        <w:t xml:space="preserve"> (Grand Rapids, </w:t>
      </w:r>
      <w:proofErr w:type="spellStart"/>
      <w:r w:rsidRPr="00D87290">
        <w:rPr>
          <w:rFonts w:ascii="Calibri" w:hAnsiTheme="minorHAnsi" w:cs="Calibri"/>
        </w:rPr>
        <w:t>Mich</w:t>
      </w:r>
      <w:proofErr w:type="spellEnd"/>
      <w:r w:rsidRPr="00D87290">
        <w:rPr>
          <w:rFonts w:ascii="Calibri" w:hAnsiTheme="minorHAnsi" w:cs="Calibri"/>
        </w:rPr>
        <w:t>: William B. Eerdmans, 1998)</w:t>
      </w:r>
    </w:p>
    <w:p w14:paraId="567E98A1" w14:textId="77777777" w:rsidR="00D87290" w:rsidRPr="00D87290" w:rsidRDefault="00D87290" w:rsidP="00D87290">
      <w:pPr>
        <w:pStyle w:val="Bibliography"/>
        <w:rPr>
          <w:rFonts w:ascii="Calibri" w:hAnsiTheme="minorHAnsi" w:cs="Calibri"/>
        </w:rPr>
      </w:pPr>
      <w:r w:rsidRPr="00D87290">
        <w:rPr>
          <w:rFonts w:ascii="Calibri" w:hAnsiTheme="minorHAnsi" w:cs="Calibri"/>
        </w:rPr>
        <w:lastRenderedPageBreak/>
        <w:t xml:space="preserve">Williams, Rowan, </w:t>
      </w:r>
      <w:r w:rsidRPr="00D87290">
        <w:rPr>
          <w:rFonts w:ascii="Calibri" w:hAnsiTheme="minorHAnsi" w:cs="Calibri"/>
          <w:i/>
          <w:iCs/>
        </w:rPr>
        <w:t xml:space="preserve">‘Balthasar and the Trinity’ in The Cambridge Companion to Hans </w:t>
      </w:r>
      <w:proofErr w:type="spellStart"/>
      <w:r w:rsidRPr="00D87290">
        <w:rPr>
          <w:rFonts w:ascii="Calibri" w:hAnsiTheme="minorHAnsi" w:cs="Calibri"/>
          <w:i/>
          <w:iCs/>
        </w:rPr>
        <w:t>Urs</w:t>
      </w:r>
      <w:proofErr w:type="spellEnd"/>
      <w:r w:rsidRPr="00D87290">
        <w:rPr>
          <w:rFonts w:ascii="Calibri" w:hAnsiTheme="minorHAnsi" w:cs="Calibri"/>
          <w:i/>
          <w:iCs/>
        </w:rPr>
        <w:t xml:space="preserve"> von Balthasar</w:t>
      </w:r>
      <w:r w:rsidRPr="00D87290">
        <w:rPr>
          <w:rFonts w:ascii="Calibri" w:hAnsiTheme="minorHAnsi" w:cs="Calibri"/>
        </w:rPr>
        <w:t>, ed. by Edward T. Oakes and David Moss, Cambridge Companions to Religion (Cambridge, U.K. ; New York: Cambridge University Press, 2004)</w:t>
      </w:r>
    </w:p>
    <w:p w14:paraId="51B23613" w14:textId="77777777" w:rsidR="00D87290" w:rsidRPr="00D87290" w:rsidRDefault="00D87290" w:rsidP="00D87290">
      <w:pPr>
        <w:pStyle w:val="Bibliography"/>
        <w:rPr>
          <w:rFonts w:ascii="Calibri" w:hAnsiTheme="minorHAnsi" w:cs="Calibri"/>
        </w:rPr>
      </w:pPr>
      <w:r w:rsidRPr="00D87290">
        <w:rPr>
          <w:rFonts w:ascii="Calibri" w:hAnsiTheme="minorHAnsi" w:cs="Calibri"/>
        </w:rPr>
        <w:t xml:space="preserve">Williams, Thomas, ‘Saint Anselm’, in </w:t>
      </w:r>
      <w:r w:rsidRPr="00D87290">
        <w:rPr>
          <w:rFonts w:ascii="Calibri" w:hAnsiTheme="minorHAnsi" w:cs="Calibri"/>
          <w:i/>
          <w:iCs/>
        </w:rPr>
        <w:t xml:space="preserve">The Stanford </w:t>
      </w:r>
      <w:proofErr w:type="spellStart"/>
      <w:r w:rsidRPr="00D87290">
        <w:rPr>
          <w:rFonts w:ascii="Calibri" w:hAnsiTheme="minorHAnsi" w:cs="Calibri"/>
          <w:i/>
          <w:iCs/>
        </w:rPr>
        <w:t>Encyclopedia</w:t>
      </w:r>
      <w:proofErr w:type="spellEnd"/>
      <w:r w:rsidRPr="00D87290">
        <w:rPr>
          <w:rFonts w:ascii="Calibri" w:hAnsiTheme="minorHAnsi" w:cs="Calibri"/>
          <w:i/>
          <w:iCs/>
        </w:rPr>
        <w:t xml:space="preserve"> of Philosophy</w:t>
      </w:r>
      <w:r w:rsidRPr="00D87290">
        <w:rPr>
          <w:rFonts w:ascii="Calibri" w:hAnsiTheme="minorHAnsi" w:cs="Calibri"/>
        </w:rPr>
        <w:t xml:space="preserve">, ed. by Edward N. </w:t>
      </w:r>
      <w:proofErr w:type="spellStart"/>
      <w:r w:rsidRPr="00D87290">
        <w:rPr>
          <w:rFonts w:ascii="Calibri" w:hAnsiTheme="minorHAnsi" w:cs="Calibri"/>
        </w:rPr>
        <w:t>Zalta</w:t>
      </w:r>
      <w:proofErr w:type="spellEnd"/>
      <w:r w:rsidRPr="00D87290">
        <w:rPr>
          <w:rFonts w:ascii="Calibri" w:hAnsiTheme="minorHAnsi" w:cs="Calibri"/>
        </w:rPr>
        <w:t>, Winter 2020 (Metaphysics Research Lab, Stanford University, 2020) &lt;https://plato.stanford.edu/archives/win2020/entries/anselm/&gt; [accessed 4 May 2023]</w:t>
      </w:r>
    </w:p>
    <w:p w14:paraId="3CD14BB9" w14:textId="77777777" w:rsidR="00D87290" w:rsidRPr="00D87290" w:rsidRDefault="00D87290" w:rsidP="00D87290">
      <w:pPr>
        <w:pStyle w:val="Bibliography"/>
        <w:rPr>
          <w:rFonts w:ascii="Calibri" w:hAnsiTheme="minorHAnsi" w:cs="Calibri"/>
        </w:rPr>
      </w:pPr>
      <w:r w:rsidRPr="00D87290">
        <w:rPr>
          <w:rFonts w:ascii="Calibri" w:hAnsiTheme="minorHAnsi" w:cs="Calibri"/>
        </w:rPr>
        <w:t xml:space="preserve">Zikmund, Barbara Brown, ‘The Trinity and Women’s Experience’, </w:t>
      </w:r>
      <w:r w:rsidRPr="00D87290">
        <w:rPr>
          <w:rFonts w:ascii="Calibri" w:hAnsiTheme="minorHAnsi" w:cs="Calibri"/>
          <w:i/>
          <w:iCs/>
        </w:rPr>
        <w:t>The Christian Century (1902)</w:t>
      </w:r>
      <w:r w:rsidRPr="00D87290">
        <w:rPr>
          <w:rFonts w:ascii="Calibri" w:hAnsiTheme="minorHAnsi" w:cs="Calibri"/>
        </w:rPr>
        <w:t>, 104.12 (1987), 354</w:t>
      </w:r>
    </w:p>
    <w:p w14:paraId="2BBAFD1E" w14:textId="497BD557" w:rsidR="00BE1FB2" w:rsidRPr="000E5F58" w:rsidRDefault="00BE1FB2" w:rsidP="00BE1FB2">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u w:color="0000E9"/>
          <w:bdr w:val="none" w:sz="0" w:space="0" w:color="auto"/>
          <w14:ligatures w14:val="standardContextual"/>
        </w:rPr>
      </w:pPr>
      <w:r w:rsidRPr="000E5F58">
        <w:rPr>
          <w:rFonts w:asciiTheme="minorHAnsi" w:eastAsiaTheme="minorHAnsi" w:hAnsiTheme="minorHAnsi" w:cstheme="minorHAnsi"/>
          <w:u w:color="0000E9"/>
          <w:bdr w:val="none" w:sz="0" w:space="0" w:color="auto"/>
          <w14:ligatures w14:val="standardContextual"/>
        </w:rPr>
        <w:fldChar w:fldCharType="end"/>
      </w:r>
    </w:p>
    <w:p w14:paraId="3F8D3646" w14:textId="77777777" w:rsidR="00BE1FB2" w:rsidRPr="000E5F58" w:rsidRDefault="00BE1FB2" w:rsidP="00BE1FB2">
      <w:pPr>
        <w:pStyle w:val="Heading1"/>
        <w:spacing w:line="300" w:lineRule="auto"/>
        <w:rPr>
          <w:rFonts w:asciiTheme="minorHAnsi" w:eastAsiaTheme="minorHAnsi" w:hAnsiTheme="minorHAnsi" w:cstheme="minorHAnsi"/>
          <w:b/>
          <w:bCs/>
          <w:color w:val="auto"/>
          <w:sz w:val="24"/>
          <w:szCs w:val="24"/>
          <w:u w:color="0000E9"/>
          <w:bdr w:val="none" w:sz="0" w:space="0" w:color="auto"/>
        </w:rPr>
      </w:pPr>
      <w:bookmarkStart w:id="7" w:name="_Toc134728154"/>
      <w:r w:rsidRPr="000E5F58">
        <w:rPr>
          <w:rFonts w:asciiTheme="minorHAnsi" w:eastAsiaTheme="minorHAnsi" w:hAnsiTheme="minorHAnsi" w:cstheme="minorHAnsi"/>
          <w:b/>
          <w:bCs/>
          <w:color w:val="auto"/>
          <w:sz w:val="24"/>
          <w:szCs w:val="24"/>
          <w:u w:color="0000E9"/>
          <w:bdr w:val="none" w:sz="0" w:space="0" w:color="auto"/>
        </w:rPr>
        <w:t>Other Resources Consulted</w:t>
      </w:r>
      <w:bookmarkEnd w:id="7"/>
    </w:p>
    <w:p w14:paraId="2767F51F" w14:textId="77777777" w:rsidR="00BE1FB2" w:rsidRPr="000E5F58" w:rsidRDefault="00BE1FB2" w:rsidP="00BE1FB2">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u w:color="0000E9"/>
          <w:bdr w:val="none" w:sz="0" w:space="0" w:color="auto"/>
          <w14:ligatures w14:val="standardContextual"/>
        </w:rPr>
      </w:pPr>
    </w:p>
    <w:p w14:paraId="5A3369FF" w14:textId="77777777" w:rsidR="00BE1FB2" w:rsidRPr="000E5F58" w:rsidRDefault="00BE1FB2" w:rsidP="00BE1FB2">
      <w:pPr>
        <w:pStyle w:val="Bibliography"/>
        <w:spacing w:line="300" w:lineRule="auto"/>
        <w:rPr>
          <w:rFonts w:asciiTheme="minorHAnsi" w:hAnsiTheme="minorHAnsi" w:cstheme="minorHAnsi"/>
        </w:rPr>
      </w:pPr>
      <w:r w:rsidRPr="000E5F58">
        <w:rPr>
          <w:rFonts w:asciiTheme="minorHAnsi" w:hAnsiTheme="minorHAnsi" w:cstheme="minorHAnsi"/>
        </w:rPr>
        <w:t xml:space="preserve">Balthasar, Hans </w:t>
      </w:r>
      <w:proofErr w:type="spellStart"/>
      <w:r w:rsidRPr="000E5F58">
        <w:rPr>
          <w:rFonts w:asciiTheme="minorHAnsi" w:hAnsiTheme="minorHAnsi" w:cstheme="minorHAnsi"/>
        </w:rPr>
        <w:t>Urs</w:t>
      </w:r>
      <w:proofErr w:type="spellEnd"/>
      <w:r w:rsidRPr="000E5F58">
        <w:rPr>
          <w:rFonts w:asciiTheme="minorHAnsi" w:hAnsiTheme="minorHAnsi" w:cstheme="minorHAnsi"/>
        </w:rPr>
        <w:t xml:space="preserve"> von, </w:t>
      </w:r>
      <w:proofErr w:type="spellStart"/>
      <w:r w:rsidRPr="000E5F58">
        <w:rPr>
          <w:rFonts w:asciiTheme="minorHAnsi" w:hAnsiTheme="minorHAnsi" w:cstheme="minorHAnsi"/>
          <w:i/>
          <w:iCs/>
        </w:rPr>
        <w:t>Mysterium</w:t>
      </w:r>
      <w:proofErr w:type="spellEnd"/>
      <w:r w:rsidRPr="000E5F58">
        <w:rPr>
          <w:rFonts w:asciiTheme="minorHAnsi" w:hAnsiTheme="minorHAnsi" w:cstheme="minorHAnsi"/>
          <w:i/>
          <w:iCs/>
        </w:rPr>
        <w:t xml:space="preserve"> </w:t>
      </w:r>
      <w:proofErr w:type="spellStart"/>
      <w:r w:rsidRPr="000E5F58">
        <w:rPr>
          <w:rFonts w:asciiTheme="minorHAnsi" w:hAnsiTheme="minorHAnsi" w:cstheme="minorHAnsi"/>
          <w:i/>
          <w:iCs/>
        </w:rPr>
        <w:t>Paschale</w:t>
      </w:r>
      <w:proofErr w:type="spellEnd"/>
      <w:r w:rsidRPr="000E5F58">
        <w:rPr>
          <w:rFonts w:asciiTheme="minorHAnsi" w:hAnsiTheme="minorHAnsi" w:cstheme="minorHAnsi"/>
          <w:i/>
          <w:iCs/>
        </w:rPr>
        <w:t xml:space="preserve"> =: The Mystery of Easter</w:t>
      </w:r>
      <w:r w:rsidRPr="000E5F58">
        <w:rPr>
          <w:rFonts w:asciiTheme="minorHAnsi" w:hAnsiTheme="minorHAnsi" w:cstheme="minorHAnsi"/>
        </w:rPr>
        <w:t xml:space="preserve"> (San Francisco: Ignatius Press, 2000)</w:t>
      </w:r>
    </w:p>
    <w:p w14:paraId="01763D46" w14:textId="0299EAAC" w:rsidR="00BE1FB2" w:rsidRPr="001E5CCF" w:rsidRDefault="00BE1FB2" w:rsidP="00BE1FB2">
      <w:pPr>
        <w:pStyle w:val="Bibliography"/>
        <w:spacing w:line="300" w:lineRule="auto"/>
        <w:rPr>
          <w:rFonts w:asciiTheme="minorHAnsi" w:hAnsiTheme="minorHAnsi" w:cstheme="minorHAnsi"/>
        </w:rPr>
      </w:pPr>
      <w:r w:rsidRPr="001E5CCF">
        <w:rPr>
          <w:rFonts w:asciiTheme="minorHAnsi" w:hAnsiTheme="minorHAnsi" w:cstheme="minorHAnsi"/>
        </w:rPr>
        <w:t xml:space="preserve">Lombardo, Nicholas E., ‘Anselm and Cur Deus Homo’, in </w:t>
      </w:r>
      <w:r w:rsidRPr="001E5CCF">
        <w:rPr>
          <w:rFonts w:asciiTheme="minorHAnsi" w:hAnsiTheme="minorHAnsi" w:cstheme="minorHAnsi"/>
          <w:i/>
          <w:iCs/>
        </w:rPr>
        <w:t>The Father’s Will: Christ’s Crucifixion and the Goodness of God</w:t>
      </w:r>
      <w:r w:rsidRPr="001E5CCF">
        <w:rPr>
          <w:rFonts w:asciiTheme="minorHAnsi" w:hAnsiTheme="minorHAnsi" w:cstheme="minorHAnsi"/>
        </w:rPr>
        <w:t xml:space="preserve">, ed. by Nicholas E. Lombardo (Oxford University Press, 2013), </w:t>
      </w:r>
      <w:r w:rsidR="008B72C9" w:rsidRPr="001E5CCF">
        <w:rPr>
          <w:rFonts w:asciiTheme="minorHAnsi" w:hAnsiTheme="minorHAnsi" w:cstheme="minorHAnsi"/>
        </w:rPr>
        <w:t>145-167</w:t>
      </w:r>
      <w:r w:rsidRPr="001E5CCF">
        <w:rPr>
          <w:rFonts w:asciiTheme="minorHAnsi" w:hAnsiTheme="minorHAnsi" w:cstheme="minorHAnsi"/>
        </w:rPr>
        <w:t xml:space="preserve"> </w:t>
      </w:r>
      <w:hyperlink r:id="rId8" w:history="1">
        <w:r w:rsidRPr="001E5CCF">
          <w:rPr>
            <w:rStyle w:val="Hyperlink"/>
            <w:rFonts w:asciiTheme="minorHAnsi" w:hAnsiTheme="minorHAnsi" w:cstheme="minorHAnsi"/>
            <w:color w:val="auto"/>
          </w:rPr>
          <w:t>https://doi.org</w:t>
        </w:r>
        <w:r w:rsidRPr="001E5CCF">
          <w:rPr>
            <w:rStyle w:val="Hyperlink"/>
            <w:rFonts w:asciiTheme="minorHAnsi" w:hAnsiTheme="minorHAnsi" w:cstheme="minorHAnsi"/>
            <w:color w:val="auto"/>
          </w:rPr>
          <w:t>/</w:t>
        </w:r>
        <w:r w:rsidRPr="001E5CCF">
          <w:rPr>
            <w:rStyle w:val="Hyperlink"/>
            <w:rFonts w:asciiTheme="minorHAnsi" w:hAnsiTheme="minorHAnsi" w:cstheme="minorHAnsi"/>
            <w:color w:val="auto"/>
          </w:rPr>
          <w:t>10.1093/acprof:oso/9780199688586.003.0009</w:t>
        </w:r>
      </w:hyperlink>
    </w:p>
    <w:p w14:paraId="30194D8B" w14:textId="48D82679" w:rsidR="00BE1FB2" w:rsidRPr="000E5F58" w:rsidRDefault="00BE1FB2" w:rsidP="00BE1FB2">
      <w:pPr>
        <w:pStyle w:val="Bibliography"/>
        <w:spacing w:line="300" w:lineRule="auto"/>
        <w:rPr>
          <w:rFonts w:asciiTheme="minorHAnsi" w:hAnsiTheme="minorHAnsi" w:cstheme="minorHAnsi"/>
        </w:rPr>
      </w:pPr>
      <w:r w:rsidRPr="001E5CCF">
        <w:rPr>
          <w:rFonts w:asciiTheme="minorHAnsi" w:hAnsiTheme="minorHAnsi" w:cstheme="minorHAnsi"/>
        </w:rPr>
        <w:t xml:space="preserve">Mann, William E., ‘Anselm on the Trinity’, in </w:t>
      </w:r>
      <w:r w:rsidRPr="001E5CCF">
        <w:rPr>
          <w:rFonts w:asciiTheme="minorHAnsi" w:hAnsiTheme="minorHAnsi" w:cstheme="minorHAnsi"/>
          <w:i/>
          <w:iCs/>
        </w:rPr>
        <w:t>God, Belief, and Perplexity</w:t>
      </w:r>
      <w:r w:rsidRPr="001E5CCF">
        <w:rPr>
          <w:rFonts w:asciiTheme="minorHAnsi" w:hAnsiTheme="minorHAnsi" w:cstheme="minorHAnsi"/>
        </w:rPr>
        <w:t xml:space="preserve">, ed. by William E. Mann (Oxford University Press, 2016), </w:t>
      </w:r>
      <w:r w:rsidR="008B72C9" w:rsidRPr="001E5CCF">
        <w:rPr>
          <w:rFonts w:asciiTheme="minorHAnsi" w:hAnsiTheme="minorHAnsi" w:cstheme="minorHAnsi"/>
        </w:rPr>
        <w:t>231-250</w:t>
      </w:r>
      <w:r w:rsidRPr="001E5CCF">
        <w:rPr>
          <w:rFonts w:asciiTheme="minorHAnsi" w:hAnsiTheme="minorHAnsi" w:cstheme="minorHAnsi"/>
        </w:rPr>
        <w:t xml:space="preserve"> &lt;</w:t>
      </w:r>
      <w:bookmarkStart w:id="8" w:name="OLE_LINK3"/>
      <w:bookmarkStart w:id="9" w:name="OLE_LINK4"/>
      <w:r w:rsidRPr="001E5CCF">
        <w:rPr>
          <w:rFonts w:asciiTheme="minorHAnsi" w:hAnsiTheme="minorHAnsi" w:cstheme="minorHAnsi"/>
        </w:rPr>
        <w:t>https://doi.org/10.1093/acprof:oso/9780190459208.003.0015</w:t>
      </w:r>
      <w:bookmarkEnd w:id="8"/>
      <w:bookmarkEnd w:id="9"/>
      <w:r w:rsidRPr="001E5CCF">
        <w:rPr>
          <w:rFonts w:asciiTheme="minorHAnsi" w:hAnsiTheme="minorHAnsi" w:cstheme="minorHAnsi"/>
        </w:rPr>
        <w:t>&gt;</w:t>
      </w:r>
    </w:p>
    <w:p w14:paraId="55C0A04B" w14:textId="77777777" w:rsidR="00BE1FB2" w:rsidRPr="000E5F58" w:rsidRDefault="00BE1FB2" w:rsidP="00BE1FB2">
      <w:pPr>
        <w:pStyle w:val="Bibliography"/>
        <w:spacing w:line="300" w:lineRule="auto"/>
        <w:rPr>
          <w:rFonts w:asciiTheme="minorHAnsi" w:hAnsiTheme="minorHAnsi" w:cstheme="minorHAnsi"/>
        </w:rPr>
      </w:pPr>
      <w:proofErr w:type="spellStart"/>
      <w:r w:rsidRPr="000E5F58">
        <w:rPr>
          <w:rFonts w:asciiTheme="minorHAnsi" w:hAnsiTheme="minorHAnsi" w:cstheme="minorHAnsi"/>
        </w:rPr>
        <w:t>Novikoff</w:t>
      </w:r>
      <w:proofErr w:type="spellEnd"/>
      <w:r w:rsidRPr="000E5F58">
        <w:rPr>
          <w:rFonts w:asciiTheme="minorHAnsi" w:hAnsiTheme="minorHAnsi" w:cstheme="minorHAnsi"/>
        </w:rPr>
        <w:t xml:space="preserve">, Alex J., ‘Anselm, Dialogue, and the Rise of Scholastic Disputation’, </w:t>
      </w:r>
      <w:r w:rsidRPr="000E5F58">
        <w:rPr>
          <w:rFonts w:asciiTheme="minorHAnsi" w:hAnsiTheme="minorHAnsi" w:cstheme="minorHAnsi"/>
          <w:i/>
          <w:iCs/>
        </w:rPr>
        <w:t>Speculum</w:t>
      </w:r>
      <w:r w:rsidRPr="000E5F58">
        <w:rPr>
          <w:rFonts w:asciiTheme="minorHAnsi" w:hAnsiTheme="minorHAnsi" w:cstheme="minorHAnsi"/>
        </w:rPr>
        <w:t>, 86.2 (2011), 387–418</w:t>
      </w:r>
    </w:p>
    <w:p w14:paraId="59D23792" w14:textId="77777777" w:rsidR="00BE1FB2" w:rsidRPr="000E5F58" w:rsidRDefault="00BE1FB2" w:rsidP="00BE1FB2">
      <w:pPr>
        <w:pStyle w:val="Bibliography"/>
        <w:spacing w:line="300" w:lineRule="auto"/>
        <w:rPr>
          <w:rFonts w:asciiTheme="minorHAnsi" w:hAnsiTheme="minorHAnsi" w:cstheme="minorHAnsi"/>
        </w:rPr>
      </w:pPr>
      <w:r w:rsidRPr="001E5CCF">
        <w:rPr>
          <w:rFonts w:asciiTheme="minorHAnsi" w:hAnsiTheme="minorHAnsi" w:cstheme="minorHAnsi"/>
        </w:rPr>
        <w:t xml:space="preserve">‘Penal Substitutionary Atonement | </w:t>
      </w:r>
      <w:proofErr w:type="spellStart"/>
      <w:r w:rsidRPr="001E5CCF">
        <w:rPr>
          <w:rFonts w:asciiTheme="minorHAnsi" w:hAnsiTheme="minorHAnsi" w:cstheme="minorHAnsi"/>
        </w:rPr>
        <w:t>Theopedia</w:t>
      </w:r>
      <w:proofErr w:type="spellEnd"/>
      <w:r w:rsidRPr="001E5CCF">
        <w:rPr>
          <w:rFonts w:asciiTheme="minorHAnsi" w:hAnsiTheme="minorHAnsi" w:cstheme="minorHAnsi"/>
        </w:rPr>
        <w:t>’ &lt;https://www.theopedia.com/penal-substitutionary-atonement&gt; [accessed 28 March 2023]</w:t>
      </w:r>
    </w:p>
    <w:p w14:paraId="36934A7F" w14:textId="77777777" w:rsidR="00D87290" w:rsidRPr="00D87290" w:rsidRDefault="00D87290" w:rsidP="00D87290">
      <w:pPr>
        <w:pStyle w:val="Bibliography"/>
        <w:rPr>
          <w:rFonts w:ascii="Calibri" w:hAnsiTheme="minorHAnsi" w:cs="Calibri"/>
        </w:rPr>
      </w:pPr>
      <w:proofErr w:type="spellStart"/>
      <w:r w:rsidRPr="00D87290">
        <w:rPr>
          <w:rFonts w:ascii="Calibri" w:hAnsiTheme="minorHAnsi" w:cs="Calibri"/>
        </w:rPr>
        <w:t>Rahner</w:t>
      </w:r>
      <w:proofErr w:type="spellEnd"/>
      <w:r w:rsidRPr="00D87290">
        <w:rPr>
          <w:rFonts w:ascii="Calibri" w:hAnsiTheme="minorHAnsi" w:cs="Calibri"/>
        </w:rPr>
        <w:t xml:space="preserve">, Karl, and </w:t>
      </w:r>
      <w:proofErr w:type="spellStart"/>
      <w:r w:rsidRPr="00D87290">
        <w:rPr>
          <w:rFonts w:ascii="Calibri" w:hAnsiTheme="minorHAnsi" w:cs="Calibri"/>
        </w:rPr>
        <w:t>Meinold</w:t>
      </w:r>
      <w:proofErr w:type="spellEnd"/>
      <w:r w:rsidRPr="00D87290">
        <w:rPr>
          <w:rFonts w:ascii="Calibri" w:hAnsiTheme="minorHAnsi" w:cs="Calibri"/>
        </w:rPr>
        <w:t xml:space="preserve"> Krauss, </w:t>
      </w:r>
      <w:r w:rsidRPr="00D87290">
        <w:rPr>
          <w:rFonts w:ascii="Calibri" w:hAnsiTheme="minorHAnsi" w:cs="Calibri"/>
          <w:i/>
          <w:iCs/>
        </w:rPr>
        <w:t xml:space="preserve">I Remember: An Autobiographical Interview with </w:t>
      </w:r>
      <w:proofErr w:type="spellStart"/>
      <w:r w:rsidRPr="00D87290">
        <w:rPr>
          <w:rFonts w:ascii="Calibri" w:hAnsiTheme="minorHAnsi" w:cs="Calibri"/>
          <w:i/>
          <w:iCs/>
        </w:rPr>
        <w:t>Meinold</w:t>
      </w:r>
      <w:proofErr w:type="spellEnd"/>
      <w:r w:rsidRPr="00D87290">
        <w:rPr>
          <w:rFonts w:ascii="Calibri" w:hAnsiTheme="minorHAnsi" w:cs="Calibri"/>
          <w:i/>
          <w:iCs/>
        </w:rPr>
        <w:t xml:space="preserve"> Krauss</w:t>
      </w:r>
      <w:r w:rsidRPr="00D87290">
        <w:rPr>
          <w:rFonts w:ascii="Calibri" w:hAnsiTheme="minorHAnsi" w:cs="Calibri"/>
        </w:rPr>
        <w:t xml:space="preserve"> (London: SCM Press, 1985)</w:t>
      </w:r>
    </w:p>
    <w:p w14:paraId="62BF4B80" w14:textId="77777777" w:rsidR="00BE1FB2" w:rsidRPr="000E5F58" w:rsidRDefault="00BE1FB2" w:rsidP="00BE1FB2">
      <w:pPr>
        <w:pStyle w:val="Bibliography"/>
        <w:spacing w:line="300" w:lineRule="auto"/>
        <w:rPr>
          <w:rFonts w:asciiTheme="minorHAnsi" w:hAnsiTheme="minorHAnsi" w:cstheme="minorHAnsi"/>
        </w:rPr>
      </w:pPr>
      <w:proofErr w:type="spellStart"/>
      <w:r w:rsidRPr="00D87290">
        <w:rPr>
          <w:rFonts w:asciiTheme="minorHAnsi" w:hAnsiTheme="minorHAnsi" w:cstheme="minorHAnsi"/>
        </w:rPr>
        <w:t>Rishmawy</w:t>
      </w:r>
      <w:proofErr w:type="spellEnd"/>
      <w:r w:rsidRPr="00D87290">
        <w:rPr>
          <w:rFonts w:asciiTheme="minorHAnsi" w:hAnsiTheme="minorHAnsi" w:cstheme="minorHAnsi"/>
        </w:rPr>
        <w:t xml:space="preserve">, Derek, ‘Calvin’s Multi-Faceted Atonement’, </w:t>
      </w:r>
      <w:r w:rsidRPr="00D87290">
        <w:rPr>
          <w:rFonts w:asciiTheme="minorHAnsi" w:hAnsiTheme="minorHAnsi" w:cstheme="minorHAnsi"/>
          <w:i/>
          <w:iCs/>
        </w:rPr>
        <w:t>The Gospel Coalition</w:t>
      </w:r>
      <w:r w:rsidRPr="00D87290">
        <w:rPr>
          <w:rFonts w:asciiTheme="minorHAnsi" w:hAnsiTheme="minorHAnsi" w:cstheme="minorHAnsi"/>
        </w:rPr>
        <w:t>, 2017 &lt;https://www.thegospelcoalition.org/article/calvins-multi-faceted-atonement/&gt; [accessed 29 March 2023]</w:t>
      </w:r>
    </w:p>
    <w:p w14:paraId="5FC0537A" w14:textId="77777777" w:rsidR="00BE1FB2" w:rsidRPr="000E5F58" w:rsidRDefault="00BE1FB2" w:rsidP="00BE1FB2">
      <w:pPr>
        <w:pStyle w:val="Bibliography"/>
        <w:spacing w:line="300" w:lineRule="auto"/>
        <w:rPr>
          <w:rFonts w:asciiTheme="minorHAnsi" w:hAnsiTheme="minorHAnsi" w:cstheme="minorHAnsi"/>
        </w:rPr>
      </w:pPr>
      <w:r w:rsidRPr="000E5F58">
        <w:rPr>
          <w:rFonts w:asciiTheme="minorHAnsi" w:hAnsiTheme="minorHAnsi" w:cstheme="minorHAnsi"/>
        </w:rPr>
        <w:t xml:space="preserve">Root, Michael, ‘Necessity and </w:t>
      </w:r>
      <w:proofErr w:type="spellStart"/>
      <w:r w:rsidRPr="000E5F58">
        <w:rPr>
          <w:rFonts w:asciiTheme="minorHAnsi" w:hAnsiTheme="minorHAnsi" w:cstheme="minorHAnsi"/>
        </w:rPr>
        <w:t>Unfittingness</w:t>
      </w:r>
      <w:proofErr w:type="spellEnd"/>
      <w:r w:rsidRPr="000E5F58">
        <w:rPr>
          <w:rFonts w:asciiTheme="minorHAnsi" w:hAnsiTheme="minorHAnsi" w:cstheme="minorHAnsi"/>
        </w:rPr>
        <w:t xml:space="preserve"> in Anselm’s Cur Deus Homo’, </w:t>
      </w:r>
      <w:r w:rsidRPr="000E5F58">
        <w:rPr>
          <w:rFonts w:asciiTheme="minorHAnsi" w:hAnsiTheme="minorHAnsi" w:cstheme="minorHAnsi"/>
          <w:i/>
          <w:iCs/>
        </w:rPr>
        <w:t>Scottish Journal of Theology</w:t>
      </w:r>
      <w:r w:rsidRPr="000E5F58">
        <w:rPr>
          <w:rFonts w:asciiTheme="minorHAnsi" w:hAnsiTheme="minorHAnsi" w:cstheme="minorHAnsi"/>
        </w:rPr>
        <w:t>, 40.2 (1987), 211–30 &lt;https://doi.org/10.1017/S0036930600017531&gt;</w:t>
      </w:r>
    </w:p>
    <w:p w14:paraId="704F5153" w14:textId="77777777" w:rsidR="00BE1FB2" w:rsidRPr="000E5F58" w:rsidRDefault="00BE1FB2" w:rsidP="00BE1FB2">
      <w:pPr>
        <w:pStyle w:val="Bibliography"/>
        <w:spacing w:line="300" w:lineRule="auto"/>
        <w:rPr>
          <w:rFonts w:asciiTheme="minorHAnsi" w:hAnsiTheme="minorHAnsi" w:cstheme="minorHAnsi"/>
        </w:rPr>
      </w:pPr>
      <w:r w:rsidRPr="000E5F58">
        <w:rPr>
          <w:rFonts w:asciiTheme="minorHAnsi" w:hAnsiTheme="minorHAnsi" w:cstheme="minorHAnsi"/>
        </w:rPr>
        <w:lastRenderedPageBreak/>
        <w:t xml:space="preserve">‘Satisfaction Theory of the Atonement | </w:t>
      </w:r>
      <w:proofErr w:type="spellStart"/>
      <w:r w:rsidRPr="000E5F58">
        <w:rPr>
          <w:rFonts w:asciiTheme="minorHAnsi" w:hAnsiTheme="minorHAnsi" w:cstheme="minorHAnsi"/>
        </w:rPr>
        <w:t>Theopedia</w:t>
      </w:r>
      <w:proofErr w:type="spellEnd"/>
      <w:r w:rsidRPr="000E5F58">
        <w:rPr>
          <w:rFonts w:asciiTheme="minorHAnsi" w:hAnsiTheme="minorHAnsi" w:cstheme="minorHAnsi"/>
        </w:rPr>
        <w:t xml:space="preserve">’ &lt;https://www.theopedia.com/satisfaction-theory-of-the-atonement&gt; [accessed 28 March 2023] </w:t>
      </w:r>
    </w:p>
    <w:p w14:paraId="2DEFCD79" w14:textId="77777777" w:rsidR="00BE1FB2" w:rsidRPr="000E5F58" w:rsidRDefault="00BE1FB2" w:rsidP="00BE1FB2">
      <w:pPr>
        <w:pStyle w:val="Bibliography"/>
        <w:spacing w:line="300" w:lineRule="auto"/>
        <w:rPr>
          <w:rFonts w:asciiTheme="minorHAnsi" w:hAnsiTheme="minorHAnsi" w:cstheme="minorHAnsi"/>
        </w:rPr>
      </w:pPr>
      <w:r w:rsidRPr="00D87290">
        <w:rPr>
          <w:rFonts w:asciiTheme="minorHAnsi" w:hAnsiTheme="minorHAnsi" w:cstheme="minorHAnsi"/>
        </w:rPr>
        <w:t>Stewart, Angus, ‘Anselm’s Cur Deus Homo and the Reformed Doctrine of the Atonement – CPRC’ &lt;https://cprc.co.uk/articles/curdeushomo/&gt; [accessed 12 April 2023]</w:t>
      </w:r>
    </w:p>
    <w:p w14:paraId="63AA5938" w14:textId="04815279" w:rsidR="00BE1FB2" w:rsidRPr="000E5F58" w:rsidRDefault="00BE1FB2" w:rsidP="00BE1FB2">
      <w:pPr>
        <w:pStyle w:val="Bibliography"/>
        <w:spacing w:line="300" w:lineRule="auto"/>
        <w:rPr>
          <w:rFonts w:asciiTheme="minorHAnsi" w:hAnsiTheme="minorHAnsi" w:cstheme="minorHAnsi"/>
        </w:rPr>
      </w:pPr>
      <w:r w:rsidRPr="000E5F58">
        <w:rPr>
          <w:rFonts w:asciiTheme="minorHAnsi" w:hAnsiTheme="minorHAnsi" w:cstheme="minorHAnsi"/>
        </w:rPr>
        <w:t xml:space="preserve">Ware, Bruce A., ‘Cur Deus </w:t>
      </w:r>
      <w:proofErr w:type="spellStart"/>
      <w:r w:rsidRPr="000E5F58">
        <w:rPr>
          <w:rFonts w:asciiTheme="minorHAnsi" w:hAnsiTheme="minorHAnsi" w:cstheme="minorHAnsi"/>
        </w:rPr>
        <w:t>Trinus</w:t>
      </w:r>
      <w:proofErr w:type="spellEnd"/>
      <w:r w:rsidRPr="000E5F58">
        <w:rPr>
          <w:rFonts w:asciiTheme="minorHAnsi" w:hAnsiTheme="minorHAnsi" w:cstheme="minorHAnsi"/>
        </w:rPr>
        <w:t xml:space="preserve">? The Relation of the Trinity to Christ’s Identity as </w:t>
      </w:r>
      <w:proofErr w:type="spellStart"/>
      <w:r w:rsidRPr="000E5F58">
        <w:rPr>
          <w:rFonts w:asciiTheme="minorHAnsi" w:hAnsiTheme="minorHAnsi" w:cstheme="minorHAnsi"/>
        </w:rPr>
        <w:t>Savior</w:t>
      </w:r>
      <w:proofErr w:type="spellEnd"/>
      <w:r w:rsidRPr="000E5F58">
        <w:rPr>
          <w:rFonts w:asciiTheme="minorHAnsi" w:hAnsiTheme="minorHAnsi" w:cstheme="minorHAnsi"/>
        </w:rPr>
        <w:t xml:space="preserve"> and to the Efficacy of His Atoning Death’, </w:t>
      </w:r>
      <w:bookmarkStart w:id="10" w:name="OLE_LINK5"/>
      <w:bookmarkStart w:id="11" w:name="OLE_LINK6"/>
      <w:r w:rsidRPr="000E5F58">
        <w:rPr>
          <w:rFonts w:asciiTheme="minorHAnsi" w:hAnsiTheme="minorHAnsi" w:cstheme="minorHAnsi"/>
          <w:i/>
          <w:iCs/>
        </w:rPr>
        <w:t>Southern Baptist Journal of Theology</w:t>
      </w:r>
      <w:r w:rsidRPr="000E5F58">
        <w:rPr>
          <w:rFonts w:asciiTheme="minorHAnsi" w:hAnsiTheme="minorHAnsi" w:cstheme="minorHAnsi"/>
        </w:rPr>
        <w:t>, 10.1 (2006)</w:t>
      </w:r>
      <w:bookmarkEnd w:id="10"/>
      <w:bookmarkEnd w:id="11"/>
      <w:r w:rsidRPr="000E5F58">
        <w:rPr>
          <w:rFonts w:asciiTheme="minorHAnsi" w:hAnsiTheme="minorHAnsi" w:cstheme="minorHAnsi"/>
        </w:rPr>
        <w:t>, 48–56</w:t>
      </w:r>
      <w:r w:rsidR="008B72C9">
        <w:rPr>
          <w:rFonts w:asciiTheme="minorHAnsi" w:hAnsiTheme="minorHAnsi" w:cstheme="minorHAnsi"/>
        </w:rPr>
        <w:t xml:space="preserve"> </w:t>
      </w:r>
      <w:hyperlink r:id="rId9" w:history="1">
        <w:r w:rsidR="00D87290" w:rsidRPr="00D80979">
          <w:rPr>
            <w:rStyle w:val="Hyperlink"/>
            <w:rFonts w:asciiTheme="minorHAnsi" w:hAnsiTheme="minorHAnsi" w:cstheme="minorHAnsi"/>
          </w:rPr>
          <w:t>https://equip.sbts.edu/publications/journals/journal-of-theology/sbjt-101-spring-2006/cur-deus-trinus-the-relation-of-the-trinity-to-christs-identity-as-savior-and-to-the-efficacy-of-his-atoning-death/</w:t>
        </w:r>
      </w:hyperlink>
      <w:r w:rsidR="00D87290">
        <w:rPr>
          <w:rFonts w:asciiTheme="minorHAnsi" w:hAnsiTheme="minorHAnsi" w:cstheme="minorHAnsi"/>
        </w:rPr>
        <w:t xml:space="preserve"> [accessed 20 March 2023]</w:t>
      </w:r>
    </w:p>
    <w:p w14:paraId="09C58D1C" w14:textId="00D7A850" w:rsidR="0089292F" w:rsidRPr="000E5F58" w:rsidRDefault="00BE1FB2" w:rsidP="00217658">
      <w:pPr>
        <w:pStyle w:val="Bibliography"/>
        <w:spacing w:line="300" w:lineRule="auto"/>
        <w:rPr>
          <w:rFonts w:asciiTheme="minorHAnsi" w:hAnsiTheme="minorHAnsi" w:cstheme="minorHAnsi"/>
        </w:rPr>
      </w:pPr>
      <w:r w:rsidRPr="000E5F58">
        <w:rPr>
          <w:rFonts w:asciiTheme="minorHAnsi" w:hAnsiTheme="minorHAnsi" w:cstheme="minorHAnsi"/>
        </w:rPr>
        <w:t xml:space="preserve">Williams, George </w:t>
      </w:r>
      <w:proofErr w:type="spellStart"/>
      <w:r w:rsidRPr="000E5F58">
        <w:rPr>
          <w:rFonts w:asciiTheme="minorHAnsi" w:hAnsiTheme="minorHAnsi" w:cstheme="minorHAnsi"/>
        </w:rPr>
        <w:t>Huntston</w:t>
      </w:r>
      <w:proofErr w:type="spellEnd"/>
      <w:r w:rsidRPr="000E5F58">
        <w:rPr>
          <w:rFonts w:asciiTheme="minorHAnsi" w:hAnsiTheme="minorHAnsi" w:cstheme="minorHAnsi"/>
        </w:rPr>
        <w:t xml:space="preserve">, and St. Anselm of Canterbury, ‘The Sacramental Presuppositions of Anselm’s “Cur Deus Homo”’, </w:t>
      </w:r>
      <w:r w:rsidRPr="000E5F58">
        <w:rPr>
          <w:rFonts w:asciiTheme="minorHAnsi" w:hAnsiTheme="minorHAnsi" w:cstheme="minorHAnsi"/>
          <w:i/>
          <w:iCs/>
        </w:rPr>
        <w:t>Church History</w:t>
      </w:r>
      <w:r w:rsidRPr="000E5F58">
        <w:rPr>
          <w:rFonts w:asciiTheme="minorHAnsi" w:hAnsiTheme="minorHAnsi" w:cstheme="minorHAnsi"/>
        </w:rPr>
        <w:t xml:space="preserve">, 26.3 (1957), 245–74 </w:t>
      </w:r>
      <w:r w:rsidR="00D87290" w:rsidRPr="00D87290">
        <w:rPr>
          <w:rFonts w:asciiTheme="minorHAnsi" w:hAnsiTheme="minorHAnsi" w:cstheme="minorHAnsi"/>
        </w:rPr>
        <w:fldChar w:fldCharType="begin"/>
      </w:r>
      <w:r w:rsidR="00D87290" w:rsidRPr="00D87290">
        <w:rPr>
          <w:rFonts w:asciiTheme="minorHAnsi" w:hAnsiTheme="minorHAnsi" w:cstheme="minorHAnsi"/>
        </w:rPr>
        <w:instrText xml:space="preserve"> HYPERLINK "https://doi.org/10.2307/3161745 " </w:instrText>
      </w:r>
      <w:r w:rsidR="00D87290" w:rsidRPr="00D87290">
        <w:rPr>
          <w:rFonts w:asciiTheme="minorHAnsi" w:hAnsiTheme="minorHAnsi" w:cstheme="minorHAnsi"/>
        </w:rPr>
        <w:fldChar w:fldCharType="separate"/>
      </w:r>
      <w:r w:rsidR="00D87290" w:rsidRPr="00D87290">
        <w:rPr>
          <w:rStyle w:val="Hyperlink"/>
          <w:rFonts w:asciiTheme="minorHAnsi" w:hAnsiTheme="minorHAnsi" w:cstheme="minorHAnsi"/>
        </w:rPr>
        <w:t xml:space="preserve">https://doi.org/10.2307/3161745 </w:t>
      </w:r>
      <w:r w:rsidR="00D87290" w:rsidRPr="00D87290">
        <w:rPr>
          <w:rFonts w:asciiTheme="minorHAnsi" w:hAnsiTheme="minorHAnsi" w:cstheme="minorHAnsi"/>
        </w:rPr>
        <w:fldChar w:fldCharType="end"/>
      </w:r>
    </w:p>
    <w:sectPr w:rsidR="0089292F" w:rsidRPr="000E5F58">
      <w:headerReference w:type="default" r:id="rId10"/>
      <w:footerReference w:type="default" r:id="rId11"/>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F62B80" w14:textId="77777777" w:rsidR="00543475" w:rsidRDefault="00543475" w:rsidP="00180AC1">
      <w:r>
        <w:separator/>
      </w:r>
    </w:p>
  </w:endnote>
  <w:endnote w:type="continuationSeparator" w:id="0">
    <w:p w14:paraId="79442E2A" w14:textId="77777777" w:rsidR="00543475" w:rsidRDefault="00543475" w:rsidP="00180A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A6024" w14:textId="77777777" w:rsidR="00E57353" w:rsidRDefault="00000000">
    <w:pPr>
      <w:pStyle w:val="Footer"/>
      <w:tabs>
        <w:tab w:val="clear" w:pos="9360"/>
        <w:tab w:val="right" w:pos="9000"/>
      </w:tabs>
      <w:jc w:val="center"/>
    </w:pPr>
    <w:r>
      <w:rPr>
        <w:rFonts w:ascii="Times New Roman" w:hAnsi="Times New Roman"/>
      </w:rPr>
      <w:t xml:space="preserve">Page </w:t>
    </w:r>
    <w:r>
      <w:rPr>
        <w:rFonts w:ascii="Times New Roman" w:eastAsia="Times New Roman" w:hAnsi="Times New Roman" w:cs="Times New Roman"/>
      </w:rPr>
      <w:fldChar w:fldCharType="begin"/>
    </w:r>
    <w:r>
      <w:rPr>
        <w:rFonts w:ascii="Times New Roman" w:eastAsia="Times New Roman" w:hAnsi="Times New Roman" w:cs="Times New Roman"/>
      </w:rPr>
      <w:instrText xml:space="preserve"> PAGE </w:instrText>
    </w:r>
    <w:r>
      <w:rPr>
        <w:rFonts w:ascii="Times New Roman" w:eastAsia="Times New Roman" w:hAnsi="Times New Roman" w:cs="Times New Roman"/>
      </w:rPr>
      <w:fldChar w:fldCharType="separate"/>
    </w:r>
    <w:r>
      <w:rPr>
        <w:rFonts w:ascii="Times New Roman" w:eastAsia="Times New Roman" w:hAnsi="Times New Roman" w:cs="Times New Roman"/>
        <w:noProof/>
      </w:rPr>
      <w:t>1</w:t>
    </w:r>
    <w:r>
      <w:rPr>
        <w:rFonts w:ascii="Times New Roman" w:eastAsia="Times New Roman" w:hAnsi="Times New Roman" w:cs="Times New Roman"/>
      </w:rPr>
      <w:fldChar w:fldCharType="end"/>
    </w:r>
    <w:r>
      <w:rPr>
        <w:rFonts w:ascii="Times New Roman" w:hAnsi="Times New Roman"/>
      </w:rPr>
      <w:t xml:space="preserve"> of </w:t>
    </w:r>
    <w:r>
      <w:rPr>
        <w:rFonts w:ascii="Times New Roman" w:eastAsia="Times New Roman" w:hAnsi="Times New Roman" w:cs="Times New Roman"/>
      </w:rPr>
      <w:fldChar w:fldCharType="begin"/>
    </w:r>
    <w:r>
      <w:rPr>
        <w:rFonts w:ascii="Times New Roman" w:eastAsia="Times New Roman" w:hAnsi="Times New Roman" w:cs="Times New Roman"/>
      </w:rPr>
      <w:instrText xml:space="preserve"> NUMPAGES </w:instrText>
    </w:r>
    <w:r>
      <w:rPr>
        <w:rFonts w:ascii="Times New Roman" w:eastAsia="Times New Roman" w:hAnsi="Times New Roman" w:cs="Times New Roman"/>
      </w:rPr>
      <w:fldChar w:fldCharType="separate"/>
    </w:r>
    <w:r>
      <w:rPr>
        <w:rFonts w:ascii="Times New Roman" w:eastAsia="Times New Roman" w:hAnsi="Times New Roman" w:cs="Times New Roman"/>
        <w:noProof/>
      </w:rPr>
      <w:t>2</w:t>
    </w:r>
    <w:r>
      <w:rPr>
        <w:rFonts w:ascii="Times New Roman" w:eastAsia="Times New Roman" w:hAnsi="Times New Roman" w:cs="Times New Roma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7DEDE7" w14:textId="77777777" w:rsidR="00543475" w:rsidRDefault="00543475" w:rsidP="00180AC1">
      <w:r>
        <w:separator/>
      </w:r>
    </w:p>
  </w:footnote>
  <w:footnote w:type="continuationSeparator" w:id="0">
    <w:p w14:paraId="50ED6B0A" w14:textId="77777777" w:rsidR="00543475" w:rsidRDefault="00543475" w:rsidP="00180AC1">
      <w:r>
        <w:continuationSeparator/>
      </w:r>
    </w:p>
  </w:footnote>
  <w:footnote w:id="1">
    <w:p w14:paraId="02625B49" w14:textId="0AE05853" w:rsidR="00355FB2" w:rsidRPr="00355FB2" w:rsidRDefault="00355FB2" w:rsidP="00B8528F">
      <w:pPr>
        <w:pStyle w:val="FootnoteText"/>
        <w:rPr>
          <w:lang w:val="en-GB"/>
        </w:rPr>
      </w:pPr>
      <w:r w:rsidRPr="00181E2D">
        <w:rPr>
          <w:rStyle w:val="FootnoteReference"/>
        </w:rPr>
        <w:footnoteRef/>
      </w:r>
      <w:r>
        <w:t xml:space="preserve"> </w:t>
      </w:r>
      <w:r>
        <w:fldChar w:fldCharType="begin"/>
      </w:r>
      <w:r w:rsidR="002D568F">
        <w:instrText xml:space="preserve"> ADDIN ZOTERO_ITEM CSL_CITATION {"citationID":"KjQ8EndQ","properties":{"formattedCitation":"Stuart Townend and Keith Getty, \\uc0\\u8216{}In Christ Alone\\uc0\\u8217{}, {\\i{}Stuart Townend} &lt;https://www.stuarttownend.co.uk/song/in-christ-alone/&gt; [accessed 18 April 2023].","plainCitation":"Stuart Townend and Keith Getty, ‘In Christ Alone’, Stuart Townend &lt;https://www.stuarttownend.co.uk/song/in-christ-alone/&gt; [accessed 18 April 2023].","noteIndex":1},"citationItems":[{"id":2623,"uris":["http://zotero.org/users/7540819/items/UPJPLU92"],"itemData":{"id":2623,"type":"webpage","abstract":"Stuart Townend is one of today’s leading worship songwriters. Hymns such as “In Christ alone” and “How deep the Father’s love” are sung in churches around the world, while the skill and depth of his lyric writing has drawn some to compare his contribution to hymnody to that of Watts and Wesley.","container-title":"Stuart Townend","language":"en-GB","title":"In Christ alone","URL":"https://www.stuarttownend.co.uk/song/in-christ-alone/","author":[{"family":"Townend","given":"Stuart"},{"family":"Getty","given":"Keith"}],"accessed":{"date-parts":[["2023",4,18]]}}}],"schema":"https://github.com/citation-style-language/schema/raw/master/csl-citation.json"} </w:instrText>
      </w:r>
      <w:r>
        <w:fldChar w:fldCharType="separate"/>
      </w:r>
      <w:r w:rsidR="007C5B9D" w:rsidRPr="007C5B9D">
        <w:t xml:space="preserve">Stuart Townend and Keith Getty, ‘In Christ Alone’, </w:t>
      </w:r>
      <w:r w:rsidR="007C5B9D" w:rsidRPr="007C5B9D">
        <w:rPr>
          <w:i/>
          <w:iCs/>
        </w:rPr>
        <w:t>Stuart Townend</w:t>
      </w:r>
      <w:r w:rsidR="007C5B9D" w:rsidRPr="007C5B9D">
        <w:t xml:space="preserve"> &lt;https://www.stuarttownend.co.uk/song/in-christ-alone/&gt; [accessed 18 April 2023].</w:t>
      </w:r>
      <w:r>
        <w:fldChar w:fldCharType="end"/>
      </w:r>
    </w:p>
  </w:footnote>
  <w:footnote w:id="2">
    <w:p w14:paraId="38A13E33" w14:textId="4F8E3B86" w:rsidR="003E669D" w:rsidRPr="0040333A" w:rsidRDefault="003E669D" w:rsidP="003E669D">
      <w:pPr>
        <w:pStyle w:val="FootnoteText"/>
        <w:rPr>
          <w:lang w:val="en-GB"/>
        </w:rPr>
      </w:pPr>
      <w:r w:rsidRPr="00181E2D">
        <w:rPr>
          <w:rStyle w:val="FootnoteReference"/>
        </w:rPr>
        <w:footnoteRef/>
      </w:r>
      <w:r>
        <w:t xml:space="preserve"> </w:t>
      </w:r>
      <w:r>
        <w:fldChar w:fldCharType="begin"/>
      </w:r>
      <w:r w:rsidR="002D568F">
        <w:instrText xml:space="preserve"> ADDIN ZOTERO_ITEM CSL_CITATION {"citationID":"4c1D9SCL","properties":{"formattedCitation":"Thomas Williams, \\uc0\\u8216{}Saint Anselm\\uc0\\u8217{}, in {\\i{}The Stanford Encyclopedia of Philosophy}, ed. by Edward N. Zalta, Winter 2020 (Metaphysics Research Lab, Stanford University, 2020) &lt;https://plato.stanford.edu/archives/win2020/entries/anselm/&gt; [accessed 4 May 2023].","plainCitation":"Thomas Williams, ‘Saint Anselm’, in The Stanford Encyclopedia of Philosophy, ed. by Edward N. Zalta, Winter 2020 (Metaphysics Research Lab, Stanford University, 2020) &lt;https://plato.stanford.edu/archives/win2020/entries/anselm/&gt; [accessed 4 May 2023].","noteIndex":2},"citationItems":[{"id":2662,"uris":["http://zotero.org/users/7540819/items/UUUYSD88"],"itemData":{"id":2662,"type":"chapter","abstract":"Saint Anselm of Canterbury (1033–1109) was the outstandingChristian philosopher and theologian of the eleventh century. He isbest known for the celebrated “ontological argument” forthe existence of God in the Proslogion, but his contributionsto philosophical theology (and indeed to philosophy more generally) gowell beyond the ontological argument. In what follows I examineAnselm’s theistic proofs, his conception of the divine nature, and hisaccount of human freedom, sin, and redemption.","container-title":"The Stanford Encyclopedia of Philosophy","edition":"Winter 2020","publisher":"Metaphysics Research Lab, Stanford University","source":"Stanford Encyclopedia of Philosophy","title":"Saint Anselm","URL":"https://plato.stanford.edu/archives/win2020/entries/anselm/","author":[{"family":"Williams","given":"Thomas"}],"editor":[{"family":"Zalta","given":"Edward N."}],"accessed":{"date-parts":[["2023",5,4]]},"issued":{"date-parts":[["2020"]]}}}],"schema":"https://github.com/citation-style-language/schema/raw/master/csl-citation.json"} </w:instrText>
      </w:r>
      <w:r>
        <w:fldChar w:fldCharType="separate"/>
      </w:r>
      <w:r w:rsidR="007C5B9D" w:rsidRPr="007C5B9D">
        <w:t xml:space="preserve">Thomas Williams, ‘Saint Anselm’, in </w:t>
      </w:r>
      <w:r w:rsidR="007C5B9D" w:rsidRPr="007C5B9D">
        <w:rPr>
          <w:i/>
          <w:iCs/>
        </w:rPr>
        <w:t>The Stanford Encyclopedia of Philosophy</w:t>
      </w:r>
      <w:r w:rsidR="007C5B9D" w:rsidRPr="007C5B9D">
        <w:t>, ed. by Edward N. Zalta, Winter 2020 (Metaphysics Research Lab, Stanford University, 2020) &lt;https://plato.stanford.edu/archives/win2020/entries/anselm/&gt; [accessed 4 May 2023].</w:t>
      </w:r>
      <w:r>
        <w:fldChar w:fldCharType="end"/>
      </w:r>
    </w:p>
  </w:footnote>
  <w:footnote w:id="3">
    <w:p w14:paraId="695C57B3" w14:textId="42E5D7BC" w:rsidR="003E669D" w:rsidRPr="00385BA5" w:rsidRDefault="003E669D" w:rsidP="003E669D">
      <w:pPr>
        <w:pStyle w:val="FootnoteText"/>
        <w:rPr>
          <w:lang w:val="en-GB"/>
        </w:rPr>
      </w:pPr>
      <w:r>
        <w:rPr>
          <w:rStyle w:val="FootnoteReference"/>
        </w:rPr>
        <w:footnoteRef/>
      </w:r>
      <w:r>
        <w:t xml:space="preserve"> </w:t>
      </w:r>
      <w:r>
        <w:fldChar w:fldCharType="begin"/>
      </w:r>
      <w:r w:rsidR="002D568F">
        <w:instrText xml:space="preserve"> ADDIN ZOTERO_ITEM CSL_CITATION {"citationID":"kUrw2f0C","properties":{"formattedCitation":"John Thompson, {\\i{}Modern Trinitarian Perspectives} (New York: Oxford University Press, 1994).","plainCitation":"John Thompson, Modern Trinitarian Perspectives (New York: Oxford University Press, 1994).","dontUpdate":true,"noteIndex":3},"citationItems":[{"id":2671,"uris":["http://zotero.org/users/7540819/items/UD2BJMWI"],"itemData":{"id":2671,"type":"book","call-number":"BT109 .T46 1994","event-place":"New York","ISBN":"978-0-19-508898-4","number-of-pages":"165","publisher":"Oxford University Press","publisher-place":"New York","source":"Library of Congress ISBN","title":"Modern trinitarian perspectives","author":[{"family":"Thompson","given":"John"}],"issued":{"date-parts":[["1994"]]}}}],"schema":"https://github.com/citation-style-language/schema/raw/master/csl-citation.json"} </w:instrText>
      </w:r>
      <w:r>
        <w:fldChar w:fldCharType="separate"/>
      </w:r>
      <w:r w:rsidRPr="00385BA5">
        <w:rPr>
          <w:kern w:val="0"/>
        </w:rPr>
        <w:t xml:space="preserve">John Thompson, </w:t>
      </w:r>
      <w:r w:rsidRPr="00385BA5">
        <w:rPr>
          <w:i/>
          <w:iCs/>
          <w:kern w:val="0"/>
        </w:rPr>
        <w:t>Modern Trinitarian Perspectives</w:t>
      </w:r>
      <w:r w:rsidRPr="00385BA5">
        <w:rPr>
          <w:kern w:val="0"/>
        </w:rPr>
        <w:t xml:space="preserve"> (New York: Oxford University Press, 1994)</w:t>
      </w:r>
      <w:r>
        <w:rPr>
          <w:kern w:val="0"/>
        </w:rPr>
        <w:t>, 3-4</w:t>
      </w:r>
      <w:r w:rsidRPr="00385BA5">
        <w:rPr>
          <w:kern w:val="0"/>
        </w:rPr>
        <w:t>.</w:t>
      </w:r>
      <w:r>
        <w:fldChar w:fldCharType="end"/>
      </w:r>
    </w:p>
  </w:footnote>
  <w:footnote w:id="4">
    <w:p w14:paraId="737ADE92" w14:textId="622E7128" w:rsidR="00A234AA" w:rsidRPr="000E413B" w:rsidRDefault="00A234AA" w:rsidP="00B8528F">
      <w:pPr>
        <w:pStyle w:val="FootnoteText"/>
        <w:rPr>
          <w:lang w:val="en-GB"/>
        </w:rPr>
      </w:pPr>
      <w:r w:rsidRPr="00181E2D">
        <w:rPr>
          <w:rStyle w:val="FootnoteReference"/>
        </w:rPr>
        <w:footnoteRef/>
      </w:r>
      <w:r>
        <w:t xml:space="preserve"> </w:t>
      </w:r>
      <w:r>
        <w:fldChar w:fldCharType="begin"/>
      </w:r>
      <w:r w:rsidR="002D568F">
        <w:instrText xml:space="preserve"> ADDIN ZOTERO_ITEM CSL_CITATION {"citationID":"KImm66KY","properties":{"formattedCitation":"Karl Barth and G.T Thomson, {\\i{}Dogmatics in outline.} (Martino Publishing: Connecticut, 2014).","plainCitation":"Karl Barth and G.T Thomson, Dogmatics in outline. (Martino Publishing: Connecticut, 2014).","dontUpdate":true,"noteIndex":4},"citationItems":[{"id":1623,"uris":["http://zotero.org/users/7540819/items/WZDUVG53"],"itemData":{"id":1623,"type":"book","event-place":"Martino Publishing","ISBN":"978-1-61427-736-1","language":"No Linguistic Content","note":"OCLC: 1302634714","publisher":"Connecticut","publisher-place":"Martino Publishing","source":"Open WorldCat","title":"Dogmatics in outline.","author":[{"family":"Barth","given":"Karl"},{"family":"Thomson","given":"G.T"}],"issued":{"date-parts":[["2014"]]}}}],"schema":"https://github.com/citation-style-language/schema/raw/master/csl-citation.json"} </w:instrText>
      </w:r>
      <w:r>
        <w:fldChar w:fldCharType="separate"/>
      </w:r>
      <w:r w:rsidRPr="000E413B">
        <w:t xml:space="preserve">Karl Barth and G.T Thomson, </w:t>
      </w:r>
      <w:r w:rsidRPr="000E413B">
        <w:rPr>
          <w:i/>
          <w:iCs/>
        </w:rPr>
        <w:t>Dogmatics in outline.</w:t>
      </w:r>
      <w:r w:rsidRPr="000E413B">
        <w:t xml:space="preserve"> (Martino Publishing: Connecticut, 2014)</w:t>
      </w:r>
      <w:r>
        <w:t>, 26</w:t>
      </w:r>
      <w:r w:rsidRPr="000E413B">
        <w:t>.</w:t>
      </w:r>
      <w:r>
        <w:fldChar w:fldCharType="end"/>
      </w:r>
    </w:p>
  </w:footnote>
  <w:footnote w:id="5">
    <w:p w14:paraId="7EAF0932" w14:textId="4FB6F820" w:rsidR="00B8528F" w:rsidRPr="00130AAF" w:rsidRDefault="00B8528F" w:rsidP="00B8528F">
      <w:pPr>
        <w:pStyle w:val="FootnoteText"/>
        <w:rPr>
          <w:lang w:val="en-GB"/>
        </w:rPr>
      </w:pPr>
      <w:r w:rsidRPr="00181E2D">
        <w:rPr>
          <w:rStyle w:val="FootnoteReference"/>
        </w:rPr>
        <w:footnoteRef/>
      </w:r>
      <w:r>
        <w:t xml:space="preserve"> </w:t>
      </w:r>
      <w:r>
        <w:fldChar w:fldCharType="begin"/>
      </w:r>
      <w:r w:rsidR="002D568F">
        <w:instrText xml:space="preserve"> ADDIN ZOTERO_ITEM CSL_CITATION {"citationID":"e3Y6nYKh","properties":{"formattedCitation":"Paul D. Molnar, \\uc0\\u8216{}Toward a Contemporary Doctrine of the Immanent Trinity: Karl Barth and the Present Discussion\\uc0\\u8217{}, {\\i{}Scottish Journal of Theology}, 49.3 (1996), 311\\uc0\\u8211{}58 &lt;https://doi.org/10.1017/S0036930600048213&gt;.","plainCitation":"Paul D. Molnar, ‘Toward a Contemporary Doctrine of the Immanent Trinity: Karl Barth and the Present Discussion’, Scottish Journal of Theology, 49.3 (1996), 311–58 &lt;https://doi.org/10.1017/S0036930600048213&gt;.","dontUpdate":true,"noteIndex":5},"citationItems":[{"id":2372,"uris":["http://zotero.org/users/7540819/items/GVMFFR6S"],"itemData":{"id":2372,"type":"article-journal","abstract":"What is the purpose of a doctrine of the immanent Trinity? Broadly speaking it aims to recognize, uphold and respect God's freedom. Without theoretical and practical awareness of this freedom all theological statements about the significance of created existence become ambiguous and constitute merely human attempts to give meaning to creation using theological categories.","archive":"Cambridge Core","container-title":"Scottish Journal of Theology","DOI":"10.1017/S0036930600048213","ISSN":"0036-9306","issue":"3","note":"edition: 2009/01/30\npublisher: Cambridge University Press","page":"311-358","source":"Cambridge University Press","title":"Toward a Contemporary Doctrine of the Immanent Trinity: Karl Barth and the Present Discussion","volume":"49","author":[{"family":"Molnar","given":"Paul D."}],"issued":{"date-parts":[["1996"]]}}}],"schema":"https://github.com/citation-style-language/schema/raw/master/csl-citation.json"} </w:instrText>
      </w:r>
      <w:r>
        <w:fldChar w:fldCharType="separate"/>
      </w:r>
      <w:r w:rsidRPr="00130AAF">
        <w:t xml:space="preserve">Paul D. Molnar, ‘Toward a Contemporary Doctrine of the Immanent Trinity: Karl Barth and the Present Discussion’, </w:t>
      </w:r>
      <w:r w:rsidRPr="00130AAF">
        <w:rPr>
          <w:i/>
          <w:iCs/>
        </w:rPr>
        <w:t>Scottish Journal of Theology</w:t>
      </w:r>
      <w:r w:rsidRPr="00130AAF">
        <w:t>, 49.3 (1996), 311</w:t>
      </w:r>
      <w:r>
        <w:t>.</w:t>
      </w:r>
      <w:r w:rsidRPr="00130AAF">
        <w:t xml:space="preserve"> &lt;https://doi.org/10.1017/S0036930600048213&gt;.</w:t>
      </w:r>
      <w:r>
        <w:fldChar w:fldCharType="end"/>
      </w:r>
    </w:p>
  </w:footnote>
  <w:footnote w:id="6">
    <w:p w14:paraId="697A95A7" w14:textId="63ADBAFF" w:rsidR="003B64AF" w:rsidRPr="002F4DA3" w:rsidRDefault="003B64AF" w:rsidP="00B8528F">
      <w:pPr>
        <w:pStyle w:val="FootnoteText"/>
        <w:rPr>
          <w:rFonts w:asciiTheme="minorHAnsi" w:hAnsiTheme="minorHAnsi" w:cstheme="minorHAnsi"/>
          <w:lang w:val="en-GB"/>
        </w:rPr>
      </w:pPr>
      <w:r w:rsidRPr="00181E2D">
        <w:rPr>
          <w:rStyle w:val="FootnoteReference"/>
        </w:rPr>
        <w:footnoteRef/>
      </w:r>
      <w:r w:rsidRPr="002F4DA3">
        <w:rPr>
          <w:rFonts w:asciiTheme="minorHAnsi" w:hAnsiTheme="minorHAnsi" w:cstheme="minorHAnsi"/>
        </w:rPr>
        <w:t xml:space="preserve"> </w:t>
      </w:r>
      <w:r w:rsidRPr="002F4DA3">
        <w:rPr>
          <w:rFonts w:asciiTheme="minorHAnsi" w:hAnsiTheme="minorHAnsi" w:cstheme="minorHAnsi"/>
        </w:rPr>
        <w:fldChar w:fldCharType="begin"/>
      </w:r>
      <w:r w:rsidR="002D568F">
        <w:rPr>
          <w:rFonts w:asciiTheme="minorHAnsi" w:hAnsiTheme="minorHAnsi" w:cstheme="minorHAnsi"/>
        </w:rPr>
        <w:instrText xml:space="preserve"> ADDIN ZOTERO_ITEM CSL_CITATION {"citationID":"NfcoKz8v","properties":{"formattedCitation":"A.B. Come, {\\i{}An Introduction to Barth\\uc0\\u8217{}s Dogmatics for Preachers}, The Preacher\\uc0\\u8217{}s Library (Westminster Press, 1963) &lt;https://books.google.co.uk/books?id=EVwRAQAAIAAJ&gt;.","plainCitation":"A.B. Come, An Introduction to Barth’s Dogmatics for Preachers, The Preacher’s Library (Westminster Press, 1963) &lt;https://books.google.co.uk/books?id=EVwRAQAAIAAJ&gt;.","dontUpdate":true,"noteIndex":6},"citationItems":[{"id":2631,"uris":["http://zotero.org/users/7540819/items/V2Z5UVPB"],"itemData":{"id":2631,"type":"book","collection-title":"The preacher's library","note":"LCCN: 62017065","publisher":"Westminster Press","title":"An Introduction to Barth's Dogmatics for Preachers","URL":"https://books.google.co.uk/books?id=EVwRAQAAIAAJ","author":[{"family":"Come","given":"A.B."}],"issued":{"date-parts":[["1963"]]}}}],"schema":"https://github.com/citation-style-language/schema/raw/master/csl-citation.json"} </w:instrText>
      </w:r>
      <w:r w:rsidRPr="002F4DA3">
        <w:rPr>
          <w:rFonts w:asciiTheme="minorHAnsi" w:hAnsiTheme="minorHAnsi" w:cstheme="minorHAnsi"/>
        </w:rPr>
        <w:fldChar w:fldCharType="separate"/>
      </w:r>
      <w:r w:rsidRPr="002F4DA3">
        <w:rPr>
          <w:rFonts w:asciiTheme="minorHAnsi" w:hAnsiTheme="minorHAnsi" w:cstheme="minorHAnsi"/>
        </w:rPr>
        <w:t xml:space="preserve">A.B. Come, </w:t>
      </w:r>
      <w:r w:rsidRPr="002F4DA3">
        <w:rPr>
          <w:rFonts w:asciiTheme="minorHAnsi" w:hAnsiTheme="minorHAnsi" w:cstheme="minorHAnsi"/>
          <w:i/>
          <w:iCs/>
        </w:rPr>
        <w:t>An Introduction to Barth’s Dogmatics for Preachers</w:t>
      </w:r>
      <w:r w:rsidRPr="002F4DA3">
        <w:rPr>
          <w:rFonts w:asciiTheme="minorHAnsi" w:hAnsiTheme="minorHAnsi" w:cstheme="minorHAnsi"/>
        </w:rPr>
        <w:t>, The Preacher’s Library (Westminster Press, 1963), 90.  &lt;https://books.google.co.uk/books?id=EVwRAQAAIAAJ&gt;.</w:t>
      </w:r>
      <w:r w:rsidRPr="002F4DA3">
        <w:rPr>
          <w:rFonts w:asciiTheme="minorHAnsi" w:hAnsiTheme="minorHAnsi" w:cstheme="minorHAnsi"/>
        </w:rPr>
        <w:fldChar w:fldCharType="end"/>
      </w:r>
      <w:r w:rsidRPr="002F4DA3">
        <w:rPr>
          <w:rFonts w:asciiTheme="minorHAnsi" w:hAnsiTheme="minorHAnsi" w:cstheme="minorHAnsi"/>
        </w:rPr>
        <w:t xml:space="preserve"> </w:t>
      </w:r>
    </w:p>
  </w:footnote>
  <w:footnote w:id="7">
    <w:p w14:paraId="4BB974E2" w14:textId="4C36477B" w:rsidR="00A234AA" w:rsidRPr="00F90C24" w:rsidRDefault="00A234AA" w:rsidP="00B8528F">
      <w:pPr>
        <w:pStyle w:val="FootnoteText"/>
        <w:rPr>
          <w:lang w:val="en-GB"/>
        </w:rPr>
      </w:pPr>
      <w:r w:rsidRPr="00181E2D">
        <w:rPr>
          <w:rStyle w:val="FootnoteReference"/>
        </w:rPr>
        <w:footnoteRef/>
      </w:r>
      <w:r>
        <w:t xml:space="preserve"> </w:t>
      </w:r>
      <w:r w:rsidR="00CD7F8B">
        <w:fldChar w:fldCharType="begin"/>
      </w:r>
      <w:r w:rsidR="002D568F">
        <w:instrText xml:space="preserve"> ADDIN ZOTERO_ITEM CSL_CITATION {"citationID":"7UND5Afp","properties":{"formattedCitation":"Nicholas Lash, {\\i{}Believing Three Ways in One God: A Reading of the Apostles\\uc0\\u8217{} Creed}, 2. impr (London: SCM Press, 1994).","plainCitation":"Nicholas Lash, Believing Three Ways in One God: A Reading of the Apostles’ Creed, 2. impr (London: SCM Press, 1994).","dontUpdate":true,"noteIndex":7},"citationItems":[{"id":2665,"uris":["http://zotero.org/users/7540819/items/VMY7JZTW"],"itemData":{"id":2665,"type":"book","edition":"2. impr","event-place":"London","ISBN":"978-0-334-00089-1","language":"eng","number-of-pages":"136","publisher":"SCM Press","publisher-place":"London","source":"K10plus ISBN","title":"Believing three ways in one God: a reading of the apostles' creed","title-short":"Believing three ways in one God","author":[{"family":"Lash","given":"Nicholas"}],"issued":{"date-parts":[["1994"]]}}}],"schema":"https://github.com/citation-style-language/schema/raw/master/csl-citation.json"} </w:instrText>
      </w:r>
      <w:r w:rsidR="00CD7F8B">
        <w:fldChar w:fldCharType="separate"/>
      </w:r>
      <w:r w:rsidR="00CD7F8B" w:rsidRPr="00CD7F8B">
        <w:rPr>
          <w:kern w:val="0"/>
        </w:rPr>
        <w:t xml:space="preserve">Nicholas Lash, </w:t>
      </w:r>
      <w:r w:rsidR="00CD7F8B" w:rsidRPr="00CD7F8B">
        <w:rPr>
          <w:i/>
          <w:iCs/>
          <w:kern w:val="0"/>
        </w:rPr>
        <w:t>Believing Three Ways in One God: A Reading of the Apostles’ Creed</w:t>
      </w:r>
      <w:r w:rsidR="00CD7F8B" w:rsidRPr="00CD7F8B">
        <w:rPr>
          <w:kern w:val="0"/>
        </w:rPr>
        <w:t>, 2. impr (London: SCM Press, 1994)</w:t>
      </w:r>
      <w:r w:rsidR="00CD7F8B">
        <w:rPr>
          <w:kern w:val="0"/>
        </w:rPr>
        <w:t>, 30-31</w:t>
      </w:r>
      <w:r w:rsidR="00CD7F8B" w:rsidRPr="00CD7F8B">
        <w:rPr>
          <w:kern w:val="0"/>
        </w:rPr>
        <w:t>.</w:t>
      </w:r>
      <w:r w:rsidR="00CD7F8B">
        <w:fldChar w:fldCharType="end"/>
      </w:r>
      <w:r w:rsidR="00CD7F8B" w:rsidRPr="00F90C24">
        <w:rPr>
          <w:lang w:val="en-GB"/>
        </w:rPr>
        <w:t xml:space="preserve"> </w:t>
      </w:r>
    </w:p>
  </w:footnote>
  <w:footnote w:id="8">
    <w:p w14:paraId="24C5E708" w14:textId="59ECBF43" w:rsidR="00A234AA" w:rsidRPr="00DF224A" w:rsidRDefault="00A234AA" w:rsidP="00B8528F">
      <w:pPr>
        <w:pStyle w:val="FootnoteText"/>
        <w:rPr>
          <w:lang w:val="en-GB"/>
        </w:rPr>
      </w:pPr>
      <w:r w:rsidRPr="00181E2D">
        <w:rPr>
          <w:rStyle w:val="FootnoteReference"/>
        </w:rPr>
        <w:footnoteRef/>
      </w:r>
      <w:r>
        <w:t xml:space="preserve"> </w:t>
      </w:r>
      <w:r>
        <w:fldChar w:fldCharType="begin"/>
      </w:r>
      <w:r w:rsidR="002D568F">
        <w:instrText xml:space="preserve"> ADDIN ZOTERO_ITEM CSL_CITATION {"citationID":"vGR5xMog","properties":{"formattedCitation":"Lash, {\\i{}Believing Three Ways in One God}.","plainCitation":"Lash, Believing Three Ways in One God.","dontUpdate":true,"noteIndex":8},"citationItems":[{"id":2665,"uris":["http://zotero.org/users/7540819/items/VMY7JZTW"],"itemData":{"id":2665,"type":"book","edition":"2. impr","event-place":"London","ISBN":"978-0-334-00089-1","language":"eng","number-of-pages":"136","publisher":"SCM Press","publisher-place":"London","source":"K10plus ISBN","title":"Believing three ways in one God: a reading of the apostles' creed","title-short":"Believing three ways in one God","author":[{"family":"Lash","given":"Nicholas"}],"issued":{"date-parts":[["1994"]]}}}],"schema":"https://github.com/citation-style-language/schema/raw/master/csl-citation.json"} </w:instrText>
      </w:r>
      <w:r>
        <w:fldChar w:fldCharType="separate"/>
      </w:r>
      <w:r w:rsidRPr="00DF224A">
        <w:t xml:space="preserve">Lash, </w:t>
      </w:r>
      <w:r w:rsidRPr="00DF224A">
        <w:rPr>
          <w:i/>
          <w:iCs/>
        </w:rPr>
        <w:t>Believing Three Ways in One God</w:t>
      </w:r>
      <w:r>
        <w:rPr>
          <w:i/>
          <w:iCs/>
        </w:rPr>
        <w:t xml:space="preserve">, </w:t>
      </w:r>
      <w:r w:rsidRPr="00DF224A">
        <w:t>32.</w:t>
      </w:r>
      <w:r>
        <w:fldChar w:fldCharType="end"/>
      </w:r>
    </w:p>
  </w:footnote>
  <w:footnote w:id="9">
    <w:p w14:paraId="573CEB15" w14:textId="0D1E843F" w:rsidR="00A234AA" w:rsidRPr="008122D3" w:rsidRDefault="00A234AA" w:rsidP="00B8528F">
      <w:pPr>
        <w:pStyle w:val="FootnoteText"/>
        <w:rPr>
          <w:rFonts w:asciiTheme="minorHAnsi" w:hAnsiTheme="minorHAnsi" w:cstheme="minorHAnsi"/>
          <w:lang w:val="en-GB"/>
        </w:rPr>
      </w:pPr>
      <w:r w:rsidRPr="00181E2D">
        <w:rPr>
          <w:rStyle w:val="FootnoteReference"/>
        </w:rPr>
        <w:footnoteRef/>
      </w:r>
      <w:r w:rsidRPr="008122D3">
        <w:rPr>
          <w:rFonts w:asciiTheme="minorHAnsi" w:hAnsiTheme="minorHAnsi" w:cstheme="minorHAnsi"/>
        </w:rPr>
        <w:t xml:space="preserve"> </w:t>
      </w:r>
      <w:r w:rsidRPr="008122D3">
        <w:rPr>
          <w:rFonts w:asciiTheme="minorHAnsi" w:hAnsiTheme="minorHAnsi" w:cstheme="minorHAnsi"/>
        </w:rPr>
        <w:fldChar w:fldCharType="begin"/>
      </w:r>
      <w:r w:rsidR="002D568F">
        <w:rPr>
          <w:rFonts w:asciiTheme="minorHAnsi" w:hAnsiTheme="minorHAnsi" w:cstheme="minorHAnsi"/>
        </w:rPr>
        <w:instrText xml:space="preserve"> ADDIN ZOTERO_ITEM CSL_CITATION {"citationID":"eL69KMLw","properties":{"formattedCitation":"Barth and Thomson.","plainCitation":"Barth and Thomson.","dontUpdate":true,"noteIndex":9},"citationItems":[{"id":1623,"uris":["http://zotero.org/users/7540819/items/WZDUVG53"],"itemData":{"id":1623,"type":"book","event-place":"Martino Publishing","ISBN":"978-1-61427-736-1","language":"No Linguistic Content","note":"OCLC: 1302634714","publisher":"Connecticut","publisher-place":"Martino Publishing","source":"Open WorldCat","title":"Dogmatics in outline.","author":[{"family":"Barth","given":"Karl"},{"family":"Thomson","given":"G.T"}],"issued":{"date-parts":[["2014"]]}}}],"schema":"https://github.com/citation-style-language/schema/raw/master/csl-citation.json"} </w:instrText>
      </w:r>
      <w:r w:rsidRPr="008122D3">
        <w:rPr>
          <w:rFonts w:asciiTheme="minorHAnsi" w:hAnsiTheme="minorHAnsi" w:cstheme="minorHAnsi"/>
        </w:rPr>
        <w:fldChar w:fldCharType="separate"/>
      </w:r>
      <w:r w:rsidRPr="008122D3">
        <w:rPr>
          <w:rFonts w:asciiTheme="minorHAnsi" w:hAnsiTheme="minorHAnsi" w:cstheme="minorHAnsi"/>
          <w:noProof/>
        </w:rPr>
        <w:t>Barth and Thomson, 67.</w:t>
      </w:r>
      <w:r w:rsidRPr="008122D3">
        <w:rPr>
          <w:rFonts w:asciiTheme="minorHAnsi" w:hAnsiTheme="minorHAnsi" w:cstheme="minorHAnsi"/>
        </w:rPr>
        <w:fldChar w:fldCharType="end"/>
      </w:r>
    </w:p>
  </w:footnote>
  <w:footnote w:id="10">
    <w:p w14:paraId="571361EA" w14:textId="5F364CC5" w:rsidR="00A234AA" w:rsidRPr="004672C5" w:rsidRDefault="00A234AA" w:rsidP="00B8528F">
      <w:pPr>
        <w:pStyle w:val="FootnoteText"/>
        <w:rPr>
          <w:lang w:val="en-GB"/>
        </w:rPr>
      </w:pPr>
      <w:r w:rsidRPr="00181E2D">
        <w:rPr>
          <w:rStyle w:val="FootnoteReference"/>
        </w:rPr>
        <w:footnoteRef/>
      </w:r>
      <w:r>
        <w:t xml:space="preserve"> </w:t>
      </w:r>
      <w:r>
        <w:fldChar w:fldCharType="begin"/>
      </w:r>
      <w:r w:rsidR="002D568F">
        <w:instrText xml:space="preserve"> ADDIN ZOTERO_ITEM CSL_CITATION {"citationID":"rpIRl56w","properties":{"formattedCitation":"Gerald O\\uc0\\u8217{}Collins, {\\i{}Christology: A Biblical, Historical, and Systematic Study of Jesus Christ} (Oxford\\uc0\\u8239{}; New York: Oxford University Press, 1995).","plainCitation":"Gerald O’Collins, Christology: A Biblical, Historical, and Systematic Study of Jesus Christ (Oxford ; New York: Oxford University Press, 1995).","dontUpdate":true,"noteIndex":10},"citationItems":[{"id":2493,"uris":["http://zotero.org/users/7540819/items/HGRWDUHQ"],"itemData":{"id":2493,"type":"book","call-number":"BT202 .O313 1995","event-place":"Oxford ; New York","ISBN":"978-0-19-875501-2","number-of-pages":"333","publisher":"Oxford University Press","publisher-place":"Oxford ; New York","source":"Library of Congress ISBN","title":"Christology: a biblical, historical, and systematic study of Jesus Christ","title-short":"Christology","author":[{"family":"O'Collins","given":"Gerald"}],"issued":{"date-parts":[["1995"]]}}}],"schema":"https://github.com/citation-style-language/schema/raw/master/csl-citation.json"} </w:instrText>
      </w:r>
      <w:r>
        <w:fldChar w:fldCharType="separate"/>
      </w:r>
      <w:r w:rsidRPr="004672C5">
        <w:t xml:space="preserve">Gerald </w:t>
      </w:r>
      <w:proofErr w:type="spellStart"/>
      <w:r w:rsidRPr="004672C5">
        <w:t>O’Collins</w:t>
      </w:r>
      <w:proofErr w:type="spellEnd"/>
      <w:r w:rsidRPr="004672C5">
        <w:t xml:space="preserve">, </w:t>
      </w:r>
      <w:r w:rsidRPr="004672C5">
        <w:rPr>
          <w:i/>
          <w:iCs/>
        </w:rPr>
        <w:t>Christology: A Biblical, Historical, and Systematic Study of Jesus Christ</w:t>
      </w:r>
      <w:r w:rsidRPr="004672C5">
        <w:t xml:space="preserve"> (Oxford ; New York: Oxford University Press, 1995)</w:t>
      </w:r>
      <w:r>
        <w:t>, 110</w:t>
      </w:r>
      <w:r w:rsidRPr="004672C5">
        <w:t>.</w:t>
      </w:r>
      <w:r>
        <w:fldChar w:fldCharType="end"/>
      </w:r>
    </w:p>
  </w:footnote>
  <w:footnote w:id="11">
    <w:p w14:paraId="1DA02D52" w14:textId="635C3117" w:rsidR="00A234AA" w:rsidRPr="00477D8D" w:rsidRDefault="00A234AA" w:rsidP="00B8528F">
      <w:pPr>
        <w:pStyle w:val="FootnoteText"/>
        <w:rPr>
          <w:lang w:val="en-GB"/>
        </w:rPr>
      </w:pPr>
      <w:r w:rsidRPr="00181E2D">
        <w:rPr>
          <w:rStyle w:val="FootnoteReference"/>
        </w:rPr>
        <w:footnoteRef/>
      </w:r>
      <w:r>
        <w:t xml:space="preserve"> </w:t>
      </w:r>
      <w:r>
        <w:fldChar w:fldCharType="begin"/>
      </w:r>
      <w:r w:rsidR="002D568F">
        <w:instrText xml:space="preserve"> ADDIN ZOTERO_ITEM CSL_CITATION {"citationID":"BCm4x1k5","properties":{"formattedCitation":"O\\uc0\\u8217{}Collins.","plainCitation":"O’Collins.","dontUpdate":true,"noteIndex":11},"citationItems":[{"id":2493,"uris":["http://zotero.org/users/7540819/items/HGRWDUHQ"],"itemData":{"id":2493,"type":"book","call-number":"BT202 .O313 1995","event-place":"Oxford ; New York","ISBN":"978-0-19-875501-2","number-of-pages":"333","publisher":"Oxford University Press","publisher-place":"Oxford ; New York","source":"Library of Congress ISBN","title":"Christology: a biblical, historical, and systematic study of Jesus Christ","title-short":"Christology","author":[{"family":"O'Collins","given":"Gerald"}],"issued":{"date-parts":[["1995"]]}}}],"schema":"https://github.com/citation-style-language/schema/raw/master/csl-citation.json"} </w:instrText>
      </w:r>
      <w:r>
        <w:fldChar w:fldCharType="separate"/>
      </w:r>
      <w:proofErr w:type="spellStart"/>
      <w:r w:rsidRPr="00477D8D">
        <w:t>O’Collins</w:t>
      </w:r>
      <w:proofErr w:type="spellEnd"/>
      <w:r>
        <w:t>, 111</w:t>
      </w:r>
      <w:r w:rsidRPr="00477D8D">
        <w:t>.</w:t>
      </w:r>
      <w:r>
        <w:fldChar w:fldCharType="end"/>
      </w:r>
    </w:p>
  </w:footnote>
  <w:footnote w:id="12">
    <w:p w14:paraId="24F75811" w14:textId="3CC423F6" w:rsidR="00A234AA" w:rsidRPr="00BC7041" w:rsidRDefault="00A234AA" w:rsidP="00B8528F">
      <w:pPr>
        <w:pStyle w:val="FootnoteText"/>
        <w:rPr>
          <w:lang w:val="en-GB"/>
        </w:rPr>
      </w:pPr>
      <w:r w:rsidRPr="00181E2D">
        <w:rPr>
          <w:rStyle w:val="FootnoteReference"/>
        </w:rPr>
        <w:footnoteRef/>
      </w:r>
      <w:r>
        <w:t xml:space="preserve"> </w:t>
      </w:r>
      <w:r>
        <w:fldChar w:fldCharType="begin"/>
      </w:r>
      <w:r w:rsidR="002D568F">
        <w:instrText xml:space="preserve"> ADDIN ZOTERO_ITEM CSL_CITATION {"citationID":"6YEdGdQg","properties":{"formattedCitation":"O\\uc0\\u8217{}Collins.","plainCitation":"O’Collins.","dontUpdate":true,"noteIndex":12},"citationItems":[{"id":2493,"uris":["http://zotero.org/users/7540819/items/HGRWDUHQ"],"itemData":{"id":2493,"type":"book","call-number":"BT202 .O313 1995","event-place":"Oxford ; New York","ISBN":"978-0-19-875501-2","number-of-pages":"333","publisher":"Oxford University Press","publisher-place":"Oxford ; New York","source":"Library of Congress ISBN","title":"Christology: a biblical, historical, and systematic study of Jesus Christ","title-short":"Christology","author":[{"family":"O'Collins","given":"Gerald"}],"issued":{"date-parts":[["1995"]]}}}],"schema":"https://github.com/citation-style-language/schema/raw/master/csl-citation.json"} </w:instrText>
      </w:r>
      <w:r>
        <w:fldChar w:fldCharType="separate"/>
      </w:r>
      <w:proofErr w:type="spellStart"/>
      <w:r w:rsidRPr="00BC7041">
        <w:t>O’Collins</w:t>
      </w:r>
      <w:proofErr w:type="spellEnd"/>
      <w:r>
        <w:t>, 323</w:t>
      </w:r>
      <w:r w:rsidRPr="00BC7041">
        <w:t>.</w:t>
      </w:r>
      <w:r>
        <w:fldChar w:fldCharType="end"/>
      </w:r>
    </w:p>
  </w:footnote>
  <w:footnote w:id="13">
    <w:p w14:paraId="2656AD3F" w14:textId="68F42C98" w:rsidR="007E4957" w:rsidRPr="00DD2C99" w:rsidRDefault="007E4957" w:rsidP="00B8528F">
      <w:pPr>
        <w:pStyle w:val="FootnoteText"/>
        <w:rPr>
          <w:lang w:val="en-GB"/>
        </w:rPr>
      </w:pPr>
      <w:r w:rsidRPr="00181E2D">
        <w:rPr>
          <w:rStyle w:val="FootnoteReference"/>
        </w:rPr>
        <w:footnoteRef/>
      </w:r>
      <w:r>
        <w:t xml:space="preserve"> </w:t>
      </w:r>
      <w:r>
        <w:fldChar w:fldCharType="begin"/>
      </w:r>
      <w:r w:rsidR="002D568F">
        <w:instrText xml:space="preserve"> ADDIN ZOTERO_ITEM CSL_CITATION {"citationID":"C1y8VGId","properties":{"formattedCitation":"Deetlefs Johannes P., \\uc0\\u8216{}Political Implications of the Trinity\\uc0\\u8239{}: Two Approaches\\uc0\\u8217{}, {\\i{}HTS\\uc0\\u8239{}: Theological Studies}, 75.1 (2019), 1\\uc0\\u8211{}8 &lt;https://doi.org/10.4102/hts.v75i1.5396&gt;.","plainCitation":"Deetlefs Johannes P., ‘Political Implications of the Trinity : Two Approaches’, HTS : Theological Studies, 75.1 (2019), 1–8 &lt;https://doi.org/10.4102/hts.v75i1.5396&gt;.","dontUpdate":true,"noteIndex":13},"citationItems":[{"id":2672,"uris":["http://zotero.org/users/7540819/items/IS25MTXD"],"itemData":{"id":2672,"type":"article-journal","container-title":"HTS : Theological Studies","DOI":"10.4102/hts.v75i1.5396","issue":"1","journalAbbreviation":"HTS : Theological Studies","note":"publisher: AOSIS","page":"1-8","title":"Political implications of the Trinity : two approaches","volume":"75","author":[{"literal":"Deetlefs Johannes P."}],"issued":{"date-parts":[["2019",1,1]]}}}],"schema":"https://github.com/citation-style-language/schema/raw/master/csl-citation.json"} </w:instrText>
      </w:r>
      <w:r>
        <w:fldChar w:fldCharType="separate"/>
      </w:r>
      <w:proofErr w:type="spellStart"/>
      <w:r w:rsidR="007C5B9D" w:rsidRPr="007C5B9D">
        <w:t>Deetlefs</w:t>
      </w:r>
      <w:proofErr w:type="spellEnd"/>
      <w:r w:rsidR="007C5B9D" w:rsidRPr="007C5B9D">
        <w:t xml:space="preserve"> Johannes P., ‘Political Implications of the Trinity : Two Approaches’, </w:t>
      </w:r>
      <w:r w:rsidR="007C5B9D" w:rsidRPr="007C5B9D">
        <w:rPr>
          <w:i/>
          <w:iCs/>
        </w:rPr>
        <w:t>HTS : Theological Studies</w:t>
      </w:r>
      <w:r w:rsidR="007C5B9D" w:rsidRPr="007C5B9D">
        <w:t xml:space="preserve">, 75.1 (2019), </w:t>
      </w:r>
      <w:r w:rsidR="00F355D7">
        <w:t>4</w:t>
      </w:r>
      <w:r w:rsidR="007C5B9D" w:rsidRPr="007C5B9D">
        <w:t xml:space="preserve"> &lt;https://doi.org/10.4102/hts.v75i1.5396&gt;.</w:t>
      </w:r>
      <w:r>
        <w:fldChar w:fldCharType="end"/>
      </w:r>
    </w:p>
  </w:footnote>
  <w:footnote w:id="14">
    <w:p w14:paraId="1DEE5CC7" w14:textId="325C5655" w:rsidR="002D568F" w:rsidRPr="002D568F" w:rsidRDefault="002D568F">
      <w:pPr>
        <w:pStyle w:val="FootnoteText"/>
        <w:rPr>
          <w:lang w:val="en-GB"/>
        </w:rPr>
      </w:pPr>
      <w:r>
        <w:rPr>
          <w:rStyle w:val="FootnoteReference"/>
        </w:rPr>
        <w:footnoteRef/>
      </w:r>
      <w:r>
        <w:t xml:space="preserve"> </w:t>
      </w:r>
      <w:r>
        <w:fldChar w:fldCharType="begin"/>
      </w:r>
      <w:r w:rsidR="00C36606">
        <w:instrText xml:space="preserve"> ADDIN ZOTERO_ITEM CSL_CITATION {"citationID":"w3trxjDn","properties":{"formattedCitation":"Mark A. McIntosh, {\\i{}\\uc0\\u8216{}Christology\\uc0\\u8217{} in The Cambridge Companion to Hans Urs von Balthasar}, ed. by Edward T. Oakes and David Moss, Cambridge Companions to Religion (Cambridge, U.K.\\uc0\\u8239{}; New York: Cambridge University Press, 2004).","plainCitation":"Mark A. McIntosh, ‘Christology’ in The Cambridge Companion to Hans Urs von Balthasar, ed. by Edward T. Oakes and David Moss, Cambridge Companions to Religion (Cambridge, U.K. ; New York: Cambridge University Press, 2004).","dontUpdate":true,"noteIndex":14},"citationItems":[{"id":2621,"uris":["http://zotero.org/users/7540819/items/9SJZQ67Y"],"itemData":{"id":2621,"type":"book","call-number":"BX4705.B163 C36 2004","collection-title":"Cambridge companions to religion","event-place":"Cambridge, U.K. ; New York","ISBN":"978-0-521-81467-6","number-of-pages":"24-36","publisher":"Cambridge University Press","publisher-place":"Cambridge, U.K. ; New York","source":"Library of Congress ISBN","title":"'Christology' in The Cambridge companion to Hans Urs von Balthasar","editor":[{"family":"Oakes","given":"Edward T."},{"family":"Moss","given":"David"}],"author":[{"family":"McIntosh","given":"Mark A."}],"issued":{"date-parts":[["2004"]]}}}],"schema":"https://github.com/citation-style-language/schema/raw/master/csl-citation.json"} </w:instrText>
      </w:r>
      <w:r>
        <w:fldChar w:fldCharType="separate"/>
      </w:r>
      <w:r w:rsidRPr="002D568F">
        <w:t xml:space="preserve">Mark A. McIntosh, ‘Christology’ in </w:t>
      </w:r>
      <w:r w:rsidRPr="002D568F">
        <w:rPr>
          <w:i/>
          <w:iCs/>
        </w:rPr>
        <w:t xml:space="preserve">The Cambridge Companion to Hans </w:t>
      </w:r>
      <w:proofErr w:type="spellStart"/>
      <w:r w:rsidRPr="002D568F">
        <w:rPr>
          <w:i/>
          <w:iCs/>
        </w:rPr>
        <w:t>Urs</w:t>
      </w:r>
      <w:proofErr w:type="spellEnd"/>
      <w:r w:rsidRPr="002D568F">
        <w:rPr>
          <w:i/>
          <w:iCs/>
        </w:rPr>
        <w:t xml:space="preserve"> von Balthasar</w:t>
      </w:r>
      <w:r w:rsidRPr="002D568F">
        <w:t>, ed. by Edward T. Oakes and David Moss, Cambridge Companions to Religion (Cambridge, U.K. ; New York: Cambridge University Press, 2004)</w:t>
      </w:r>
      <w:r>
        <w:t>, 26</w:t>
      </w:r>
      <w:r w:rsidRPr="002D568F">
        <w:t>.</w:t>
      </w:r>
      <w:r>
        <w:fldChar w:fldCharType="end"/>
      </w:r>
    </w:p>
  </w:footnote>
  <w:footnote w:id="15">
    <w:p w14:paraId="3662D5C6" w14:textId="728494C8" w:rsidR="002D568F" w:rsidRPr="002D568F" w:rsidRDefault="002D568F">
      <w:pPr>
        <w:pStyle w:val="FootnoteText"/>
        <w:rPr>
          <w:lang w:val="en-GB"/>
        </w:rPr>
      </w:pPr>
      <w:r>
        <w:rPr>
          <w:rStyle w:val="FootnoteReference"/>
        </w:rPr>
        <w:footnoteRef/>
      </w:r>
      <w:r>
        <w:t xml:space="preserve"> </w:t>
      </w:r>
      <w:r>
        <w:fldChar w:fldCharType="begin"/>
      </w:r>
      <w:r w:rsidR="00C36606">
        <w:instrText xml:space="preserve"> ADDIN ZOTERO_ITEM CSL_CITATION {"citationID":"vlF3dpBG","properties":{"formattedCitation":"McIntosh.","plainCitation":"McIntosh.","dontUpdate":true,"noteIndex":15},"citationItems":[{"id":2621,"uris":["http://zotero.org/users/7540819/items/9SJZQ67Y"],"itemData":{"id":2621,"type":"book","call-number":"BX4705.B163 C36 2004","collection-title":"Cambridge companions to religion","event-place":"Cambridge, U.K. ; New York","ISBN":"978-0-521-81467-6","number-of-pages":"24-36","publisher":"Cambridge University Press","publisher-place":"Cambridge, U.K. ; New York","source":"Library of Congress ISBN","title":"'Christology' in The Cambridge companion to Hans Urs von Balthasar","editor":[{"family":"Oakes","given":"Edward T."},{"family":"Moss","given":"David"}],"author":[{"family":"McIntosh","given":"Mark A."}],"issued":{"date-parts":[["2004"]]}}}],"schema":"https://github.com/citation-style-language/schema/raw/master/csl-citation.json"} </w:instrText>
      </w:r>
      <w:r>
        <w:fldChar w:fldCharType="separate"/>
      </w:r>
      <w:r>
        <w:rPr>
          <w:noProof/>
        </w:rPr>
        <w:t>McIntosh, 27.</w:t>
      </w:r>
      <w:r>
        <w:fldChar w:fldCharType="end"/>
      </w:r>
    </w:p>
  </w:footnote>
  <w:footnote w:id="16">
    <w:p w14:paraId="195697CD" w14:textId="2327B06C" w:rsidR="008D7F45" w:rsidRPr="008D7F45" w:rsidRDefault="008D7F45">
      <w:pPr>
        <w:pStyle w:val="FootnoteText"/>
        <w:rPr>
          <w:lang w:val="en-GB"/>
        </w:rPr>
      </w:pPr>
      <w:r>
        <w:rPr>
          <w:rStyle w:val="FootnoteReference"/>
        </w:rPr>
        <w:footnoteRef/>
      </w:r>
      <w:r>
        <w:t xml:space="preserve"> </w:t>
      </w:r>
      <w:r>
        <w:fldChar w:fldCharType="begin"/>
      </w:r>
      <w:r w:rsidR="00C36606">
        <w:instrText xml:space="preserve"> ADDIN ZOTERO_ITEM CSL_CITATION {"citationID":"8AGtmE9m","properties":{"formattedCitation":"Rowan Williams, {\\i{}\\uc0\\u8216{}Balthasar and the Trinity\\uc0\\u8217{} in The Cambridge Companion to Hans Urs von Balthasar}, ed. by Edward T. Oakes and David Moss, Cambridge Companions to Religion (Cambridge, U.K.\\uc0\\u8239{}; New York: Cambridge University Press, 2004).","plainCitation":"Rowan Williams, ‘Balthasar and the Trinity’ in The Cambridge Companion to Hans Urs von Balthasar, ed. by Edward T. Oakes and David Moss, Cambridge Companions to Religion (Cambridge, U.K. ; New York: Cambridge University Press, 2004).","dontUpdate":true,"noteIndex":16},"citationItems":[{"id":2685,"uris":["http://zotero.org/users/7540819/items/J8U2NZ3N"],"itemData":{"id":2685,"type":"book","call-number":"BX4705.B163 C36 2004","collection-title":"Cambridge companions to religion","event-place":"Cambridge, U.K. ; New York","ISBN":"978-0-521-81467-6","number-of-pages":"37-50","publisher":"Cambridge University Press","publisher-place":"Cambridge, U.K. ; New York","source":"Library of Congress ISBN","title":"'Balthasar and the Trinity' in The Cambridge companion to Hans Urs von Balthasar","editor":[{"family":"Oakes","given":"Edward T."},{"family":"Moss","given":"David"}],"author":[{"family":"Williams","given":"Rowan"}],"issued":{"date-parts":[["2004"]]}}}],"schema":"https://github.com/citation-style-language/schema/raw/master/csl-citation.json"} </w:instrText>
      </w:r>
      <w:r>
        <w:fldChar w:fldCharType="separate"/>
      </w:r>
      <w:r w:rsidR="00C36606" w:rsidRPr="00C36606">
        <w:t>Rowan Williams, ‘Balthasar and the Trinity’ in</w:t>
      </w:r>
      <w:r w:rsidR="00C36606" w:rsidRPr="00C36606">
        <w:rPr>
          <w:i/>
          <w:iCs/>
        </w:rPr>
        <w:t xml:space="preserve"> The Cambridge Companion to Hans </w:t>
      </w:r>
      <w:proofErr w:type="spellStart"/>
      <w:r w:rsidR="00C36606" w:rsidRPr="00C36606">
        <w:rPr>
          <w:i/>
          <w:iCs/>
        </w:rPr>
        <w:t>Urs</w:t>
      </w:r>
      <w:proofErr w:type="spellEnd"/>
      <w:r w:rsidR="00C36606" w:rsidRPr="00C36606">
        <w:rPr>
          <w:i/>
          <w:iCs/>
        </w:rPr>
        <w:t xml:space="preserve"> von Balthasar</w:t>
      </w:r>
      <w:r w:rsidR="00C36606" w:rsidRPr="00C36606">
        <w:t>, ed. by Edward T. Oakes and David Moss, Cambridge Companions to Religion (Cambridge, U.K. ; New York: Cambridge University Press, 2004)</w:t>
      </w:r>
      <w:r w:rsidR="00C36606">
        <w:t>, 43</w:t>
      </w:r>
      <w:r w:rsidR="00C36606" w:rsidRPr="00C36606">
        <w:t>.</w:t>
      </w:r>
      <w:r>
        <w:fldChar w:fldCharType="end"/>
      </w:r>
    </w:p>
  </w:footnote>
  <w:footnote w:id="17">
    <w:p w14:paraId="2E16F551" w14:textId="773CA890" w:rsidR="00CC2168" w:rsidRPr="00856424" w:rsidRDefault="00CC2168" w:rsidP="00CC2168">
      <w:pPr>
        <w:pStyle w:val="FootnoteText"/>
        <w:rPr>
          <w:lang w:val="en-GB"/>
        </w:rPr>
      </w:pPr>
      <w:r w:rsidRPr="00181E2D">
        <w:rPr>
          <w:rStyle w:val="FootnoteReference"/>
        </w:rPr>
        <w:footnoteRef/>
      </w:r>
      <w:r>
        <w:t xml:space="preserve"> </w:t>
      </w:r>
      <w:r>
        <w:fldChar w:fldCharType="begin"/>
      </w:r>
      <w:r w:rsidR="00C36606">
        <w:instrText xml:space="preserve"> ADDIN ZOTERO_ITEM CSL_CITATION {"citationID":"Vw08JRIX","properties":{"formattedCitation":"Walter Kasper, {\\i{}The God of Jesus Christ} (New York: Crossroad Publishing Company, 1997).","plainCitation":"Walter Kasper, The God of Jesus Christ (New York: Crossroad Publishing Company, 1997).","dontUpdate":true,"noteIndex":17},"citationItems":[{"id":2625,"uris":["http://zotero.org/users/7540819/items/XPSDF5X6"],"itemData":{"id":2625,"type":"book","event-place":"New York","ISBN":"978-0-8245-0777-0","language":"eng","number-of-pages":"404","publisher":"Crossroad Publishing Company","publisher-place":"New York","source":"K10plus ISBN","title":"The God of Jesus Christ","author":[{"family":"Kasper","given":"Walter"}],"issued":{"date-parts":[["1997"]]}}}],"schema":"https://github.com/citation-style-language/schema/raw/master/csl-citation.json"} </w:instrText>
      </w:r>
      <w:r>
        <w:fldChar w:fldCharType="separate"/>
      </w:r>
      <w:r w:rsidRPr="00856424">
        <w:t xml:space="preserve">Walter Kasper, </w:t>
      </w:r>
      <w:r w:rsidRPr="00856424">
        <w:rPr>
          <w:i/>
          <w:iCs/>
        </w:rPr>
        <w:t>The God of Jesus Christ</w:t>
      </w:r>
      <w:r w:rsidRPr="00856424">
        <w:t xml:space="preserve"> (New York: Crossroad Publishing Company, 1997)</w:t>
      </w:r>
      <w:r>
        <w:t xml:space="preserve">, </w:t>
      </w:r>
      <w:r w:rsidR="00F7715E">
        <w:t>315</w:t>
      </w:r>
      <w:r w:rsidRPr="00856424">
        <w:t>.</w:t>
      </w:r>
      <w:r>
        <w:fldChar w:fldCharType="end"/>
      </w:r>
    </w:p>
  </w:footnote>
  <w:footnote w:id="18">
    <w:p w14:paraId="25598901" w14:textId="06C52514" w:rsidR="005E57B3" w:rsidRPr="00A82DE2" w:rsidRDefault="005E57B3" w:rsidP="00B8528F">
      <w:pPr>
        <w:pStyle w:val="FootnoteText"/>
        <w:rPr>
          <w:lang w:val="en-GB"/>
        </w:rPr>
      </w:pPr>
      <w:r w:rsidRPr="00181E2D">
        <w:rPr>
          <w:rStyle w:val="FootnoteReference"/>
        </w:rPr>
        <w:footnoteRef/>
      </w:r>
      <w:r>
        <w:t xml:space="preserve"> </w:t>
      </w:r>
      <w:r>
        <w:fldChar w:fldCharType="begin"/>
      </w:r>
      <w:r w:rsidR="00C36606">
        <w:instrText xml:space="preserve"> ADDIN ZOTERO_ITEM CSL_CITATION {"citationID":"XJ71zm4a","properties":{"formattedCitation":"Kasper.","plainCitation":"Kasper.","dontUpdate":true,"noteIndex":18},"citationItems":[{"id":2625,"uris":["http://zotero.org/users/7540819/items/XPSDF5X6"],"itemData":{"id":2625,"type":"book","event-place":"New York","ISBN":"978-0-8245-0777-0","language":"eng","number-of-pages":"404","publisher":"Crossroad Publishing Company","publisher-place":"New York","source":"K10plus ISBN","title":"The God of Jesus Christ","author":[{"family":"Kasper","given":"Walter"}],"issued":{"date-parts":[["1997"]]}}}],"schema":"https://github.com/citation-style-language/schema/raw/master/csl-citation.json"} </w:instrText>
      </w:r>
      <w:r>
        <w:fldChar w:fldCharType="separate"/>
      </w:r>
      <w:r>
        <w:rPr>
          <w:noProof/>
        </w:rPr>
        <w:t>Kasper, 316.</w:t>
      </w:r>
      <w:r>
        <w:fldChar w:fldCharType="end"/>
      </w:r>
    </w:p>
  </w:footnote>
  <w:footnote w:id="19">
    <w:p w14:paraId="76E9A6A1" w14:textId="7D9DFCDB" w:rsidR="005E57B3" w:rsidRPr="001018B2" w:rsidRDefault="005E57B3" w:rsidP="00B8528F">
      <w:pPr>
        <w:pStyle w:val="FootnoteText"/>
        <w:rPr>
          <w:lang w:val="en-GB"/>
        </w:rPr>
      </w:pPr>
      <w:r w:rsidRPr="00181E2D">
        <w:rPr>
          <w:rStyle w:val="FootnoteReference"/>
        </w:rPr>
        <w:footnoteRef/>
      </w:r>
      <w:r>
        <w:t xml:space="preserve"> Cf. </w:t>
      </w:r>
      <w:r>
        <w:fldChar w:fldCharType="begin"/>
      </w:r>
      <w:r w:rsidR="002D568F">
        <w:instrText xml:space="preserve"> ADDIN ZOTERO_ITEM CSL_CITATION {"citationID":"cb5jsrHO","properties":{"formattedCitation":"Thiselton.","plainCitation":"Thiselton.","dontUpdate":true,"noteIndex":19},"citationItems":[{"id":2006,"uris":["http://zotero.org/users/7540819/items/9T4EJ3J4"],"itemData":{"id":2006,"type":"book","call-number":"BR118 .T486 2017","event-place":"London","ISBN":"978-0-281-07759-5","number-of-pages":"240","publisher":"SPCK","publisher-place":"London","source":"Library of Congress ISBN","title":"Approaching the study of theology: an introduction to key thinkers, concepts, methods and debates","title-short":"Approaching the study of theology","author":[{"family":"Thiselton","given":"Anthony C."}],"issued":{"date-parts":[["2017"]]}}}],"schema":"https://github.com/citation-style-language/schema/raw/master/csl-citation.json"} </w:instrText>
      </w:r>
      <w:r>
        <w:fldChar w:fldCharType="separate"/>
      </w:r>
      <w:r>
        <w:rPr>
          <w:noProof/>
        </w:rPr>
        <w:t>Thiselton, 163-166.</w:t>
      </w:r>
      <w:r>
        <w:fldChar w:fldCharType="end"/>
      </w:r>
      <w:r>
        <w:t xml:space="preserve"> N.B. his reference to </w:t>
      </w:r>
      <w:r>
        <w:rPr>
          <w:rFonts w:asciiTheme="minorHAnsi" w:eastAsiaTheme="minorHAnsi" w:hAnsiTheme="minorHAnsi" w:cstheme="minorHAnsi"/>
          <w:bdr w:val="none" w:sz="0" w:space="0" w:color="auto"/>
          <w14:ligatures w14:val="standardContextual"/>
        </w:rPr>
        <w:t xml:space="preserve">Wesley Hill, Jürgen </w:t>
      </w:r>
      <w:proofErr w:type="spellStart"/>
      <w:r>
        <w:rPr>
          <w:rFonts w:asciiTheme="minorHAnsi" w:eastAsiaTheme="minorHAnsi" w:hAnsiTheme="minorHAnsi" w:cstheme="minorHAnsi"/>
          <w:bdr w:val="none" w:sz="0" w:space="0" w:color="auto"/>
          <w14:ligatures w14:val="standardContextual"/>
        </w:rPr>
        <w:t>Moltmann</w:t>
      </w:r>
      <w:proofErr w:type="spellEnd"/>
      <w:r>
        <w:rPr>
          <w:rFonts w:asciiTheme="minorHAnsi" w:eastAsiaTheme="minorHAnsi" w:hAnsiTheme="minorHAnsi" w:cstheme="minorHAnsi"/>
          <w:bdr w:val="none" w:sz="0" w:space="0" w:color="auto"/>
          <w14:ligatures w14:val="standardContextual"/>
        </w:rPr>
        <w:t xml:space="preserve">, Stanley </w:t>
      </w:r>
      <w:proofErr w:type="spellStart"/>
      <w:r>
        <w:rPr>
          <w:rFonts w:asciiTheme="minorHAnsi" w:eastAsiaTheme="minorHAnsi" w:hAnsiTheme="minorHAnsi" w:cstheme="minorHAnsi"/>
          <w:bdr w:val="none" w:sz="0" w:space="0" w:color="auto"/>
          <w14:ligatures w14:val="standardContextual"/>
        </w:rPr>
        <w:t>Grenz</w:t>
      </w:r>
      <w:proofErr w:type="spellEnd"/>
      <w:r>
        <w:rPr>
          <w:rFonts w:asciiTheme="minorHAnsi" w:eastAsiaTheme="minorHAnsi" w:hAnsiTheme="minorHAnsi" w:cstheme="minorHAnsi"/>
          <w:bdr w:val="none" w:sz="0" w:space="0" w:color="auto"/>
          <w14:ligatures w14:val="standardContextual"/>
        </w:rPr>
        <w:t xml:space="preserve"> and Paul </w:t>
      </w:r>
      <w:proofErr w:type="spellStart"/>
      <w:r>
        <w:rPr>
          <w:rFonts w:asciiTheme="minorHAnsi" w:eastAsiaTheme="minorHAnsi" w:hAnsiTheme="minorHAnsi" w:cstheme="minorHAnsi"/>
          <w:bdr w:val="none" w:sz="0" w:space="0" w:color="auto"/>
          <w14:ligatures w14:val="standardContextual"/>
        </w:rPr>
        <w:t>Fiddes</w:t>
      </w:r>
      <w:proofErr w:type="spellEnd"/>
      <w:r>
        <w:rPr>
          <w:rFonts w:asciiTheme="minorHAnsi" w:eastAsiaTheme="minorHAnsi" w:hAnsiTheme="minorHAnsi" w:cstheme="minorHAnsi"/>
          <w:bdr w:val="none" w:sz="0" w:space="0" w:color="auto"/>
          <w14:ligatures w14:val="standardContextual"/>
        </w:rPr>
        <w:t>.</w:t>
      </w:r>
    </w:p>
  </w:footnote>
  <w:footnote w:id="20">
    <w:p w14:paraId="7CAA6253" w14:textId="54B8B393" w:rsidR="005E57B3" w:rsidRPr="00DB767B" w:rsidRDefault="005E57B3" w:rsidP="00B8528F">
      <w:pPr>
        <w:pStyle w:val="FootnoteText"/>
        <w:rPr>
          <w:lang w:val="en-GB"/>
        </w:rPr>
      </w:pPr>
      <w:r w:rsidRPr="00181E2D">
        <w:rPr>
          <w:rStyle w:val="FootnoteReference"/>
        </w:rPr>
        <w:footnoteRef/>
      </w:r>
      <w:r>
        <w:t xml:space="preserve"> </w:t>
      </w:r>
      <w:r>
        <w:fldChar w:fldCharType="begin"/>
      </w:r>
      <w:r w:rsidR="002D568F">
        <w:instrText xml:space="preserve"> ADDIN ZOTERO_ITEM CSL_CITATION {"citationID":"oniCtey7","properties":{"formattedCitation":"Rahner and Feiner.","plainCitation":"Rahner and Feiner.","dontUpdate":true,"noteIndex":20},"citationItems":[{"id":2435,"uris":["http://zotero.org/users/7540819/items/7HRT3QH9"],"itemData":{"id":2435,"type":"book","call-number":"BT111.2 .R3 1970b","collection-title":"Mysterium salutis","event-place":"London, [New York]","ISBN":"978-0-223-97789-1","language":"engger","number-of-pages":"120","publisher":"Burns &amp; Oates; Herder and Herder","publisher-place":"London, [New York]","source":"Library of Congress ISBN","title":"The Trinity","author":[{"family":"Rahner","given":"Karl"},{"family":"Feiner","given":"Johannes"}],"issued":{"date-parts":[["1970"]]}}}],"schema":"https://github.com/citation-style-language/schema/raw/master/csl-citation.json"} </w:instrText>
      </w:r>
      <w:r>
        <w:fldChar w:fldCharType="separate"/>
      </w:r>
      <w:r>
        <w:rPr>
          <w:noProof/>
        </w:rPr>
        <w:t>Rahner and Feiner, 22.</w:t>
      </w:r>
      <w:r>
        <w:fldChar w:fldCharType="end"/>
      </w:r>
    </w:p>
  </w:footnote>
  <w:footnote w:id="21">
    <w:p w14:paraId="7FACCA15" w14:textId="7CA83020" w:rsidR="00F30748" w:rsidRPr="00374BAB" w:rsidRDefault="00F30748" w:rsidP="00F30748">
      <w:pPr>
        <w:pStyle w:val="FootnoteText"/>
        <w:rPr>
          <w:lang w:val="en-GB"/>
        </w:rPr>
      </w:pPr>
      <w:r w:rsidRPr="00181E2D">
        <w:rPr>
          <w:rStyle w:val="FootnoteReference"/>
        </w:rPr>
        <w:footnoteRef/>
      </w:r>
      <w:r>
        <w:t xml:space="preserve"> </w:t>
      </w:r>
      <w:r>
        <w:fldChar w:fldCharType="begin"/>
      </w:r>
      <w:r w:rsidR="002D568F">
        <w:instrText xml:space="preserve"> ADDIN ZOTERO_ITEM CSL_CITATION {"citationID":"Jbnz6oID","properties":{"formattedCitation":"Karen Kilby, \\uc0\\u8216{}Perichoresis and Projection: Problems with Social Doctrines of the Trinity\\uc0\\u8217{}, {\\i{}New Blackfriars}, 81.956 (2000), 432\\uc0\\u8211{}45.","plainCitation":"Karen Kilby, ‘Perichoresis and Projection: Problems with Social Doctrines of the Trinity’, New Blackfriars, 81.956 (2000), 432–45.","dontUpdate":true,"noteIndex":21},"citationItems":[{"id":2664,"uris":["http://zotero.org/users/7540819/items/IVK4KFJ3"],"itemData":{"id":2664,"type":"article-journal","archive":"JSTOR","container-title":"New Blackfriars","ISSN":"00284289, 17412005","issue":"956","note":"publisher: Wiley","page":"432-445","title":"Perichoresis and Projection: Problems with Social Doctrines of the Trinity","volume":"81","author":[{"family":"Kilby","given":"Karen"}],"issued":{"date-parts":[["2000"]]}}}],"schema":"https://github.com/citation-style-language/schema/raw/master/csl-citation.json"} </w:instrText>
      </w:r>
      <w:r>
        <w:fldChar w:fldCharType="separate"/>
      </w:r>
      <w:r w:rsidRPr="00374BAB">
        <w:t xml:space="preserve">Karen Kilby, ‘Perichoresis and Projection: Problems with Social Doctrines of the Trinity’, </w:t>
      </w:r>
      <w:r w:rsidRPr="00374BAB">
        <w:rPr>
          <w:i/>
          <w:iCs/>
        </w:rPr>
        <w:t>New Blackfriars</w:t>
      </w:r>
      <w:r w:rsidRPr="00374BAB">
        <w:t>, 81.956 (2000), 43</w:t>
      </w:r>
      <w:r>
        <w:t>5</w:t>
      </w:r>
      <w:r w:rsidRPr="00374BAB">
        <w:t>.</w:t>
      </w:r>
      <w:r>
        <w:fldChar w:fldCharType="end"/>
      </w:r>
    </w:p>
  </w:footnote>
  <w:footnote w:id="22">
    <w:p w14:paraId="1F857A9E" w14:textId="3ADD2C76" w:rsidR="002D568F" w:rsidRPr="002D568F" w:rsidRDefault="002D568F">
      <w:pPr>
        <w:pStyle w:val="FootnoteText"/>
        <w:rPr>
          <w:lang w:val="en-GB"/>
        </w:rPr>
      </w:pPr>
      <w:r>
        <w:rPr>
          <w:rStyle w:val="FootnoteReference"/>
        </w:rPr>
        <w:footnoteRef/>
      </w:r>
      <w:r>
        <w:t xml:space="preserve"> </w:t>
      </w:r>
      <w:r>
        <w:fldChar w:fldCharType="begin"/>
      </w:r>
      <w:r w:rsidR="00C36606">
        <w:instrText xml:space="preserve"> ADDIN ZOTERO_ITEM CSL_CITATION {"citationID":"9wRkiSRk","properties":{"formattedCitation":"Miroslav Volf, {\\i{}After Our Likeness: The Church as the Image of the Trinity}, Sacra Doctrina (Grand Rapids, Mich: William B. Eerdmans, 1998).","plainCitation":"Miroslav Volf, After Our Likeness: The Church as the Image of the Trinity, Sacra Doctrina (Grand Rapids, Mich: William B. Eerdmans, 1998).","dontUpdate":true,"noteIndex":22},"citationItems":[{"id":2407,"uris":["http://zotero.org/users/7540819/items/BD2EIG7U"],"itemData":{"id":2407,"type":"book","call-number":"BV4405 .V65 1998","collection-title":"Sacra doctrina","event-place":"Grand Rapids, Mich","ISBN":"978-0-8028-4440-8","number-of-pages":"314","publisher":"William B. Eerdmans","publisher-place":"Grand Rapids, Mich","source":"Library of Congress ISBN","title":"After our likeness: the church as the image of the trinity","title-short":"After our likeness","author":[{"family":"Volf","given":"Miroslav"}],"issued":{"date-parts":[["1998"]]}}}],"schema":"https://github.com/citation-style-language/schema/raw/master/csl-citation.json"} </w:instrText>
      </w:r>
      <w:r>
        <w:fldChar w:fldCharType="separate"/>
      </w:r>
      <w:r w:rsidRPr="002D568F">
        <w:t xml:space="preserve">Miroslav </w:t>
      </w:r>
      <w:proofErr w:type="spellStart"/>
      <w:r w:rsidRPr="002D568F">
        <w:t>Volf</w:t>
      </w:r>
      <w:proofErr w:type="spellEnd"/>
      <w:r w:rsidRPr="002D568F">
        <w:t xml:space="preserve">, </w:t>
      </w:r>
      <w:r w:rsidRPr="002D568F">
        <w:rPr>
          <w:i/>
          <w:iCs/>
        </w:rPr>
        <w:t>After Our Likeness: The Church as the Image of the Trinity</w:t>
      </w:r>
      <w:r w:rsidRPr="002D568F">
        <w:t xml:space="preserve">, Sacra </w:t>
      </w:r>
      <w:proofErr w:type="spellStart"/>
      <w:r w:rsidRPr="002D568F">
        <w:t>Doctrina</w:t>
      </w:r>
      <w:proofErr w:type="spellEnd"/>
      <w:r w:rsidRPr="002D568F">
        <w:t xml:space="preserve"> (Grand Rapids, </w:t>
      </w:r>
      <w:proofErr w:type="spellStart"/>
      <w:r w:rsidRPr="002D568F">
        <w:t>Mich</w:t>
      </w:r>
      <w:proofErr w:type="spellEnd"/>
      <w:r w:rsidRPr="002D568F">
        <w:t>: William B. Eerdmans, 1998)</w:t>
      </w:r>
      <w:r>
        <w:t>, 77-78</w:t>
      </w:r>
      <w:r w:rsidRPr="002D568F">
        <w:t>.</w:t>
      </w:r>
      <w:r>
        <w:fldChar w:fldCharType="end"/>
      </w:r>
    </w:p>
  </w:footnote>
  <w:footnote w:id="23">
    <w:p w14:paraId="289A0284" w14:textId="003C739C" w:rsidR="00CA4BDD" w:rsidRPr="00795852" w:rsidRDefault="00CA4BDD" w:rsidP="00CA4BDD">
      <w:pPr>
        <w:pStyle w:val="FootnoteText"/>
        <w:rPr>
          <w:lang w:val="en-GB"/>
        </w:rPr>
      </w:pPr>
      <w:r>
        <w:rPr>
          <w:rStyle w:val="FootnoteReference"/>
        </w:rPr>
        <w:footnoteRef/>
      </w:r>
      <w:r>
        <w:t xml:space="preserve"> </w:t>
      </w:r>
      <w:r>
        <w:fldChar w:fldCharType="begin"/>
      </w:r>
      <w:r w:rsidR="00C36606">
        <w:instrText xml:space="preserve"> ADDIN ZOTERO_ITEM CSL_CITATION {"citationID":"AGDcN5lr","properties":{"formattedCitation":"Barbara Brown Zikmund, \\uc0\\u8216{}The Trinity and Women\\uc0\\u8217{}s Experience\\uc0\\u8217{}, {\\i{}The Christian Century (1902)}, 104.12 (1987), 354.","plainCitation":"Barbara Brown Zikmund, ‘The Trinity and Women’s Experience’, The Christian Century (1902), 104.12 (1987), 354.","dontUpdate":true,"noteIndex":23},"citationItems":[{"id":2676,"uris":["http://zotero.org/users/7540819/items/5HAEIKH7"],"itemData":{"id":2676,"type":"article-journal","abstract":"Women of today are claiming new roles in the churches, in addition to their time honored roles. A discussion of the Trinity as it relates to the movements within today's churches is presented.","container-title":"The Christian century (1902)","ISSN":"0009-5281","issue":"12","note":"publisher-place: Chicago\npublisher: The Christian Century Foundation","page":"354","title":"The Trinity and women's experience","volume":"104","author":[{"family":"Zikmund","given":"Barbara Brown"}],"issued":{"date-parts":[["1987"]]}}}],"schema":"https://github.com/citation-style-language/schema/raw/master/csl-citation.json"} </w:instrText>
      </w:r>
      <w:r>
        <w:fldChar w:fldCharType="separate"/>
      </w:r>
      <w:r w:rsidRPr="00795852">
        <w:t xml:space="preserve">Barbara Brown Zikmund, ‘The Trinity and Women’s Experience’, </w:t>
      </w:r>
      <w:r w:rsidRPr="00795852">
        <w:rPr>
          <w:i/>
          <w:iCs/>
        </w:rPr>
        <w:t>The Christian Century (1902)</w:t>
      </w:r>
      <w:r w:rsidRPr="00795852">
        <w:t>, 104.12 (1987), 35</w:t>
      </w:r>
      <w:r>
        <w:t>6</w:t>
      </w:r>
      <w:r w:rsidRPr="00795852">
        <w:t>.</w:t>
      </w:r>
      <w:r>
        <w:fldChar w:fldCharType="end"/>
      </w:r>
    </w:p>
  </w:footnote>
  <w:footnote w:id="24">
    <w:p w14:paraId="616A77DF" w14:textId="0DDDAF46" w:rsidR="00CA4BDD" w:rsidRPr="00795852" w:rsidRDefault="00CA4BDD" w:rsidP="00CA4BDD">
      <w:pPr>
        <w:pStyle w:val="FootnoteText"/>
        <w:rPr>
          <w:lang w:val="en-GB"/>
        </w:rPr>
      </w:pPr>
      <w:r>
        <w:rPr>
          <w:rStyle w:val="FootnoteReference"/>
        </w:rPr>
        <w:footnoteRef/>
      </w:r>
      <w:r>
        <w:t xml:space="preserve"> </w:t>
      </w:r>
      <w:r>
        <w:fldChar w:fldCharType="begin"/>
      </w:r>
      <w:r w:rsidR="00C36606">
        <w:instrText xml:space="preserve"> ADDIN ZOTERO_ITEM CSL_CITATION {"citationID":"rElVoSOb","properties":{"formattedCitation":"Zikmund.","plainCitation":"Zikmund.","dontUpdate":true,"noteIndex":24},"citationItems":[{"id":2676,"uris":["http://zotero.org/users/7540819/items/5HAEIKH7"],"itemData":{"id":2676,"type":"article-journal","abstract":"Women of today are claiming new roles in the churches, in addition to their time honored roles. A discussion of the Trinity as it relates to the movements within today's churches is presented.","container-title":"The Christian century (1902)","ISSN":"0009-5281","issue":"12","note":"publisher-place: Chicago\npublisher: The Christian Century Foundation","page":"354","title":"The Trinity and women's experience","volume":"104","author":[{"family":"Zikmund","given":"Barbara Brown"}],"issued":{"date-parts":[["1987"]]}}}],"schema":"https://github.com/citation-style-language/schema/raw/master/csl-citation.json"} </w:instrText>
      </w:r>
      <w:r>
        <w:fldChar w:fldCharType="separate"/>
      </w:r>
      <w:r>
        <w:rPr>
          <w:noProof/>
        </w:rPr>
        <w:t>Zikmund, 354.</w:t>
      </w:r>
      <w:r>
        <w:fldChar w:fldCharType="end"/>
      </w:r>
    </w:p>
  </w:footnote>
  <w:footnote w:id="25">
    <w:p w14:paraId="61123B48" w14:textId="0B4C26BC" w:rsidR="00E11546" w:rsidRPr="00E11546" w:rsidRDefault="00E11546">
      <w:pPr>
        <w:pStyle w:val="FootnoteText"/>
        <w:rPr>
          <w:lang w:val="en-GB"/>
        </w:rPr>
      </w:pPr>
      <w:r>
        <w:rPr>
          <w:rStyle w:val="FootnoteReference"/>
        </w:rPr>
        <w:footnoteRef/>
      </w:r>
      <w:r>
        <w:t xml:space="preserve"> </w:t>
      </w:r>
      <w:r>
        <w:fldChar w:fldCharType="begin"/>
      </w:r>
      <w:r w:rsidR="00C36606">
        <w:instrText xml:space="preserve"> ADDIN ZOTERO_ITEM CSL_CITATION {"citationID":"fWE0tstm","properties":{"formattedCitation":"Andy Crouch, {\\i{}\\uc0\\u8216{}The Gospel: How Is Art a Gift, a Calling, and an Obedience?\\uc0\\u8217{} in For the Beauty of the Church: Casting a Vision for the Arts}, ed. by W. David O. Taylor (Grand Rapids, Mich: Baker Books, 2010).","plainCitation":"Andy Crouch, ‘The Gospel: How Is Art a Gift, a Calling, and an Obedience?’ in For the Beauty of the Church: Casting a Vision for the Arts, ed. by W. David O. Taylor (Grand Rapids, Mich: Baker Books, 2010).","dontUpdate":true,"noteIndex":25},"citationItems":[{"id":2677,"uris":["http://zotero.org/users/7540819/items/ARG7H6NZ"],"itemData":{"id":2677,"type":"book","call-number":"BR115.A8 F66 2010","event-place":"Grand Rapids, Mich","ISBN":"978-0-8010-7191-1","note":"OCLC: ocn424557878","number-of-pages":"29-43","publisher":"Baker Books","publisher-place":"Grand Rapids, Mich","source":"Library of Congress ISBN","title":"'The Gospel: How is art a gift, a calling, and an obedience?' in For the beauty of the church: casting a vision for the arts","title-short":"For the beauty of the church","editor":[{"family":"Taylor","given":"W. David O."}],"author":[{"family":"Crouch","given":"Andy"}],"issued":{"date-parts":[["2010"]]}}}],"schema":"https://github.com/citation-style-language/schema/raw/master/csl-citation.json"} </w:instrText>
      </w:r>
      <w:r>
        <w:fldChar w:fldCharType="separate"/>
      </w:r>
      <w:r w:rsidRPr="00E11546">
        <w:t xml:space="preserve">Andy Crouch, ‘The Gospel: How Is Art a Gift, a Calling, and an Obedience?’ in </w:t>
      </w:r>
      <w:r w:rsidRPr="00E11546">
        <w:rPr>
          <w:i/>
          <w:iCs/>
        </w:rPr>
        <w:t>For the Beauty of the Church: Casting a Vision for the Arts</w:t>
      </w:r>
      <w:r w:rsidRPr="00E11546">
        <w:t xml:space="preserve">, ed. by W. David O. Taylor (Grand Rapids, </w:t>
      </w:r>
      <w:proofErr w:type="spellStart"/>
      <w:r w:rsidRPr="00E11546">
        <w:t>Mich</w:t>
      </w:r>
      <w:proofErr w:type="spellEnd"/>
      <w:r w:rsidRPr="00E11546">
        <w:t>: Baker Books, 2010)</w:t>
      </w:r>
      <w:r>
        <w:t>, 32</w:t>
      </w:r>
      <w:r w:rsidRPr="00E11546">
        <w:t>.</w:t>
      </w:r>
      <w:r>
        <w:fldChar w:fldCharType="end"/>
      </w:r>
    </w:p>
  </w:footnote>
  <w:footnote w:id="26">
    <w:p w14:paraId="3EFEC7EA" w14:textId="4D99D028" w:rsidR="00E11546" w:rsidRPr="00E11546" w:rsidRDefault="00E11546">
      <w:pPr>
        <w:pStyle w:val="FootnoteText"/>
        <w:rPr>
          <w:lang w:val="en-GB"/>
        </w:rPr>
      </w:pPr>
      <w:r>
        <w:rPr>
          <w:rStyle w:val="FootnoteReference"/>
        </w:rPr>
        <w:footnoteRef/>
      </w:r>
      <w:r>
        <w:t xml:space="preserve"> </w:t>
      </w:r>
      <w:r>
        <w:fldChar w:fldCharType="begin"/>
      </w:r>
      <w:r w:rsidR="00C36606">
        <w:instrText xml:space="preserve"> ADDIN ZOTERO_ITEM CSL_CITATION {"citationID":"8dbY7Ej6","properties":{"formattedCitation":"Barbara Nicolosi, {\\i{}\\uc0\\u8216{}The Artist:What Exactly Is an Artist, and How Do We Shepherd Them?\\uc0\\u8217{} in For the Beauty of the Church: Casting a Vision for the Arts}, ed. by W. David O. Taylor (Grand Rapids, Mich: Baker Books, 2010).","plainCitation":"Barbara Nicolosi, ‘The Artist:What Exactly Is an Artist, and How Do We Shepherd Them?’ in For the Beauty of the Church: Casting a Vision for the Arts, ed. by W. David O. Taylor (Grand Rapids, Mich: Baker Books, 2010).","dontUpdate":true,"noteIndex":26},"citationItems":[{"id":2683,"uris":["http://zotero.org/users/7540819/items/UFBTG7VI"],"itemData":{"id":2683,"type":"book","call-number":"BR115.A8 F66 2010","event-place":"Grand Rapids, Mich","ISBN":"978-0-8010-7191-1","note":"OCLC: ocn424557878","number-of-pages":"103-121","publisher":"Baker Books","publisher-place":"Grand Rapids, Mich","source":"Library of Congress ISBN","title":"'The Artist:What exactly is an artist, and how do we shepherd them?' in For the beauty of the church: casting a vision for the arts","title-short":"For the beauty of the church","editor":[{"family":"Taylor","given":"W. David O."}],"author":[{"family":"Nicolosi","given":"Barbara"}],"issued":{"date-parts":[["2010"]]}}}],"schema":"https://github.com/citation-style-language/schema/raw/master/csl-citation.json"} </w:instrText>
      </w:r>
      <w:r>
        <w:fldChar w:fldCharType="separate"/>
      </w:r>
      <w:r w:rsidRPr="00E11546">
        <w:t>Barbara Nicolosi, ‘The Artist:</w:t>
      </w:r>
      <w:r w:rsidR="00C36606">
        <w:t xml:space="preserve"> </w:t>
      </w:r>
      <w:r w:rsidRPr="00E11546">
        <w:t xml:space="preserve">What Exactly Is an Artist, and How Do We Shepherd Them?’ in For the Beauty of the Church: Casting a Vision for the Arts, ed. by W. David O. Taylor (Grand Rapids, </w:t>
      </w:r>
      <w:proofErr w:type="spellStart"/>
      <w:r w:rsidRPr="00E11546">
        <w:t>Mich</w:t>
      </w:r>
      <w:proofErr w:type="spellEnd"/>
      <w:r w:rsidRPr="00E11546">
        <w:t>: Baker Books, 2010)</w:t>
      </w:r>
      <w:r>
        <w:t>, 106</w:t>
      </w:r>
      <w:r w:rsidRPr="00E11546">
        <w:t>.</w:t>
      </w:r>
      <w:r>
        <w:fldChar w:fldCharType="end"/>
      </w:r>
    </w:p>
  </w:footnote>
  <w:footnote w:id="27">
    <w:p w14:paraId="69D4083C" w14:textId="47F4830C" w:rsidR="000C1D39" w:rsidRPr="000C1D39" w:rsidRDefault="000C1D39">
      <w:pPr>
        <w:pStyle w:val="FootnoteText"/>
      </w:pPr>
      <w:r>
        <w:rPr>
          <w:rStyle w:val="FootnoteReference"/>
        </w:rPr>
        <w:footnoteRef/>
      </w:r>
      <w:r>
        <w:t xml:space="preserve"> Thomas Aquinas, </w:t>
      </w:r>
      <w:r>
        <w:rPr>
          <w:i/>
          <w:iCs/>
        </w:rPr>
        <w:t xml:space="preserve">Summa </w:t>
      </w:r>
      <w:proofErr w:type="spellStart"/>
      <w:r>
        <w:rPr>
          <w:i/>
          <w:iCs/>
        </w:rPr>
        <w:t>Theologiae</w:t>
      </w:r>
      <w:proofErr w:type="spellEnd"/>
      <w:r>
        <w:rPr>
          <w:i/>
          <w:iCs/>
        </w:rPr>
        <w:t xml:space="preserve"> </w:t>
      </w:r>
      <w:r>
        <w:t>I.xxxix.8.</w:t>
      </w:r>
    </w:p>
  </w:footnote>
  <w:footnote w:id="28">
    <w:p w14:paraId="61D87D28" w14:textId="69EB1EBE" w:rsidR="00E11546" w:rsidRPr="00E11546" w:rsidRDefault="00E11546">
      <w:pPr>
        <w:pStyle w:val="FootnoteText"/>
        <w:rPr>
          <w:lang w:val="en-GB"/>
        </w:rPr>
      </w:pPr>
      <w:r>
        <w:rPr>
          <w:rStyle w:val="FootnoteReference"/>
        </w:rPr>
        <w:footnoteRef/>
      </w:r>
      <w:r>
        <w:t xml:space="preserve"> </w:t>
      </w:r>
      <w:r>
        <w:fldChar w:fldCharType="begin"/>
      </w:r>
      <w:r w:rsidR="00C36606">
        <w:instrText xml:space="preserve"> ADDIN ZOTERO_ITEM CSL_CITATION {"citationID":"qsKeTRqp","properties":{"formattedCitation":"Nicolosi.","plainCitation":"Nicolosi.","dontUpdate":true,"noteIndex":28},"citationItems":[{"id":2683,"uris":["http://zotero.org/users/7540819/items/UFBTG7VI"],"itemData":{"id":2683,"type":"book","call-number":"BR115.A8 F66 2010","event-place":"Grand Rapids, Mich","ISBN":"978-0-8010-7191-1","note":"OCLC: ocn424557878","number-of-pages":"103-121","publisher":"Baker Books","publisher-place":"Grand Rapids, Mich","source":"Library of Congress ISBN","title":"'The Artist:What exactly is an artist, and how do we shepherd them?' in For the beauty of the church: casting a vision for the arts","title-short":"For the beauty of the church","editor":[{"family":"Taylor","given":"W. David O."}],"author":[{"family":"Nicolosi","given":"Barbara"}],"issued":{"date-parts":[["2010"]]}}}],"schema":"https://github.com/citation-style-language/schema/raw/master/csl-citation.json"} </w:instrText>
      </w:r>
      <w:r>
        <w:fldChar w:fldCharType="separate"/>
      </w:r>
      <w:r>
        <w:rPr>
          <w:noProof/>
        </w:rPr>
        <w:t>Nicolosi, 107.</w:t>
      </w:r>
      <w:r>
        <w:fldChar w:fldCharType="end"/>
      </w:r>
    </w:p>
  </w:footnote>
  <w:footnote w:id="29">
    <w:p w14:paraId="323BA1C0" w14:textId="638F13E0" w:rsidR="00A8196C" w:rsidRPr="00A8196C" w:rsidRDefault="00A8196C">
      <w:pPr>
        <w:pStyle w:val="FootnoteText"/>
        <w:rPr>
          <w:lang w:val="en-GB"/>
        </w:rPr>
      </w:pPr>
      <w:r>
        <w:rPr>
          <w:rStyle w:val="FootnoteReference"/>
        </w:rPr>
        <w:footnoteRef/>
      </w:r>
      <w:r>
        <w:t xml:space="preserve"> </w:t>
      </w:r>
      <w:r>
        <w:fldChar w:fldCharType="begin"/>
      </w:r>
      <w:r w:rsidR="002D568F">
        <w:instrText xml:space="preserve"> ADDIN ZOTERO_ITEM CSL_CITATION {"citationID":"Qf4o7q05","properties":{"formattedCitation":"Aurelius Augustinus, {\\i{}Concerning the City of God against the Pagans}, trans. by Henry Bettenson, Penguin Classics, Reprint. with a new introduction (London: Penguin Books, 1984).","plainCitation":"Aurelius Augustinus, Concerning the City of God against the Pagans, trans. by Henry Bettenson, Penguin Classics, Reprint. with a new introduction (London: Penguin Books, 1984).","noteIndex":29},"citationItems":[{"id":1870,"uris":["http://zotero.org/users/7540819/items/BWXIZH2L"],"itemData":{"id":1870,"type":"book","collection-title":"Penguin classics","edition":"Reprint. with a new introduction","event-place":"London","ISBN":"978-0-14-044426-1","language":"eng","number-of-pages":"1097","publisher":"Penguin Books","publisher-place":"London","source":"K10plus ISBN","title":"Concerning the city of God against the pagans","author":[{"family":"Augustinus","given":"Aurelius"}],"translator":[{"family":"Bettenson","given":"Henry"}],"issued":{"date-parts":[["1984"]]}}}],"schema":"https://github.com/citation-style-language/schema/raw/master/csl-citation.json"} </w:instrText>
      </w:r>
      <w:r>
        <w:fldChar w:fldCharType="separate"/>
      </w:r>
      <w:r w:rsidR="007C5B9D" w:rsidRPr="007C5B9D">
        <w:t xml:space="preserve">Aurelius </w:t>
      </w:r>
      <w:proofErr w:type="spellStart"/>
      <w:r w:rsidR="007C5B9D" w:rsidRPr="007C5B9D">
        <w:t>Augustinus</w:t>
      </w:r>
      <w:proofErr w:type="spellEnd"/>
      <w:r w:rsidR="007C5B9D" w:rsidRPr="007C5B9D">
        <w:t xml:space="preserve">, </w:t>
      </w:r>
      <w:r w:rsidR="007C5B9D" w:rsidRPr="007C5B9D">
        <w:rPr>
          <w:i/>
          <w:iCs/>
        </w:rPr>
        <w:t>Concerning the City of God against the Pagans</w:t>
      </w:r>
      <w:r w:rsidR="007C5B9D" w:rsidRPr="007C5B9D">
        <w:t>, trans. by Henry Bettenson, Penguin Classics, Reprint. with a new introduction (London: Penguin Books, 1984).</w:t>
      </w:r>
      <w:r>
        <w:fldChar w:fldCharType="end"/>
      </w:r>
    </w:p>
  </w:footnote>
  <w:footnote w:id="30">
    <w:p w14:paraId="759887C5" w14:textId="2C59B720" w:rsidR="002328C2" w:rsidRPr="002328C2" w:rsidRDefault="002328C2">
      <w:pPr>
        <w:pStyle w:val="FootnoteText"/>
        <w:rPr>
          <w:lang w:val="en-GB"/>
        </w:rPr>
      </w:pPr>
      <w:r>
        <w:rPr>
          <w:rStyle w:val="FootnoteReference"/>
        </w:rPr>
        <w:footnoteRef/>
      </w:r>
      <w:r>
        <w:t xml:space="preserve"> </w:t>
      </w:r>
      <w:r>
        <w:fldChar w:fldCharType="begin"/>
      </w:r>
      <w:r w:rsidR="002D568F">
        <w:instrText xml:space="preserve"> ADDIN ZOTERO_ITEM CSL_CITATION {"citationID":"afIwgKiU","properties":{"formattedCitation":"{\\i{}Everyday Theology: How to Read Cultural Texts and Interpret Trends}, ed. by Kevin J. Vanhoozer, Charles A. Anderson, and Michael J. Sleasman, Cultural Exegesis (Grand Rapids, Mich: Baker Academic, 2007).","plainCitation":"Everyday Theology: How to Read Cultural Texts and Interpret Trends, ed. by Kevin J. Vanhoozer, Charles A. Anderson, and Michael J. Sleasman, Cultural Exegesis (Grand Rapids, Mich: Baker Academic, 2007).","dontUpdate":true,"noteIndex":30},"citationItems":[{"id":1996,"uris":["http://zotero.org/users/7540819/items/GWAIKDM7"],"itemData":{"id":1996,"type":"book","call-number":"BR115.C8 E94 2007","collection-title":"Cultural exegesis","event-place":"Grand Rapids, Mich","ISBN":"978-0-8010-3167-0","number-of-pages":"287","publisher":"Baker Academic","publisher-place":"Grand Rapids, Mich","source":"Library of Congress ISBN","title":"Everyday theology: how to read cultural texts and interpret trends","title-short":"Everyday theology","editor":[{"family":"Vanhoozer","given":"Kevin J."},{"family":"Anderson","given":"Charles A."},{"family":"Sleasman","given":"Michael J."}],"issued":{"date-parts":[["2007"]]}}}],"schema":"https://github.com/citation-style-language/schema/raw/master/csl-citation.json"} </w:instrText>
      </w:r>
      <w:r>
        <w:fldChar w:fldCharType="separate"/>
      </w:r>
      <w:r w:rsidRPr="002328C2">
        <w:rPr>
          <w:i/>
          <w:iCs/>
        </w:rPr>
        <w:t>Everyday Theology: How to Read Cultural Texts and Interpret Trends</w:t>
      </w:r>
      <w:r w:rsidRPr="002328C2">
        <w:t>, ed. by Kevin J. Vanhoozer, Charles A. Anderson, and Michael J. Sleasman, Cultural Exegesis (Grand Rapids, Mich: Baker Academic, 2007)</w:t>
      </w:r>
      <w:r>
        <w:t>, 56-57</w:t>
      </w:r>
      <w:r w:rsidRPr="002328C2">
        <w:t>.</w:t>
      </w:r>
      <w:r>
        <w:fldChar w:fldCharType="end"/>
      </w:r>
    </w:p>
  </w:footnote>
  <w:footnote w:id="31">
    <w:p w14:paraId="5302B03D" w14:textId="6531334B" w:rsidR="00E8407B" w:rsidRPr="00E8407B" w:rsidRDefault="00E8407B">
      <w:pPr>
        <w:pStyle w:val="FootnoteText"/>
      </w:pPr>
      <w:r>
        <w:rPr>
          <w:rStyle w:val="FootnoteReference"/>
        </w:rPr>
        <w:footnoteRef/>
      </w:r>
      <w:r>
        <w:t xml:space="preserve"> </w:t>
      </w:r>
      <w:r>
        <w:fldChar w:fldCharType="begin"/>
      </w:r>
      <w:r w:rsidR="00E11546">
        <w:instrText xml:space="preserve"> ADDIN ZOTERO_ITEM CSL_CITATION {"citationID":"YI2oxxnA","properties":{"formattedCitation":"Walter Brueggemann, {\\i{}An Unsettling God: The Heart of the Hebrew Bible} (Minneapolis: Fortress Press, 2009).","plainCitation":"Walter Brueggemann, An Unsettling God: The Heart of the Hebrew Bible (Minneapolis: Fortress Press, 2009).","dontUpdate":true,"noteIndex":31},"citationItems":[{"id":323,"uris":["http://zotero.org/users/7540819/items/UIE3BCMM"],"itemData":{"id":323,"type":"book","call-number":"BS1192.6 .B76 2009","event-place":"Minneapolis","ISBN":"978-0-8006-6363-6","note":"OCLC: ocn297149641","number-of-pages":"212","publisher":"Fortress Press","publisher-place":"Minneapolis","source":"Library of Congress ISBN","title":"An unsettling God: the heart of the Hebrew Bible","title-short":"An unsettling God","author":[{"family":"Brueggemann","given":"Walter"}],"issued":{"date-parts":[["2009"]]}}}],"schema":"https://github.com/citation-style-language/schema/raw/master/csl-citation.json"} </w:instrText>
      </w:r>
      <w:r>
        <w:fldChar w:fldCharType="separate"/>
      </w:r>
      <w:r w:rsidRPr="00E8407B">
        <w:t xml:space="preserve">Walter Brueggemann, </w:t>
      </w:r>
      <w:r w:rsidRPr="00E8407B">
        <w:rPr>
          <w:i/>
          <w:iCs/>
        </w:rPr>
        <w:t>An Unsettling God: The Heart of the Hebrew Bible</w:t>
      </w:r>
      <w:r w:rsidRPr="00E8407B">
        <w:t xml:space="preserve"> (Minneapolis: Fortress Press, 2009)</w:t>
      </w:r>
      <w:r>
        <w:t>, 164-5</w:t>
      </w:r>
      <w:r w:rsidRPr="00E8407B">
        <w:t>.</w:t>
      </w:r>
      <w:r>
        <w:fldChar w:fldCharType="end"/>
      </w:r>
    </w:p>
  </w:footnote>
  <w:footnote w:id="32">
    <w:p w14:paraId="5A8DB4B3" w14:textId="3CFDDD01" w:rsidR="00485642" w:rsidRPr="00E8407B" w:rsidRDefault="00485642" w:rsidP="00485642">
      <w:pPr>
        <w:pStyle w:val="FootnoteText"/>
        <w:rPr>
          <w:i/>
          <w:iCs/>
        </w:rPr>
      </w:pPr>
      <w:r>
        <w:rPr>
          <w:rStyle w:val="FootnoteReference"/>
        </w:rPr>
        <w:footnoteRef/>
      </w:r>
      <w:r>
        <w:t xml:space="preserve"> Anselm </w:t>
      </w:r>
      <w:r>
        <w:rPr>
          <w:i/>
          <w:iCs/>
        </w:rPr>
        <w:t>C</w:t>
      </w:r>
      <w:r w:rsidR="00DE1B6D">
        <w:rPr>
          <w:i/>
          <w:iCs/>
        </w:rPr>
        <w:t>DH</w:t>
      </w:r>
    </w:p>
  </w:footnote>
  <w:footnote w:id="33">
    <w:p w14:paraId="172F20D4" w14:textId="7B881D41" w:rsidR="00DE6FCC" w:rsidRPr="00132EBE" w:rsidRDefault="00DE6FCC" w:rsidP="00DE6FCC">
      <w:pPr>
        <w:pStyle w:val="FootnoteText"/>
        <w:rPr>
          <w:lang w:val="en-GB"/>
        </w:rPr>
      </w:pPr>
      <w:r>
        <w:rPr>
          <w:rStyle w:val="FootnoteReference"/>
        </w:rPr>
        <w:footnoteRef/>
      </w:r>
      <w:r>
        <w:t xml:space="preserve"> </w:t>
      </w:r>
      <w:r>
        <w:fldChar w:fldCharType="begin"/>
      </w:r>
      <w:r w:rsidR="00C36606">
        <w:instrText xml:space="preserve"> ADDIN ZOTERO_ITEM CSL_CITATION {"citationID":"nqnNxSQr","properties":{"formattedCitation":"{\\i{}The Cambridge Companion to Christian Doctrine}, ed. by Colin E. Gunton, Cambridge Companions to Religion (Cambridge [England]\\uc0\\u8239{}; New York: Cambridge University Press, 1997).","plainCitation":"The Cambridge Companion to Christian Doctrine, ed. by Colin E. Gunton, Cambridge Companions to Religion (Cambridge [England] ; New York: Cambridge University Press, 1997).","noteIndex":33},"citationItems":[{"id":2358,"uris":["http://zotero.org/users/7540819/items/2SDT7V9E"],"itemData":{"id":2358,"type":"book","call-number":"BT80 .C29 1997","collection-title":"Cambridge companions to religion","event-place":"Cambridge [England] ; New York","ISBN":"978-0-521-47118-3","number-of-pages":"307","publisher":"Cambridge University Press","publisher-place":"Cambridge [England] ; New York","source":"Library of Congress ISBN","title":"The Cambridge companion to Christian doctrine","editor":[{"family":"Gunton","given":"Colin E."}],"issued":{"date-parts":[["1997"]]}}}],"schema":"https://github.com/citation-style-language/schema/raw/master/csl-citation.json"} </w:instrText>
      </w:r>
      <w:r>
        <w:fldChar w:fldCharType="separate"/>
      </w:r>
      <w:r w:rsidR="007C5B9D" w:rsidRPr="007C5B9D">
        <w:rPr>
          <w:i/>
          <w:iCs/>
        </w:rPr>
        <w:t>The Cambridge Companion to Christian Doctrine</w:t>
      </w:r>
      <w:r w:rsidR="007C5B9D" w:rsidRPr="007C5B9D">
        <w:t>, ed. by Colin E. Gunton, Cambridge Companions to Religion (Cambridge [England] ; New York: Cambridge University Press, 1997).</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34981A" w14:textId="480D9F4B" w:rsidR="00E57353" w:rsidRDefault="00000000">
    <w:pPr>
      <w:pStyle w:val="BodyA"/>
    </w:pPr>
    <w:r>
      <w:t xml:space="preserve">HPRS7021 The Doctrine of the Trinity </w:t>
    </w:r>
    <w:r w:rsidR="006B4960">
      <w:t>Assessment 3 Essay</w:t>
    </w:r>
    <w:r>
      <w:tab/>
    </w:r>
    <w:r>
      <w:tab/>
    </w:r>
    <w:r>
      <w:tab/>
      <w:t>Douglas Spenceley</w:t>
    </w:r>
  </w:p>
  <w:p w14:paraId="6EBBCF92" w14:textId="77777777" w:rsidR="00E57353" w:rsidRDefault="00000000">
    <w:pPr>
      <w:pStyle w:val="BodyA"/>
      <w:jc w:val="right"/>
    </w:pPr>
    <w:r>
      <w:t>Student ID: 2026303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473F4"/>
    <w:multiLevelType w:val="hybridMultilevel"/>
    <w:tmpl w:val="97DA3234"/>
    <w:numStyleLink w:val="ImportedStyle2"/>
  </w:abstractNum>
  <w:abstractNum w:abstractNumId="1" w15:restartNumberingAfterBreak="0">
    <w:nsid w:val="1C132C30"/>
    <w:multiLevelType w:val="hybridMultilevel"/>
    <w:tmpl w:val="104E0104"/>
    <w:numStyleLink w:val="ImportedStyle1"/>
  </w:abstractNum>
  <w:abstractNum w:abstractNumId="2" w15:restartNumberingAfterBreak="0">
    <w:nsid w:val="2B0D5DFC"/>
    <w:multiLevelType w:val="hybridMultilevel"/>
    <w:tmpl w:val="0E4AA226"/>
    <w:numStyleLink w:val="ImportedStyle3"/>
  </w:abstractNum>
  <w:abstractNum w:abstractNumId="3" w15:restartNumberingAfterBreak="0">
    <w:nsid w:val="44B21DD4"/>
    <w:multiLevelType w:val="hybridMultilevel"/>
    <w:tmpl w:val="104E0104"/>
    <w:styleLink w:val="ImportedStyle1"/>
    <w:lvl w:ilvl="0" w:tplc="502E7E0E">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5E30D362">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E53AA5F6">
      <w:start w:val="1"/>
      <w:numFmt w:val="lowerRoman"/>
      <w:lvlText w:val="%3."/>
      <w:lvlJc w:val="left"/>
      <w:pPr>
        <w:ind w:left="2160" w:hanging="302"/>
      </w:pPr>
      <w:rPr>
        <w:rFonts w:hAnsi="Arial Unicode MS"/>
        <w:caps w:val="0"/>
        <w:smallCaps w:val="0"/>
        <w:strike w:val="0"/>
        <w:dstrike w:val="0"/>
        <w:outline w:val="0"/>
        <w:emboss w:val="0"/>
        <w:imprint w:val="0"/>
        <w:spacing w:val="0"/>
        <w:w w:val="100"/>
        <w:kern w:val="0"/>
        <w:position w:val="0"/>
        <w:highlight w:val="none"/>
        <w:vertAlign w:val="baseline"/>
      </w:rPr>
    </w:lvl>
    <w:lvl w:ilvl="3" w:tplc="4B123F7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EC68FE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7A4A0476">
      <w:start w:val="1"/>
      <w:numFmt w:val="lowerRoman"/>
      <w:lvlText w:val="%6."/>
      <w:lvlJc w:val="left"/>
      <w:pPr>
        <w:ind w:left="4320" w:hanging="302"/>
      </w:pPr>
      <w:rPr>
        <w:rFonts w:hAnsi="Arial Unicode MS"/>
        <w:caps w:val="0"/>
        <w:smallCaps w:val="0"/>
        <w:strike w:val="0"/>
        <w:dstrike w:val="0"/>
        <w:outline w:val="0"/>
        <w:emboss w:val="0"/>
        <w:imprint w:val="0"/>
        <w:spacing w:val="0"/>
        <w:w w:val="100"/>
        <w:kern w:val="0"/>
        <w:position w:val="0"/>
        <w:highlight w:val="none"/>
        <w:vertAlign w:val="baseline"/>
      </w:rPr>
    </w:lvl>
    <w:lvl w:ilvl="6" w:tplc="6E564D06">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324AAC1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828B882">
      <w:start w:val="1"/>
      <w:numFmt w:val="lowerRoman"/>
      <w:lvlText w:val="%9."/>
      <w:lvlJc w:val="left"/>
      <w:pPr>
        <w:ind w:left="6480" w:hanging="30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45A460CE"/>
    <w:multiLevelType w:val="hybridMultilevel"/>
    <w:tmpl w:val="0E4AA226"/>
    <w:styleLink w:val="ImportedStyle3"/>
    <w:lvl w:ilvl="0" w:tplc="133C668C">
      <w:start w:val="1"/>
      <w:numFmt w:val="decimal"/>
      <w:lvlText w:val="%1."/>
      <w:lvlJc w:val="left"/>
      <w:pPr>
        <w:ind w:left="36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1" w:tplc="A2AC3146">
      <w:start w:val="1"/>
      <w:numFmt w:val="lowerLetter"/>
      <w:lvlText w:val="%2."/>
      <w:lvlJc w:val="left"/>
      <w:pPr>
        <w:ind w:left="108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2" w:tplc="A2A29978">
      <w:start w:val="1"/>
      <w:numFmt w:val="lowerRoman"/>
      <w:lvlText w:val="%3."/>
      <w:lvlJc w:val="left"/>
      <w:pPr>
        <w:ind w:left="1800" w:hanging="302"/>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3" w:tplc="F8520AC2">
      <w:start w:val="1"/>
      <w:numFmt w:val="decimal"/>
      <w:lvlText w:val="%4."/>
      <w:lvlJc w:val="left"/>
      <w:pPr>
        <w:ind w:left="252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4" w:tplc="249E3A7A">
      <w:start w:val="1"/>
      <w:numFmt w:val="lowerLetter"/>
      <w:lvlText w:val="%5."/>
      <w:lvlJc w:val="left"/>
      <w:pPr>
        <w:ind w:left="324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5" w:tplc="C51E99F8">
      <w:start w:val="1"/>
      <w:numFmt w:val="lowerRoman"/>
      <w:lvlText w:val="%6."/>
      <w:lvlJc w:val="left"/>
      <w:pPr>
        <w:ind w:left="3960" w:hanging="302"/>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6" w:tplc="25F22F90">
      <w:start w:val="1"/>
      <w:numFmt w:val="decimal"/>
      <w:lvlText w:val="%7."/>
      <w:lvlJc w:val="left"/>
      <w:pPr>
        <w:ind w:left="468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7" w:tplc="F9083CA6">
      <w:start w:val="1"/>
      <w:numFmt w:val="lowerLetter"/>
      <w:lvlText w:val="%8."/>
      <w:lvlJc w:val="left"/>
      <w:pPr>
        <w:ind w:left="540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8" w:tplc="FC84E596">
      <w:start w:val="1"/>
      <w:numFmt w:val="lowerRoman"/>
      <w:lvlText w:val="%9."/>
      <w:lvlJc w:val="left"/>
      <w:pPr>
        <w:ind w:left="6120" w:hanging="302"/>
      </w:pPr>
      <w:rPr>
        <w:rFonts w:hAnsi="Arial Unicode MS"/>
        <w:caps w:val="0"/>
        <w:smallCaps w:val="0"/>
        <w:strike w:val="0"/>
        <w:dstrike w:val="0"/>
        <w:outline w:val="0"/>
        <w:emboss w:val="0"/>
        <w:imprint w:val="0"/>
        <w:color w:val="000000"/>
        <w:spacing w:val="0"/>
        <w:w w:val="100"/>
        <w:kern w:val="0"/>
        <w:position w:val="0"/>
        <w:highlight w:val="none"/>
        <w:vertAlign w:val="baseline"/>
      </w:rPr>
    </w:lvl>
  </w:abstractNum>
  <w:abstractNum w:abstractNumId="5" w15:restartNumberingAfterBreak="0">
    <w:nsid w:val="4700057D"/>
    <w:multiLevelType w:val="hybridMultilevel"/>
    <w:tmpl w:val="97DA3234"/>
    <w:styleLink w:val="ImportedStyle2"/>
    <w:lvl w:ilvl="0" w:tplc="41908E72">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E589B46">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5ABC449A">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3AC26C4C">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22C8AB06">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935CC98E">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6D0521A">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289E8BF0">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E30253EA">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52CA6805"/>
    <w:multiLevelType w:val="hybridMultilevel"/>
    <w:tmpl w:val="CD50FA78"/>
    <w:styleLink w:val="ImportedStyle4"/>
    <w:lvl w:ilvl="0" w:tplc="5486ECF6">
      <w:start w:val="1"/>
      <w:numFmt w:val="lowerLetter"/>
      <w:lvlText w:val="%1)"/>
      <w:lvlJc w:val="left"/>
      <w:pPr>
        <w:ind w:left="720" w:hanging="360"/>
      </w:pPr>
      <w:rPr>
        <w:rFonts w:hAnsi="Arial Unicode MS"/>
        <w:b/>
        <w:bCs/>
        <w:caps w:val="0"/>
        <w:smallCaps w:val="0"/>
        <w:strike w:val="0"/>
        <w:dstrike w:val="0"/>
        <w:outline w:val="0"/>
        <w:emboss w:val="0"/>
        <w:imprint w:val="0"/>
        <w:color w:val="000000"/>
        <w:spacing w:val="0"/>
        <w:w w:val="100"/>
        <w:kern w:val="0"/>
        <w:position w:val="0"/>
        <w:highlight w:val="none"/>
        <w:vertAlign w:val="baseline"/>
      </w:rPr>
    </w:lvl>
    <w:lvl w:ilvl="1" w:tplc="4EEAFB26">
      <w:start w:val="1"/>
      <w:numFmt w:val="lowerLetter"/>
      <w:lvlText w:val="%2."/>
      <w:lvlJc w:val="left"/>
      <w:pPr>
        <w:ind w:left="1440" w:hanging="360"/>
      </w:pPr>
      <w:rPr>
        <w:rFonts w:hAnsi="Arial Unicode MS"/>
        <w:b/>
        <w:bCs/>
        <w:caps w:val="0"/>
        <w:smallCaps w:val="0"/>
        <w:strike w:val="0"/>
        <w:dstrike w:val="0"/>
        <w:outline w:val="0"/>
        <w:emboss w:val="0"/>
        <w:imprint w:val="0"/>
        <w:color w:val="000000"/>
        <w:spacing w:val="0"/>
        <w:w w:val="100"/>
        <w:kern w:val="0"/>
        <w:position w:val="0"/>
        <w:highlight w:val="none"/>
        <w:vertAlign w:val="baseline"/>
      </w:rPr>
    </w:lvl>
    <w:lvl w:ilvl="2" w:tplc="AD5E6C04">
      <w:start w:val="1"/>
      <w:numFmt w:val="lowerRoman"/>
      <w:lvlText w:val="%3."/>
      <w:lvlJc w:val="left"/>
      <w:pPr>
        <w:ind w:left="2160" w:hanging="302"/>
      </w:pPr>
      <w:rPr>
        <w:rFonts w:hAnsi="Arial Unicode MS"/>
        <w:b/>
        <w:bCs/>
        <w:caps w:val="0"/>
        <w:smallCaps w:val="0"/>
        <w:strike w:val="0"/>
        <w:dstrike w:val="0"/>
        <w:outline w:val="0"/>
        <w:emboss w:val="0"/>
        <w:imprint w:val="0"/>
        <w:color w:val="000000"/>
        <w:spacing w:val="0"/>
        <w:w w:val="100"/>
        <w:kern w:val="0"/>
        <w:position w:val="0"/>
        <w:highlight w:val="none"/>
        <w:vertAlign w:val="baseline"/>
      </w:rPr>
    </w:lvl>
    <w:lvl w:ilvl="3" w:tplc="67D23D94">
      <w:start w:val="1"/>
      <w:numFmt w:val="decimal"/>
      <w:lvlText w:val="%4."/>
      <w:lvlJc w:val="left"/>
      <w:pPr>
        <w:ind w:left="2880" w:hanging="360"/>
      </w:pPr>
      <w:rPr>
        <w:rFonts w:hAnsi="Arial Unicode MS"/>
        <w:b/>
        <w:bCs/>
        <w:caps w:val="0"/>
        <w:smallCaps w:val="0"/>
        <w:strike w:val="0"/>
        <w:dstrike w:val="0"/>
        <w:outline w:val="0"/>
        <w:emboss w:val="0"/>
        <w:imprint w:val="0"/>
        <w:color w:val="000000"/>
        <w:spacing w:val="0"/>
        <w:w w:val="100"/>
        <w:kern w:val="0"/>
        <w:position w:val="0"/>
        <w:highlight w:val="none"/>
        <w:vertAlign w:val="baseline"/>
      </w:rPr>
    </w:lvl>
    <w:lvl w:ilvl="4" w:tplc="AD04E82C">
      <w:start w:val="1"/>
      <w:numFmt w:val="lowerLetter"/>
      <w:lvlText w:val="%5."/>
      <w:lvlJc w:val="left"/>
      <w:pPr>
        <w:ind w:left="3600" w:hanging="360"/>
      </w:pPr>
      <w:rPr>
        <w:rFonts w:hAnsi="Arial Unicode MS"/>
        <w:b/>
        <w:bCs/>
        <w:caps w:val="0"/>
        <w:smallCaps w:val="0"/>
        <w:strike w:val="0"/>
        <w:dstrike w:val="0"/>
        <w:outline w:val="0"/>
        <w:emboss w:val="0"/>
        <w:imprint w:val="0"/>
        <w:color w:val="000000"/>
        <w:spacing w:val="0"/>
        <w:w w:val="100"/>
        <w:kern w:val="0"/>
        <w:position w:val="0"/>
        <w:highlight w:val="none"/>
        <w:vertAlign w:val="baseline"/>
      </w:rPr>
    </w:lvl>
    <w:lvl w:ilvl="5" w:tplc="6966C75A">
      <w:start w:val="1"/>
      <w:numFmt w:val="lowerRoman"/>
      <w:lvlText w:val="%6."/>
      <w:lvlJc w:val="left"/>
      <w:pPr>
        <w:ind w:left="4320" w:hanging="302"/>
      </w:pPr>
      <w:rPr>
        <w:rFonts w:hAnsi="Arial Unicode MS"/>
        <w:b/>
        <w:bCs/>
        <w:caps w:val="0"/>
        <w:smallCaps w:val="0"/>
        <w:strike w:val="0"/>
        <w:dstrike w:val="0"/>
        <w:outline w:val="0"/>
        <w:emboss w:val="0"/>
        <w:imprint w:val="0"/>
        <w:color w:val="000000"/>
        <w:spacing w:val="0"/>
        <w:w w:val="100"/>
        <w:kern w:val="0"/>
        <w:position w:val="0"/>
        <w:highlight w:val="none"/>
        <w:vertAlign w:val="baseline"/>
      </w:rPr>
    </w:lvl>
    <w:lvl w:ilvl="6" w:tplc="45589554">
      <w:start w:val="1"/>
      <w:numFmt w:val="decimal"/>
      <w:lvlText w:val="%7."/>
      <w:lvlJc w:val="left"/>
      <w:pPr>
        <w:ind w:left="5040" w:hanging="360"/>
      </w:pPr>
      <w:rPr>
        <w:rFonts w:hAnsi="Arial Unicode MS"/>
        <w:b/>
        <w:bCs/>
        <w:caps w:val="0"/>
        <w:smallCaps w:val="0"/>
        <w:strike w:val="0"/>
        <w:dstrike w:val="0"/>
        <w:outline w:val="0"/>
        <w:emboss w:val="0"/>
        <w:imprint w:val="0"/>
        <w:color w:val="000000"/>
        <w:spacing w:val="0"/>
        <w:w w:val="100"/>
        <w:kern w:val="0"/>
        <w:position w:val="0"/>
        <w:highlight w:val="none"/>
        <w:vertAlign w:val="baseline"/>
      </w:rPr>
    </w:lvl>
    <w:lvl w:ilvl="7" w:tplc="320C7C84">
      <w:start w:val="1"/>
      <w:numFmt w:val="lowerLetter"/>
      <w:lvlText w:val="%8."/>
      <w:lvlJc w:val="left"/>
      <w:pPr>
        <w:ind w:left="5760" w:hanging="360"/>
      </w:pPr>
      <w:rPr>
        <w:rFonts w:hAnsi="Arial Unicode MS"/>
        <w:b/>
        <w:bCs/>
        <w:caps w:val="0"/>
        <w:smallCaps w:val="0"/>
        <w:strike w:val="0"/>
        <w:dstrike w:val="0"/>
        <w:outline w:val="0"/>
        <w:emboss w:val="0"/>
        <w:imprint w:val="0"/>
        <w:color w:val="000000"/>
        <w:spacing w:val="0"/>
        <w:w w:val="100"/>
        <w:kern w:val="0"/>
        <w:position w:val="0"/>
        <w:highlight w:val="none"/>
        <w:vertAlign w:val="baseline"/>
      </w:rPr>
    </w:lvl>
    <w:lvl w:ilvl="8" w:tplc="65A6031E">
      <w:start w:val="1"/>
      <w:numFmt w:val="lowerRoman"/>
      <w:lvlText w:val="%9."/>
      <w:lvlJc w:val="left"/>
      <w:pPr>
        <w:ind w:left="6480" w:hanging="302"/>
      </w:pPr>
      <w:rPr>
        <w:rFonts w:hAnsi="Arial Unicode MS"/>
        <w:b/>
        <w:bCs/>
        <w:caps w:val="0"/>
        <w:smallCaps w:val="0"/>
        <w:strike w:val="0"/>
        <w:dstrike w:val="0"/>
        <w:outline w:val="0"/>
        <w:emboss w:val="0"/>
        <w:imprint w:val="0"/>
        <w:color w:val="000000"/>
        <w:spacing w:val="0"/>
        <w:w w:val="100"/>
        <w:kern w:val="0"/>
        <w:position w:val="0"/>
        <w:highlight w:val="none"/>
        <w:vertAlign w:val="baseline"/>
      </w:rPr>
    </w:lvl>
  </w:abstractNum>
  <w:abstractNum w:abstractNumId="7" w15:restartNumberingAfterBreak="0">
    <w:nsid w:val="598913E4"/>
    <w:multiLevelType w:val="multilevel"/>
    <w:tmpl w:val="B09A9C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FDB6971"/>
    <w:multiLevelType w:val="hybridMultilevel"/>
    <w:tmpl w:val="CD50FA78"/>
    <w:numStyleLink w:val="ImportedStyle4"/>
  </w:abstractNum>
  <w:num w:numId="1" w16cid:durableId="1424565216">
    <w:abstractNumId w:val="3"/>
  </w:num>
  <w:num w:numId="2" w16cid:durableId="152068022">
    <w:abstractNumId w:val="1"/>
  </w:num>
  <w:num w:numId="3" w16cid:durableId="167015822">
    <w:abstractNumId w:val="5"/>
  </w:num>
  <w:num w:numId="4" w16cid:durableId="226457749">
    <w:abstractNumId w:val="0"/>
  </w:num>
  <w:num w:numId="5" w16cid:durableId="1130633794">
    <w:abstractNumId w:val="4"/>
  </w:num>
  <w:num w:numId="6" w16cid:durableId="2071607848">
    <w:abstractNumId w:val="2"/>
  </w:num>
  <w:num w:numId="7" w16cid:durableId="1638728920">
    <w:abstractNumId w:val="6"/>
  </w:num>
  <w:num w:numId="8" w16cid:durableId="2096585398">
    <w:abstractNumId w:val="8"/>
  </w:num>
  <w:num w:numId="9" w16cid:durableId="1146356188">
    <w:abstractNumId w:val="0"/>
    <w:lvlOverride w:ilvl="0">
      <w:lvl w:ilvl="0" w:tplc="B1FA4D6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D74C0826">
        <w:start w:val="1"/>
        <w:numFmt w:val="bullet"/>
        <w:lvlText w:val="o"/>
        <w:lvlJc w:val="left"/>
        <w:pPr>
          <w:ind w:left="144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FB3CE03A">
        <w:start w:val="1"/>
        <w:numFmt w:val="bullet"/>
        <w:lvlText w:val="▪"/>
        <w:lvlJc w:val="left"/>
        <w:pPr>
          <w:ind w:left="216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8E049D64">
        <w:start w:val="1"/>
        <w:numFmt w:val="bullet"/>
        <w:lvlText w:val="•"/>
        <w:lvlJc w:val="left"/>
        <w:pPr>
          <w:ind w:left="288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8A901DD4">
        <w:start w:val="1"/>
        <w:numFmt w:val="bullet"/>
        <w:lvlText w:val="o"/>
        <w:lvlJc w:val="left"/>
        <w:pPr>
          <w:ind w:left="360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D256BE16">
        <w:start w:val="1"/>
        <w:numFmt w:val="bullet"/>
        <w:lvlText w:val="▪"/>
        <w:lvlJc w:val="left"/>
        <w:pPr>
          <w:ind w:left="432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C40A2950">
        <w:start w:val="1"/>
        <w:numFmt w:val="bullet"/>
        <w:lvlText w:val="•"/>
        <w:lvlJc w:val="left"/>
        <w:pPr>
          <w:ind w:left="504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2B0011A6">
        <w:start w:val="1"/>
        <w:numFmt w:val="bullet"/>
        <w:lvlText w:val="o"/>
        <w:lvlJc w:val="left"/>
        <w:pPr>
          <w:ind w:left="576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56AA4B22">
        <w:start w:val="1"/>
        <w:numFmt w:val="bullet"/>
        <w:lvlText w:val="▪"/>
        <w:lvlJc w:val="left"/>
        <w:pPr>
          <w:ind w:left="648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0" w16cid:durableId="1306277547">
    <w:abstractNumId w:val="2"/>
    <w:lvlOverride w:ilvl="0">
      <w:startOverride w:val="2"/>
    </w:lvlOverride>
  </w:num>
  <w:num w:numId="11" w16cid:durableId="158159947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footnotePr>
    <w:footnote w:id="-1"/>
    <w:footnote w:id="0"/>
  </w:footnotePr>
  <w:endnotePr>
    <w:pos w:val="sectEnd"/>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AC1"/>
    <w:rsid w:val="00010B86"/>
    <w:rsid w:val="00021BD0"/>
    <w:rsid w:val="00024206"/>
    <w:rsid w:val="00031898"/>
    <w:rsid w:val="00050293"/>
    <w:rsid w:val="00055F4B"/>
    <w:rsid w:val="00057FE7"/>
    <w:rsid w:val="0008340F"/>
    <w:rsid w:val="00083D7F"/>
    <w:rsid w:val="000928BE"/>
    <w:rsid w:val="00092FB4"/>
    <w:rsid w:val="00094A64"/>
    <w:rsid w:val="000B4265"/>
    <w:rsid w:val="000C1395"/>
    <w:rsid w:val="000C1D39"/>
    <w:rsid w:val="000C1DA9"/>
    <w:rsid w:val="000D1860"/>
    <w:rsid w:val="000D3186"/>
    <w:rsid w:val="000E0E1E"/>
    <w:rsid w:val="000E413B"/>
    <w:rsid w:val="000E5F58"/>
    <w:rsid w:val="000E7FFB"/>
    <w:rsid w:val="000F4292"/>
    <w:rsid w:val="000F4BF0"/>
    <w:rsid w:val="00100952"/>
    <w:rsid w:val="001018B2"/>
    <w:rsid w:val="001035DF"/>
    <w:rsid w:val="00106288"/>
    <w:rsid w:val="00111B07"/>
    <w:rsid w:val="00120FEB"/>
    <w:rsid w:val="00122CC3"/>
    <w:rsid w:val="00126909"/>
    <w:rsid w:val="00130AAF"/>
    <w:rsid w:val="00132EBE"/>
    <w:rsid w:val="001338FB"/>
    <w:rsid w:val="00135E9C"/>
    <w:rsid w:val="0014232B"/>
    <w:rsid w:val="00142694"/>
    <w:rsid w:val="00142D53"/>
    <w:rsid w:val="00144C5B"/>
    <w:rsid w:val="00146876"/>
    <w:rsid w:val="00150CC8"/>
    <w:rsid w:val="001530D1"/>
    <w:rsid w:val="00157B48"/>
    <w:rsid w:val="001605EB"/>
    <w:rsid w:val="00163D9C"/>
    <w:rsid w:val="001749D8"/>
    <w:rsid w:val="00180AC1"/>
    <w:rsid w:val="00181E2D"/>
    <w:rsid w:val="00186A58"/>
    <w:rsid w:val="00187FCD"/>
    <w:rsid w:val="0019145A"/>
    <w:rsid w:val="001978D7"/>
    <w:rsid w:val="001A0E5C"/>
    <w:rsid w:val="001A2F8D"/>
    <w:rsid w:val="001D16D7"/>
    <w:rsid w:val="001D64F3"/>
    <w:rsid w:val="001E27EA"/>
    <w:rsid w:val="001E3BA5"/>
    <w:rsid w:val="001E5CCF"/>
    <w:rsid w:val="001E7D0E"/>
    <w:rsid w:val="00203356"/>
    <w:rsid w:val="00203FF1"/>
    <w:rsid w:val="002043D1"/>
    <w:rsid w:val="00216843"/>
    <w:rsid w:val="00217658"/>
    <w:rsid w:val="0023202E"/>
    <w:rsid w:val="002328C2"/>
    <w:rsid w:val="00237A88"/>
    <w:rsid w:val="00240A0E"/>
    <w:rsid w:val="002450FF"/>
    <w:rsid w:val="002573AE"/>
    <w:rsid w:val="0026269F"/>
    <w:rsid w:val="002660AD"/>
    <w:rsid w:val="002744C2"/>
    <w:rsid w:val="00282C70"/>
    <w:rsid w:val="002A0071"/>
    <w:rsid w:val="002A0389"/>
    <w:rsid w:val="002A701E"/>
    <w:rsid w:val="002A70D7"/>
    <w:rsid w:val="002B40D9"/>
    <w:rsid w:val="002C5B51"/>
    <w:rsid w:val="002D14AB"/>
    <w:rsid w:val="002D54C9"/>
    <w:rsid w:val="002D568F"/>
    <w:rsid w:val="002D7DE4"/>
    <w:rsid w:val="002E79C6"/>
    <w:rsid w:val="002F4DA3"/>
    <w:rsid w:val="00304F80"/>
    <w:rsid w:val="00310920"/>
    <w:rsid w:val="00312C25"/>
    <w:rsid w:val="00313156"/>
    <w:rsid w:val="003164B8"/>
    <w:rsid w:val="00330F28"/>
    <w:rsid w:val="00332ACA"/>
    <w:rsid w:val="00335810"/>
    <w:rsid w:val="00335A15"/>
    <w:rsid w:val="0033692D"/>
    <w:rsid w:val="003405DD"/>
    <w:rsid w:val="00353B85"/>
    <w:rsid w:val="00355FB2"/>
    <w:rsid w:val="0036210D"/>
    <w:rsid w:val="00374BAB"/>
    <w:rsid w:val="00375943"/>
    <w:rsid w:val="00376358"/>
    <w:rsid w:val="00376485"/>
    <w:rsid w:val="0038310D"/>
    <w:rsid w:val="00383D8E"/>
    <w:rsid w:val="00385BA5"/>
    <w:rsid w:val="00386FE9"/>
    <w:rsid w:val="003906E2"/>
    <w:rsid w:val="00397876"/>
    <w:rsid w:val="00397CD7"/>
    <w:rsid w:val="003A729C"/>
    <w:rsid w:val="003B24BE"/>
    <w:rsid w:val="003B35ED"/>
    <w:rsid w:val="003B64AF"/>
    <w:rsid w:val="003C056C"/>
    <w:rsid w:val="003C584B"/>
    <w:rsid w:val="003D2851"/>
    <w:rsid w:val="003D3F6F"/>
    <w:rsid w:val="003E3157"/>
    <w:rsid w:val="003E5F24"/>
    <w:rsid w:val="003E669D"/>
    <w:rsid w:val="003F1F3E"/>
    <w:rsid w:val="003F2D7A"/>
    <w:rsid w:val="003F508C"/>
    <w:rsid w:val="0040333A"/>
    <w:rsid w:val="004072FD"/>
    <w:rsid w:val="00407927"/>
    <w:rsid w:val="0042141E"/>
    <w:rsid w:val="00434E68"/>
    <w:rsid w:val="004404B9"/>
    <w:rsid w:val="00441BE9"/>
    <w:rsid w:val="00442AE6"/>
    <w:rsid w:val="0046007E"/>
    <w:rsid w:val="00461219"/>
    <w:rsid w:val="00464BEB"/>
    <w:rsid w:val="004672C5"/>
    <w:rsid w:val="004708F4"/>
    <w:rsid w:val="00472631"/>
    <w:rsid w:val="00474DAA"/>
    <w:rsid w:val="00476B27"/>
    <w:rsid w:val="00477070"/>
    <w:rsid w:val="00477D8D"/>
    <w:rsid w:val="004832C3"/>
    <w:rsid w:val="004851FD"/>
    <w:rsid w:val="00485642"/>
    <w:rsid w:val="004917F4"/>
    <w:rsid w:val="004969E1"/>
    <w:rsid w:val="00497481"/>
    <w:rsid w:val="004A0FE7"/>
    <w:rsid w:val="004A31E3"/>
    <w:rsid w:val="004A7D65"/>
    <w:rsid w:val="004B6EE5"/>
    <w:rsid w:val="004C49B0"/>
    <w:rsid w:val="004C6324"/>
    <w:rsid w:val="004C64EE"/>
    <w:rsid w:val="004C77DD"/>
    <w:rsid w:val="004E5461"/>
    <w:rsid w:val="004E603C"/>
    <w:rsid w:val="004F10EB"/>
    <w:rsid w:val="004F1FB9"/>
    <w:rsid w:val="004F5DAD"/>
    <w:rsid w:val="00500ADC"/>
    <w:rsid w:val="00505F14"/>
    <w:rsid w:val="00506F1D"/>
    <w:rsid w:val="00514146"/>
    <w:rsid w:val="005271E4"/>
    <w:rsid w:val="0053106E"/>
    <w:rsid w:val="00533D9C"/>
    <w:rsid w:val="005402B1"/>
    <w:rsid w:val="00542250"/>
    <w:rsid w:val="005432BD"/>
    <w:rsid w:val="00543475"/>
    <w:rsid w:val="005522B2"/>
    <w:rsid w:val="005545A5"/>
    <w:rsid w:val="005625E3"/>
    <w:rsid w:val="0056596E"/>
    <w:rsid w:val="0056647F"/>
    <w:rsid w:val="0056732F"/>
    <w:rsid w:val="0057275C"/>
    <w:rsid w:val="005729FD"/>
    <w:rsid w:val="005A160C"/>
    <w:rsid w:val="005A7BC6"/>
    <w:rsid w:val="005B0DC4"/>
    <w:rsid w:val="005B3298"/>
    <w:rsid w:val="005B5D2D"/>
    <w:rsid w:val="005C1A2A"/>
    <w:rsid w:val="005C2950"/>
    <w:rsid w:val="005D2524"/>
    <w:rsid w:val="005E2506"/>
    <w:rsid w:val="005E57B3"/>
    <w:rsid w:val="005F6A2F"/>
    <w:rsid w:val="00600101"/>
    <w:rsid w:val="0060040D"/>
    <w:rsid w:val="00616EFD"/>
    <w:rsid w:val="00625AD7"/>
    <w:rsid w:val="00626325"/>
    <w:rsid w:val="00633E3A"/>
    <w:rsid w:val="0063773E"/>
    <w:rsid w:val="0064275D"/>
    <w:rsid w:val="00650708"/>
    <w:rsid w:val="00651297"/>
    <w:rsid w:val="0066113C"/>
    <w:rsid w:val="00662ACC"/>
    <w:rsid w:val="00663658"/>
    <w:rsid w:val="00670657"/>
    <w:rsid w:val="00671F70"/>
    <w:rsid w:val="00677979"/>
    <w:rsid w:val="00683B1F"/>
    <w:rsid w:val="00687159"/>
    <w:rsid w:val="00693A7E"/>
    <w:rsid w:val="006A4D5C"/>
    <w:rsid w:val="006A5215"/>
    <w:rsid w:val="006A6487"/>
    <w:rsid w:val="006B1D3A"/>
    <w:rsid w:val="006B1F3F"/>
    <w:rsid w:val="006B4960"/>
    <w:rsid w:val="006C0514"/>
    <w:rsid w:val="006C3AB4"/>
    <w:rsid w:val="006C49E7"/>
    <w:rsid w:val="006E36F4"/>
    <w:rsid w:val="006E765C"/>
    <w:rsid w:val="006F3057"/>
    <w:rsid w:val="00707B93"/>
    <w:rsid w:val="00710A36"/>
    <w:rsid w:val="00711DF9"/>
    <w:rsid w:val="007157DE"/>
    <w:rsid w:val="00720C66"/>
    <w:rsid w:val="007253F4"/>
    <w:rsid w:val="0073400A"/>
    <w:rsid w:val="00734260"/>
    <w:rsid w:val="007344A4"/>
    <w:rsid w:val="00735C36"/>
    <w:rsid w:val="007430B4"/>
    <w:rsid w:val="00745BAB"/>
    <w:rsid w:val="007463DB"/>
    <w:rsid w:val="00753612"/>
    <w:rsid w:val="0075398C"/>
    <w:rsid w:val="007540BE"/>
    <w:rsid w:val="0076006F"/>
    <w:rsid w:val="007609D5"/>
    <w:rsid w:val="00760FD8"/>
    <w:rsid w:val="0076242F"/>
    <w:rsid w:val="00765B50"/>
    <w:rsid w:val="00781D31"/>
    <w:rsid w:val="00785E9E"/>
    <w:rsid w:val="00795852"/>
    <w:rsid w:val="00795B28"/>
    <w:rsid w:val="00795C4A"/>
    <w:rsid w:val="00797A37"/>
    <w:rsid w:val="007B04CD"/>
    <w:rsid w:val="007B381D"/>
    <w:rsid w:val="007C566E"/>
    <w:rsid w:val="007C5B9D"/>
    <w:rsid w:val="007D6AD2"/>
    <w:rsid w:val="007E0461"/>
    <w:rsid w:val="007E12BD"/>
    <w:rsid w:val="007E4957"/>
    <w:rsid w:val="007E6030"/>
    <w:rsid w:val="007E6CB6"/>
    <w:rsid w:val="007F7694"/>
    <w:rsid w:val="0080003C"/>
    <w:rsid w:val="00801699"/>
    <w:rsid w:val="00811A0C"/>
    <w:rsid w:val="008122D3"/>
    <w:rsid w:val="00814789"/>
    <w:rsid w:val="00820526"/>
    <w:rsid w:val="00821F56"/>
    <w:rsid w:val="008426FA"/>
    <w:rsid w:val="008470D6"/>
    <w:rsid w:val="00856424"/>
    <w:rsid w:val="0086483A"/>
    <w:rsid w:val="00866B10"/>
    <w:rsid w:val="00875190"/>
    <w:rsid w:val="008767B9"/>
    <w:rsid w:val="00877136"/>
    <w:rsid w:val="00883F9C"/>
    <w:rsid w:val="00887CEF"/>
    <w:rsid w:val="00890598"/>
    <w:rsid w:val="008907BE"/>
    <w:rsid w:val="0089292F"/>
    <w:rsid w:val="008929E2"/>
    <w:rsid w:val="00894E4A"/>
    <w:rsid w:val="008A04AE"/>
    <w:rsid w:val="008A67B1"/>
    <w:rsid w:val="008A6A70"/>
    <w:rsid w:val="008A7B39"/>
    <w:rsid w:val="008B14CB"/>
    <w:rsid w:val="008B72C9"/>
    <w:rsid w:val="008C00EC"/>
    <w:rsid w:val="008C2AAD"/>
    <w:rsid w:val="008C47F4"/>
    <w:rsid w:val="008C4CB5"/>
    <w:rsid w:val="008D56DA"/>
    <w:rsid w:val="008D5F49"/>
    <w:rsid w:val="008D7F45"/>
    <w:rsid w:val="008E0D86"/>
    <w:rsid w:val="008F23F9"/>
    <w:rsid w:val="008F6438"/>
    <w:rsid w:val="008F7053"/>
    <w:rsid w:val="009011DC"/>
    <w:rsid w:val="0090165C"/>
    <w:rsid w:val="0090195A"/>
    <w:rsid w:val="00901BFE"/>
    <w:rsid w:val="009063BF"/>
    <w:rsid w:val="009149AC"/>
    <w:rsid w:val="00916E4F"/>
    <w:rsid w:val="00917FCB"/>
    <w:rsid w:val="00926909"/>
    <w:rsid w:val="00931B67"/>
    <w:rsid w:val="00933844"/>
    <w:rsid w:val="009544C2"/>
    <w:rsid w:val="00954C5A"/>
    <w:rsid w:val="00954FBE"/>
    <w:rsid w:val="00962CAA"/>
    <w:rsid w:val="009751C2"/>
    <w:rsid w:val="009764A3"/>
    <w:rsid w:val="009849C9"/>
    <w:rsid w:val="00987D2A"/>
    <w:rsid w:val="009A5B90"/>
    <w:rsid w:val="009B2BB0"/>
    <w:rsid w:val="009B6456"/>
    <w:rsid w:val="009B68DE"/>
    <w:rsid w:val="009C0EA1"/>
    <w:rsid w:val="009C7E98"/>
    <w:rsid w:val="009D0FD5"/>
    <w:rsid w:val="009D2AF8"/>
    <w:rsid w:val="009E5562"/>
    <w:rsid w:val="009E6F1D"/>
    <w:rsid w:val="009F15D1"/>
    <w:rsid w:val="00A035FB"/>
    <w:rsid w:val="00A16688"/>
    <w:rsid w:val="00A22B21"/>
    <w:rsid w:val="00A234AA"/>
    <w:rsid w:val="00A27D27"/>
    <w:rsid w:val="00A37AD0"/>
    <w:rsid w:val="00A44595"/>
    <w:rsid w:val="00A4696D"/>
    <w:rsid w:val="00A47B63"/>
    <w:rsid w:val="00A5315C"/>
    <w:rsid w:val="00A53595"/>
    <w:rsid w:val="00A5359E"/>
    <w:rsid w:val="00A61A82"/>
    <w:rsid w:val="00A62527"/>
    <w:rsid w:val="00A64B62"/>
    <w:rsid w:val="00A661EA"/>
    <w:rsid w:val="00A66E90"/>
    <w:rsid w:val="00A7376A"/>
    <w:rsid w:val="00A80497"/>
    <w:rsid w:val="00A8196C"/>
    <w:rsid w:val="00A83186"/>
    <w:rsid w:val="00A92C82"/>
    <w:rsid w:val="00AA0F21"/>
    <w:rsid w:val="00AB4D52"/>
    <w:rsid w:val="00AD0B9F"/>
    <w:rsid w:val="00AE291F"/>
    <w:rsid w:val="00AE5421"/>
    <w:rsid w:val="00AE7AAE"/>
    <w:rsid w:val="00AF68EC"/>
    <w:rsid w:val="00B128DA"/>
    <w:rsid w:val="00B1631A"/>
    <w:rsid w:val="00B17A04"/>
    <w:rsid w:val="00B2217C"/>
    <w:rsid w:val="00B2257F"/>
    <w:rsid w:val="00B2471B"/>
    <w:rsid w:val="00B57015"/>
    <w:rsid w:val="00B629CA"/>
    <w:rsid w:val="00B72262"/>
    <w:rsid w:val="00B72803"/>
    <w:rsid w:val="00B82B62"/>
    <w:rsid w:val="00B8528F"/>
    <w:rsid w:val="00B93387"/>
    <w:rsid w:val="00BA4BB9"/>
    <w:rsid w:val="00BA52FA"/>
    <w:rsid w:val="00BA624C"/>
    <w:rsid w:val="00BA7610"/>
    <w:rsid w:val="00BB3C76"/>
    <w:rsid w:val="00BC41B9"/>
    <w:rsid w:val="00BC67DF"/>
    <w:rsid w:val="00BC7041"/>
    <w:rsid w:val="00BD3DEF"/>
    <w:rsid w:val="00BD7F00"/>
    <w:rsid w:val="00BE1FB2"/>
    <w:rsid w:val="00BF2437"/>
    <w:rsid w:val="00BF4086"/>
    <w:rsid w:val="00BF54EC"/>
    <w:rsid w:val="00C107FB"/>
    <w:rsid w:val="00C11494"/>
    <w:rsid w:val="00C17D33"/>
    <w:rsid w:val="00C3588D"/>
    <w:rsid w:val="00C36606"/>
    <w:rsid w:val="00C43F77"/>
    <w:rsid w:val="00C5117F"/>
    <w:rsid w:val="00C53F97"/>
    <w:rsid w:val="00C67EC7"/>
    <w:rsid w:val="00C71EF2"/>
    <w:rsid w:val="00C93A3F"/>
    <w:rsid w:val="00CA4BDD"/>
    <w:rsid w:val="00CB03C9"/>
    <w:rsid w:val="00CB4F37"/>
    <w:rsid w:val="00CC1A03"/>
    <w:rsid w:val="00CC2168"/>
    <w:rsid w:val="00CC6E70"/>
    <w:rsid w:val="00CC6E79"/>
    <w:rsid w:val="00CD7F51"/>
    <w:rsid w:val="00CD7F8B"/>
    <w:rsid w:val="00CE07DC"/>
    <w:rsid w:val="00CE3554"/>
    <w:rsid w:val="00CF5868"/>
    <w:rsid w:val="00D0497B"/>
    <w:rsid w:val="00D04F28"/>
    <w:rsid w:val="00D0781C"/>
    <w:rsid w:val="00D07979"/>
    <w:rsid w:val="00D14400"/>
    <w:rsid w:val="00D17719"/>
    <w:rsid w:val="00D4044D"/>
    <w:rsid w:val="00D4077D"/>
    <w:rsid w:val="00D422A7"/>
    <w:rsid w:val="00D427D1"/>
    <w:rsid w:val="00D436C7"/>
    <w:rsid w:val="00D44D63"/>
    <w:rsid w:val="00D47F8F"/>
    <w:rsid w:val="00D53E13"/>
    <w:rsid w:val="00D543D0"/>
    <w:rsid w:val="00D55547"/>
    <w:rsid w:val="00D55CDB"/>
    <w:rsid w:val="00D566A6"/>
    <w:rsid w:val="00D57330"/>
    <w:rsid w:val="00D5787B"/>
    <w:rsid w:val="00D61E65"/>
    <w:rsid w:val="00D87290"/>
    <w:rsid w:val="00D90B74"/>
    <w:rsid w:val="00DA40A9"/>
    <w:rsid w:val="00DA6138"/>
    <w:rsid w:val="00DB767B"/>
    <w:rsid w:val="00DB7B66"/>
    <w:rsid w:val="00DC303E"/>
    <w:rsid w:val="00DC556E"/>
    <w:rsid w:val="00DD18FA"/>
    <w:rsid w:val="00DD2C99"/>
    <w:rsid w:val="00DE1B6D"/>
    <w:rsid w:val="00DE6FCC"/>
    <w:rsid w:val="00DF224A"/>
    <w:rsid w:val="00DF2860"/>
    <w:rsid w:val="00E11546"/>
    <w:rsid w:val="00E11837"/>
    <w:rsid w:val="00E12B03"/>
    <w:rsid w:val="00E1673A"/>
    <w:rsid w:val="00E209A0"/>
    <w:rsid w:val="00E20D1F"/>
    <w:rsid w:val="00E21AB2"/>
    <w:rsid w:val="00E21AC5"/>
    <w:rsid w:val="00E35B52"/>
    <w:rsid w:val="00E3624E"/>
    <w:rsid w:val="00E45929"/>
    <w:rsid w:val="00E50057"/>
    <w:rsid w:val="00E52551"/>
    <w:rsid w:val="00E63205"/>
    <w:rsid w:val="00E63FE8"/>
    <w:rsid w:val="00E7298A"/>
    <w:rsid w:val="00E8361E"/>
    <w:rsid w:val="00E8407B"/>
    <w:rsid w:val="00E84BFA"/>
    <w:rsid w:val="00E8536A"/>
    <w:rsid w:val="00EB6D7A"/>
    <w:rsid w:val="00EB7F41"/>
    <w:rsid w:val="00EC3812"/>
    <w:rsid w:val="00EC478A"/>
    <w:rsid w:val="00ED3949"/>
    <w:rsid w:val="00ED4457"/>
    <w:rsid w:val="00ED5B3D"/>
    <w:rsid w:val="00EE701B"/>
    <w:rsid w:val="00F044C9"/>
    <w:rsid w:val="00F04FAA"/>
    <w:rsid w:val="00F11200"/>
    <w:rsid w:val="00F22789"/>
    <w:rsid w:val="00F27407"/>
    <w:rsid w:val="00F30748"/>
    <w:rsid w:val="00F355D7"/>
    <w:rsid w:val="00F4187E"/>
    <w:rsid w:val="00F471FA"/>
    <w:rsid w:val="00F523E1"/>
    <w:rsid w:val="00F53F48"/>
    <w:rsid w:val="00F558A9"/>
    <w:rsid w:val="00F56C4A"/>
    <w:rsid w:val="00F7715E"/>
    <w:rsid w:val="00F81DB6"/>
    <w:rsid w:val="00F90C24"/>
    <w:rsid w:val="00F96262"/>
    <w:rsid w:val="00FA2947"/>
    <w:rsid w:val="00FA3E46"/>
    <w:rsid w:val="00FB2ED6"/>
    <w:rsid w:val="00FB48CD"/>
    <w:rsid w:val="00FB79D7"/>
    <w:rsid w:val="00FC3456"/>
    <w:rsid w:val="00FC5F18"/>
    <w:rsid w:val="00FD6BDD"/>
    <w:rsid w:val="00FE4756"/>
    <w:rsid w:val="00FE6C39"/>
    <w:rsid w:val="00FF2F8C"/>
    <w:rsid w:val="00FF6E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E4DF4F2"/>
  <w15:chartTrackingRefBased/>
  <w15:docId w15:val="{9A2622A8-9967-1245-821E-0F16B23490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0AC1"/>
    <w:pPr>
      <w:pBdr>
        <w:top w:val="nil"/>
        <w:left w:val="nil"/>
        <w:bottom w:val="nil"/>
        <w:right w:val="nil"/>
        <w:between w:val="nil"/>
        <w:bar w:val="nil"/>
      </w:pBdr>
    </w:pPr>
    <w:rPr>
      <w:rFonts w:ascii="Times New Roman" w:eastAsia="Arial Unicode MS" w:hAnsi="Times New Roman" w:cs="Times New Roman"/>
      <w:kern w:val="0"/>
      <w:bdr w:val="nil"/>
      <w14:ligatures w14:val="none"/>
    </w:rPr>
  </w:style>
  <w:style w:type="paragraph" w:styleId="Heading1">
    <w:name w:val="heading 1"/>
    <w:basedOn w:val="Normal"/>
    <w:next w:val="Normal"/>
    <w:link w:val="Heading1Char"/>
    <w:uiPriority w:val="9"/>
    <w:qFormat/>
    <w:rsid w:val="00D543D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046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04FA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A">
    <w:name w:val="Body A"/>
    <w:rsid w:val="00180AC1"/>
    <w:pPr>
      <w:pBdr>
        <w:top w:val="nil"/>
        <w:left w:val="nil"/>
        <w:bottom w:val="nil"/>
        <w:right w:val="nil"/>
        <w:between w:val="nil"/>
        <w:bar w:val="nil"/>
      </w:pBdr>
    </w:pPr>
    <w:rPr>
      <w:rFonts w:ascii="Calibri" w:eastAsia="Arial Unicode MS" w:hAnsi="Calibri" w:cs="Arial Unicode MS"/>
      <w:color w:val="000000"/>
      <w:u w:color="000000"/>
      <w:bdr w:val="nil"/>
      <w:lang w:val="en-US" w:eastAsia="en-GB"/>
      <w14:textOutline w14:w="12700" w14:cap="flat" w14:cmpd="sng" w14:algn="ctr">
        <w14:noFill/>
        <w14:prstDash w14:val="solid"/>
        <w14:miter w14:lim="400000"/>
      </w14:textOutline>
      <w14:ligatures w14:val="none"/>
    </w:rPr>
  </w:style>
  <w:style w:type="paragraph" w:styleId="Footer">
    <w:name w:val="footer"/>
    <w:link w:val="FooterChar"/>
    <w:rsid w:val="00180AC1"/>
    <w:pPr>
      <w:pBdr>
        <w:top w:val="nil"/>
        <w:left w:val="nil"/>
        <w:bottom w:val="nil"/>
        <w:right w:val="nil"/>
        <w:between w:val="nil"/>
        <w:bar w:val="nil"/>
      </w:pBdr>
      <w:tabs>
        <w:tab w:val="center" w:pos="4680"/>
        <w:tab w:val="right" w:pos="9360"/>
      </w:tabs>
    </w:pPr>
    <w:rPr>
      <w:rFonts w:ascii="Calibri" w:eastAsia="Arial Unicode MS" w:hAnsi="Calibri" w:cs="Arial Unicode MS"/>
      <w:color w:val="000000"/>
      <w:u w:color="000000"/>
      <w:bdr w:val="nil"/>
      <w:lang w:val="en-US" w:eastAsia="en-GB"/>
      <w14:ligatures w14:val="none"/>
    </w:rPr>
  </w:style>
  <w:style w:type="character" w:customStyle="1" w:styleId="FooterChar">
    <w:name w:val="Footer Char"/>
    <w:basedOn w:val="DefaultParagraphFont"/>
    <w:link w:val="Footer"/>
    <w:rsid w:val="00180AC1"/>
    <w:rPr>
      <w:rFonts w:ascii="Calibri" w:eastAsia="Arial Unicode MS" w:hAnsi="Calibri" w:cs="Arial Unicode MS"/>
      <w:color w:val="000000"/>
      <w:u w:color="000000"/>
      <w:bdr w:val="nil"/>
      <w:lang w:val="en-US" w:eastAsia="en-GB"/>
      <w14:ligatures w14:val="none"/>
    </w:rPr>
  </w:style>
  <w:style w:type="paragraph" w:styleId="NormalWeb">
    <w:name w:val="Normal (Web)"/>
    <w:uiPriority w:val="99"/>
    <w:rsid w:val="00180AC1"/>
    <w:pPr>
      <w:pBdr>
        <w:top w:val="nil"/>
        <w:left w:val="nil"/>
        <w:bottom w:val="nil"/>
        <w:right w:val="nil"/>
        <w:between w:val="nil"/>
        <w:bar w:val="nil"/>
      </w:pBdr>
      <w:spacing w:before="100" w:after="100"/>
    </w:pPr>
    <w:rPr>
      <w:rFonts w:ascii="Times New Roman" w:eastAsia="Arial Unicode MS" w:hAnsi="Times New Roman" w:cs="Arial Unicode MS"/>
      <w:color w:val="000000"/>
      <w:kern w:val="0"/>
      <w:u w:color="000000"/>
      <w:bdr w:val="nil"/>
      <w:lang w:val="en-US" w:eastAsia="en-GB"/>
      <w14:ligatures w14:val="none"/>
    </w:rPr>
  </w:style>
  <w:style w:type="paragraph" w:styleId="ListParagraph">
    <w:name w:val="List Paragraph"/>
    <w:rsid w:val="00180AC1"/>
    <w:pPr>
      <w:pBdr>
        <w:top w:val="nil"/>
        <w:left w:val="nil"/>
        <w:bottom w:val="nil"/>
        <w:right w:val="nil"/>
        <w:between w:val="nil"/>
        <w:bar w:val="nil"/>
      </w:pBdr>
      <w:ind w:left="720"/>
    </w:pPr>
    <w:rPr>
      <w:rFonts w:ascii="Calibri" w:eastAsia="Arial Unicode MS" w:hAnsi="Calibri" w:cs="Arial Unicode MS"/>
      <w:color w:val="000000"/>
      <w:u w:color="000000"/>
      <w:bdr w:val="nil"/>
      <w:lang w:val="en-US" w:eastAsia="en-GB"/>
      <w14:ligatures w14:val="none"/>
    </w:rPr>
  </w:style>
  <w:style w:type="numbering" w:customStyle="1" w:styleId="ImportedStyle1">
    <w:name w:val="Imported Style 1"/>
    <w:rsid w:val="00180AC1"/>
    <w:pPr>
      <w:numPr>
        <w:numId w:val="1"/>
      </w:numPr>
    </w:pPr>
  </w:style>
  <w:style w:type="paragraph" w:styleId="FootnoteText">
    <w:name w:val="footnote text"/>
    <w:link w:val="FootnoteTextChar"/>
    <w:uiPriority w:val="99"/>
    <w:rsid w:val="00180AC1"/>
    <w:pPr>
      <w:pBdr>
        <w:top w:val="nil"/>
        <w:left w:val="nil"/>
        <w:bottom w:val="nil"/>
        <w:right w:val="nil"/>
        <w:between w:val="nil"/>
        <w:bar w:val="nil"/>
      </w:pBdr>
    </w:pPr>
    <w:rPr>
      <w:rFonts w:ascii="Calibri" w:eastAsia="Calibri" w:hAnsi="Calibri" w:cs="Calibri"/>
      <w:color w:val="000000"/>
      <w:sz w:val="20"/>
      <w:szCs w:val="20"/>
      <w:u w:color="000000"/>
      <w:bdr w:val="nil"/>
      <w:lang w:val="en-US" w:eastAsia="en-GB"/>
      <w14:ligatures w14:val="none"/>
    </w:rPr>
  </w:style>
  <w:style w:type="character" w:customStyle="1" w:styleId="FootnoteTextChar">
    <w:name w:val="Footnote Text Char"/>
    <w:basedOn w:val="DefaultParagraphFont"/>
    <w:link w:val="FootnoteText"/>
    <w:uiPriority w:val="99"/>
    <w:rsid w:val="00180AC1"/>
    <w:rPr>
      <w:rFonts w:ascii="Calibri" w:eastAsia="Calibri" w:hAnsi="Calibri" w:cs="Calibri"/>
      <w:color w:val="000000"/>
      <w:sz w:val="20"/>
      <w:szCs w:val="20"/>
      <w:u w:color="000000"/>
      <w:bdr w:val="nil"/>
      <w:lang w:val="en-US" w:eastAsia="en-GB"/>
      <w14:ligatures w14:val="none"/>
    </w:rPr>
  </w:style>
  <w:style w:type="numbering" w:customStyle="1" w:styleId="ImportedStyle2">
    <w:name w:val="Imported Style 2"/>
    <w:rsid w:val="00180AC1"/>
    <w:pPr>
      <w:numPr>
        <w:numId w:val="3"/>
      </w:numPr>
    </w:pPr>
  </w:style>
  <w:style w:type="numbering" w:customStyle="1" w:styleId="ImportedStyle3">
    <w:name w:val="Imported Style 3"/>
    <w:rsid w:val="00180AC1"/>
    <w:pPr>
      <w:numPr>
        <w:numId w:val="5"/>
      </w:numPr>
    </w:pPr>
  </w:style>
  <w:style w:type="numbering" w:customStyle="1" w:styleId="ImportedStyle4">
    <w:name w:val="Imported Style 4"/>
    <w:rsid w:val="00180AC1"/>
    <w:pPr>
      <w:numPr>
        <w:numId w:val="7"/>
      </w:numPr>
    </w:pPr>
  </w:style>
  <w:style w:type="character" w:styleId="FootnoteReference">
    <w:name w:val="footnote reference"/>
    <w:basedOn w:val="DefaultParagraphFont"/>
    <w:uiPriority w:val="99"/>
    <w:semiHidden/>
    <w:unhideWhenUsed/>
    <w:rsid w:val="00180AC1"/>
    <w:rPr>
      <w:vertAlign w:val="superscript"/>
    </w:rPr>
  </w:style>
  <w:style w:type="paragraph" w:styleId="EndnoteText">
    <w:name w:val="endnote text"/>
    <w:basedOn w:val="Normal"/>
    <w:link w:val="EndnoteTextChar"/>
    <w:uiPriority w:val="99"/>
    <w:semiHidden/>
    <w:unhideWhenUsed/>
    <w:rsid w:val="00F81DB6"/>
    <w:rPr>
      <w:sz w:val="20"/>
      <w:szCs w:val="20"/>
    </w:rPr>
  </w:style>
  <w:style w:type="character" w:customStyle="1" w:styleId="EndnoteTextChar">
    <w:name w:val="Endnote Text Char"/>
    <w:basedOn w:val="DefaultParagraphFont"/>
    <w:link w:val="EndnoteText"/>
    <w:uiPriority w:val="99"/>
    <w:semiHidden/>
    <w:rsid w:val="00F81DB6"/>
    <w:rPr>
      <w:rFonts w:ascii="Times New Roman" w:eastAsia="Arial Unicode MS" w:hAnsi="Times New Roman" w:cs="Times New Roman"/>
      <w:kern w:val="0"/>
      <w:sz w:val="20"/>
      <w:szCs w:val="20"/>
      <w:bdr w:val="nil"/>
      <w14:ligatures w14:val="none"/>
    </w:rPr>
  </w:style>
  <w:style w:type="character" w:styleId="EndnoteReference">
    <w:name w:val="endnote reference"/>
    <w:basedOn w:val="DefaultParagraphFont"/>
    <w:uiPriority w:val="99"/>
    <w:semiHidden/>
    <w:unhideWhenUsed/>
    <w:rsid w:val="00F81DB6"/>
    <w:rPr>
      <w:vertAlign w:val="superscript"/>
    </w:rPr>
  </w:style>
  <w:style w:type="paragraph" w:styleId="Header">
    <w:name w:val="header"/>
    <w:basedOn w:val="Normal"/>
    <w:link w:val="HeaderChar"/>
    <w:uiPriority w:val="99"/>
    <w:unhideWhenUsed/>
    <w:rsid w:val="004B6EE5"/>
    <w:pPr>
      <w:tabs>
        <w:tab w:val="center" w:pos="4680"/>
        <w:tab w:val="right" w:pos="9360"/>
      </w:tabs>
    </w:pPr>
  </w:style>
  <w:style w:type="character" w:customStyle="1" w:styleId="HeaderChar">
    <w:name w:val="Header Char"/>
    <w:basedOn w:val="DefaultParagraphFont"/>
    <w:link w:val="Header"/>
    <w:uiPriority w:val="99"/>
    <w:rsid w:val="004B6EE5"/>
    <w:rPr>
      <w:rFonts w:ascii="Times New Roman" w:eastAsia="Arial Unicode MS" w:hAnsi="Times New Roman" w:cs="Times New Roman"/>
      <w:kern w:val="0"/>
      <w:bdr w:val="nil"/>
      <w14:ligatures w14:val="none"/>
    </w:rPr>
  </w:style>
  <w:style w:type="character" w:customStyle="1" w:styleId="Heading1Char">
    <w:name w:val="Heading 1 Char"/>
    <w:basedOn w:val="DefaultParagraphFont"/>
    <w:link w:val="Heading1"/>
    <w:uiPriority w:val="9"/>
    <w:rsid w:val="00D543D0"/>
    <w:rPr>
      <w:rFonts w:asciiTheme="majorHAnsi" w:eastAsiaTheme="majorEastAsia" w:hAnsiTheme="majorHAnsi" w:cstheme="majorBidi"/>
      <w:color w:val="2F5496" w:themeColor="accent1" w:themeShade="BF"/>
      <w:kern w:val="0"/>
      <w:sz w:val="32"/>
      <w:szCs w:val="32"/>
      <w:bdr w:val="nil"/>
      <w14:ligatures w14:val="none"/>
    </w:rPr>
  </w:style>
  <w:style w:type="paragraph" w:styleId="TOCHeading">
    <w:name w:val="TOC Heading"/>
    <w:basedOn w:val="Heading1"/>
    <w:next w:val="Normal"/>
    <w:uiPriority w:val="39"/>
    <w:unhideWhenUsed/>
    <w:qFormat/>
    <w:rsid w:val="00D543D0"/>
    <w:pPr>
      <w:pBdr>
        <w:top w:val="none" w:sz="0" w:space="0" w:color="auto"/>
        <w:left w:val="none" w:sz="0" w:space="0" w:color="auto"/>
        <w:bottom w:val="none" w:sz="0" w:space="0" w:color="auto"/>
        <w:right w:val="none" w:sz="0" w:space="0" w:color="auto"/>
        <w:between w:val="none" w:sz="0" w:space="0" w:color="auto"/>
        <w:bar w:val="none" w:sz="0" w:color="auto"/>
      </w:pBdr>
      <w:spacing w:before="480" w:line="276" w:lineRule="auto"/>
      <w:outlineLvl w:val="9"/>
    </w:pPr>
    <w:rPr>
      <w:b/>
      <w:bCs/>
      <w:sz w:val="28"/>
      <w:szCs w:val="28"/>
      <w:bdr w:val="none" w:sz="0" w:space="0" w:color="auto"/>
      <w:lang w:val="en-US"/>
    </w:rPr>
  </w:style>
  <w:style w:type="paragraph" w:styleId="TOC1">
    <w:name w:val="toc 1"/>
    <w:basedOn w:val="Normal"/>
    <w:next w:val="Normal"/>
    <w:autoRedefine/>
    <w:uiPriority w:val="39"/>
    <w:unhideWhenUsed/>
    <w:rsid w:val="004851FD"/>
    <w:pPr>
      <w:tabs>
        <w:tab w:val="right" w:leader="dot" w:pos="9010"/>
      </w:tabs>
      <w:spacing w:before="120"/>
    </w:pPr>
    <w:rPr>
      <w:rFonts w:asciiTheme="minorHAnsi" w:eastAsiaTheme="minorHAnsi" w:hAnsiTheme="minorHAnsi" w:cstheme="minorHAnsi"/>
      <w:noProof/>
      <w14:ligatures w14:val="standardContextual"/>
    </w:rPr>
  </w:style>
  <w:style w:type="paragraph" w:styleId="TOC2">
    <w:name w:val="toc 2"/>
    <w:basedOn w:val="Normal"/>
    <w:next w:val="Normal"/>
    <w:autoRedefine/>
    <w:uiPriority w:val="39"/>
    <w:unhideWhenUsed/>
    <w:rsid w:val="00D543D0"/>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D543D0"/>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543D0"/>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543D0"/>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543D0"/>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543D0"/>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543D0"/>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543D0"/>
    <w:pPr>
      <w:ind w:left="1920"/>
    </w:pPr>
    <w:rPr>
      <w:rFonts w:asciiTheme="minorHAnsi" w:hAnsiTheme="minorHAnsi" w:cstheme="minorHAnsi"/>
      <w:sz w:val="20"/>
      <w:szCs w:val="20"/>
    </w:rPr>
  </w:style>
  <w:style w:type="character" w:styleId="Hyperlink">
    <w:name w:val="Hyperlink"/>
    <w:basedOn w:val="DefaultParagraphFont"/>
    <w:uiPriority w:val="99"/>
    <w:unhideWhenUsed/>
    <w:rsid w:val="006C3AB4"/>
    <w:rPr>
      <w:color w:val="0563C1" w:themeColor="hyperlink"/>
      <w:u w:val="single"/>
    </w:rPr>
  </w:style>
  <w:style w:type="paragraph" w:styleId="Bibliography">
    <w:name w:val="Bibliography"/>
    <w:basedOn w:val="Normal"/>
    <w:next w:val="Normal"/>
    <w:uiPriority w:val="37"/>
    <w:unhideWhenUsed/>
    <w:rsid w:val="006C3AB4"/>
    <w:pPr>
      <w:spacing w:after="240"/>
      <w:ind w:left="720" w:hanging="720"/>
    </w:pPr>
  </w:style>
  <w:style w:type="character" w:styleId="UnresolvedMention">
    <w:name w:val="Unresolved Mention"/>
    <w:basedOn w:val="DefaultParagraphFont"/>
    <w:uiPriority w:val="99"/>
    <w:semiHidden/>
    <w:unhideWhenUsed/>
    <w:rsid w:val="00144C5B"/>
    <w:rPr>
      <w:color w:val="605E5C"/>
      <w:shd w:val="clear" w:color="auto" w:fill="E1DFDD"/>
    </w:rPr>
  </w:style>
  <w:style w:type="table" w:styleId="TableGrid">
    <w:name w:val="Table Grid"/>
    <w:basedOn w:val="TableNormal"/>
    <w:uiPriority w:val="39"/>
    <w:rsid w:val="002D7DE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E8536A"/>
  </w:style>
  <w:style w:type="character" w:styleId="Emphasis">
    <w:name w:val="Emphasis"/>
    <w:basedOn w:val="DefaultParagraphFont"/>
    <w:uiPriority w:val="20"/>
    <w:qFormat/>
    <w:rsid w:val="00E8536A"/>
    <w:rPr>
      <w:i/>
      <w:iCs/>
    </w:rPr>
  </w:style>
  <w:style w:type="character" w:customStyle="1" w:styleId="Heading3Char">
    <w:name w:val="Heading 3 Char"/>
    <w:basedOn w:val="DefaultParagraphFont"/>
    <w:link w:val="Heading3"/>
    <w:uiPriority w:val="9"/>
    <w:rsid w:val="00F04FAA"/>
    <w:rPr>
      <w:rFonts w:asciiTheme="majorHAnsi" w:eastAsiaTheme="majorEastAsia" w:hAnsiTheme="majorHAnsi" w:cstheme="majorBidi"/>
      <w:color w:val="1F3763" w:themeColor="accent1" w:themeShade="7F"/>
      <w:kern w:val="0"/>
      <w:bdr w:val="nil"/>
      <w14:ligatures w14:val="none"/>
    </w:rPr>
  </w:style>
  <w:style w:type="character" w:customStyle="1" w:styleId="Heading2Char">
    <w:name w:val="Heading 2 Char"/>
    <w:basedOn w:val="DefaultParagraphFont"/>
    <w:link w:val="Heading2"/>
    <w:uiPriority w:val="9"/>
    <w:rsid w:val="007E0461"/>
    <w:rPr>
      <w:rFonts w:asciiTheme="majorHAnsi" w:eastAsiaTheme="majorEastAsia" w:hAnsiTheme="majorHAnsi" w:cstheme="majorBidi"/>
      <w:color w:val="2F5496" w:themeColor="accent1" w:themeShade="BF"/>
      <w:kern w:val="0"/>
      <w:sz w:val="26"/>
      <w:szCs w:val="26"/>
      <w:bdr w:val="nil"/>
      <w14:ligatures w14:val="none"/>
    </w:rPr>
  </w:style>
  <w:style w:type="character" w:styleId="FollowedHyperlink">
    <w:name w:val="FollowedHyperlink"/>
    <w:basedOn w:val="DefaultParagraphFont"/>
    <w:uiPriority w:val="99"/>
    <w:semiHidden/>
    <w:unhideWhenUsed/>
    <w:rsid w:val="00887CE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427543">
      <w:bodyDiv w:val="1"/>
      <w:marLeft w:val="0"/>
      <w:marRight w:val="0"/>
      <w:marTop w:val="0"/>
      <w:marBottom w:val="0"/>
      <w:divBdr>
        <w:top w:val="none" w:sz="0" w:space="0" w:color="auto"/>
        <w:left w:val="none" w:sz="0" w:space="0" w:color="auto"/>
        <w:bottom w:val="none" w:sz="0" w:space="0" w:color="auto"/>
        <w:right w:val="none" w:sz="0" w:space="0" w:color="auto"/>
      </w:divBdr>
      <w:divsChild>
        <w:div w:id="381682972">
          <w:marLeft w:val="0"/>
          <w:marRight w:val="0"/>
          <w:marTop w:val="0"/>
          <w:marBottom w:val="0"/>
          <w:divBdr>
            <w:top w:val="none" w:sz="0" w:space="0" w:color="auto"/>
            <w:left w:val="none" w:sz="0" w:space="0" w:color="auto"/>
            <w:bottom w:val="none" w:sz="0" w:space="0" w:color="auto"/>
            <w:right w:val="none" w:sz="0" w:space="0" w:color="auto"/>
          </w:divBdr>
          <w:divsChild>
            <w:div w:id="1642924347">
              <w:marLeft w:val="0"/>
              <w:marRight w:val="0"/>
              <w:marTop w:val="0"/>
              <w:marBottom w:val="0"/>
              <w:divBdr>
                <w:top w:val="none" w:sz="0" w:space="0" w:color="auto"/>
                <w:left w:val="none" w:sz="0" w:space="0" w:color="auto"/>
                <w:bottom w:val="none" w:sz="0" w:space="0" w:color="auto"/>
                <w:right w:val="none" w:sz="0" w:space="0" w:color="auto"/>
              </w:divBdr>
              <w:divsChild>
                <w:div w:id="184597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267072">
      <w:bodyDiv w:val="1"/>
      <w:marLeft w:val="0"/>
      <w:marRight w:val="0"/>
      <w:marTop w:val="0"/>
      <w:marBottom w:val="0"/>
      <w:divBdr>
        <w:top w:val="none" w:sz="0" w:space="0" w:color="auto"/>
        <w:left w:val="none" w:sz="0" w:space="0" w:color="auto"/>
        <w:bottom w:val="none" w:sz="0" w:space="0" w:color="auto"/>
        <w:right w:val="none" w:sz="0" w:space="0" w:color="auto"/>
      </w:divBdr>
    </w:div>
    <w:div w:id="1156412949">
      <w:bodyDiv w:val="1"/>
      <w:marLeft w:val="0"/>
      <w:marRight w:val="0"/>
      <w:marTop w:val="0"/>
      <w:marBottom w:val="0"/>
      <w:divBdr>
        <w:top w:val="none" w:sz="0" w:space="0" w:color="auto"/>
        <w:left w:val="none" w:sz="0" w:space="0" w:color="auto"/>
        <w:bottom w:val="none" w:sz="0" w:space="0" w:color="auto"/>
        <w:right w:val="none" w:sz="0" w:space="0" w:color="auto"/>
      </w:divBdr>
      <w:divsChild>
        <w:div w:id="22441880">
          <w:marLeft w:val="0"/>
          <w:marRight w:val="0"/>
          <w:marTop w:val="0"/>
          <w:marBottom w:val="0"/>
          <w:divBdr>
            <w:top w:val="none" w:sz="0" w:space="0" w:color="auto"/>
            <w:left w:val="none" w:sz="0" w:space="0" w:color="auto"/>
            <w:bottom w:val="none" w:sz="0" w:space="0" w:color="auto"/>
            <w:right w:val="none" w:sz="0" w:space="0" w:color="auto"/>
          </w:divBdr>
        </w:div>
      </w:divsChild>
    </w:div>
    <w:div w:id="1254434030">
      <w:bodyDiv w:val="1"/>
      <w:marLeft w:val="0"/>
      <w:marRight w:val="0"/>
      <w:marTop w:val="0"/>
      <w:marBottom w:val="0"/>
      <w:divBdr>
        <w:top w:val="none" w:sz="0" w:space="0" w:color="auto"/>
        <w:left w:val="none" w:sz="0" w:space="0" w:color="auto"/>
        <w:bottom w:val="none" w:sz="0" w:space="0" w:color="auto"/>
        <w:right w:val="none" w:sz="0" w:space="0" w:color="auto"/>
      </w:divBdr>
      <w:divsChild>
        <w:div w:id="396755129">
          <w:marLeft w:val="0"/>
          <w:marRight w:val="0"/>
          <w:marTop w:val="0"/>
          <w:marBottom w:val="0"/>
          <w:divBdr>
            <w:top w:val="none" w:sz="0" w:space="0" w:color="auto"/>
            <w:left w:val="none" w:sz="0" w:space="0" w:color="auto"/>
            <w:bottom w:val="none" w:sz="0" w:space="0" w:color="auto"/>
            <w:right w:val="none" w:sz="0" w:space="0" w:color="auto"/>
          </w:divBdr>
          <w:divsChild>
            <w:div w:id="804350390">
              <w:marLeft w:val="0"/>
              <w:marRight w:val="0"/>
              <w:marTop w:val="0"/>
              <w:marBottom w:val="0"/>
              <w:divBdr>
                <w:top w:val="none" w:sz="0" w:space="0" w:color="auto"/>
                <w:left w:val="none" w:sz="0" w:space="0" w:color="auto"/>
                <w:bottom w:val="none" w:sz="0" w:space="0" w:color="auto"/>
                <w:right w:val="none" w:sz="0" w:space="0" w:color="auto"/>
              </w:divBdr>
              <w:divsChild>
                <w:div w:id="1384669909">
                  <w:marLeft w:val="0"/>
                  <w:marRight w:val="0"/>
                  <w:marTop w:val="0"/>
                  <w:marBottom w:val="0"/>
                  <w:divBdr>
                    <w:top w:val="none" w:sz="0" w:space="0" w:color="auto"/>
                    <w:left w:val="none" w:sz="0" w:space="0" w:color="auto"/>
                    <w:bottom w:val="none" w:sz="0" w:space="0" w:color="auto"/>
                    <w:right w:val="none" w:sz="0" w:space="0" w:color="auto"/>
                  </w:divBdr>
                  <w:divsChild>
                    <w:div w:id="1905293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3610643">
      <w:bodyDiv w:val="1"/>
      <w:marLeft w:val="0"/>
      <w:marRight w:val="0"/>
      <w:marTop w:val="0"/>
      <w:marBottom w:val="0"/>
      <w:divBdr>
        <w:top w:val="none" w:sz="0" w:space="0" w:color="auto"/>
        <w:left w:val="none" w:sz="0" w:space="0" w:color="auto"/>
        <w:bottom w:val="none" w:sz="0" w:space="0" w:color="auto"/>
        <w:right w:val="none" w:sz="0" w:space="0" w:color="auto"/>
      </w:divBdr>
    </w:div>
    <w:div w:id="1689090749">
      <w:bodyDiv w:val="1"/>
      <w:marLeft w:val="0"/>
      <w:marRight w:val="0"/>
      <w:marTop w:val="0"/>
      <w:marBottom w:val="0"/>
      <w:divBdr>
        <w:top w:val="none" w:sz="0" w:space="0" w:color="auto"/>
        <w:left w:val="none" w:sz="0" w:space="0" w:color="auto"/>
        <w:bottom w:val="none" w:sz="0" w:space="0" w:color="auto"/>
        <w:right w:val="none" w:sz="0" w:space="0" w:color="auto"/>
      </w:divBdr>
      <w:divsChild>
        <w:div w:id="2099671264">
          <w:marLeft w:val="0"/>
          <w:marRight w:val="0"/>
          <w:marTop w:val="0"/>
          <w:marBottom w:val="0"/>
          <w:divBdr>
            <w:top w:val="none" w:sz="0" w:space="0" w:color="auto"/>
            <w:left w:val="none" w:sz="0" w:space="0" w:color="auto"/>
            <w:bottom w:val="none" w:sz="0" w:space="0" w:color="auto"/>
            <w:right w:val="none" w:sz="0" w:space="0" w:color="auto"/>
          </w:divBdr>
        </w:div>
      </w:divsChild>
    </w:div>
    <w:div w:id="1763212921">
      <w:bodyDiv w:val="1"/>
      <w:marLeft w:val="0"/>
      <w:marRight w:val="0"/>
      <w:marTop w:val="0"/>
      <w:marBottom w:val="0"/>
      <w:divBdr>
        <w:top w:val="none" w:sz="0" w:space="0" w:color="auto"/>
        <w:left w:val="none" w:sz="0" w:space="0" w:color="auto"/>
        <w:bottom w:val="none" w:sz="0" w:space="0" w:color="auto"/>
        <w:right w:val="none" w:sz="0" w:space="0" w:color="auto"/>
      </w:divBdr>
      <w:divsChild>
        <w:div w:id="625625873">
          <w:marLeft w:val="0"/>
          <w:marRight w:val="0"/>
          <w:marTop w:val="0"/>
          <w:marBottom w:val="0"/>
          <w:divBdr>
            <w:top w:val="none" w:sz="0" w:space="0" w:color="auto"/>
            <w:left w:val="none" w:sz="0" w:space="0" w:color="auto"/>
            <w:bottom w:val="none" w:sz="0" w:space="0" w:color="auto"/>
            <w:right w:val="none" w:sz="0" w:space="0" w:color="auto"/>
          </w:divBdr>
          <w:divsChild>
            <w:div w:id="1229532581">
              <w:marLeft w:val="0"/>
              <w:marRight w:val="0"/>
              <w:marTop w:val="0"/>
              <w:marBottom w:val="0"/>
              <w:divBdr>
                <w:top w:val="none" w:sz="0" w:space="0" w:color="auto"/>
                <w:left w:val="none" w:sz="0" w:space="0" w:color="auto"/>
                <w:bottom w:val="none" w:sz="0" w:space="0" w:color="auto"/>
                <w:right w:val="none" w:sz="0" w:space="0" w:color="auto"/>
              </w:divBdr>
              <w:divsChild>
                <w:div w:id="2060736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016138">
      <w:bodyDiv w:val="1"/>
      <w:marLeft w:val="0"/>
      <w:marRight w:val="0"/>
      <w:marTop w:val="0"/>
      <w:marBottom w:val="0"/>
      <w:divBdr>
        <w:top w:val="none" w:sz="0" w:space="0" w:color="auto"/>
        <w:left w:val="none" w:sz="0" w:space="0" w:color="auto"/>
        <w:bottom w:val="none" w:sz="0" w:space="0" w:color="auto"/>
        <w:right w:val="none" w:sz="0" w:space="0" w:color="auto"/>
      </w:divBdr>
      <w:divsChild>
        <w:div w:id="1739744549">
          <w:marLeft w:val="0"/>
          <w:marRight w:val="0"/>
          <w:marTop w:val="0"/>
          <w:marBottom w:val="0"/>
          <w:divBdr>
            <w:top w:val="none" w:sz="0" w:space="0" w:color="auto"/>
            <w:left w:val="none" w:sz="0" w:space="0" w:color="auto"/>
            <w:bottom w:val="none" w:sz="0" w:space="0" w:color="auto"/>
            <w:right w:val="none" w:sz="0" w:space="0" w:color="auto"/>
          </w:divBdr>
          <w:divsChild>
            <w:div w:id="1913276680">
              <w:marLeft w:val="0"/>
              <w:marRight w:val="0"/>
              <w:marTop w:val="0"/>
              <w:marBottom w:val="0"/>
              <w:divBdr>
                <w:top w:val="none" w:sz="0" w:space="0" w:color="auto"/>
                <w:left w:val="none" w:sz="0" w:space="0" w:color="auto"/>
                <w:bottom w:val="none" w:sz="0" w:space="0" w:color="auto"/>
                <w:right w:val="none" w:sz="0" w:space="0" w:color="auto"/>
              </w:divBdr>
              <w:divsChild>
                <w:div w:id="1296063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acprof:oso/9780199688586.003.0009"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equip.sbts.edu/publications/journals/journal-of-theology/sbjt-101-spring-2006/cur-deus-trinus-the-relation-of-the-trinity-to-christs-identity-as-savior-and-to-the-efficacy-of-his-atoning-dea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809666-D278-0246-9871-6D3092D8B6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13</Pages>
  <Words>3142</Words>
  <Characters>17915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Douglas Spenceley</dc:creator>
  <cp:keywords/>
  <dc:description/>
  <cp:lastModifiedBy>Douglas Spenceley</cp:lastModifiedBy>
  <cp:revision>7</cp:revision>
  <cp:lastPrinted>2023-05-11T17:02:00Z</cp:lastPrinted>
  <dcterms:created xsi:type="dcterms:W3CDTF">2023-05-11T19:02:00Z</dcterms:created>
  <dcterms:modified xsi:type="dcterms:W3CDTF">2023-05-11T19:11:00Z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id="azzV8cIF"/&gt;&lt;style id="http://www.zotero.org/styles/modern-humanities-research-association" hasBibliography="1" bibliographyStyleHasBeenSet="1"/&gt;&lt;prefs&gt;&lt;pref name="fieldType" value="Field"/&gt;&lt;pref </vt:lpwstr>
  </property>
  <property fmtid="{D5CDD505-2E9C-101B-9397-08002B2CF9AE}" pid="3" name="ZOTERO_PREF_2">
    <vt:lpwstr>name="noteType" value="1"/&gt;&lt;/prefs&gt;&lt;/data&gt;</vt:lpwstr>
  </property>
</Properties>
</file>