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EDEC4" w14:textId="2739B04A" w:rsidR="00812A09" w:rsidRDefault="00000000" w:rsidP="00812A09">
      <w:pPr>
        <w:jc w:val="center"/>
        <w:rPr>
          <w:rFonts w:ascii="Arial" w:hAnsi="Arial" w:cs="Arial"/>
          <w:sz w:val="32"/>
          <w:szCs w:val="32"/>
        </w:rPr>
      </w:pPr>
      <w:r>
        <w:rPr>
          <w:rFonts w:ascii="Arial" w:hAnsi="Arial" w:cs="Arial"/>
          <w:sz w:val="32"/>
          <w:szCs w:val="32"/>
        </w:rPr>
        <w:t xml:space="preserve"> </w:t>
      </w:r>
    </w:p>
    <w:p w14:paraId="2FF8B5F2" w14:textId="77777777" w:rsidR="00812A09" w:rsidRDefault="00812A09" w:rsidP="00812A09">
      <w:pPr>
        <w:jc w:val="center"/>
        <w:rPr>
          <w:rFonts w:ascii="Arial" w:hAnsi="Arial" w:cs="Arial"/>
          <w:sz w:val="32"/>
          <w:szCs w:val="32"/>
        </w:rPr>
      </w:pPr>
    </w:p>
    <w:p w14:paraId="17D7B391" w14:textId="77777777" w:rsidR="00812A09" w:rsidRDefault="00812A09" w:rsidP="00812A09">
      <w:pPr>
        <w:jc w:val="center"/>
        <w:rPr>
          <w:rFonts w:ascii="Arial" w:hAnsi="Arial" w:cs="Arial"/>
          <w:sz w:val="32"/>
          <w:szCs w:val="32"/>
        </w:rPr>
      </w:pPr>
    </w:p>
    <w:p w14:paraId="17F524A3" w14:textId="77777777" w:rsidR="00812A09" w:rsidRDefault="00812A09" w:rsidP="003F2B2A">
      <w:pPr>
        <w:jc w:val="left"/>
        <w:rPr>
          <w:rFonts w:ascii="Arial" w:hAnsi="Arial" w:cs="Arial"/>
          <w:sz w:val="32"/>
          <w:szCs w:val="32"/>
        </w:rPr>
      </w:pPr>
    </w:p>
    <w:p w14:paraId="605E2CE3" w14:textId="4564F6E7" w:rsidR="00812A09" w:rsidRDefault="00000000" w:rsidP="003F2B2A">
      <w:pPr>
        <w:jc w:val="center"/>
        <w:rPr>
          <w:rFonts w:ascii="Arial" w:hAnsi="Arial" w:cs="Arial"/>
          <w:sz w:val="32"/>
          <w:szCs w:val="32"/>
        </w:rPr>
      </w:pPr>
      <w:r>
        <w:rPr>
          <w:rFonts w:ascii="Arial" w:hAnsi="Arial" w:cs="Arial"/>
          <w:sz w:val="32"/>
          <w:szCs w:val="32"/>
        </w:rPr>
        <w:t>Business Management</w:t>
      </w:r>
    </w:p>
    <w:p w14:paraId="0C6AD117" w14:textId="71EA1FDA" w:rsidR="00812A09" w:rsidRDefault="00000000" w:rsidP="003F2B2A">
      <w:pPr>
        <w:jc w:val="center"/>
        <w:rPr>
          <w:rFonts w:ascii="Arial" w:hAnsi="Arial" w:cs="Arial"/>
          <w:sz w:val="32"/>
          <w:szCs w:val="32"/>
        </w:rPr>
      </w:pPr>
      <w:r>
        <w:rPr>
          <w:rFonts w:ascii="Arial" w:hAnsi="Arial" w:cs="Arial"/>
          <w:sz w:val="32"/>
          <w:szCs w:val="32"/>
        </w:rPr>
        <w:t>Student Name: Casiana Danci</w:t>
      </w:r>
    </w:p>
    <w:p w14:paraId="1AF194C7" w14:textId="49A7E1F6" w:rsidR="00812A09" w:rsidRDefault="00000000" w:rsidP="003F2B2A">
      <w:pPr>
        <w:jc w:val="center"/>
        <w:rPr>
          <w:rFonts w:ascii="Arial" w:hAnsi="Arial" w:cs="Arial"/>
          <w:sz w:val="32"/>
          <w:szCs w:val="32"/>
        </w:rPr>
      </w:pPr>
      <w:r>
        <w:rPr>
          <w:rFonts w:ascii="Arial" w:hAnsi="Arial" w:cs="Arial"/>
          <w:sz w:val="32"/>
          <w:szCs w:val="32"/>
        </w:rPr>
        <w:t>Student ID: 2225536</w:t>
      </w:r>
    </w:p>
    <w:p w14:paraId="45697614" w14:textId="3DD4D167" w:rsidR="00812A09" w:rsidRDefault="00000000" w:rsidP="003F2B2A">
      <w:pPr>
        <w:jc w:val="center"/>
        <w:rPr>
          <w:rFonts w:ascii="Arial" w:hAnsi="Arial" w:cs="Arial"/>
          <w:sz w:val="32"/>
          <w:szCs w:val="32"/>
        </w:rPr>
      </w:pPr>
      <w:r>
        <w:rPr>
          <w:rFonts w:ascii="Arial" w:hAnsi="Arial" w:cs="Arial"/>
          <w:sz w:val="32"/>
          <w:szCs w:val="32"/>
        </w:rPr>
        <w:t>Lecturer Name</w:t>
      </w:r>
      <w:r w:rsidR="003F2B2A">
        <w:rPr>
          <w:rFonts w:ascii="Arial" w:hAnsi="Arial" w:cs="Arial"/>
          <w:sz w:val="32"/>
          <w:szCs w:val="32"/>
        </w:rPr>
        <w:t>: Zahra Mohammadnazari</w:t>
      </w:r>
    </w:p>
    <w:p w14:paraId="30ADADEC" w14:textId="287222C7" w:rsidR="00812A09" w:rsidRDefault="00000000" w:rsidP="003F2B2A">
      <w:pPr>
        <w:jc w:val="center"/>
        <w:rPr>
          <w:rFonts w:ascii="Arial" w:hAnsi="Arial" w:cs="Arial"/>
          <w:sz w:val="32"/>
          <w:szCs w:val="32"/>
        </w:rPr>
      </w:pPr>
      <w:r>
        <w:rPr>
          <w:rFonts w:ascii="Arial" w:hAnsi="Arial" w:cs="Arial"/>
          <w:sz w:val="32"/>
          <w:szCs w:val="32"/>
        </w:rPr>
        <w:t>Community Engagement</w:t>
      </w:r>
    </w:p>
    <w:p w14:paraId="62AC1FC4" w14:textId="004B8F61" w:rsidR="003F2B2A" w:rsidRPr="00812A09" w:rsidRDefault="00000000" w:rsidP="003F2B2A">
      <w:pPr>
        <w:jc w:val="center"/>
        <w:rPr>
          <w:rFonts w:ascii="Arial" w:hAnsi="Arial" w:cs="Arial"/>
          <w:sz w:val="32"/>
          <w:szCs w:val="32"/>
        </w:rPr>
      </w:pPr>
      <w:r w:rsidRPr="003F2B2A">
        <w:rPr>
          <w:rFonts w:ascii="Arial" w:hAnsi="Arial" w:cs="Arial"/>
          <w:sz w:val="32"/>
          <w:szCs w:val="32"/>
        </w:rPr>
        <w:t>LCBB4002</w:t>
      </w:r>
    </w:p>
    <w:p w14:paraId="233013C8" w14:textId="77777777" w:rsidR="00155CFD" w:rsidRPr="00E85646" w:rsidRDefault="00155CFD" w:rsidP="003F2B2A">
      <w:pPr>
        <w:jc w:val="center"/>
      </w:pPr>
    </w:p>
    <w:p w14:paraId="06739A07" w14:textId="77777777" w:rsidR="00155CFD" w:rsidRPr="00E85646" w:rsidRDefault="00155CFD"/>
    <w:p w14:paraId="3F58A096" w14:textId="77777777" w:rsidR="00812A09" w:rsidRDefault="00812A09">
      <w:pPr>
        <w:spacing w:before="0" w:after="160" w:line="259" w:lineRule="auto"/>
        <w:jc w:val="left"/>
      </w:pPr>
    </w:p>
    <w:p w14:paraId="4175A308" w14:textId="77777777" w:rsidR="00812A09" w:rsidRPr="00812A09" w:rsidRDefault="00812A09" w:rsidP="00812A09"/>
    <w:p w14:paraId="614F8197" w14:textId="77777777" w:rsidR="00812A09" w:rsidRPr="00812A09" w:rsidRDefault="00812A09" w:rsidP="00812A09"/>
    <w:p w14:paraId="175C7079" w14:textId="77777777" w:rsidR="00812A09" w:rsidRPr="00812A09" w:rsidRDefault="00812A09" w:rsidP="00812A09"/>
    <w:p w14:paraId="2F720227" w14:textId="77777777" w:rsidR="00812A09" w:rsidRPr="00812A09" w:rsidRDefault="00812A09" w:rsidP="00812A09"/>
    <w:p w14:paraId="1F19733B" w14:textId="77777777" w:rsidR="00812A09" w:rsidRPr="00812A09" w:rsidRDefault="00812A09" w:rsidP="00812A09"/>
    <w:p w14:paraId="29E7C0B6" w14:textId="77777777" w:rsidR="00812A09" w:rsidRPr="00812A09" w:rsidRDefault="00812A09" w:rsidP="00812A09"/>
    <w:p w14:paraId="28D03CD2" w14:textId="77777777" w:rsidR="00812A09" w:rsidRPr="00812A09" w:rsidRDefault="00812A09" w:rsidP="00812A09"/>
    <w:p w14:paraId="1908F656" w14:textId="77777777" w:rsidR="00812A09" w:rsidRPr="00812A09" w:rsidRDefault="00812A09" w:rsidP="00812A09"/>
    <w:p w14:paraId="1255E660" w14:textId="77777777" w:rsidR="00812A09" w:rsidRPr="00812A09" w:rsidRDefault="00812A09" w:rsidP="00812A09"/>
    <w:p w14:paraId="6D488764" w14:textId="4C87CE98" w:rsidR="00444711" w:rsidRPr="00E85646" w:rsidRDefault="00444711">
      <w:pPr>
        <w:spacing w:before="0" w:after="160" w:line="259" w:lineRule="auto"/>
        <w:jc w:val="left"/>
      </w:pPr>
    </w:p>
    <w:sdt>
      <w:sdtPr>
        <w:rPr>
          <w:b/>
          <w:bCs/>
        </w:rPr>
        <w:id w:val="-622467563"/>
        <w:docPartObj>
          <w:docPartGallery w:val="Table of Contents"/>
          <w:docPartUnique/>
        </w:docPartObj>
      </w:sdtPr>
      <w:sdtEndPr>
        <w:rPr>
          <w:noProof/>
        </w:rPr>
      </w:sdtEndPr>
      <w:sdtContent>
        <w:p w14:paraId="04F93E47" w14:textId="77777777" w:rsidR="00444711" w:rsidRPr="00E85646" w:rsidRDefault="00000000" w:rsidP="00444711">
          <w:pPr>
            <w:jc w:val="center"/>
            <w:rPr>
              <w:b/>
              <w:bCs/>
            </w:rPr>
          </w:pPr>
          <w:r w:rsidRPr="00E85646">
            <w:rPr>
              <w:b/>
              <w:bCs/>
            </w:rPr>
            <w:t>Table of Contents</w:t>
          </w:r>
        </w:p>
        <w:p w14:paraId="68D6ED9A" w14:textId="77777777" w:rsidR="00A61CD2" w:rsidRDefault="00000000">
          <w:pPr>
            <w:pStyle w:val="TOC1"/>
            <w:tabs>
              <w:tab w:val="right" w:leader="dot" w:pos="9350"/>
            </w:tabs>
            <w:rPr>
              <w:rFonts w:asciiTheme="minorHAnsi" w:eastAsiaTheme="minorEastAsia" w:hAnsiTheme="minorHAnsi" w:cstheme="minorBidi"/>
              <w:noProof/>
              <w:sz w:val="22"/>
              <w:lang w:val="en-US" w:eastAsia="en-US"/>
            </w:rPr>
          </w:pPr>
          <w:r w:rsidRPr="00E85646">
            <w:fldChar w:fldCharType="begin"/>
          </w:r>
          <w:r w:rsidRPr="00E85646">
            <w:instrText xml:space="preserve"> TOC \o "1-3" \h \z \u </w:instrText>
          </w:r>
          <w:r w:rsidRPr="00E85646">
            <w:fldChar w:fldCharType="separate"/>
          </w:r>
          <w:hyperlink w:anchor="_Toc140848451" w:history="1">
            <w:r w:rsidRPr="00F9763D">
              <w:rPr>
                <w:rStyle w:val="Hyperlink"/>
                <w:noProof/>
              </w:rPr>
              <w:t>Introduction</w:t>
            </w:r>
            <w:r>
              <w:rPr>
                <w:noProof/>
                <w:webHidden/>
              </w:rPr>
              <w:tab/>
            </w:r>
            <w:r>
              <w:rPr>
                <w:noProof/>
                <w:webHidden/>
              </w:rPr>
              <w:fldChar w:fldCharType="begin"/>
            </w:r>
            <w:r>
              <w:rPr>
                <w:noProof/>
                <w:webHidden/>
              </w:rPr>
              <w:instrText xml:space="preserve"> PAGEREF _Toc140848451 \h </w:instrText>
            </w:r>
            <w:r>
              <w:rPr>
                <w:noProof/>
                <w:webHidden/>
              </w:rPr>
            </w:r>
            <w:r>
              <w:rPr>
                <w:noProof/>
                <w:webHidden/>
              </w:rPr>
              <w:fldChar w:fldCharType="separate"/>
            </w:r>
            <w:r>
              <w:rPr>
                <w:noProof/>
                <w:webHidden/>
              </w:rPr>
              <w:t>3</w:t>
            </w:r>
            <w:r>
              <w:rPr>
                <w:noProof/>
                <w:webHidden/>
              </w:rPr>
              <w:fldChar w:fldCharType="end"/>
            </w:r>
          </w:hyperlink>
        </w:p>
        <w:p w14:paraId="1866158C" w14:textId="77777777" w:rsidR="00A61CD2" w:rsidRDefault="00000000">
          <w:pPr>
            <w:pStyle w:val="TOC1"/>
            <w:tabs>
              <w:tab w:val="right" w:leader="dot" w:pos="9350"/>
            </w:tabs>
            <w:rPr>
              <w:rFonts w:asciiTheme="minorHAnsi" w:eastAsiaTheme="minorEastAsia" w:hAnsiTheme="minorHAnsi" w:cstheme="minorBidi"/>
              <w:noProof/>
              <w:sz w:val="22"/>
              <w:lang w:val="en-US" w:eastAsia="en-US"/>
            </w:rPr>
          </w:pPr>
          <w:hyperlink w:anchor="_Toc140848452" w:history="1">
            <w:r w:rsidRPr="00F9763D">
              <w:rPr>
                <w:rStyle w:val="Hyperlink"/>
                <w:noProof/>
              </w:rPr>
              <w:t>The Body</w:t>
            </w:r>
            <w:r>
              <w:rPr>
                <w:noProof/>
                <w:webHidden/>
              </w:rPr>
              <w:tab/>
            </w:r>
            <w:r>
              <w:rPr>
                <w:noProof/>
                <w:webHidden/>
              </w:rPr>
              <w:fldChar w:fldCharType="begin"/>
            </w:r>
            <w:r>
              <w:rPr>
                <w:noProof/>
                <w:webHidden/>
              </w:rPr>
              <w:instrText xml:space="preserve"> PAGEREF _Toc140848452 \h </w:instrText>
            </w:r>
            <w:r>
              <w:rPr>
                <w:noProof/>
                <w:webHidden/>
              </w:rPr>
            </w:r>
            <w:r>
              <w:rPr>
                <w:noProof/>
                <w:webHidden/>
              </w:rPr>
              <w:fldChar w:fldCharType="separate"/>
            </w:r>
            <w:r>
              <w:rPr>
                <w:noProof/>
                <w:webHidden/>
              </w:rPr>
              <w:t>3</w:t>
            </w:r>
            <w:r>
              <w:rPr>
                <w:noProof/>
                <w:webHidden/>
              </w:rPr>
              <w:fldChar w:fldCharType="end"/>
            </w:r>
          </w:hyperlink>
        </w:p>
        <w:p w14:paraId="1F556537" w14:textId="77777777" w:rsidR="00A61CD2" w:rsidRDefault="00000000">
          <w:pPr>
            <w:pStyle w:val="TOC1"/>
            <w:tabs>
              <w:tab w:val="right" w:leader="dot" w:pos="9350"/>
            </w:tabs>
            <w:rPr>
              <w:rFonts w:asciiTheme="minorHAnsi" w:eastAsiaTheme="minorEastAsia" w:hAnsiTheme="minorHAnsi" w:cstheme="minorBidi"/>
              <w:noProof/>
              <w:sz w:val="22"/>
              <w:lang w:val="en-US" w:eastAsia="en-US"/>
            </w:rPr>
          </w:pPr>
          <w:hyperlink w:anchor="_Toc140848453" w:history="1">
            <w:r w:rsidRPr="00F9763D">
              <w:rPr>
                <w:rStyle w:val="Hyperlink"/>
                <w:noProof/>
              </w:rPr>
              <w:t>Conclusion and Recommendations</w:t>
            </w:r>
            <w:r>
              <w:rPr>
                <w:noProof/>
                <w:webHidden/>
              </w:rPr>
              <w:tab/>
            </w:r>
            <w:r>
              <w:rPr>
                <w:noProof/>
                <w:webHidden/>
              </w:rPr>
              <w:fldChar w:fldCharType="begin"/>
            </w:r>
            <w:r>
              <w:rPr>
                <w:noProof/>
                <w:webHidden/>
              </w:rPr>
              <w:instrText xml:space="preserve"> PAGEREF _Toc140848453 \h </w:instrText>
            </w:r>
            <w:r>
              <w:rPr>
                <w:noProof/>
                <w:webHidden/>
              </w:rPr>
            </w:r>
            <w:r>
              <w:rPr>
                <w:noProof/>
                <w:webHidden/>
              </w:rPr>
              <w:fldChar w:fldCharType="separate"/>
            </w:r>
            <w:r>
              <w:rPr>
                <w:noProof/>
                <w:webHidden/>
              </w:rPr>
              <w:t>7</w:t>
            </w:r>
            <w:r>
              <w:rPr>
                <w:noProof/>
                <w:webHidden/>
              </w:rPr>
              <w:fldChar w:fldCharType="end"/>
            </w:r>
          </w:hyperlink>
        </w:p>
        <w:p w14:paraId="2A18C227" w14:textId="77777777" w:rsidR="00A61CD2" w:rsidRDefault="00000000">
          <w:pPr>
            <w:pStyle w:val="TOC1"/>
            <w:tabs>
              <w:tab w:val="right" w:leader="dot" w:pos="9350"/>
            </w:tabs>
            <w:rPr>
              <w:rFonts w:asciiTheme="minorHAnsi" w:eastAsiaTheme="minorEastAsia" w:hAnsiTheme="minorHAnsi" w:cstheme="minorBidi"/>
              <w:noProof/>
              <w:sz w:val="22"/>
              <w:lang w:val="en-US" w:eastAsia="en-US"/>
            </w:rPr>
          </w:pPr>
          <w:hyperlink w:anchor="_Toc140848454" w:history="1">
            <w:r w:rsidRPr="00F9763D">
              <w:rPr>
                <w:rStyle w:val="Hyperlink"/>
                <w:noProof/>
              </w:rPr>
              <w:t>References</w:t>
            </w:r>
            <w:r>
              <w:rPr>
                <w:noProof/>
                <w:webHidden/>
              </w:rPr>
              <w:tab/>
            </w:r>
            <w:r>
              <w:rPr>
                <w:noProof/>
                <w:webHidden/>
              </w:rPr>
              <w:fldChar w:fldCharType="begin"/>
            </w:r>
            <w:r>
              <w:rPr>
                <w:noProof/>
                <w:webHidden/>
              </w:rPr>
              <w:instrText xml:space="preserve"> PAGEREF _Toc140848454 \h </w:instrText>
            </w:r>
            <w:r>
              <w:rPr>
                <w:noProof/>
                <w:webHidden/>
              </w:rPr>
            </w:r>
            <w:r>
              <w:rPr>
                <w:noProof/>
                <w:webHidden/>
              </w:rPr>
              <w:fldChar w:fldCharType="separate"/>
            </w:r>
            <w:r>
              <w:rPr>
                <w:noProof/>
                <w:webHidden/>
              </w:rPr>
              <w:t>9</w:t>
            </w:r>
            <w:r>
              <w:rPr>
                <w:noProof/>
                <w:webHidden/>
              </w:rPr>
              <w:fldChar w:fldCharType="end"/>
            </w:r>
          </w:hyperlink>
        </w:p>
        <w:p w14:paraId="12DD1D79" w14:textId="77777777" w:rsidR="00444711" w:rsidRPr="00E85646" w:rsidRDefault="00000000">
          <w:r w:rsidRPr="00E85646">
            <w:rPr>
              <w:b/>
              <w:bCs/>
              <w:noProof/>
            </w:rPr>
            <w:fldChar w:fldCharType="end"/>
          </w:r>
        </w:p>
      </w:sdtContent>
    </w:sdt>
    <w:p w14:paraId="47C0737D" w14:textId="77777777" w:rsidR="00444711" w:rsidRPr="00E85646" w:rsidRDefault="00000000">
      <w:pPr>
        <w:spacing w:before="0" w:after="160" w:line="259" w:lineRule="auto"/>
        <w:jc w:val="left"/>
      </w:pPr>
      <w:r w:rsidRPr="00E85646">
        <w:br w:type="page"/>
      </w:r>
    </w:p>
    <w:p w14:paraId="3D1B55A8" w14:textId="77777777" w:rsidR="00444711" w:rsidRPr="00DE45B0" w:rsidRDefault="00000000" w:rsidP="00444711">
      <w:pPr>
        <w:pStyle w:val="Heading1"/>
        <w:rPr>
          <w:rFonts w:ascii="Arial" w:hAnsi="Arial" w:cs="Arial"/>
          <w:sz w:val="22"/>
          <w:szCs w:val="22"/>
        </w:rPr>
      </w:pPr>
      <w:bookmarkStart w:id="0" w:name="_Toc140848451"/>
      <w:r w:rsidRPr="00DE45B0">
        <w:rPr>
          <w:rFonts w:ascii="Arial" w:hAnsi="Arial" w:cs="Arial"/>
          <w:sz w:val="22"/>
          <w:szCs w:val="22"/>
        </w:rPr>
        <w:lastRenderedPageBreak/>
        <w:t>Introduction</w:t>
      </w:r>
      <w:bookmarkEnd w:id="0"/>
    </w:p>
    <w:p w14:paraId="5CB1E04D" w14:textId="77777777" w:rsidR="00FD2321" w:rsidRPr="00DE45B0" w:rsidRDefault="00000000" w:rsidP="00A361B8">
      <w:pPr>
        <w:rPr>
          <w:rFonts w:ascii="Arial" w:hAnsi="Arial" w:cs="Arial"/>
          <w:sz w:val="22"/>
        </w:rPr>
      </w:pPr>
      <w:r w:rsidRPr="00DE45B0">
        <w:rPr>
          <w:rFonts w:ascii="Arial" w:hAnsi="Arial" w:cs="Arial"/>
          <w:sz w:val="22"/>
        </w:rPr>
        <w:t>The community contributes to the well-being and health of society while fostering societal changes, requiring an immense amount of effort and time for development (Forbes, 2022). In this context, the essay will delive</w:t>
      </w:r>
      <w:r w:rsidR="00004E53" w:rsidRPr="00DE45B0">
        <w:rPr>
          <w:rFonts w:ascii="Arial" w:hAnsi="Arial" w:cs="Arial"/>
          <w:sz w:val="22"/>
        </w:rPr>
        <w:t>r</w:t>
      </w:r>
      <w:r w:rsidRPr="00DE45B0">
        <w:rPr>
          <w:rFonts w:ascii="Arial" w:hAnsi="Arial" w:cs="Arial"/>
          <w:sz w:val="22"/>
        </w:rPr>
        <w:t xml:space="preserve"> a concrete discussion on the idea of a community and the concept of strategies to transfer it into a better approach. The project aims to conduct a new community project</w:t>
      </w:r>
      <w:r w:rsidR="00004E53" w:rsidRPr="00DE45B0">
        <w:rPr>
          <w:rFonts w:ascii="Arial" w:hAnsi="Arial" w:cs="Arial"/>
          <w:sz w:val="22"/>
        </w:rPr>
        <w:t xml:space="preserve"> in London, an ethnically diverse city,</w:t>
      </w:r>
      <w:r w:rsidRPr="00DE45B0">
        <w:rPr>
          <w:rFonts w:ascii="Arial" w:hAnsi="Arial" w:cs="Arial"/>
          <w:sz w:val="22"/>
        </w:rPr>
        <w:t xml:space="preserve"> </w:t>
      </w:r>
      <w:r w:rsidR="00004E53" w:rsidRPr="00DE45B0">
        <w:rPr>
          <w:rFonts w:ascii="Arial" w:hAnsi="Arial" w:cs="Arial"/>
          <w:sz w:val="22"/>
        </w:rPr>
        <w:t>based on</w:t>
      </w:r>
      <w:r w:rsidRPr="00DE45B0">
        <w:rPr>
          <w:rFonts w:ascii="Arial" w:hAnsi="Arial" w:cs="Arial"/>
          <w:sz w:val="22"/>
        </w:rPr>
        <w:t xml:space="preserve"> advocating for the ethnic minority group while considering the prevalent drawbacks of the previous project relating to another community project conducted on the welfare of West Ham Park. </w:t>
      </w:r>
      <w:r w:rsidR="00036BC9" w:rsidRPr="00DE45B0">
        <w:rPr>
          <w:rFonts w:ascii="Arial" w:hAnsi="Arial" w:cs="Arial"/>
          <w:sz w:val="22"/>
        </w:rPr>
        <w:t xml:space="preserve">Minority groups in the United Kingdom revolve around 14.6% Other White individuals, 7.9% Black African and 7.0% Indians (Coates, 2021). </w:t>
      </w:r>
    </w:p>
    <w:p w14:paraId="2EF6D4BF" w14:textId="77777777" w:rsidR="00A361B8" w:rsidRPr="00DE45B0" w:rsidRDefault="00000000" w:rsidP="00A361B8">
      <w:pPr>
        <w:rPr>
          <w:rFonts w:ascii="Arial" w:hAnsi="Arial" w:cs="Arial"/>
          <w:sz w:val="22"/>
        </w:rPr>
      </w:pPr>
      <w:r w:rsidRPr="00DE45B0">
        <w:rPr>
          <w:rFonts w:ascii="Arial" w:hAnsi="Arial" w:cs="Arial"/>
          <w:sz w:val="22"/>
        </w:rPr>
        <w:t>Ethnicity has been working as a risk factor for adverse impacts on minority groups in the UK with emphasis on comorbidities, deprivation, or age, especially with the advent of the global pandemic demanding a scarcity of vaccinations and vulnerability for such individuals (</w:t>
      </w:r>
      <w:r w:rsidRPr="00DE45B0">
        <w:rPr>
          <w:rFonts w:ascii="Arial" w:hAnsi="Arial" w:cs="Arial"/>
          <w:sz w:val="22"/>
          <w:shd w:val="clear" w:color="auto" w:fill="FFFFFF"/>
        </w:rPr>
        <w:t>Kamal,</w:t>
      </w:r>
      <w:r w:rsidR="00004E53" w:rsidRPr="00DE45B0">
        <w:rPr>
          <w:rFonts w:ascii="Arial" w:hAnsi="Arial" w:cs="Arial"/>
          <w:sz w:val="22"/>
          <w:shd w:val="clear" w:color="auto" w:fill="FFFFFF"/>
        </w:rPr>
        <w:t xml:space="preserve"> </w:t>
      </w:r>
      <w:r w:rsidRPr="00DE45B0">
        <w:rPr>
          <w:rFonts w:ascii="Arial" w:hAnsi="Arial" w:cs="Arial"/>
          <w:sz w:val="22"/>
          <w:shd w:val="clear" w:color="auto" w:fill="FFFFFF"/>
        </w:rPr>
        <w:t>Hodson</w:t>
      </w:r>
      <w:r w:rsidR="00004E53" w:rsidRPr="00DE45B0">
        <w:rPr>
          <w:rFonts w:ascii="Arial" w:hAnsi="Arial" w:cs="Arial"/>
          <w:sz w:val="22"/>
          <w:shd w:val="clear" w:color="auto" w:fill="FFFFFF"/>
        </w:rPr>
        <w:t xml:space="preserve"> </w:t>
      </w:r>
      <w:r w:rsidRPr="00DE45B0">
        <w:rPr>
          <w:rFonts w:ascii="Arial" w:hAnsi="Arial" w:cs="Arial"/>
          <w:sz w:val="22"/>
          <w:shd w:val="clear" w:color="auto" w:fill="FFFFFF"/>
        </w:rPr>
        <w:t xml:space="preserve">and Pearce, 2021). In this context, the essay will </w:t>
      </w:r>
      <w:r w:rsidR="00004E53" w:rsidRPr="00DE45B0">
        <w:rPr>
          <w:rFonts w:ascii="Arial" w:hAnsi="Arial" w:cs="Arial"/>
          <w:sz w:val="22"/>
          <w:shd w:val="clear" w:color="auto" w:fill="FFFFFF"/>
        </w:rPr>
        <w:t>outline</w:t>
      </w:r>
      <w:r w:rsidRPr="00DE45B0">
        <w:rPr>
          <w:rFonts w:ascii="Arial" w:hAnsi="Arial" w:cs="Arial"/>
          <w:sz w:val="22"/>
          <w:shd w:val="clear" w:color="auto" w:fill="FFFFFF"/>
        </w:rPr>
        <w:t xml:space="preserve"> community advocacy with participants being black individuals, the disabled, both mentally and physically, the </w:t>
      </w:r>
      <w:r w:rsidR="00004E53" w:rsidRPr="00DE45B0">
        <w:rPr>
          <w:rFonts w:ascii="Arial" w:hAnsi="Arial" w:cs="Arial"/>
          <w:sz w:val="22"/>
          <w:shd w:val="clear" w:color="auto" w:fill="FFFFFF"/>
        </w:rPr>
        <w:t xml:space="preserve">less fortunate, and the old age group. Funds from investors and other stakeholders such as partners, employees, and suppliers need to be raised. Collaborators and partners can be other businesses practising corporate social responsibility with an emphasis on community programs for the minority ethnic group. </w:t>
      </w:r>
      <w:r w:rsidR="00FD2321" w:rsidRPr="00DE45B0">
        <w:rPr>
          <w:rFonts w:ascii="Arial" w:hAnsi="Arial" w:cs="Arial"/>
          <w:sz w:val="22"/>
          <w:shd w:val="clear" w:color="auto" w:fill="FFFFFF"/>
        </w:rPr>
        <w:t>Resources such as peer support, financial facilities, and access to the Internet are required for carrying out surveys.</w:t>
      </w:r>
    </w:p>
    <w:p w14:paraId="4E4C7702" w14:textId="77777777" w:rsidR="00444711" w:rsidRPr="00DE45B0" w:rsidRDefault="00000000" w:rsidP="00444711">
      <w:pPr>
        <w:pStyle w:val="Heading1"/>
        <w:rPr>
          <w:rFonts w:ascii="Arial" w:hAnsi="Arial" w:cs="Arial"/>
          <w:sz w:val="22"/>
          <w:szCs w:val="22"/>
        </w:rPr>
      </w:pPr>
      <w:bookmarkStart w:id="1" w:name="_Toc140848452"/>
      <w:r w:rsidRPr="00DE45B0">
        <w:rPr>
          <w:rFonts w:ascii="Arial" w:hAnsi="Arial" w:cs="Arial"/>
          <w:sz w:val="22"/>
          <w:szCs w:val="22"/>
        </w:rPr>
        <w:t>The Body</w:t>
      </w:r>
      <w:bookmarkEnd w:id="1"/>
    </w:p>
    <w:p w14:paraId="667E5679" w14:textId="77777777" w:rsidR="00053319" w:rsidRPr="00DE45B0" w:rsidRDefault="00000000" w:rsidP="00053319">
      <w:pPr>
        <w:rPr>
          <w:rFonts w:ascii="Arial" w:hAnsi="Arial" w:cs="Arial"/>
          <w:b/>
          <w:bCs/>
          <w:i/>
          <w:iCs/>
          <w:sz w:val="22"/>
        </w:rPr>
      </w:pPr>
      <w:r w:rsidRPr="00DE45B0">
        <w:rPr>
          <w:rFonts w:ascii="Arial" w:hAnsi="Arial" w:cs="Arial"/>
          <w:b/>
          <w:bCs/>
          <w:i/>
          <w:iCs/>
          <w:sz w:val="22"/>
        </w:rPr>
        <w:t xml:space="preserve">Gibbs </w:t>
      </w:r>
      <w:r w:rsidR="00155CFD" w:rsidRPr="00DE45B0">
        <w:rPr>
          <w:rFonts w:ascii="Arial" w:hAnsi="Arial" w:cs="Arial"/>
          <w:b/>
          <w:bCs/>
          <w:i/>
          <w:iCs/>
          <w:sz w:val="22"/>
        </w:rPr>
        <w:t>Reflective Cycle</w:t>
      </w:r>
      <w:r w:rsidR="00E87D8F" w:rsidRPr="00DE45B0">
        <w:rPr>
          <w:rFonts w:ascii="Arial" w:hAnsi="Arial" w:cs="Arial"/>
          <w:b/>
          <w:bCs/>
          <w:i/>
          <w:iCs/>
          <w:sz w:val="22"/>
        </w:rPr>
        <w:t>.</w:t>
      </w:r>
    </w:p>
    <w:p w14:paraId="29B67725" w14:textId="77777777" w:rsidR="00DE45B0" w:rsidRDefault="00000000" w:rsidP="00155CFD">
      <w:pPr>
        <w:rPr>
          <w:rFonts w:ascii="Arial" w:hAnsi="Arial" w:cs="Arial"/>
          <w:sz w:val="22"/>
          <w:shd w:val="clear" w:color="auto" w:fill="FFFFFF"/>
        </w:rPr>
      </w:pPr>
      <w:r w:rsidRPr="00DE45B0">
        <w:rPr>
          <w:rFonts w:ascii="Arial" w:hAnsi="Arial" w:cs="Arial"/>
          <w:sz w:val="22"/>
        </w:rPr>
        <w:t xml:space="preserve">Gibbs's </w:t>
      </w:r>
      <w:r w:rsidR="00A361B8" w:rsidRPr="00DE45B0">
        <w:rPr>
          <w:rFonts w:ascii="Arial" w:hAnsi="Arial" w:cs="Arial"/>
          <w:sz w:val="22"/>
        </w:rPr>
        <w:t>model</w:t>
      </w:r>
      <w:r w:rsidRPr="00DE45B0">
        <w:rPr>
          <w:rFonts w:ascii="Arial" w:hAnsi="Arial" w:cs="Arial"/>
          <w:sz w:val="22"/>
        </w:rPr>
        <w:t xml:space="preserve"> revolves around a cycle of comprehending the stages that an individual passes through – description, feelings, evaluation, analysis, conclusion, and action plan (</w:t>
      </w:r>
      <w:r w:rsidRPr="00DE45B0">
        <w:rPr>
          <w:rFonts w:ascii="Arial" w:hAnsi="Arial" w:cs="Arial"/>
          <w:sz w:val="22"/>
          <w:shd w:val="clear" w:color="auto" w:fill="FFFFFF"/>
        </w:rPr>
        <w:t xml:space="preserve">Adeani, Febriani, and Syafryadin, 2020). In this context, the situation that I had been in while conducting my prior assignment on a community project for West Ham Park reflected my delirium regarding the planning process. I felt confused and believed that managing the time may be difficult for me while I decided that the topic had been interesting and thereby, I put in an immense amount of effort. Furthermore, I believe that my efforts </w:t>
      </w:r>
      <w:r w:rsidR="00057642" w:rsidRPr="00DE45B0">
        <w:rPr>
          <w:rFonts w:ascii="Arial" w:hAnsi="Arial" w:cs="Arial"/>
          <w:sz w:val="22"/>
          <w:shd w:val="clear" w:color="auto" w:fill="FFFFFF"/>
        </w:rPr>
        <w:t>counted,</w:t>
      </w:r>
      <w:r w:rsidRPr="00DE45B0">
        <w:rPr>
          <w:rFonts w:ascii="Arial" w:hAnsi="Arial" w:cs="Arial"/>
          <w:sz w:val="22"/>
          <w:shd w:val="clear" w:color="auto" w:fill="FFFFFF"/>
        </w:rPr>
        <w:t xml:space="preserve"> and I </w:t>
      </w:r>
      <w:r w:rsidR="00A361B8" w:rsidRPr="00DE45B0">
        <w:rPr>
          <w:rFonts w:ascii="Arial" w:hAnsi="Arial" w:cs="Arial"/>
          <w:sz w:val="22"/>
          <w:shd w:val="clear" w:color="auto" w:fill="FFFFFF"/>
        </w:rPr>
        <w:t xml:space="preserve">played by the deadline acquiring good remarks and positive feedback from peers. The project I conducted required more research, however, and I believe that I may have missed out on certain essential points. </w:t>
      </w:r>
    </w:p>
    <w:p w14:paraId="17C85C7E" w14:textId="3BCC5A71" w:rsidR="00155CFD" w:rsidRPr="00DE45B0" w:rsidRDefault="00A361B8" w:rsidP="00155CFD">
      <w:pPr>
        <w:rPr>
          <w:rFonts w:ascii="Arial" w:hAnsi="Arial" w:cs="Arial"/>
          <w:sz w:val="22"/>
          <w:shd w:val="clear" w:color="auto" w:fill="FFFFFF"/>
        </w:rPr>
      </w:pPr>
      <w:r w:rsidRPr="00DE45B0">
        <w:rPr>
          <w:rFonts w:ascii="Arial" w:hAnsi="Arial" w:cs="Arial"/>
          <w:sz w:val="22"/>
          <w:shd w:val="clear" w:color="auto" w:fill="FFFFFF"/>
        </w:rPr>
        <w:lastRenderedPageBreak/>
        <w:t>Therefore, I have</w:t>
      </w:r>
      <w:r w:rsidRPr="00E85646">
        <w:rPr>
          <w:shd w:val="clear" w:color="auto" w:fill="FFFFFF"/>
        </w:rPr>
        <w:t xml:space="preserve"> </w:t>
      </w:r>
      <w:r w:rsidRPr="00DE45B0">
        <w:rPr>
          <w:rFonts w:ascii="Arial" w:hAnsi="Arial" w:cs="Arial"/>
          <w:sz w:val="22"/>
          <w:shd w:val="clear" w:color="auto" w:fill="FFFFFF"/>
        </w:rPr>
        <w:t>planned to improve my research skills and time management capabilities by practising prior assignments.</w:t>
      </w:r>
    </w:p>
    <w:p w14:paraId="7C90FCE6" w14:textId="77777777" w:rsidR="00444711" w:rsidRPr="00DE45B0" w:rsidRDefault="00000000" w:rsidP="00444711">
      <w:pPr>
        <w:rPr>
          <w:rFonts w:ascii="Arial" w:hAnsi="Arial" w:cs="Arial"/>
          <w:b/>
          <w:bCs/>
          <w:i/>
          <w:iCs/>
          <w:sz w:val="22"/>
        </w:rPr>
      </w:pPr>
      <w:r w:rsidRPr="00DE45B0">
        <w:rPr>
          <w:rFonts w:ascii="Arial" w:hAnsi="Arial" w:cs="Arial"/>
          <w:b/>
          <w:bCs/>
          <w:i/>
          <w:iCs/>
          <w:sz w:val="22"/>
        </w:rPr>
        <w:t>Difference between strategies used in the live project and future project</w:t>
      </w:r>
      <w:r w:rsidR="00E87D8F" w:rsidRPr="00DE45B0">
        <w:rPr>
          <w:rFonts w:ascii="Arial" w:hAnsi="Arial" w:cs="Arial"/>
          <w:b/>
          <w:bCs/>
          <w:i/>
          <w:iCs/>
          <w:sz w:val="22"/>
        </w:rPr>
        <w:t>.</w:t>
      </w:r>
    </w:p>
    <w:p w14:paraId="61430D6C" w14:textId="77777777" w:rsidR="004E5F35" w:rsidRPr="00DE45B0" w:rsidRDefault="00000000" w:rsidP="004E5F35">
      <w:pPr>
        <w:rPr>
          <w:rFonts w:ascii="Arial" w:hAnsi="Arial" w:cs="Arial"/>
          <w:sz w:val="22"/>
        </w:rPr>
      </w:pPr>
      <w:r w:rsidRPr="00DE45B0">
        <w:rPr>
          <w:rFonts w:ascii="Arial" w:hAnsi="Arial" w:cs="Arial"/>
          <w:sz w:val="22"/>
        </w:rPr>
        <w:t xml:space="preserve">In the future project of “Advocating for ethnic minority group”, appropriate strategies would be used for optimum outcomes and efficiency. The initiation phase will enable converting the project idea into a meaningful and achievable goal. A </w:t>
      </w:r>
      <w:r w:rsidRPr="00DE45B0">
        <w:rPr>
          <w:rFonts w:ascii="Arial" w:hAnsi="Arial" w:cs="Arial"/>
          <w:b/>
          <w:bCs/>
          <w:i/>
          <w:iCs/>
          <w:sz w:val="22"/>
        </w:rPr>
        <w:t>project charter</w:t>
      </w:r>
      <w:r w:rsidRPr="00DE45B0">
        <w:rPr>
          <w:rFonts w:ascii="Arial" w:hAnsi="Arial" w:cs="Arial"/>
          <w:sz w:val="22"/>
        </w:rPr>
        <w:t xml:space="preserve"> will be utilised which is a formal document providing authority to identify stakeholders, timelines, limitations, and goals. This is essential for defining the project's scope and measures for easy understanding of the concerned parties and helps determine an appropriate budget (Baluch, Main, and Watts, 2023). While the live project emphasised data collection and determining essential resources, it did not utilise a project charter. Nevertheless, managers might not have adequate expertise for creating a proper project charter which could create discrepancies.</w:t>
      </w:r>
    </w:p>
    <w:p w14:paraId="6466CA77" w14:textId="77777777" w:rsidR="004E5F35" w:rsidRPr="00DE45B0" w:rsidRDefault="00000000" w:rsidP="004E5F35">
      <w:pPr>
        <w:rPr>
          <w:rFonts w:ascii="Arial" w:hAnsi="Arial" w:cs="Arial"/>
          <w:sz w:val="22"/>
        </w:rPr>
      </w:pPr>
      <w:r w:rsidRPr="00DE45B0">
        <w:rPr>
          <w:rFonts w:ascii="Arial" w:hAnsi="Arial" w:cs="Arial"/>
          <w:sz w:val="22"/>
        </w:rPr>
        <w:t xml:space="preserve">The planning stage would consist of a detailed schedule for the project along with goals and communication methods. Through the utilisation of a </w:t>
      </w:r>
      <w:r w:rsidRPr="00DE45B0">
        <w:rPr>
          <w:rFonts w:ascii="Arial" w:hAnsi="Arial" w:cs="Arial"/>
          <w:b/>
          <w:bCs/>
          <w:i/>
          <w:iCs/>
          <w:sz w:val="22"/>
        </w:rPr>
        <w:t>project roadmap</w:t>
      </w:r>
      <w:r w:rsidRPr="00DE45B0">
        <w:rPr>
          <w:rFonts w:ascii="Arial" w:hAnsi="Arial" w:cs="Arial"/>
          <w:sz w:val="22"/>
        </w:rPr>
        <w:t>, a visual representation of the strategic objectives and goals for a certain period could be explained (Singh, 2020). It facilitates lower time consumption, management of resources, and risk during the project. The first assignment utilised a project plan to optimally use the available resources. These two strategies are slightly different since a project roadmap offers a high-level outline of the goals and deliverables even though it does not provide extensive details of all the tasks. The project plan, however, has a detailed description of all tasks, thereby, facilitating tracking the progress.</w:t>
      </w:r>
    </w:p>
    <w:p w14:paraId="56721617" w14:textId="77777777" w:rsidR="004E5F35" w:rsidRPr="00DE45B0" w:rsidRDefault="00000000" w:rsidP="00444711">
      <w:pPr>
        <w:rPr>
          <w:rFonts w:ascii="Arial" w:hAnsi="Arial" w:cs="Arial"/>
          <w:sz w:val="22"/>
        </w:rPr>
      </w:pPr>
      <w:r w:rsidRPr="00DE45B0">
        <w:rPr>
          <w:rFonts w:ascii="Arial" w:hAnsi="Arial" w:cs="Arial"/>
          <w:sz w:val="22"/>
        </w:rPr>
        <w:t xml:space="preserve">In the execution stage, the project will be implanted by using </w:t>
      </w:r>
      <w:r w:rsidRPr="00DE45B0">
        <w:rPr>
          <w:rFonts w:ascii="Arial" w:hAnsi="Arial" w:cs="Arial"/>
          <w:b/>
          <w:bCs/>
          <w:i/>
          <w:iCs/>
          <w:sz w:val="22"/>
        </w:rPr>
        <w:t xml:space="preserve">project collaboration tools </w:t>
      </w:r>
      <w:r w:rsidRPr="00DE45B0">
        <w:rPr>
          <w:rFonts w:ascii="Arial" w:hAnsi="Arial" w:cs="Arial"/>
          <w:sz w:val="22"/>
        </w:rPr>
        <w:t>such as ActiveCollab and Taskade, enabling understanding and tracking of the project’s effectiveness (Kissflow, 2023a). The live project used portfolio management to evaluate the process and improve the project performance. However, this requires prioritisations of decisions which can be extremely difficult and can be time-consuming (Eby, 2021). The project will be monitored and controlled by ensuring that all the goals and deliverables are satisfied. This can be achieved by identifying significant key performance indicators (KPIs). The costs and efforts need to be monitored so that the budget set in the project charter is adhered to (Kissflow, 2023b). Other KPIs such as engagement levels of the community members can help understand the effectiveness of the project. The live project also considered these factors for measuring the progress, however, the future one will be relying more on the online collection of data and feedback.</w:t>
      </w:r>
    </w:p>
    <w:p w14:paraId="2FEF4ABE" w14:textId="77777777" w:rsidR="00DE45B0" w:rsidRDefault="00DE45B0" w:rsidP="00444711">
      <w:pPr>
        <w:rPr>
          <w:rFonts w:ascii="Arial" w:hAnsi="Arial" w:cs="Arial"/>
          <w:b/>
          <w:bCs/>
          <w:i/>
          <w:iCs/>
          <w:sz w:val="22"/>
        </w:rPr>
      </w:pPr>
    </w:p>
    <w:p w14:paraId="71C6488B" w14:textId="0A490FC9" w:rsidR="00444711" w:rsidRPr="00DE45B0" w:rsidRDefault="00000000" w:rsidP="00444711">
      <w:pPr>
        <w:rPr>
          <w:rFonts w:ascii="Arial" w:hAnsi="Arial" w:cs="Arial"/>
          <w:sz w:val="22"/>
        </w:rPr>
      </w:pPr>
      <w:r w:rsidRPr="00DE45B0">
        <w:rPr>
          <w:rFonts w:ascii="Arial" w:hAnsi="Arial" w:cs="Arial"/>
          <w:b/>
          <w:bCs/>
          <w:i/>
          <w:iCs/>
          <w:sz w:val="22"/>
        </w:rPr>
        <w:lastRenderedPageBreak/>
        <w:t>Reflect on what could have been done differently and why</w:t>
      </w:r>
      <w:r w:rsidR="00E15384" w:rsidRPr="00DE45B0">
        <w:rPr>
          <w:rFonts w:ascii="Arial" w:hAnsi="Arial" w:cs="Arial"/>
          <w:b/>
          <w:bCs/>
          <w:i/>
          <w:iCs/>
          <w:sz w:val="22"/>
        </w:rPr>
        <w:t>.</w:t>
      </w:r>
    </w:p>
    <w:p w14:paraId="5ED9F4AE" w14:textId="77777777" w:rsidR="00E15384" w:rsidRPr="00DE45B0" w:rsidRDefault="00000000" w:rsidP="00FD2321">
      <w:pPr>
        <w:rPr>
          <w:rFonts w:ascii="Arial" w:hAnsi="Arial" w:cs="Arial"/>
          <w:sz w:val="22"/>
        </w:rPr>
      </w:pPr>
      <w:r w:rsidRPr="00DE45B0">
        <w:rPr>
          <w:rFonts w:ascii="Arial" w:hAnsi="Arial" w:cs="Arial"/>
          <w:sz w:val="22"/>
        </w:rPr>
        <w:t xml:space="preserve">In assignment 1, the flow of practices and actions regarding the project on a community program for West Ham Park lacked coherence and sequence. For this project, the idea of implementing effective plans to access minority ethnic groups in the United Kingdom needs to be organised and endorsed with purpose. The best practices for conducting a proper community project require attention, research, and dedication while models such as the Social Work Model can be involved where the leader of the project can delve into proper actions planned out for the welfare of prevalent minority ethnic groups in society. </w:t>
      </w:r>
      <w:r w:rsidR="00007D57" w:rsidRPr="00DE45B0">
        <w:rPr>
          <w:rFonts w:ascii="Arial" w:hAnsi="Arial" w:cs="Arial"/>
          <w:sz w:val="22"/>
        </w:rPr>
        <w:t xml:space="preserve">For assignment 1, such practices could have been applied to make the project better. </w:t>
      </w:r>
    </w:p>
    <w:p w14:paraId="6A8C9E89" w14:textId="77777777" w:rsidR="00FD2321" w:rsidRPr="00DE45B0" w:rsidRDefault="00000000" w:rsidP="00FD2321">
      <w:pPr>
        <w:rPr>
          <w:rFonts w:ascii="Arial" w:hAnsi="Arial" w:cs="Arial"/>
          <w:sz w:val="22"/>
        </w:rPr>
      </w:pPr>
      <w:r w:rsidRPr="00DE45B0">
        <w:rPr>
          <w:rFonts w:ascii="Arial" w:hAnsi="Arial" w:cs="Arial"/>
          <w:sz w:val="22"/>
        </w:rPr>
        <w:t>The model is based on a stigma signifying the mindset of individuals, for example, “underserving” criminals getting benefits that “deserving” young individuals need as part of a minority ethnic community (</w:t>
      </w:r>
      <w:r w:rsidR="00007D57" w:rsidRPr="00DE45B0">
        <w:rPr>
          <w:rFonts w:ascii="Arial" w:hAnsi="Arial" w:cs="Arial"/>
          <w:sz w:val="22"/>
          <w:shd w:val="clear" w:color="auto" w:fill="FFFFFF"/>
        </w:rPr>
        <w:t>Payne, 2020). Furthermore, the techniques required to conduct a proper community project may initially involve a survey of the ethnic individuals of the minor group in London. Locality development is an approach that believes in community changes being pursued with a wide range of participation from a broad spectrum of individuals within the local community (Gilchrist, 2019). This is usually followed based on the principles associated with community development plans such as addressing climate risks and ensuring access to power as well as resources for building resilience</w:t>
      </w:r>
      <w:r w:rsidR="00E15384" w:rsidRPr="00DE45B0">
        <w:rPr>
          <w:rFonts w:ascii="Arial" w:hAnsi="Arial" w:cs="Arial"/>
          <w:sz w:val="22"/>
          <w:shd w:val="clear" w:color="auto" w:fill="FFFFFF"/>
        </w:rPr>
        <w:t xml:space="preserve"> (Coger </w:t>
      </w:r>
      <w:r w:rsidR="00E15384" w:rsidRPr="00DE45B0">
        <w:rPr>
          <w:rFonts w:ascii="Arial" w:hAnsi="Arial" w:cs="Arial"/>
          <w:i/>
          <w:iCs/>
          <w:sz w:val="22"/>
          <w:shd w:val="clear" w:color="auto" w:fill="FFFFFF"/>
        </w:rPr>
        <w:t xml:space="preserve">et al., </w:t>
      </w:r>
      <w:r w:rsidR="00E15384" w:rsidRPr="00DE45B0">
        <w:rPr>
          <w:rFonts w:ascii="Arial" w:hAnsi="Arial" w:cs="Arial"/>
          <w:sz w:val="22"/>
          <w:shd w:val="clear" w:color="auto" w:fill="FFFFFF"/>
        </w:rPr>
        <w:t>2022)</w:t>
      </w:r>
      <w:r w:rsidR="00007D57" w:rsidRPr="00DE45B0">
        <w:rPr>
          <w:rFonts w:ascii="Arial" w:hAnsi="Arial" w:cs="Arial"/>
          <w:sz w:val="22"/>
          <w:shd w:val="clear" w:color="auto" w:fill="FFFFFF"/>
        </w:rPr>
        <w:t>.</w:t>
      </w:r>
      <w:r w:rsidR="00E15384" w:rsidRPr="00DE45B0">
        <w:rPr>
          <w:rFonts w:ascii="Arial" w:hAnsi="Arial" w:cs="Arial"/>
          <w:sz w:val="22"/>
          <w:shd w:val="clear" w:color="auto" w:fill="FFFFFF"/>
        </w:rPr>
        <w:t xml:space="preserve"> Furthermore, the previous assignment may have included standards regarding a survey to ensure better outcomes.</w:t>
      </w:r>
    </w:p>
    <w:p w14:paraId="2FAADA1E" w14:textId="77777777" w:rsidR="00444711" w:rsidRPr="00DE45B0" w:rsidRDefault="00000000" w:rsidP="00E15384">
      <w:pPr>
        <w:rPr>
          <w:rFonts w:ascii="Arial" w:hAnsi="Arial" w:cs="Arial"/>
          <w:b/>
          <w:bCs/>
          <w:i/>
          <w:iCs/>
          <w:sz w:val="22"/>
        </w:rPr>
      </w:pPr>
      <w:r w:rsidRPr="00DE45B0">
        <w:rPr>
          <w:rFonts w:ascii="Arial" w:hAnsi="Arial" w:cs="Arial"/>
          <w:b/>
          <w:bCs/>
          <w:i/>
          <w:iCs/>
          <w:sz w:val="22"/>
        </w:rPr>
        <w:t>Differences active consultation, effective communication, stakeholders’ participation, and inclusion can make in community engagement.</w:t>
      </w:r>
    </w:p>
    <w:p w14:paraId="487E7D66" w14:textId="77777777" w:rsidR="00BE0D6E" w:rsidRPr="00DE45B0" w:rsidRDefault="00000000" w:rsidP="00444711">
      <w:pPr>
        <w:rPr>
          <w:rFonts w:ascii="Arial" w:hAnsi="Arial" w:cs="Arial"/>
          <w:sz w:val="22"/>
        </w:rPr>
      </w:pPr>
      <w:r w:rsidRPr="00DE45B0">
        <w:rPr>
          <w:rFonts w:ascii="Arial" w:hAnsi="Arial" w:cs="Arial"/>
          <w:sz w:val="22"/>
        </w:rPr>
        <w:t>Although the United Kingdom is ethnically diversified, the race report statistics of the economy deliver that discrimination has been increasing in areas such as employment, education, crime, living standards, health, and care, especially among minority ethnic groups (Equality Human Rights, 2020).</w:t>
      </w:r>
      <w:r w:rsidR="00FD2321" w:rsidRPr="00DE45B0">
        <w:rPr>
          <w:rFonts w:ascii="Arial" w:hAnsi="Arial" w:cs="Arial"/>
          <w:sz w:val="22"/>
        </w:rPr>
        <w:t xml:space="preserve"> </w:t>
      </w:r>
      <w:r w:rsidR="00E15384" w:rsidRPr="00DE45B0">
        <w:rPr>
          <w:rFonts w:ascii="Arial" w:hAnsi="Arial" w:cs="Arial"/>
          <w:sz w:val="22"/>
        </w:rPr>
        <w:t xml:space="preserve">In this context, active consultation with stakeholders and other partners of the community development project for the minority ethnic group in London </w:t>
      </w:r>
      <w:r w:rsidR="00FF2061" w:rsidRPr="00DE45B0">
        <w:rPr>
          <w:rFonts w:ascii="Arial" w:hAnsi="Arial" w:cs="Arial"/>
          <w:sz w:val="22"/>
        </w:rPr>
        <w:t xml:space="preserve">may be able to reveal proper practices associated with the development of such projects aiming for welfare in society. Minority ethnic groups in London can be provided with more healthcare facilities, better opportunities for education, equal rights, and financial benefits in the form of diverse employment opportunities. </w:t>
      </w:r>
    </w:p>
    <w:p w14:paraId="6930AF5B" w14:textId="77777777" w:rsidR="00DE45B0" w:rsidRDefault="00DE45B0" w:rsidP="00444711">
      <w:pPr>
        <w:rPr>
          <w:rFonts w:ascii="Arial" w:hAnsi="Arial" w:cs="Arial"/>
          <w:sz w:val="22"/>
        </w:rPr>
      </w:pPr>
    </w:p>
    <w:p w14:paraId="379D9D5A" w14:textId="580594F7" w:rsidR="00BE0D6E" w:rsidRPr="00DE45B0" w:rsidRDefault="00000000" w:rsidP="00444711">
      <w:pPr>
        <w:rPr>
          <w:rFonts w:ascii="Arial" w:hAnsi="Arial" w:cs="Arial"/>
          <w:sz w:val="22"/>
        </w:rPr>
      </w:pPr>
      <w:r w:rsidRPr="00DE45B0">
        <w:rPr>
          <w:rFonts w:ascii="Arial" w:hAnsi="Arial" w:cs="Arial"/>
          <w:sz w:val="22"/>
        </w:rPr>
        <w:lastRenderedPageBreak/>
        <w:t xml:space="preserve">Advocacy for such community programs involves events such as support to the older section of society, fair treatment discarding racial discrimination, free support from advocates to individuals sectioned under the Mental Health Act, and easy access to help (Advocacy Focus, 2023). Furthermore, the participation of stakeholders may ensure diverse support from a wide range of individuals associated with the community development project in London. Employees are likely to serve their best in terms of conducting a survey among ethnic individuals within the minority group and providing both physical and mental support throughout the journey. Investors are required for financial </w:t>
      </w:r>
      <w:proofErr w:type="gramStart"/>
      <w:r w:rsidRPr="00DE45B0">
        <w:rPr>
          <w:rFonts w:ascii="Arial" w:hAnsi="Arial" w:cs="Arial"/>
          <w:sz w:val="22"/>
        </w:rPr>
        <w:t>help</w:t>
      </w:r>
      <w:proofErr w:type="gramEnd"/>
      <w:r w:rsidRPr="00DE45B0">
        <w:rPr>
          <w:rFonts w:ascii="Arial" w:hAnsi="Arial" w:cs="Arial"/>
          <w:sz w:val="22"/>
        </w:rPr>
        <w:t xml:space="preserve"> and they are the ones who are responsible for and requested to invest their time and money for the betterment of the project. </w:t>
      </w:r>
    </w:p>
    <w:p w14:paraId="34AA63BB" w14:textId="77777777" w:rsidR="00004E53" w:rsidRPr="00DE45B0" w:rsidRDefault="00000000" w:rsidP="00444711">
      <w:pPr>
        <w:rPr>
          <w:rFonts w:ascii="Arial" w:hAnsi="Arial" w:cs="Arial"/>
          <w:sz w:val="22"/>
        </w:rPr>
      </w:pPr>
      <w:r w:rsidRPr="00DE45B0">
        <w:rPr>
          <w:rFonts w:ascii="Arial" w:hAnsi="Arial" w:cs="Arial"/>
          <w:sz w:val="22"/>
        </w:rPr>
        <w:t>Furthermore, suppliers are the ones who are efficient in carrying out tasks such as the delivery of raw materials with an impressive amount of effort and focus (</w:t>
      </w:r>
      <w:r w:rsidRPr="00DE45B0">
        <w:rPr>
          <w:rFonts w:ascii="Arial" w:hAnsi="Arial" w:cs="Arial"/>
          <w:sz w:val="22"/>
          <w:shd w:val="clear" w:color="auto" w:fill="FFFFFF"/>
        </w:rPr>
        <w:t xml:space="preserve">Armstrong </w:t>
      </w:r>
      <w:r w:rsidRPr="00DE45B0">
        <w:rPr>
          <w:rFonts w:ascii="Arial" w:hAnsi="Arial" w:cs="Arial"/>
          <w:i/>
          <w:iCs/>
          <w:sz w:val="22"/>
          <w:shd w:val="clear" w:color="auto" w:fill="FFFFFF"/>
        </w:rPr>
        <w:t xml:space="preserve">et al., </w:t>
      </w:r>
      <w:r w:rsidRPr="00DE45B0">
        <w:rPr>
          <w:rFonts w:ascii="Arial" w:hAnsi="Arial" w:cs="Arial"/>
          <w:sz w:val="22"/>
          <w:shd w:val="clear" w:color="auto" w:fill="FFFFFF"/>
        </w:rPr>
        <w:t>2020)</w:t>
      </w:r>
      <w:r w:rsidRPr="00DE45B0">
        <w:rPr>
          <w:rFonts w:ascii="Arial" w:hAnsi="Arial" w:cs="Arial"/>
          <w:sz w:val="22"/>
        </w:rPr>
        <w:t xml:space="preserve">. In a community engagement project, unlike in assignment 1, the idea of initiating inclusive practices involving a wide range of individuals from every cultural background may help this new plan to be successful in the upcoming few days. </w:t>
      </w:r>
      <w:r w:rsidR="00E85646" w:rsidRPr="00DE45B0">
        <w:rPr>
          <w:rFonts w:ascii="Arial" w:hAnsi="Arial" w:cs="Arial"/>
          <w:sz w:val="22"/>
        </w:rPr>
        <w:t>For</w:t>
      </w:r>
      <w:r w:rsidRPr="00DE45B0">
        <w:rPr>
          <w:rFonts w:ascii="Arial" w:hAnsi="Arial" w:cs="Arial"/>
          <w:sz w:val="22"/>
        </w:rPr>
        <w:t xml:space="preserve"> further </w:t>
      </w:r>
      <w:r w:rsidR="00E85646" w:rsidRPr="00DE45B0">
        <w:rPr>
          <w:rFonts w:ascii="Arial" w:hAnsi="Arial" w:cs="Arial"/>
          <w:sz w:val="22"/>
        </w:rPr>
        <w:t>implementation of</w:t>
      </w:r>
      <w:r w:rsidRPr="00DE45B0">
        <w:rPr>
          <w:rFonts w:ascii="Arial" w:hAnsi="Arial" w:cs="Arial"/>
          <w:sz w:val="22"/>
        </w:rPr>
        <w:t xml:space="preserve"> such collaborative projects within the community in the United Kingdom, proper research on ethnic individuals of the minor group </w:t>
      </w:r>
      <w:r w:rsidR="00E85646" w:rsidRPr="00DE45B0">
        <w:rPr>
          <w:rFonts w:ascii="Arial" w:hAnsi="Arial" w:cs="Arial"/>
          <w:sz w:val="22"/>
        </w:rPr>
        <w:t>needs</w:t>
      </w:r>
      <w:r w:rsidRPr="00DE45B0">
        <w:rPr>
          <w:rFonts w:ascii="Arial" w:hAnsi="Arial" w:cs="Arial"/>
          <w:sz w:val="22"/>
        </w:rPr>
        <w:t xml:space="preserve"> to be carried out. Such active practices may lead to a better outcome of the project and issues such as discrimination may be resolved. </w:t>
      </w:r>
    </w:p>
    <w:p w14:paraId="07C0D534" w14:textId="77777777" w:rsidR="00004E53" w:rsidRPr="00DE45B0" w:rsidRDefault="00000000" w:rsidP="00444711">
      <w:pPr>
        <w:rPr>
          <w:rFonts w:ascii="Arial" w:hAnsi="Arial" w:cs="Arial"/>
          <w:b/>
          <w:bCs/>
          <w:i/>
          <w:iCs/>
          <w:sz w:val="22"/>
        </w:rPr>
      </w:pPr>
      <w:r w:rsidRPr="00DE45B0">
        <w:rPr>
          <w:rFonts w:ascii="Arial" w:hAnsi="Arial" w:cs="Arial"/>
          <w:b/>
          <w:bCs/>
          <w:i/>
          <w:iCs/>
          <w:sz w:val="22"/>
        </w:rPr>
        <w:t>How you will conduct your research, conduct community mapping, social engagement through social media platforms, impact analysis, evaluation and justify the best practices.</w:t>
      </w:r>
    </w:p>
    <w:p w14:paraId="0BBFDE52" w14:textId="77777777" w:rsidR="004E5F35" w:rsidRPr="00DE45B0" w:rsidRDefault="00000000" w:rsidP="004E5F35">
      <w:pPr>
        <w:rPr>
          <w:rFonts w:ascii="Arial" w:hAnsi="Arial" w:cs="Arial"/>
          <w:sz w:val="22"/>
        </w:rPr>
      </w:pPr>
      <w:r w:rsidRPr="00DE45B0">
        <w:rPr>
          <w:rFonts w:ascii="Arial" w:hAnsi="Arial" w:cs="Arial"/>
          <w:sz w:val="22"/>
        </w:rPr>
        <w:t xml:space="preserve">For the project, ethnic minority groups such as Black Africans, Indians, and Other White Individuals will be considered. Participants such as the physically disabled, less fortunate, mentally challenged, and older individuals. Research will be conducted on people belonging to these communities through </w:t>
      </w:r>
      <w:r w:rsidRPr="00DE45B0">
        <w:rPr>
          <w:rFonts w:ascii="Arial" w:hAnsi="Arial" w:cs="Arial"/>
          <w:b/>
          <w:bCs/>
          <w:i/>
          <w:iCs/>
          <w:sz w:val="22"/>
        </w:rPr>
        <w:t>focus groups</w:t>
      </w:r>
      <w:r w:rsidRPr="00DE45B0">
        <w:rPr>
          <w:rFonts w:ascii="Arial" w:hAnsi="Arial" w:cs="Arial"/>
          <w:sz w:val="22"/>
        </w:rPr>
        <w:t xml:space="preserve"> to determine issues faced by them. This approach is beneficial for clarifying opinions, gaining an in-depth understanding of the challenges, and determining if the participants share the same views (</w:t>
      </w:r>
      <w:r w:rsidRPr="00DE45B0">
        <w:rPr>
          <w:rFonts w:ascii="Arial" w:hAnsi="Arial" w:cs="Arial"/>
          <w:sz w:val="22"/>
          <w:shd w:val="clear" w:color="auto" w:fill="FFFFFF"/>
        </w:rPr>
        <w:t>Alrawahi</w:t>
      </w:r>
      <w:r w:rsidRPr="00DE45B0">
        <w:rPr>
          <w:rFonts w:ascii="Arial" w:hAnsi="Arial" w:cs="Arial"/>
          <w:sz w:val="22"/>
        </w:rPr>
        <w:t xml:space="preserve"> </w:t>
      </w:r>
      <w:r w:rsidRPr="00DE45B0">
        <w:rPr>
          <w:rFonts w:ascii="Arial" w:hAnsi="Arial" w:cs="Arial"/>
          <w:i/>
          <w:iCs/>
          <w:sz w:val="22"/>
        </w:rPr>
        <w:t>et al</w:t>
      </w:r>
      <w:r w:rsidRPr="00DE45B0">
        <w:rPr>
          <w:rFonts w:ascii="Arial" w:hAnsi="Arial" w:cs="Arial"/>
          <w:sz w:val="22"/>
        </w:rPr>
        <w:t xml:space="preserve">., </w:t>
      </w:r>
      <w:r w:rsidRPr="00DE45B0">
        <w:rPr>
          <w:rFonts w:ascii="Arial" w:hAnsi="Arial" w:cs="Arial"/>
          <w:sz w:val="22"/>
          <w:shd w:val="clear" w:color="auto" w:fill="FFFFFF"/>
        </w:rPr>
        <w:t>2020</w:t>
      </w:r>
      <w:r w:rsidRPr="00DE45B0">
        <w:rPr>
          <w:rFonts w:ascii="Arial" w:hAnsi="Arial" w:cs="Arial"/>
          <w:sz w:val="22"/>
        </w:rPr>
        <w:t xml:space="preserve">). Community mapping will be conducted through </w:t>
      </w:r>
      <w:r w:rsidRPr="00DE45B0">
        <w:rPr>
          <w:rFonts w:ascii="Arial" w:hAnsi="Arial" w:cs="Arial"/>
          <w:b/>
          <w:bCs/>
          <w:i/>
          <w:iCs/>
          <w:sz w:val="22"/>
        </w:rPr>
        <w:t>digital platforms</w:t>
      </w:r>
      <w:r w:rsidRPr="00DE45B0">
        <w:rPr>
          <w:rFonts w:ascii="Arial" w:hAnsi="Arial" w:cs="Arial"/>
          <w:sz w:val="22"/>
        </w:rPr>
        <w:t xml:space="preserve"> for determining and cataloguing the needs of ethnic minority groups. For this, </w:t>
      </w:r>
      <w:r w:rsidRPr="00DE45B0">
        <w:rPr>
          <w:rFonts w:ascii="Arial" w:hAnsi="Arial" w:cs="Arial"/>
          <w:b/>
          <w:bCs/>
          <w:i/>
          <w:iCs/>
          <w:sz w:val="22"/>
        </w:rPr>
        <w:t xml:space="preserve">Community Maps </w:t>
      </w:r>
      <w:r w:rsidRPr="00DE45B0">
        <w:rPr>
          <w:rFonts w:ascii="Arial" w:hAnsi="Arial" w:cs="Arial"/>
          <w:sz w:val="22"/>
        </w:rPr>
        <w:t xml:space="preserve">will be utilised for ensuring that complex data can be visualised, compare, and involve the community residents in active discussions (Mapping for Change, 2023). This </w:t>
      </w:r>
      <w:proofErr w:type="gramStart"/>
      <w:r w:rsidRPr="00DE45B0">
        <w:rPr>
          <w:rFonts w:ascii="Arial" w:hAnsi="Arial" w:cs="Arial"/>
          <w:sz w:val="22"/>
        </w:rPr>
        <w:t>particular platform</w:t>
      </w:r>
      <w:proofErr w:type="gramEnd"/>
      <w:r w:rsidRPr="00DE45B0">
        <w:rPr>
          <w:rFonts w:ascii="Arial" w:hAnsi="Arial" w:cs="Arial"/>
          <w:sz w:val="22"/>
        </w:rPr>
        <w:t xml:space="preserve"> will be used due to its high accessibility and permissions for all the users and multi-lingual options which will be beneficial for the distinct members ethnic community.</w:t>
      </w:r>
    </w:p>
    <w:p w14:paraId="5AC0ACA1" w14:textId="77777777" w:rsidR="004E5F35" w:rsidRPr="00DE45B0" w:rsidRDefault="00000000" w:rsidP="00444711">
      <w:pPr>
        <w:rPr>
          <w:rFonts w:ascii="Arial" w:hAnsi="Arial" w:cs="Arial"/>
          <w:sz w:val="22"/>
        </w:rPr>
      </w:pPr>
      <w:r w:rsidRPr="00DE45B0">
        <w:rPr>
          <w:rFonts w:ascii="Arial" w:hAnsi="Arial" w:cs="Arial"/>
          <w:sz w:val="22"/>
        </w:rPr>
        <w:t xml:space="preserve">Social media engagement will be ensured by </w:t>
      </w:r>
      <w:r w:rsidRPr="00DE45B0">
        <w:rPr>
          <w:rFonts w:ascii="Arial" w:hAnsi="Arial" w:cs="Arial"/>
          <w:b/>
          <w:bCs/>
          <w:i/>
          <w:iCs/>
          <w:sz w:val="22"/>
        </w:rPr>
        <w:t>measuring metrics</w:t>
      </w:r>
      <w:r w:rsidRPr="00DE45B0">
        <w:rPr>
          <w:rFonts w:ascii="Arial" w:hAnsi="Arial" w:cs="Arial"/>
          <w:sz w:val="22"/>
        </w:rPr>
        <w:t xml:space="preserve"> such as comments, likes, and shares on a particular post or discussion on the platforms like Twitter and Instagram (Sprout </w:t>
      </w:r>
      <w:r w:rsidRPr="00DE45B0">
        <w:rPr>
          <w:rFonts w:ascii="Arial" w:hAnsi="Arial" w:cs="Arial"/>
          <w:sz w:val="22"/>
        </w:rPr>
        <w:lastRenderedPageBreak/>
        <w:t xml:space="preserve">Social, 2022). These metrics provide an understanding of how much individuals are engaged and their opinions regarding the discussions on social media platforms which are easy to measure. Qualitative data will be collected got the impact analysis on the project through </w:t>
      </w:r>
      <w:r w:rsidRPr="00DE45B0">
        <w:rPr>
          <w:rFonts w:ascii="Arial" w:hAnsi="Arial" w:cs="Arial"/>
          <w:b/>
          <w:bCs/>
          <w:i/>
          <w:iCs/>
          <w:sz w:val="22"/>
        </w:rPr>
        <w:t>online surveys</w:t>
      </w:r>
      <w:r w:rsidRPr="00DE45B0">
        <w:rPr>
          <w:rFonts w:ascii="Arial" w:hAnsi="Arial" w:cs="Arial"/>
          <w:sz w:val="22"/>
        </w:rPr>
        <w:t xml:space="preserve">. These are useful since they can provide accurate data and can be utilised for easy analysis of the collected data (Smart Survey, 2023). For evaluation of the project’s performance, the approach of the </w:t>
      </w:r>
      <w:r w:rsidRPr="00DE45B0">
        <w:rPr>
          <w:rFonts w:ascii="Arial" w:hAnsi="Arial" w:cs="Arial"/>
          <w:b/>
          <w:bCs/>
          <w:i/>
          <w:iCs/>
          <w:sz w:val="22"/>
        </w:rPr>
        <w:t>Most Significant Change</w:t>
      </w:r>
      <w:r w:rsidRPr="00DE45B0">
        <w:rPr>
          <w:rFonts w:ascii="Arial" w:hAnsi="Arial" w:cs="Arial"/>
          <w:sz w:val="22"/>
        </w:rPr>
        <w:t xml:space="preserve"> technique will be utilised. This approach enables communities to describe how the project has caused changes in their daily lives and can provide an accurate representation of the impact (</w:t>
      </w:r>
      <w:r w:rsidRPr="00DE45B0">
        <w:rPr>
          <w:rFonts w:ascii="Arial" w:hAnsi="Arial" w:cs="Arial"/>
          <w:sz w:val="22"/>
          <w:shd w:val="clear" w:color="auto" w:fill="FFFFFF"/>
        </w:rPr>
        <w:t>Ardle</w:t>
      </w:r>
      <w:r w:rsidRPr="00DE45B0">
        <w:rPr>
          <w:rFonts w:ascii="Arial" w:hAnsi="Arial" w:cs="Arial"/>
          <w:sz w:val="22"/>
        </w:rPr>
        <w:t xml:space="preserve"> </w:t>
      </w:r>
      <w:r w:rsidRPr="00DE45B0">
        <w:rPr>
          <w:rFonts w:ascii="Arial" w:hAnsi="Arial" w:cs="Arial"/>
          <w:sz w:val="22"/>
          <w:shd w:val="clear" w:color="auto" w:fill="FFFFFF"/>
        </w:rPr>
        <w:t>and Murray</w:t>
      </w:r>
      <w:r w:rsidRPr="00DE45B0">
        <w:rPr>
          <w:rFonts w:ascii="Arial" w:hAnsi="Arial" w:cs="Arial"/>
          <w:sz w:val="22"/>
        </w:rPr>
        <w:t xml:space="preserve">, </w:t>
      </w:r>
      <w:r w:rsidRPr="00DE45B0">
        <w:rPr>
          <w:rFonts w:ascii="Arial" w:hAnsi="Arial" w:cs="Arial"/>
          <w:sz w:val="22"/>
          <w:shd w:val="clear" w:color="auto" w:fill="FFFFFF"/>
        </w:rPr>
        <w:t>2021</w:t>
      </w:r>
      <w:r w:rsidRPr="00DE45B0">
        <w:rPr>
          <w:rFonts w:ascii="Arial" w:hAnsi="Arial" w:cs="Arial"/>
          <w:sz w:val="22"/>
        </w:rPr>
        <w:t>). These methods will be beneficial for the project to be successful in the future and support the advocacy of ethnic minority groups.</w:t>
      </w:r>
    </w:p>
    <w:p w14:paraId="2CAB8936" w14:textId="77777777" w:rsidR="004E5F35" w:rsidRPr="00DE45B0" w:rsidRDefault="00000000" w:rsidP="00BE0D6E">
      <w:pPr>
        <w:pStyle w:val="Heading1"/>
        <w:rPr>
          <w:rFonts w:ascii="Arial" w:hAnsi="Arial" w:cs="Arial"/>
          <w:sz w:val="22"/>
          <w:szCs w:val="22"/>
        </w:rPr>
      </w:pPr>
      <w:bookmarkStart w:id="2" w:name="_Toc140848453"/>
      <w:r w:rsidRPr="00DE45B0">
        <w:rPr>
          <w:rFonts w:ascii="Arial" w:hAnsi="Arial" w:cs="Arial"/>
          <w:sz w:val="22"/>
          <w:szCs w:val="22"/>
        </w:rPr>
        <w:t>Conclusion and Recommendations</w:t>
      </w:r>
      <w:bookmarkEnd w:id="2"/>
    </w:p>
    <w:p w14:paraId="4BBBA599" w14:textId="77777777" w:rsidR="004E5F35" w:rsidRPr="00DE45B0" w:rsidRDefault="00000000" w:rsidP="004E5F35">
      <w:pPr>
        <w:rPr>
          <w:rFonts w:ascii="Arial" w:hAnsi="Arial" w:cs="Arial"/>
          <w:sz w:val="22"/>
        </w:rPr>
      </w:pPr>
      <w:r w:rsidRPr="00DE45B0">
        <w:rPr>
          <w:rFonts w:ascii="Arial" w:hAnsi="Arial" w:cs="Arial"/>
          <w:sz w:val="22"/>
        </w:rPr>
        <w:t xml:space="preserve">The essay has aimed to discuss the important aspects concerned with conducting a project for the advocacy of ethnic minority groups which will be the focus of the current project. In the previous assignment on community engagement, West Ham Park </w:t>
      </w:r>
      <w:proofErr w:type="gramStart"/>
      <w:r w:rsidRPr="00DE45B0">
        <w:rPr>
          <w:rFonts w:ascii="Arial" w:hAnsi="Arial" w:cs="Arial"/>
          <w:sz w:val="22"/>
        </w:rPr>
        <w:t>was considered to be</w:t>
      </w:r>
      <w:proofErr w:type="gramEnd"/>
      <w:r w:rsidRPr="00DE45B0">
        <w:rPr>
          <w:rFonts w:ascii="Arial" w:hAnsi="Arial" w:cs="Arial"/>
          <w:sz w:val="22"/>
        </w:rPr>
        <w:t xml:space="preserve"> a welfare project whose drawbacks will be considered in future project. This will ensure that the current project is effective and can have optimum results. For the new project, the considered ethnic minority groups are Black African, Indians, and Other White individuals who have disabilities, are unfortunate, and belong to the old age group. The strategies used for West Ham Park were distinct from those to be used for the new project and have been analysed. Gibb's Reflective Cycle has been utilised to reflect on the learnings of the previous assignment and develop better strategies for the maximisation of outcomes in the current project.</w:t>
      </w:r>
    </w:p>
    <w:p w14:paraId="78CCB545" w14:textId="77777777" w:rsidR="000503CE" w:rsidRPr="00DE45B0" w:rsidRDefault="00000000" w:rsidP="004E5F35">
      <w:pPr>
        <w:rPr>
          <w:rFonts w:ascii="Arial" w:hAnsi="Arial" w:cs="Arial"/>
          <w:sz w:val="22"/>
        </w:rPr>
      </w:pPr>
      <w:r w:rsidRPr="00DE45B0">
        <w:rPr>
          <w:rFonts w:ascii="Arial" w:hAnsi="Arial" w:cs="Arial"/>
          <w:sz w:val="22"/>
        </w:rPr>
        <w:t xml:space="preserve">Discussion on the impact of various actions such as stakeholder participation, inclusion, and effective communication in the community project have been provided. Additionally, research approaches for the project and various techniques required for enhanced engagement, evaluation, community mapping, and impact analysis were discussed. It can be recommended that </w:t>
      </w:r>
      <w:proofErr w:type="gramStart"/>
      <w:r w:rsidRPr="00DE45B0">
        <w:rPr>
          <w:rFonts w:ascii="Arial" w:hAnsi="Arial" w:cs="Arial"/>
          <w:sz w:val="22"/>
        </w:rPr>
        <w:t>through the use of</w:t>
      </w:r>
      <w:proofErr w:type="gramEnd"/>
      <w:r w:rsidRPr="00DE45B0">
        <w:rPr>
          <w:rFonts w:ascii="Arial" w:hAnsi="Arial" w:cs="Arial"/>
          <w:sz w:val="22"/>
        </w:rPr>
        <w:t xml:space="preserve"> the Social Work Model, it will be possible for the project to be successful and enable the ethnic minority communities to be advocated. By using cognitive behavioural therapy, it will be possible to enhance the flexibility of thinking and behaviours among individuals which will help them adapt to the issues (</w:t>
      </w:r>
      <w:r w:rsidRPr="00DE45B0">
        <w:rPr>
          <w:rFonts w:ascii="Arial" w:hAnsi="Arial" w:cs="Arial"/>
          <w:sz w:val="22"/>
          <w:shd w:val="clear" w:color="auto" w:fill="FFFFFF"/>
        </w:rPr>
        <w:t>Khoo</w:t>
      </w:r>
      <w:r w:rsidRPr="00DE45B0">
        <w:rPr>
          <w:rFonts w:ascii="Arial" w:hAnsi="Arial" w:cs="Arial"/>
          <w:sz w:val="22"/>
        </w:rPr>
        <w:t xml:space="preserve"> </w:t>
      </w:r>
      <w:r w:rsidRPr="00DE45B0">
        <w:rPr>
          <w:rFonts w:ascii="Arial" w:hAnsi="Arial" w:cs="Arial"/>
          <w:i/>
          <w:iCs/>
          <w:sz w:val="22"/>
        </w:rPr>
        <w:t>et al</w:t>
      </w:r>
      <w:r w:rsidRPr="00DE45B0">
        <w:rPr>
          <w:rFonts w:ascii="Arial" w:hAnsi="Arial" w:cs="Arial"/>
          <w:sz w:val="22"/>
        </w:rPr>
        <w:t xml:space="preserve">., </w:t>
      </w:r>
      <w:r w:rsidRPr="00DE45B0">
        <w:rPr>
          <w:rFonts w:ascii="Arial" w:hAnsi="Arial" w:cs="Arial"/>
          <w:sz w:val="22"/>
          <w:shd w:val="clear" w:color="auto" w:fill="FFFFFF"/>
        </w:rPr>
        <w:t>2019</w:t>
      </w:r>
      <w:r w:rsidRPr="00DE45B0">
        <w:rPr>
          <w:rFonts w:ascii="Arial" w:hAnsi="Arial" w:cs="Arial"/>
          <w:sz w:val="22"/>
        </w:rPr>
        <w:t>). Additionally, social media can be used for the project which will enable users to gather information on community projects and enhance communication. Thus, it will be possible to improve the current project by implementing new strategies and approaches for success.</w:t>
      </w:r>
      <w:r w:rsidRPr="00DE45B0">
        <w:rPr>
          <w:rFonts w:ascii="Arial" w:hAnsi="Arial" w:cs="Arial"/>
          <w:sz w:val="22"/>
        </w:rPr>
        <w:br w:type="page"/>
      </w:r>
    </w:p>
    <w:p w14:paraId="60531E56" w14:textId="77777777" w:rsidR="00444711" w:rsidRPr="00DE45B0" w:rsidRDefault="00000000" w:rsidP="000503CE">
      <w:pPr>
        <w:pStyle w:val="Heading1"/>
        <w:rPr>
          <w:rFonts w:ascii="Arial" w:hAnsi="Arial" w:cs="Arial"/>
          <w:sz w:val="22"/>
          <w:szCs w:val="22"/>
        </w:rPr>
      </w:pPr>
      <w:bookmarkStart w:id="3" w:name="_Toc140848454"/>
      <w:r w:rsidRPr="00DE45B0">
        <w:rPr>
          <w:rFonts w:ascii="Arial" w:hAnsi="Arial" w:cs="Arial"/>
          <w:sz w:val="22"/>
          <w:szCs w:val="22"/>
        </w:rPr>
        <w:lastRenderedPageBreak/>
        <w:t>References</w:t>
      </w:r>
      <w:bookmarkEnd w:id="3"/>
    </w:p>
    <w:p w14:paraId="6FBFB643" w14:textId="77777777" w:rsidR="00A61CD2" w:rsidRPr="00DE45B0" w:rsidRDefault="00000000" w:rsidP="004E5F35">
      <w:pPr>
        <w:rPr>
          <w:rFonts w:ascii="Arial" w:hAnsi="Arial" w:cs="Arial"/>
          <w:sz w:val="22"/>
          <w:shd w:val="clear" w:color="auto" w:fill="FFFFFF"/>
        </w:rPr>
      </w:pPr>
      <w:r w:rsidRPr="00DE45B0">
        <w:rPr>
          <w:rFonts w:ascii="Arial" w:hAnsi="Arial" w:cs="Arial"/>
          <w:sz w:val="22"/>
          <w:shd w:val="clear" w:color="auto" w:fill="FFFFFF"/>
        </w:rPr>
        <w:t>Adeani, I.S., Febriani, R.B. and Syafryadin, S. (2020) Using GIBBS’reflective cycle in making reflections of literary analysis. </w:t>
      </w:r>
      <w:r w:rsidRPr="00DE45B0">
        <w:rPr>
          <w:rFonts w:ascii="Arial" w:hAnsi="Arial" w:cs="Arial"/>
          <w:i/>
          <w:iCs/>
          <w:sz w:val="22"/>
          <w:shd w:val="clear" w:color="auto" w:fill="FFFFFF"/>
        </w:rPr>
        <w:t>Indonesian EFL Journal</w:t>
      </w:r>
      <w:r w:rsidRPr="00DE45B0">
        <w:rPr>
          <w:rFonts w:ascii="Arial" w:hAnsi="Arial" w:cs="Arial"/>
          <w:sz w:val="22"/>
          <w:shd w:val="clear" w:color="auto" w:fill="FFFFFF"/>
        </w:rPr>
        <w:t>, </w:t>
      </w:r>
      <w:r w:rsidRPr="00DE45B0">
        <w:rPr>
          <w:rFonts w:ascii="Arial" w:hAnsi="Arial" w:cs="Arial"/>
          <w:i/>
          <w:iCs/>
          <w:sz w:val="22"/>
          <w:shd w:val="clear" w:color="auto" w:fill="FFFFFF"/>
        </w:rPr>
        <w:t>6</w:t>
      </w:r>
      <w:r w:rsidRPr="00DE45B0">
        <w:rPr>
          <w:rFonts w:ascii="Arial" w:hAnsi="Arial" w:cs="Arial"/>
          <w:sz w:val="22"/>
          <w:shd w:val="clear" w:color="auto" w:fill="FFFFFF"/>
        </w:rPr>
        <w:t>(2), pp.139-148.</w:t>
      </w:r>
    </w:p>
    <w:p w14:paraId="28C00D32" w14:textId="77777777" w:rsidR="00A61CD2" w:rsidRPr="00DE45B0" w:rsidRDefault="00000000" w:rsidP="004E5F35">
      <w:pPr>
        <w:rPr>
          <w:rFonts w:ascii="Arial" w:hAnsi="Arial" w:cs="Arial"/>
          <w:sz w:val="22"/>
          <w:shd w:val="clear" w:color="auto" w:fill="FFFFFF"/>
        </w:rPr>
      </w:pPr>
      <w:r w:rsidRPr="00DE45B0">
        <w:rPr>
          <w:rFonts w:ascii="Arial" w:hAnsi="Arial" w:cs="Arial"/>
          <w:sz w:val="22"/>
          <w:shd w:val="clear" w:color="auto" w:fill="FFFFFF"/>
        </w:rPr>
        <w:t xml:space="preserve">Advocacy Focus (2023) </w:t>
      </w:r>
      <w:r w:rsidRPr="00DE45B0">
        <w:rPr>
          <w:rFonts w:ascii="Arial" w:hAnsi="Arial" w:cs="Arial"/>
          <w:i/>
          <w:iCs/>
          <w:sz w:val="22"/>
          <w:shd w:val="clear" w:color="auto" w:fill="FFFFFF"/>
        </w:rPr>
        <w:t xml:space="preserve">Advocacy for Ethnic Minorities. </w:t>
      </w:r>
      <w:r w:rsidRPr="00DE45B0">
        <w:rPr>
          <w:rFonts w:ascii="Arial" w:hAnsi="Arial" w:cs="Arial"/>
          <w:sz w:val="22"/>
          <w:shd w:val="clear" w:color="auto" w:fill="FFFFFF"/>
        </w:rPr>
        <w:t>Available at: https://advocacyfocus.org.uk/services/advocacy-for-ethnic-minorities/ (Accessed: 21 July 2023).</w:t>
      </w:r>
    </w:p>
    <w:p w14:paraId="6AC6FD85" w14:textId="77777777" w:rsidR="00A61CD2" w:rsidRPr="00DE45B0" w:rsidRDefault="00000000" w:rsidP="004E5F35">
      <w:pPr>
        <w:rPr>
          <w:rFonts w:ascii="Arial" w:hAnsi="Arial" w:cs="Arial"/>
          <w:sz w:val="22"/>
        </w:rPr>
      </w:pPr>
      <w:r w:rsidRPr="00DE45B0">
        <w:rPr>
          <w:rFonts w:ascii="Arial" w:hAnsi="Arial" w:cs="Arial"/>
          <w:sz w:val="22"/>
          <w:shd w:val="clear" w:color="auto" w:fill="FFFFFF"/>
        </w:rPr>
        <w:t>Alrawahi, S., Sellgren, S.F., Altouby, S., Alwahaibi, N. and Brommels, M. (2020) The application of Herzberg's two-factor theory of motivation to job satisfaction in clinical laboratories in Omani hospitals. </w:t>
      </w:r>
      <w:r w:rsidRPr="00DE45B0">
        <w:rPr>
          <w:rFonts w:ascii="Arial" w:hAnsi="Arial" w:cs="Arial"/>
          <w:i/>
          <w:iCs/>
          <w:sz w:val="22"/>
          <w:shd w:val="clear" w:color="auto" w:fill="FFFFFF"/>
        </w:rPr>
        <w:t>Heliyon</w:t>
      </w:r>
      <w:r w:rsidRPr="00DE45B0">
        <w:rPr>
          <w:rFonts w:ascii="Arial" w:hAnsi="Arial" w:cs="Arial"/>
          <w:sz w:val="22"/>
          <w:shd w:val="clear" w:color="auto" w:fill="FFFFFF"/>
        </w:rPr>
        <w:t>, </w:t>
      </w:r>
      <w:r w:rsidRPr="00DE45B0">
        <w:rPr>
          <w:rFonts w:ascii="Arial" w:hAnsi="Arial" w:cs="Arial"/>
          <w:i/>
          <w:iCs/>
          <w:sz w:val="22"/>
          <w:shd w:val="clear" w:color="auto" w:fill="FFFFFF"/>
        </w:rPr>
        <w:t>6</w:t>
      </w:r>
      <w:r w:rsidRPr="00DE45B0">
        <w:rPr>
          <w:rFonts w:ascii="Arial" w:hAnsi="Arial" w:cs="Arial"/>
          <w:sz w:val="22"/>
          <w:shd w:val="clear" w:color="auto" w:fill="FFFFFF"/>
        </w:rPr>
        <w:t>(9).</w:t>
      </w:r>
    </w:p>
    <w:p w14:paraId="6EF8C6A8" w14:textId="77777777" w:rsidR="00A61CD2" w:rsidRPr="00DE45B0" w:rsidRDefault="00000000" w:rsidP="004E5F35">
      <w:pPr>
        <w:rPr>
          <w:rFonts w:ascii="Arial" w:hAnsi="Arial" w:cs="Arial"/>
          <w:sz w:val="22"/>
          <w:shd w:val="clear" w:color="auto" w:fill="FFFFFF"/>
        </w:rPr>
      </w:pPr>
      <w:r w:rsidRPr="00DE45B0">
        <w:rPr>
          <w:rFonts w:ascii="Arial" w:hAnsi="Arial" w:cs="Arial"/>
          <w:sz w:val="22"/>
          <w:shd w:val="clear" w:color="auto" w:fill="FFFFFF"/>
        </w:rPr>
        <w:t>Ardle, O.M. and Murray, U. (2021) Fit for measure? Evaluation in community development. </w:t>
      </w:r>
      <w:r w:rsidRPr="00DE45B0">
        <w:rPr>
          <w:rFonts w:ascii="Arial" w:hAnsi="Arial" w:cs="Arial"/>
          <w:i/>
          <w:iCs/>
          <w:sz w:val="22"/>
          <w:shd w:val="clear" w:color="auto" w:fill="FFFFFF"/>
        </w:rPr>
        <w:t>Community Development Journal</w:t>
      </w:r>
      <w:r w:rsidRPr="00DE45B0">
        <w:rPr>
          <w:rFonts w:ascii="Arial" w:hAnsi="Arial" w:cs="Arial"/>
          <w:sz w:val="22"/>
          <w:shd w:val="clear" w:color="auto" w:fill="FFFFFF"/>
        </w:rPr>
        <w:t>, </w:t>
      </w:r>
      <w:r w:rsidRPr="00DE45B0">
        <w:rPr>
          <w:rFonts w:ascii="Arial" w:hAnsi="Arial" w:cs="Arial"/>
          <w:i/>
          <w:iCs/>
          <w:sz w:val="22"/>
          <w:shd w:val="clear" w:color="auto" w:fill="FFFFFF"/>
        </w:rPr>
        <w:t>56</w:t>
      </w:r>
      <w:r w:rsidRPr="00DE45B0">
        <w:rPr>
          <w:rFonts w:ascii="Arial" w:hAnsi="Arial" w:cs="Arial"/>
          <w:sz w:val="22"/>
          <w:shd w:val="clear" w:color="auto" w:fill="FFFFFF"/>
        </w:rPr>
        <w:t>(3), pp.432-448.</w:t>
      </w:r>
    </w:p>
    <w:p w14:paraId="58EA183C" w14:textId="77777777" w:rsidR="00A61CD2" w:rsidRPr="00DE45B0" w:rsidRDefault="00000000" w:rsidP="004E5F35">
      <w:pPr>
        <w:rPr>
          <w:rFonts w:ascii="Arial" w:hAnsi="Arial" w:cs="Arial"/>
          <w:sz w:val="22"/>
          <w:shd w:val="clear" w:color="auto" w:fill="FFFFFF"/>
        </w:rPr>
      </w:pPr>
      <w:r w:rsidRPr="00DE45B0">
        <w:rPr>
          <w:rFonts w:ascii="Arial" w:hAnsi="Arial" w:cs="Arial"/>
          <w:sz w:val="22"/>
          <w:shd w:val="clear" w:color="auto" w:fill="FFFFFF"/>
        </w:rPr>
        <w:t>Armstrong, M.J., Gronseth, G.S., Gagliardi, A.R. and Mullins, C.D. (2020) Participation and consultation engagement strategies have complementary roles: a case study of patient and public involvement in clinical practice guideline development. </w:t>
      </w:r>
      <w:r w:rsidRPr="00DE45B0">
        <w:rPr>
          <w:rFonts w:ascii="Arial" w:hAnsi="Arial" w:cs="Arial"/>
          <w:i/>
          <w:iCs/>
          <w:sz w:val="22"/>
          <w:shd w:val="clear" w:color="auto" w:fill="FFFFFF"/>
        </w:rPr>
        <w:t>Health Expectations</w:t>
      </w:r>
      <w:r w:rsidRPr="00DE45B0">
        <w:rPr>
          <w:rFonts w:ascii="Arial" w:hAnsi="Arial" w:cs="Arial"/>
          <w:sz w:val="22"/>
          <w:shd w:val="clear" w:color="auto" w:fill="FFFFFF"/>
        </w:rPr>
        <w:t>, </w:t>
      </w:r>
      <w:r w:rsidRPr="00DE45B0">
        <w:rPr>
          <w:rFonts w:ascii="Arial" w:hAnsi="Arial" w:cs="Arial"/>
          <w:i/>
          <w:iCs/>
          <w:sz w:val="22"/>
          <w:shd w:val="clear" w:color="auto" w:fill="FFFFFF"/>
        </w:rPr>
        <w:t>23</w:t>
      </w:r>
      <w:r w:rsidRPr="00DE45B0">
        <w:rPr>
          <w:rFonts w:ascii="Arial" w:hAnsi="Arial" w:cs="Arial"/>
          <w:sz w:val="22"/>
          <w:shd w:val="clear" w:color="auto" w:fill="FFFFFF"/>
        </w:rPr>
        <w:t>(2), pp.423-432.</w:t>
      </w:r>
    </w:p>
    <w:p w14:paraId="27B0A3B8" w14:textId="77777777" w:rsidR="00A61CD2" w:rsidRPr="00DE45B0" w:rsidRDefault="00000000" w:rsidP="004E5F35">
      <w:pPr>
        <w:rPr>
          <w:rFonts w:ascii="Arial" w:hAnsi="Arial" w:cs="Arial"/>
          <w:sz w:val="22"/>
        </w:rPr>
      </w:pPr>
      <w:r w:rsidRPr="00DE45B0">
        <w:rPr>
          <w:rFonts w:ascii="Arial" w:hAnsi="Arial" w:cs="Arial"/>
          <w:sz w:val="22"/>
        </w:rPr>
        <w:t xml:space="preserve">Baluch, A., Main, K. and Watts, R. (2023) </w:t>
      </w:r>
      <w:r w:rsidRPr="00DE45B0">
        <w:rPr>
          <w:rFonts w:ascii="Arial" w:hAnsi="Arial" w:cs="Arial"/>
          <w:i/>
          <w:iCs/>
          <w:sz w:val="22"/>
        </w:rPr>
        <w:t xml:space="preserve">What Is </w:t>
      </w:r>
      <w:proofErr w:type="gramStart"/>
      <w:r w:rsidRPr="00DE45B0">
        <w:rPr>
          <w:rFonts w:ascii="Arial" w:hAnsi="Arial" w:cs="Arial"/>
          <w:i/>
          <w:iCs/>
          <w:sz w:val="22"/>
        </w:rPr>
        <w:t>A</w:t>
      </w:r>
      <w:proofErr w:type="gramEnd"/>
      <w:r w:rsidRPr="00DE45B0">
        <w:rPr>
          <w:rFonts w:ascii="Arial" w:hAnsi="Arial" w:cs="Arial"/>
          <w:i/>
          <w:iCs/>
          <w:sz w:val="22"/>
        </w:rPr>
        <w:t xml:space="preserve"> Project Charter? Everything You Need </w:t>
      </w:r>
      <w:proofErr w:type="gramStart"/>
      <w:r w:rsidRPr="00DE45B0">
        <w:rPr>
          <w:rFonts w:ascii="Arial" w:hAnsi="Arial" w:cs="Arial"/>
          <w:i/>
          <w:iCs/>
          <w:sz w:val="22"/>
        </w:rPr>
        <w:t>To</w:t>
      </w:r>
      <w:proofErr w:type="gramEnd"/>
      <w:r w:rsidRPr="00DE45B0">
        <w:rPr>
          <w:rFonts w:ascii="Arial" w:hAnsi="Arial" w:cs="Arial"/>
          <w:i/>
          <w:iCs/>
          <w:sz w:val="22"/>
        </w:rPr>
        <w:t xml:space="preserve"> Know</w:t>
      </w:r>
      <w:r w:rsidRPr="00DE45B0">
        <w:rPr>
          <w:rFonts w:ascii="Arial" w:hAnsi="Arial" w:cs="Arial"/>
          <w:sz w:val="22"/>
        </w:rPr>
        <w:t xml:space="preserve"> Available at: https://www.forbes.com/advisor/business/project-charter/#what_is_a_project_charter_section (Accessed: 21 July 2023).</w:t>
      </w:r>
    </w:p>
    <w:p w14:paraId="3E858F3A" w14:textId="77777777" w:rsidR="00A61CD2" w:rsidRPr="00DE45B0" w:rsidRDefault="00000000" w:rsidP="004E5F35">
      <w:pPr>
        <w:rPr>
          <w:rFonts w:ascii="Arial" w:hAnsi="Arial" w:cs="Arial"/>
          <w:sz w:val="22"/>
          <w:shd w:val="clear" w:color="auto" w:fill="FFFFFF"/>
        </w:rPr>
      </w:pPr>
      <w:r w:rsidRPr="00DE45B0">
        <w:rPr>
          <w:rFonts w:ascii="Arial" w:hAnsi="Arial" w:cs="Arial"/>
          <w:sz w:val="22"/>
          <w:shd w:val="clear" w:color="auto" w:fill="FFFFFF"/>
        </w:rPr>
        <w:t xml:space="preserve">Coates, S. (2021) </w:t>
      </w:r>
      <w:r w:rsidRPr="00DE45B0">
        <w:rPr>
          <w:rFonts w:ascii="Arial" w:hAnsi="Arial" w:cs="Arial"/>
          <w:i/>
          <w:iCs/>
          <w:sz w:val="22"/>
          <w:shd w:val="clear" w:color="auto" w:fill="FFFFFF"/>
        </w:rPr>
        <w:t xml:space="preserve">Population estimates by ethnic group and religion, England and Wales. </w:t>
      </w:r>
      <w:r w:rsidRPr="00DE45B0">
        <w:rPr>
          <w:rFonts w:ascii="Arial" w:hAnsi="Arial" w:cs="Arial"/>
          <w:sz w:val="22"/>
          <w:shd w:val="clear" w:color="auto" w:fill="FFFFFF"/>
        </w:rPr>
        <w:t>Available at: https://www.ons.gov.uk/peoplepopulationandcommunity/populationandmigration/populationestimates/articles/populationestimatesbyethnicgroupandreligionenglandandwales/2019 (Accessed: 21 July 2023).</w:t>
      </w:r>
    </w:p>
    <w:p w14:paraId="24D4858E" w14:textId="77777777" w:rsidR="00A61CD2" w:rsidRPr="00DE45B0" w:rsidRDefault="00000000" w:rsidP="004E5F35">
      <w:pPr>
        <w:rPr>
          <w:rFonts w:ascii="Arial" w:hAnsi="Arial" w:cs="Arial"/>
          <w:sz w:val="22"/>
          <w:shd w:val="clear" w:color="auto" w:fill="FFFFFF"/>
        </w:rPr>
      </w:pPr>
      <w:r w:rsidRPr="00DE45B0">
        <w:rPr>
          <w:rFonts w:ascii="Arial" w:hAnsi="Arial" w:cs="Arial"/>
          <w:sz w:val="22"/>
          <w:shd w:val="clear" w:color="auto" w:fill="FFFFFF"/>
        </w:rPr>
        <w:t>Coger, T., Dinshaw, A., Tye, S., Kratzer, B., Aung, M.T., Cunningham, E., Ramkissoon, C., Gupta, S., Bodrud-Doza, M., Karamallis, A. and Mbewe, S. (2022) Locally led adaptation: From principles to practice. </w:t>
      </w:r>
      <w:r w:rsidRPr="00DE45B0">
        <w:rPr>
          <w:rFonts w:ascii="Arial" w:hAnsi="Arial" w:cs="Arial"/>
          <w:i/>
          <w:iCs/>
          <w:sz w:val="22"/>
          <w:shd w:val="clear" w:color="auto" w:fill="FFFFFF"/>
        </w:rPr>
        <w:t>Washington, DC: World Resources Institute. Search in</w:t>
      </w:r>
      <w:r w:rsidRPr="00DE45B0">
        <w:rPr>
          <w:rFonts w:ascii="Arial" w:hAnsi="Arial" w:cs="Arial"/>
          <w:sz w:val="22"/>
          <w:shd w:val="clear" w:color="auto" w:fill="FFFFFF"/>
        </w:rPr>
        <w:t>.</w:t>
      </w:r>
    </w:p>
    <w:p w14:paraId="08145821" w14:textId="77777777" w:rsidR="00A61CD2" w:rsidRPr="00DE45B0" w:rsidRDefault="00000000" w:rsidP="004E5F35">
      <w:pPr>
        <w:rPr>
          <w:rFonts w:ascii="Arial" w:hAnsi="Arial" w:cs="Arial"/>
          <w:sz w:val="22"/>
        </w:rPr>
      </w:pPr>
      <w:r w:rsidRPr="00DE45B0">
        <w:rPr>
          <w:rFonts w:ascii="Arial" w:hAnsi="Arial" w:cs="Arial"/>
          <w:sz w:val="22"/>
        </w:rPr>
        <w:t xml:space="preserve">Eby, K. (2021) </w:t>
      </w:r>
      <w:r w:rsidRPr="00DE45B0">
        <w:rPr>
          <w:rFonts w:ascii="Arial" w:hAnsi="Arial" w:cs="Arial"/>
          <w:i/>
          <w:iCs/>
          <w:sz w:val="22"/>
        </w:rPr>
        <w:t xml:space="preserve">The Pros and Cons of Project Portfolio Management </w:t>
      </w:r>
      <w:r w:rsidRPr="00DE45B0">
        <w:rPr>
          <w:rFonts w:ascii="Arial" w:hAnsi="Arial" w:cs="Arial"/>
          <w:sz w:val="22"/>
        </w:rPr>
        <w:t>Available at: https://www.smartsheet.com/content/project-portfolio-management-benefits (Accessed: 21 July 2023).</w:t>
      </w:r>
    </w:p>
    <w:p w14:paraId="0F859EAB" w14:textId="77777777" w:rsidR="00A61CD2" w:rsidRPr="00DE45B0" w:rsidRDefault="00000000" w:rsidP="004E5F35">
      <w:pPr>
        <w:rPr>
          <w:rFonts w:ascii="Arial" w:hAnsi="Arial" w:cs="Arial"/>
          <w:sz w:val="22"/>
          <w:shd w:val="clear" w:color="auto" w:fill="FFFFFF"/>
        </w:rPr>
      </w:pPr>
      <w:r w:rsidRPr="00DE45B0">
        <w:rPr>
          <w:rFonts w:ascii="Arial" w:hAnsi="Arial" w:cs="Arial"/>
          <w:sz w:val="22"/>
        </w:rPr>
        <w:t xml:space="preserve">Equality Human Rights (2020) </w:t>
      </w:r>
      <w:r w:rsidRPr="00DE45B0">
        <w:rPr>
          <w:rFonts w:ascii="Arial" w:hAnsi="Arial" w:cs="Arial"/>
          <w:i/>
          <w:iCs/>
          <w:sz w:val="22"/>
        </w:rPr>
        <w:t xml:space="preserve">Race report statistics. </w:t>
      </w:r>
      <w:r w:rsidRPr="00DE45B0">
        <w:rPr>
          <w:rFonts w:ascii="Arial" w:hAnsi="Arial" w:cs="Arial"/>
          <w:sz w:val="22"/>
          <w:shd w:val="clear" w:color="auto" w:fill="FFFFFF"/>
        </w:rPr>
        <w:t>Available at: https://www.equalityhumanrights.com/en/race-report-statistics (Accessed: 21 July 2023).</w:t>
      </w:r>
    </w:p>
    <w:p w14:paraId="1424ADD6" w14:textId="77777777" w:rsidR="00A61CD2" w:rsidRPr="00DE45B0" w:rsidRDefault="00000000" w:rsidP="004E5F35">
      <w:pPr>
        <w:rPr>
          <w:rFonts w:ascii="Arial" w:hAnsi="Arial" w:cs="Arial"/>
          <w:sz w:val="22"/>
          <w:shd w:val="clear" w:color="auto" w:fill="FFFFFF"/>
        </w:rPr>
      </w:pPr>
      <w:r w:rsidRPr="00DE45B0">
        <w:rPr>
          <w:rFonts w:ascii="Arial" w:hAnsi="Arial" w:cs="Arial"/>
          <w:sz w:val="22"/>
          <w:shd w:val="clear" w:color="auto" w:fill="FFFFFF"/>
        </w:rPr>
        <w:lastRenderedPageBreak/>
        <w:t xml:space="preserve">Forbes (2022) </w:t>
      </w:r>
      <w:r w:rsidRPr="00DE45B0">
        <w:rPr>
          <w:rFonts w:ascii="Arial" w:hAnsi="Arial" w:cs="Arial"/>
          <w:i/>
          <w:iCs/>
          <w:sz w:val="22"/>
          <w:shd w:val="clear" w:color="auto" w:fill="FFFFFF"/>
        </w:rPr>
        <w:t xml:space="preserve">14 Ways Community Service Initiatives Build </w:t>
      </w:r>
      <w:proofErr w:type="gramStart"/>
      <w:r w:rsidRPr="00DE45B0">
        <w:rPr>
          <w:rFonts w:ascii="Arial" w:hAnsi="Arial" w:cs="Arial"/>
          <w:i/>
          <w:iCs/>
          <w:sz w:val="22"/>
          <w:shd w:val="clear" w:color="auto" w:fill="FFFFFF"/>
        </w:rPr>
        <w:t>A</w:t>
      </w:r>
      <w:proofErr w:type="gramEnd"/>
      <w:r w:rsidRPr="00DE45B0">
        <w:rPr>
          <w:rFonts w:ascii="Arial" w:hAnsi="Arial" w:cs="Arial"/>
          <w:i/>
          <w:iCs/>
          <w:sz w:val="22"/>
          <w:shd w:val="clear" w:color="auto" w:fill="FFFFFF"/>
        </w:rPr>
        <w:t xml:space="preserve"> Stronger Workforce. </w:t>
      </w:r>
      <w:r w:rsidRPr="00DE45B0">
        <w:rPr>
          <w:rFonts w:ascii="Arial" w:hAnsi="Arial" w:cs="Arial"/>
          <w:sz w:val="22"/>
          <w:shd w:val="clear" w:color="auto" w:fill="FFFFFF"/>
        </w:rPr>
        <w:t>Available at: https://www.forbes.com/sites/forbeshumanresourcescouncil/2022/06/03/14-ways-community-service-initiatives-build-a-stronger-workforce/?sh=44f0bbbc3ecc (Accessed: 21 July 2023).</w:t>
      </w:r>
    </w:p>
    <w:p w14:paraId="5E2DA88E" w14:textId="77777777" w:rsidR="00A61CD2" w:rsidRPr="00DE45B0" w:rsidRDefault="00000000" w:rsidP="004E5F35">
      <w:pPr>
        <w:rPr>
          <w:rFonts w:ascii="Arial" w:hAnsi="Arial" w:cs="Arial"/>
          <w:sz w:val="22"/>
          <w:shd w:val="clear" w:color="auto" w:fill="FFFFFF"/>
        </w:rPr>
      </w:pPr>
      <w:r w:rsidRPr="00DE45B0">
        <w:rPr>
          <w:rFonts w:ascii="Arial" w:hAnsi="Arial" w:cs="Arial"/>
          <w:sz w:val="22"/>
          <w:shd w:val="clear" w:color="auto" w:fill="FFFFFF"/>
        </w:rPr>
        <w:t>Gilchrist, A. (2019) The well-connected community 3E: a networking approach to community development. Policy Press.</w:t>
      </w:r>
    </w:p>
    <w:p w14:paraId="18A84A2C" w14:textId="77777777" w:rsidR="00A61CD2" w:rsidRPr="00DE45B0" w:rsidRDefault="00000000" w:rsidP="004E5F35">
      <w:pPr>
        <w:rPr>
          <w:rFonts w:ascii="Arial" w:hAnsi="Arial" w:cs="Arial"/>
          <w:sz w:val="22"/>
          <w:shd w:val="clear" w:color="auto" w:fill="FFFFFF"/>
        </w:rPr>
      </w:pPr>
      <w:r w:rsidRPr="00DE45B0">
        <w:rPr>
          <w:rFonts w:ascii="Arial" w:hAnsi="Arial" w:cs="Arial"/>
          <w:sz w:val="22"/>
          <w:shd w:val="clear" w:color="auto" w:fill="FFFFFF"/>
        </w:rPr>
        <w:t>Kamal, A., Hodson, A. and Pearce, J.M. (2021) A rapid systematic review of factors influencing COVID-19 vaccination uptake in minority ethnic groups in the UK. </w:t>
      </w:r>
      <w:r w:rsidRPr="00DE45B0">
        <w:rPr>
          <w:rFonts w:ascii="Arial" w:hAnsi="Arial" w:cs="Arial"/>
          <w:i/>
          <w:iCs/>
          <w:sz w:val="22"/>
          <w:shd w:val="clear" w:color="auto" w:fill="FFFFFF"/>
        </w:rPr>
        <w:t>Vaccines</w:t>
      </w:r>
      <w:r w:rsidRPr="00DE45B0">
        <w:rPr>
          <w:rFonts w:ascii="Arial" w:hAnsi="Arial" w:cs="Arial"/>
          <w:sz w:val="22"/>
          <w:shd w:val="clear" w:color="auto" w:fill="FFFFFF"/>
        </w:rPr>
        <w:t>, </w:t>
      </w:r>
      <w:r w:rsidRPr="00DE45B0">
        <w:rPr>
          <w:rFonts w:ascii="Arial" w:hAnsi="Arial" w:cs="Arial"/>
          <w:i/>
          <w:iCs/>
          <w:sz w:val="22"/>
          <w:shd w:val="clear" w:color="auto" w:fill="FFFFFF"/>
        </w:rPr>
        <w:t>9</w:t>
      </w:r>
      <w:r w:rsidRPr="00DE45B0">
        <w:rPr>
          <w:rFonts w:ascii="Arial" w:hAnsi="Arial" w:cs="Arial"/>
          <w:sz w:val="22"/>
          <w:shd w:val="clear" w:color="auto" w:fill="FFFFFF"/>
        </w:rPr>
        <w:t>(10), p.1121.</w:t>
      </w:r>
    </w:p>
    <w:p w14:paraId="0B3233C2" w14:textId="77777777" w:rsidR="00A61CD2" w:rsidRPr="00DE45B0" w:rsidRDefault="00000000" w:rsidP="004E5F35">
      <w:pPr>
        <w:rPr>
          <w:rFonts w:ascii="Arial" w:hAnsi="Arial" w:cs="Arial"/>
          <w:sz w:val="22"/>
        </w:rPr>
      </w:pPr>
      <w:r w:rsidRPr="00DE45B0">
        <w:rPr>
          <w:rFonts w:ascii="Arial" w:hAnsi="Arial" w:cs="Arial"/>
          <w:sz w:val="22"/>
          <w:shd w:val="clear" w:color="auto" w:fill="FFFFFF"/>
        </w:rPr>
        <w:t>Khoo, E.L., Small, R., Cheng, W., Hatchard, T., Glynn, B., Rice, D.B., Skidmore, B., Kenny, S., Hutton, B. and Poulin, P.A. (2019) Comparative evaluation of group-based mindfulness-based stress reduction and cognitive behavioural therapy for the treatment and management of chronic pain: A systematic review and network meta-analysis. </w:t>
      </w:r>
      <w:r w:rsidRPr="00DE45B0">
        <w:rPr>
          <w:rFonts w:ascii="Arial" w:hAnsi="Arial" w:cs="Arial"/>
          <w:i/>
          <w:iCs/>
          <w:sz w:val="22"/>
          <w:shd w:val="clear" w:color="auto" w:fill="FFFFFF"/>
        </w:rPr>
        <w:t>BMJ Ment Health</w:t>
      </w:r>
      <w:r w:rsidRPr="00DE45B0">
        <w:rPr>
          <w:rFonts w:ascii="Arial" w:hAnsi="Arial" w:cs="Arial"/>
          <w:sz w:val="22"/>
          <w:shd w:val="clear" w:color="auto" w:fill="FFFFFF"/>
        </w:rPr>
        <w:t>, </w:t>
      </w:r>
      <w:r w:rsidRPr="00DE45B0">
        <w:rPr>
          <w:rFonts w:ascii="Arial" w:hAnsi="Arial" w:cs="Arial"/>
          <w:i/>
          <w:iCs/>
          <w:sz w:val="22"/>
          <w:shd w:val="clear" w:color="auto" w:fill="FFFFFF"/>
        </w:rPr>
        <w:t>22</w:t>
      </w:r>
      <w:r w:rsidRPr="00DE45B0">
        <w:rPr>
          <w:rFonts w:ascii="Arial" w:hAnsi="Arial" w:cs="Arial"/>
          <w:sz w:val="22"/>
          <w:shd w:val="clear" w:color="auto" w:fill="FFFFFF"/>
        </w:rPr>
        <w:t>(1), pp.26-35.</w:t>
      </w:r>
    </w:p>
    <w:p w14:paraId="1FF84EAE" w14:textId="77777777" w:rsidR="00A61CD2" w:rsidRPr="00DE45B0" w:rsidRDefault="00000000" w:rsidP="004E5F35">
      <w:pPr>
        <w:rPr>
          <w:rFonts w:ascii="Arial" w:hAnsi="Arial" w:cs="Arial"/>
          <w:sz w:val="22"/>
        </w:rPr>
      </w:pPr>
      <w:r w:rsidRPr="00DE45B0">
        <w:rPr>
          <w:rFonts w:ascii="Arial" w:hAnsi="Arial" w:cs="Arial"/>
          <w:sz w:val="22"/>
        </w:rPr>
        <w:t xml:space="preserve">Kissflow (2023a) </w:t>
      </w:r>
      <w:r w:rsidRPr="00DE45B0">
        <w:rPr>
          <w:rFonts w:ascii="Arial" w:hAnsi="Arial" w:cs="Arial"/>
          <w:i/>
          <w:iCs/>
          <w:sz w:val="22"/>
        </w:rPr>
        <w:t xml:space="preserve">7 Online Project Collaboration Tools to look for Productive Teams in 2023 </w:t>
      </w:r>
      <w:r w:rsidRPr="00DE45B0">
        <w:rPr>
          <w:rFonts w:ascii="Arial" w:hAnsi="Arial" w:cs="Arial"/>
          <w:sz w:val="22"/>
        </w:rPr>
        <w:t>Available at: https://kissflow.com/project/project-collaboration-tools/ (Accessed: 21 July 2023).</w:t>
      </w:r>
    </w:p>
    <w:p w14:paraId="13EF1B57" w14:textId="77777777" w:rsidR="00A61CD2" w:rsidRPr="00DE45B0" w:rsidRDefault="00000000" w:rsidP="004E5F35">
      <w:pPr>
        <w:rPr>
          <w:rFonts w:ascii="Arial" w:hAnsi="Arial" w:cs="Arial"/>
          <w:sz w:val="22"/>
        </w:rPr>
      </w:pPr>
      <w:r w:rsidRPr="00DE45B0">
        <w:rPr>
          <w:rFonts w:ascii="Arial" w:hAnsi="Arial" w:cs="Arial"/>
          <w:sz w:val="22"/>
        </w:rPr>
        <w:t xml:space="preserve">Kissflow (2023b) </w:t>
      </w:r>
      <w:r w:rsidRPr="00DE45B0">
        <w:rPr>
          <w:rFonts w:ascii="Arial" w:hAnsi="Arial" w:cs="Arial"/>
          <w:i/>
          <w:iCs/>
          <w:sz w:val="22"/>
        </w:rPr>
        <w:t xml:space="preserve">5 Phases of Project Management – A Complete Breakdown </w:t>
      </w:r>
      <w:r w:rsidRPr="00DE45B0">
        <w:rPr>
          <w:rFonts w:ascii="Arial" w:hAnsi="Arial" w:cs="Arial"/>
          <w:sz w:val="22"/>
        </w:rPr>
        <w:t>Available at: https://kissflow.com/project/five-phases-of-project-management/ (Accessed: 21 July 2023).</w:t>
      </w:r>
    </w:p>
    <w:p w14:paraId="56F89FF0" w14:textId="77777777" w:rsidR="00A61CD2" w:rsidRPr="00DE45B0" w:rsidRDefault="00000000" w:rsidP="004E5F35">
      <w:pPr>
        <w:rPr>
          <w:rFonts w:ascii="Arial" w:hAnsi="Arial" w:cs="Arial"/>
          <w:sz w:val="22"/>
        </w:rPr>
      </w:pPr>
      <w:r w:rsidRPr="00DE45B0">
        <w:rPr>
          <w:rFonts w:ascii="Arial" w:hAnsi="Arial" w:cs="Arial"/>
          <w:sz w:val="22"/>
        </w:rPr>
        <w:t xml:space="preserve">Mapping for Change (2023) </w:t>
      </w:r>
      <w:r w:rsidRPr="00DE45B0">
        <w:rPr>
          <w:rFonts w:ascii="Arial" w:hAnsi="Arial" w:cs="Arial"/>
          <w:i/>
          <w:iCs/>
          <w:sz w:val="22"/>
        </w:rPr>
        <w:t xml:space="preserve">Online Mapping Platforms </w:t>
      </w:r>
      <w:r w:rsidRPr="00DE45B0">
        <w:rPr>
          <w:rFonts w:ascii="Arial" w:hAnsi="Arial" w:cs="Arial"/>
          <w:sz w:val="22"/>
        </w:rPr>
        <w:t>Available at: https://mappingforchange.org.uk/services/online-mapping-platforms/ (Accessed: 21 July 2023).</w:t>
      </w:r>
    </w:p>
    <w:p w14:paraId="1B1C9108" w14:textId="77777777" w:rsidR="00A61CD2" w:rsidRPr="00DE45B0" w:rsidRDefault="00000000" w:rsidP="004E5F35">
      <w:pPr>
        <w:rPr>
          <w:rFonts w:ascii="Arial" w:hAnsi="Arial" w:cs="Arial"/>
          <w:sz w:val="22"/>
          <w:shd w:val="clear" w:color="auto" w:fill="FFFFFF"/>
        </w:rPr>
      </w:pPr>
      <w:r w:rsidRPr="00DE45B0">
        <w:rPr>
          <w:rFonts w:ascii="Arial" w:hAnsi="Arial" w:cs="Arial"/>
          <w:sz w:val="22"/>
          <w:shd w:val="clear" w:color="auto" w:fill="FFFFFF"/>
        </w:rPr>
        <w:t>Payne, M. (2020) The origins of social work: Continuity and change. Bloomsbury Publishing.</w:t>
      </w:r>
    </w:p>
    <w:p w14:paraId="31F4A764" w14:textId="77777777" w:rsidR="00A61CD2" w:rsidRPr="00DE45B0" w:rsidRDefault="00000000" w:rsidP="004E5F35">
      <w:pPr>
        <w:rPr>
          <w:rFonts w:ascii="Arial" w:hAnsi="Arial" w:cs="Arial"/>
          <w:sz w:val="22"/>
        </w:rPr>
      </w:pPr>
      <w:r w:rsidRPr="00DE45B0">
        <w:rPr>
          <w:rFonts w:ascii="Arial" w:hAnsi="Arial" w:cs="Arial"/>
          <w:sz w:val="22"/>
        </w:rPr>
        <w:t xml:space="preserve">Singh, R. (2020) </w:t>
      </w:r>
      <w:r w:rsidRPr="00DE45B0">
        <w:rPr>
          <w:rFonts w:ascii="Arial" w:hAnsi="Arial" w:cs="Arial"/>
          <w:i/>
          <w:iCs/>
          <w:sz w:val="22"/>
        </w:rPr>
        <w:t xml:space="preserve">What is a Project Roadmap? 3 Steps to Manage Projects Efficiently </w:t>
      </w:r>
      <w:r w:rsidRPr="00DE45B0">
        <w:rPr>
          <w:rFonts w:ascii="Arial" w:hAnsi="Arial" w:cs="Arial"/>
          <w:sz w:val="22"/>
        </w:rPr>
        <w:t>Available at: https://www.appvizer.co.uk/magazine/operations/project-management/project-roadmap (Accessed: 21 July 2023).</w:t>
      </w:r>
    </w:p>
    <w:p w14:paraId="11C665BF" w14:textId="77777777" w:rsidR="00A61CD2" w:rsidRPr="00DE45B0" w:rsidRDefault="00000000" w:rsidP="004E5F35">
      <w:pPr>
        <w:rPr>
          <w:rFonts w:ascii="Arial" w:hAnsi="Arial" w:cs="Arial"/>
          <w:sz w:val="22"/>
        </w:rPr>
      </w:pPr>
      <w:r w:rsidRPr="00DE45B0">
        <w:rPr>
          <w:rFonts w:ascii="Arial" w:hAnsi="Arial" w:cs="Arial"/>
          <w:sz w:val="22"/>
        </w:rPr>
        <w:t xml:space="preserve">Smart Survey (2023) </w:t>
      </w:r>
      <w:r w:rsidRPr="00DE45B0">
        <w:rPr>
          <w:rFonts w:ascii="Arial" w:hAnsi="Arial" w:cs="Arial"/>
          <w:i/>
          <w:iCs/>
          <w:sz w:val="22"/>
        </w:rPr>
        <w:t xml:space="preserve">10 Advantages of Online Surveys </w:t>
      </w:r>
      <w:r w:rsidRPr="00DE45B0">
        <w:rPr>
          <w:rFonts w:ascii="Arial" w:hAnsi="Arial" w:cs="Arial"/>
          <w:sz w:val="22"/>
        </w:rPr>
        <w:t>Available at: https://www.smartsurvey.co.uk/articles/10-advantages-of-online-surveys (Accessed: 21 July 2023).</w:t>
      </w:r>
    </w:p>
    <w:p w14:paraId="033A0FA1" w14:textId="77777777" w:rsidR="00A61CD2" w:rsidRPr="00DE45B0" w:rsidRDefault="00000000" w:rsidP="004E5F35">
      <w:pPr>
        <w:rPr>
          <w:rFonts w:ascii="Arial" w:hAnsi="Arial" w:cs="Arial"/>
          <w:sz w:val="22"/>
        </w:rPr>
      </w:pPr>
      <w:r w:rsidRPr="00DE45B0">
        <w:rPr>
          <w:rFonts w:ascii="Arial" w:hAnsi="Arial" w:cs="Arial"/>
          <w:sz w:val="22"/>
        </w:rPr>
        <w:t xml:space="preserve">Sprout Social (2022) </w:t>
      </w:r>
      <w:r w:rsidRPr="00DE45B0">
        <w:rPr>
          <w:rFonts w:ascii="Arial" w:hAnsi="Arial" w:cs="Arial"/>
          <w:i/>
          <w:iCs/>
          <w:sz w:val="22"/>
        </w:rPr>
        <w:t xml:space="preserve">Social media engagement: What it is and tips to improve it </w:t>
      </w:r>
      <w:r w:rsidRPr="00DE45B0">
        <w:rPr>
          <w:rFonts w:ascii="Arial" w:hAnsi="Arial" w:cs="Arial"/>
          <w:sz w:val="22"/>
        </w:rPr>
        <w:t>Available at: https://sproutsocial.com/insights/social-media-engagement/ (Accessed: 21 July 2023).</w:t>
      </w:r>
    </w:p>
    <w:sectPr w:rsidR="00A61CD2" w:rsidRPr="00DE45B0" w:rsidSect="00057642">
      <w:headerReference w:type="default" r:id="rId8"/>
      <w:footerReference w:type="defaul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CE2EF" w14:textId="77777777" w:rsidR="004D34EC" w:rsidRDefault="004D34EC" w:rsidP="00444711">
      <w:pPr>
        <w:spacing w:before="0" w:after="0" w:line="240" w:lineRule="auto"/>
      </w:pPr>
      <w:r>
        <w:separator/>
      </w:r>
    </w:p>
  </w:endnote>
  <w:endnote w:type="continuationSeparator" w:id="0">
    <w:p w14:paraId="41632A6C" w14:textId="77777777" w:rsidR="004D34EC" w:rsidRDefault="004D34EC" w:rsidP="004447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5490250"/>
      <w:docPartObj>
        <w:docPartGallery w:val="Page Numbers (Bottom of Page)"/>
        <w:docPartUnique/>
      </w:docPartObj>
    </w:sdtPr>
    <w:sdtContent>
      <w:p w14:paraId="26141B41" w14:textId="55620226" w:rsidR="00057642" w:rsidRDefault="00000000">
        <w:pPr>
          <w:pStyle w:val="Footer"/>
          <w:jc w:val="right"/>
        </w:pPr>
        <w:r>
          <w:fldChar w:fldCharType="begin"/>
        </w:r>
        <w:r>
          <w:instrText>PAGE   \* MERGEFORMAT</w:instrText>
        </w:r>
        <w:r>
          <w:fldChar w:fldCharType="separate"/>
        </w:r>
        <w:r>
          <w:t>2</w:t>
        </w:r>
        <w:r>
          <w:fldChar w:fldCharType="end"/>
        </w:r>
      </w:p>
    </w:sdtContent>
  </w:sdt>
  <w:p w14:paraId="65C0BD7E" w14:textId="77777777" w:rsidR="00444711" w:rsidRDefault="00444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454CC" w14:textId="77777777" w:rsidR="004D34EC" w:rsidRDefault="004D34EC" w:rsidP="00444711">
      <w:pPr>
        <w:spacing w:before="0" w:after="0" w:line="240" w:lineRule="auto"/>
      </w:pPr>
      <w:r>
        <w:separator/>
      </w:r>
    </w:p>
  </w:footnote>
  <w:footnote w:type="continuationSeparator" w:id="0">
    <w:p w14:paraId="73DB3E7C" w14:textId="77777777" w:rsidR="004D34EC" w:rsidRDefault="004D34EC" w:rsidP="0044471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AAE2B" w14:textId="77777777" w:rsidR="003F2B2A" w:rsidRDefault="003F2B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425E1"/>
    <w:multiLevelType w:val="hybridMultilevel"/>
    <w:tmpl w:val="CAACC9B2"/>
    <w:lvl w:ilvl="0" w:tplc="2144ABBA">
      <w:start w:val="1"/>
      <w:numFmt w:val="decimal"/>
      <w:lvlText w:val="%1."/>
      <w:lvlJc w:val="left"/>
      <w:pPr>
        <w:ind w:left="720" w:hanging="360"/>
      </w:pPr>
    </w:lvl>
    <w:lvl w:ilvl="1" w:tplc="930CBDFE" w:tentative="1">
      <w:start w:val="1"/>
      <w:numFmt w:val="lowerLetter"/>
      <w:lvlText w:val="%2."/>
      <w:lvlJc w:val="left"/>
      <w:pPr>
        <w:ind w:left="1440" w:hanging="360"/>
      </w:pPr>
    </w:lvl>
    <w:lvl w:ilvl="2" w:tplc="3752A8EC" w:tentative="1">
      <w:start w:val="1"/>
      <w:numFmt w:val="lowerRoman"/>
      <w:lvlText w:val="%3."/>
      <w:lvlJc w:val="right"/>
      <w:pPr>
        <w:ind w:left="2160" w:hanging="180"/>
      </w:pPr>
    </w:lvl>
    <w:lvl w:ilvl="3" w:tplc="DFD6A294" w:tentative="1">
      <w:start w:val="1"/>
      <w:numFmt w:val="decimal"/>
      <w:lvlText w:val="%4."/>
      <w:lvlJc w:val="left"/>
      <w:pPr>
        <w:ind w:left="2880" w:hanging="360"/>
      </w:pPr>
    </w:lvl>
    <w:lvl w:ilvl="4" w:tplc="A39622D6" w:tentative="1">
      <w:start w:val="1"/>
      <w:numFmt w:val="lowerLetter"/>
      <w:lvlText w:val="%5."/>
      <w:lvlJc w:val="left"/>
      <w:pPr>
        <w:ind w:left="3600" w:hanging="360"/>
      </w:pPr>
    </w:lvl>
    <w:lvl w:ilvl="5" w:tplc="BA7A5A28" w:tentative="1">
      <w:start w:val="1"/>
      <w:numFmt w:val="lowerRoman"/>
      <w:lvlText w:val="%6."/>
      <w:lvlJc w:val="right"/>
      <w:pPr>
        <w:ind w:left="4320" w:hanging="180"/>
      </w:pPr>
    </w:lvl>
    <w:lvl w:ilvl="6" w:tplc="3E28E6C0" w:tentative="1">
      <w:start w:val="1"/>
      <w:numFmt w:val="decimal"/>
      <w:lvlText w:val="%7."/>
      <w:lvlJc w:val="left"/>
      <w:pPr>
        <w:ind w:left="5040" w:hanging="360"/>
      </w:pPr>
    </w:lvl>
    <w:lvl w:ilvl="7" w:tplc="ED2E9824" w:tentative="1">
      <w:start w:val="1"/>
      <w:numFmt w:val="lowerLetter"/>
      <w:lvlText w:val="%8."/>
      <w:lvlJc w:val="left"/>
      <w:pPr>
        <w:ind w:left="5760" w:hanging="360"/>
      </w:pPr>
    </w:lvl>
    <w:lvl w:ilvl="8" w:tplc="10B07908" w:tentative="1">
      <w:start w:val="1"/>
      <w:numFmt w:val="lowerRoman"/>
      <w:lvlText w:val="%9."/>
      <w:lvlJc w:val="right"/>
      <w:pPr>
        <w:ind w:left="6480" w:hanging="180"/>
      </w:pPr>
    </w:lvl>
  </w:abstractNum>
  <w:abstractNum w:abstractNumId="1" w15:restartNumberingAfterBreak="0">
    <w:nsid w:val="217D6E32"/>
    <w:multiLevelType w:val="hybridMultilevel"/>
    <w:tmpl w:val="9F70F1A2"/>
    <w:lvl w:ilvl="0" w:tplc="E4008CF6">
      <w:start w:val="1"/>
      <w:numFmt w:val="decimal"/>
      <w:lvlText w:val="%1."/>
      <w:lvlJc w:val="left"/>
      <w:pPr>
        <w:ind w:left="720" w:hanging="360"/>
      </w:pPr>
    </w:lvl>
    <w:lvl w:ilvl="1" w:tplc="27A66BD6" w:tentative="1">
      <w:start w:val="1"/>
      <w:numFmt w:val="lowerLetter"/>
      <w:lvlText w:val="%2."/>
      <w:lvlJc w:val="left"/>
      <w:pPr>
        <w:ind w:left="1440" w:hanging="360"/>
      </w:pPr>
    </w:lvl>
    <w:lvl w:ilvl="2" w:tplc="4F32B01A" w:tentative="1">
      <w:start w:val="1"/>
      <w:numFmt w:val="lowerRoman"/>
      <w:lvlText w:val="%3."/>
      <w:lvlJc w:val="right"/>
      <w:pPr>
        <w:ind w:left="2160" w:hanging="180"/>
      </w:pPr>
    </w:lvl>
    <w:lvl w:ilvl="3" w:tplc="7B70D568" w:tentative="1">
      <w:start w:val="1"/>
      <w:numFmt w:val="decimal"/>
      <w:lvlText w:val="%4."/>
      <w:lvlJc w:val="left"/>
      <w:pPr>
        <w:ind w:left="2880" w:hanging="360"/>
      </w:pPr>
    </w:lvl>
    <w:lvl w:ilvl="4" w:tplc="7AE06334" w:tentative="1">
      <w:start w:val="1"/>
      <w:numFmt w:val="lowerLetter"/>
      <w:lvlText w:val="%5."/>
      <w:lvlJc w:val="left"/>
      <w:pPr>
        <w:ind w:left="3600" w:hanging="360"/>
      </w:pPr>
    </w:lvl>
    <w:lvl w:ilvl="5" w:tplc="4BD8175E" w:tentative="1">
      <w:start w:val="1"/>
      <w:numFmt w:val="lowerRoman"/>
      <w:lvlText w:val="%6."/>
      <w:lvlJc w:val="right"/>
      <w:pPr>
        <w:ind w:left="4320" w:hanging="180"/>
      </w:pPr>
    </w:lvl>
    <w:lvl w:ilvl="6" w:tplc="CC103C0A" w:tentative="1">
      <w:start w:val="1"/>
      <w:numFmt w:val="decimal"/>
      <w:lvlText w:val="%7."/>
      <w:lvlJc w:val="left"/>
      <w:pPr>
        <w:ind w:left="5040" w:hanging="360"/>
      </w:pPr>
    </w:lvl>
    <w:lvl w:ilvl="7" w:tplc="CE7E7276" w:tentative="1">
      <w:start w:val="1"/>
      <w:numFmt w:val="lowerLetter"/>
      <w:lvlText w:val="%8."/>
      <w:lvlJc w:val="left"/>
      <w:pPr>
        <w:ind w:left="5760" w:hanging="360"/>
      </w:pPr>
    </w:lvl>
    <w:lvl w:ilvl="8" w:tplc="86AE4D16" w:tentative="1">
      <w:start w:val="1"/>
      <w:numFmt w:val="lowerRoman"/>
      <w:lvlText w:val="%9."/>
      <w:lvlJc w:val="right"/>
      <w:pPr>
        <w:ind w:left="6480" w:hanging="180"/>
      </w:pPr>
    </w:lvl>
  </w:abstractNum>
  <w:abstractNum w:abstractNumId="2" w15:restartNumberingAfterBreak="0">
    <w:nsid w:val="2E3F6C30"/>
    <w:multiLevelType w:val="hybridMultilevel"/>
    <w:tmpl w:val="71BE0E44"/>
    <w:lvl w:ilvl="0" w:tplc="7A84984A">
      <w:start w:val="1"/>
      <w:numFmt w:val="decimal"/>
      <w:lvlText w:val="%1."/>
      <w:lvlJc w:val="left"/>
      <w:pPr>
        <w:ind w:left="720" w:hanging="360"/>
      </w:pPr>
    </w:lvl>
    <w:lvl w:ilvl="1" w:tplc="C99A9D06" w:tentative="1">
      <w:start w:val="1"/>
      <w:numFmt w:val="lowerLetter"/>
      <w:lvlText w:val="%2."/>
      <w:lvlJc w:val="left"/>
      <w:pPr>
        <w:ind w:left="1440" w:hanging="360"/>
      </w:pPr>
    </w:lvl>
    <w:lvl w:ilvl="2" w:tplc="9D7AD41C" w:tentative="1">
      <w:start w:val="1"/>
      <w:numFmt w:val="lowerRoman"/>
      <w:lvlText w:val="%3."/>
      <w:lvlJc w:val="right"/>
      <w:pPr>
        <w:ind w:left="2160" w:hanging="180"/>
      </w:pPr>
    </w:lvl>
    <w:lvl w:ilvl="3" w:tplc="D1E6E40A" w:tentative="1">
      <w:start w:val="1"/>
      <w:numFmt w:val="decimal"/>
      <w:lvlText w:val="%4."/>
      <w:lvlJc w:val="left"/>
      <w:pPr>
        <w:ind w:left="2880" w:hanging="360"/>
      </w:pPr>
    </w:lvl>
    <w:lvl w:ilvl="4" w:tplc="16E2584A" w:tentative="1">
      <w:start w:val="1"/>
      <w:numFmt w:val="lowerLetter"/>
      <w:lvlText w:val="%5."/>
      <w:lvlJc w:val="left"/>
      <w:pPr>
        <w:ind w:left="3600" w:hanging="360"/>
      </w:pPr>
    </w:lvl>
    <w:lvl w:ilvl="5" w:tplc="867CB190" w:tentative="1">
      <w:start w:val="1"/>
      <w:numFmt w:val="lowerRoman"/>
      <w:lvlText w:val="%6."/>
      <w:lvlJc w:val="right"/>
      <w:pPr>
        <w:ind w:left="4320" w:hanging="180"/>
      </w:pPr>
    </w:lvl>
    <w:lvl w:ilvl="6" w:tplc="4EF478E4" w:tentative="1">
      <w:start w:val="1"/>
      <w:numFmt w:val="decimal"/>
      <w:lvlText w:val="%7."/>
      <w:lvlJc w:val="left"/>
      <w:pPr>
        <w:ind w:left="5040" w:hanging="360"/>
      </w:pPr>
    </w:lvl>
    <w:lvl w:ilvl="7" w:tplc="5DBED680" w:tentative="1">
      <w:start w:val="1"/>
      <w:numFmt w:val="lowerLetter"/>
      <w:lvlText w:val="%8."/>
      <w:lvlJc w:val="left"/>
      <w:pPr>
        <w:ind w:left="5760" w:hanging="360"/>
      </w:pPr>
    </w:lvl>
    <w:lvl w:ilvl="8" w:tplc="6570EFE8" w:tentative="1">
      <w:start w:val="1"/>
      <w:numFmt w:val="lowerRoman"/>
      <w:lvlText w:val="%9."/>
      <w:lvlJc w:val="right"/>
      <w:pPr>
        <w:ind w:left="6480" w:hanging="180"/>
      </w:pPr>
    </w:lvl>
  </w:abstractNum>
  <w:num w:numId="1" w16cid:durableId="1988362256">
    <w:abstractNumId w:val="0"/>
  </w:num>
  <w:num w:numId="2" w16cid:durableId="333803172">
    <w:abstractNumId w:val="1"/>
  </w:num>
  <w:num w:numId="3" w16cid:durableId="2040352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E4A"/>
    <w:rsid w:val="00004E53"/>
    <w:rsid w:val="00007D57"/>
    <w:rsid w:val="000341F9"/>
    <w:rsid w:val="00036BC9"/>
    <w:rsid w:val="000503CE"/>
    <w:rsid w:val="00053319"/>
    <w:rsid w:val="00057642"/>
    <w:rsid w:val="00147270"/>
    <w:rsid w:val="00155CFD"/>
    <w:rsid w:val="001D3B3E"/>
    <w:rsid w:val="00243944"/>
    <w:rsid w:val="0026650C"/>
    <w:rsid w:val="00337CE3"/>
    <w:rsid w:val="00375F87"/>
    <w:rsid w:val="003D2396"/>
    <w:rsid w:val="003F2B2A"/>
    <w:rsid w:val="004108D3"/>
    <w:rsid w:val="00420623"/>
    <w:rsid w:val="00444711"/>
    <w:rsid w:val="00444BBF"/>
    <w:rsid w:val="004879FF"/>
    <w:rsid w:val="004D34EC"/>
    <w:rsid w:val="004E5F35"/>
    <w:rsid w:val="005562C3"/>
    <w:rsid w:val="005833FB"/>
    <w:rsid w:val="005D7AE8"/>
    <w:rsid w:val="005F24F3"/>
    <w:rsid w:val="00625567"/>
    <w:rsid w:val="006A3166"/>
    <w:rsid w:val="0076762C"/>
    <w:rsid w:val="00785915"/>
    <w:rsid w:val="00797C9E"/>
    <w:rsid w:val="00797D08"/>
    <w:rsid w:val="007E70B9"/>
    <w:rsid w:val="00811714"/>
    <w:rsid w:val="00812A09"/>
    <w:rsid w:val="00873892"/>
    <w:rsid w:val="008834FB"/>
    <w:rsid w:val="00884188"/>
    <w:rsid w:val="00954863"/>
    <w:rsid w:val="00A11FD0"/>
    <w:rsid w:val="00A34ED0"/>
    <w:rsid w:val="00A361B8"/>
    <w:rsid w:val="00A61CD2"/>
    <w:rsid w:val="00A76789"/>
    <w:rsid w:val="00A94E67"/>
    <w:rsid w:val="00B53D1D"/>
    <w:rsid w:val="00BC12F5"/>
    <w:rsid w:val="00BE0D6E"/>
    <w:rsid w:val="00C126E5"/>
    <w:rsid w:val="00D4510A"/>
    <w:rsid w:val="00D8489B"/>
    <w:rsid w:val="00D95BA4"/>
    <w:rsid w:val="00DB5E4A"/>
    <w:rsid w:val="00DD66FB"/>
    <w:rsid w:val="00DE45B0"/>
    <w:rsid w:val="00E15384"/>
    <w:rsid w:val="00E2265F"/>
    <w:rsid w:val="00E665B8"/>
    <w:rsid w:val="00E85646"/>
    <w:rsid w:val="00E87D8F"/>
    <w:rsid w:val="00EF755F"/>
    <w:rsid w:val="00F151D0"/>
    <w:rsid w:val="00F9763D"/>
    <w:rsid w:val="00FA008C"/>
    <w:rsid w:val="00FA5C6A"/>
    <w:rsid w:val="00FA6023"/>
    <w:rsid w:val="00FD2321"/>
    <w:rsid w:val="00FF206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90F68"/>
  <w15:chartTrackingRefBased/>
  <w15:docId w15:val="{AA552603-E655-446A-8265-1292D7497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1B8"/>
    <w:pPr>
      <w:spacing w:before="120" w:after="120" w:line="360" w:lineRule="auto"/>
      <w:jc w:val="both"/>
    </w:pPr>
    <w:rPr>
      <w:rFonts w:ascii="Times New Roman" w:hAnsi="Times New Roman" w:cs="Times New Roman"/>
      <w:kern w:val="0"/>
      <w:sz w:val="24"/>
      <w:lang w:val="en-GB" w:eastAsia="en-GB"/>
      <w14:ligatures w14:val="none"/>
    </w:rPr>
  </w:style>
  <w:style w:type="paragraph" w:styleId="Heading1">
    <w:name w:val="heading 1"/>
    <w:basedOn w:val="Normal"/>
    <w:next w:val="Normal"/>
    <w:link w:val="Heading1Char"/>
    <w:autoRedefine/>
    <w:uiPriority w:val="9"/>
    <w:qFormat/>
    <w:rsid w:val="00A361B8"/>
    <w:pPr>
      <w:keepNext/>
      <w:keepLines/>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375F87"/>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1B8"/>
    <w:rPr>
      <w:rFonts w:ascii="Times New Roman" w:eastAsiaTheme="majorEastAsia" w:hAnsi="Times New Roman" w:cstheme="majorBidi"/>
      <w:b/>
      <w:kern w:val="0"/>
      <w:sz w:val="24"/>
      <w:szCs w:val="32"/>
      <w:lang w:val="en-GB" w:eastAsia="en-GB"/>
      <w14:ligatures w14:val="none"/>
    </w:rPr>
  </w:style>
  <w:style w:type="character" w:customStyle="1" w:styleId="Heading2Char">
    <w:name w:val="Heading 2 Char"/>
    <w:basedOn w:val="DefaultParagraphFont"/>
    <w:link w:val="Heading2"/>
    <w:uiPriority w:val="9"/>
    <w:rsid w:val="00375F87"/>
    <w:rPr>
      <w:rFonts w:ascii="Times New Roman" w:eastAsiaTheme="majorEastAsia" w:hAnsi="Times New Roman" w:cstheme="majorBidi"/>
      <w:b/>
      <w:sz w:val="24"/>
      <w:szCs w:val="26"/>
      <w:lang w:val="en-GB"/>
    </w:rPr>
  </w:style>
  <w:style w:type="paragraph" w:styleId="Title">
    <w:name w:val="Title"/>
    <w:basedOn w:val="Normal"/>
    <w:next w:val="Normal"/>
    <w:link w:val="TitleChar"/>
    <w:autoRedefine/>
    <w:uiPriority w:val="10"/>
    <w:qFormat/>
    <w:rsid w:val="00B53D1D"/>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B53D1D"/>
    <w:rPr>
      <w:rFonts w:ascii="Times New Roman" w:eastAsiaTheme="majorEastAsia" w:hAnsi="Times New Roman" w:cstheme="majorBidi"/>
      <w:b/>
      <w:spacing w:val="-10"/>
      <w:kern w:val="28"/>
      <w:sz w:val="36"/>
      <w:szCs w:val="56"/>
    </w:rPr>
  </w:style>
  <w:style w:type="paragraph" w:styleId="Header">
    <w:name w:val="header"/>
    <w:basedOn w:val="Normal"/>
    <w:link w:val="HeaderChar"/>
    <w:uiPriority w:val="99"/>
    <w:unhideWhenUsed/>
    <w:rsid w:val="004447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44711"/>
    <w:rPr>
      <w:rFonts w:ascii="Times New Roman" w:hAnsi="Times New Roman" w:cs="Times New Roman"/>
      <w:kern w:val="0"/>
      <w:sz w:val="24"/>
      <w:lang w:val="en-GB" w:eastAsia="en-GB"/>
      <w14:ligatures w14:val="none"/>
    </w:rPr>
  </w:style>
  <w:style w:type="paragraph" w:styleId="Footer">
    <w:name w:val="footer"/>
    <w:basedOn w:val="Normal"/>
    <w:link w:val="FooterChar"/>
    <w:uiPriority w:val="99"/>
    <w:unhideWhenUsed/>
    <w:rsid w:val="0044471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44711"/>
    <w:rPr>
      <w:rFonts w:ascii="Times New Roman" w:hAnsi="Times New Roman" w:cs="Times New Roman"/>
      <w:kern w:val="0"/>
      <w:sz w:val="24"/>
      <w:lang w:val="en-GB" w:eastAsia="en-GB"/>
      <w14:ligatures w14:val="none"/>
    </w:rPr>
  </w:style>
  <w:style w:type="paragraph" w:styleId="TOCHeading">
    <w:name w:val="TOC Heading"/>
    <w:basedOn w:val="Heading1"/>
    <w:next w:val="Normal"/>
    <w:uiPriority w:val="39"/>
    <w:unhideWhenUsed/>
    <w:qFormat/>
    <w:rsid w:val="00444711"/>
    <w:pPr>
      <w:spacing w:after="0"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0503CE"/>
    <w:pPr>
      <w:spacing w:after="100"/>
    </w:pPr>
  </w:style>
  <w:style w:type="character" w:styleId="Hyperlink">
    <w:name w:val="Hyperlink"/>
    <w:basedOn w:val="DefaultParagraphFont"/>
    <w:uiPriority w:val="99"/>
    <w:unhideWhenUsed/>
    <w:rsid w:val="000503CE"/>
    <w:rPr>
      <w:color w:val="0563C1" w:themeColor="hyperlink"/>
      <w:u w:val="single"/>
    </w:rPr>
  </w:style>
  <w:style w:type="character" w:customStyle="1" w:styleId="UnresolvedMention1">
    <w:name w:val="Unresolved Mention1"/>
    <w:basedOn w:val="DefaultParagraphFont"/>
    <w:uiPriority w:val="99"/>
    <w:semiHidden/>
    <w:unhideWhenUsed/>
    <w:rsid w:val="00A361B8"/>
    <w:rPr>
      <w:color w:val="605E5C"/>
      <w:shd w:val="clear" w:color="auto" w:fill="E1DFDD"/>
    </w:rPr>
  </w:style>
  <w:style w:type="paragraph" w:styleId="ListParagraph">
    <w:name w:val="List Paragraph"/>
    <w:basedOn w:val="Normal"/>
    <w:uiPriority w:val="34"/>
    <w:qFormat/>
    <w:rsid w:val="00BE0D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A12B0BD-86C1-49CA-A00D-8124080B6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2745</Words>
  <Characters>15649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Casiana Danci</cp:lastModifiedBy>
  <cp:revision>8</cp:revision>
  <dcterms:created xsi:type="dcterms:W3CDTF">2023-07-21T10:03:00Z</dcterms:created>
  <dcterms:modified xsi:type="dcterms:W3CDTF">2023-07-23T20:34:00Z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2dc6a3a8-cfb7-4fab-ba28-f942691824b0</vt:lpwstr>
  </property>
</Properties>
</file>