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21BB5" w14:textId="63A21A2F" w:rsidR="47C73664" w:rsidRDefault="3B729F70" w:rsidP="51C3EAAF">
      <w:pPr>
        <w:pStyle w:val="Heading1"/>
        <w:rPr>
          <w:rFonts w:ascii="Arial" w:eastAsia="Arial" w:hAnsi="Arial" w:cs="Arial"/>
          <w:sz w:val="28"/>
          <w:szCs w:val="28"/>
        </w:rPr>
      </w:pPr>
      <w:r w:rsidRPr="51C3EAAF">
        <w:rPr>
          <w:rFonts w:ascii="Arial" w:eastAsia="Arial" w:hAnsi="Arial" w:cs="Arial"/>
          <w:sz w:val="28"/>
          <w:szCs w:val="28"/>
        </w:rPr>
        <w:t>5.0 DEVELOPMENT CONSTRAINTS</w:t>
      </w:r>
    </w:p>
    <w:p w14:paraId="7875B3BC" w14:textId="076F78A5" w:rsidR="47C73664" w:rsidRDefault="3B729F70" w:rsidP="51C3EAAF">
      <w:pPr>
        <w:pStyle w:val="Heading2"/>
        <w:spacing w:line="360" w:lineRule="auto"/>
        <w:rPr>
          <w:rFonts w:ascii="Arial" w:eastAsia="Arial" w:hAnsi="Arial" w:cs="Arial"/>
          <w:sz w:val="24"/>
          <w:szCs w:val="24"/>
        </w:rPr>
      </w:pPr>
      <w:r w:rsidRPr="51C3EAAF">
        <w:rPr>
          <w:rFonts w:ascii="Arial" w:eastAsia="Arial" w:hAnsi="Arial" w:cs="Arial"/>
          <w:sz w:val="24"/>
          <w:szCs w:val="24"/>
        </w:rPr>
        <w:t>5.1 Conservation Area &amp; Associated Information</w:t>
      </w:r>
    </w:p>
    <w:p w14:paraId="1A7C2DA3" w14:textId="013FFFA9" w:rsidR="47C73664" w:rsidRDefault="3B729F70" w:rsidP="51C3EAAF">
      <w:pPr>
        <w:spacing w:line="360" w:lineRule="auto"/>
        <w:rPr>
          <w:rFonts w:ascii="Arial" w:eastAsia="Arial" w:hAnsi="Arial" w:cs="Arial"/>
          <w:color w:val="000000" w:themeColor="text1"/>
        </w:rPr>
      </w:pPr>
      <w:r>
        <w:rPr>
          <w:noProof/>
        </w:rPr>
        <w:drawing>
          <wp:inline distT="0" distB="0" distL="0" distR="0" wp14:anchorId="6F649E72" wp14:editId="42D53B77">
            <wp:extent cx="4905376" cy="2952750"/>
            <wp:effectExtent l="0" t="0" r="0" b="0"/>
            <wp:docPr id="775456741" name="Picture 775456741" descr="A map of a city&#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905376" cy="2952750"/>
                    </a:xfrm>
                    <a:prstGeom prst="rect">
                      <a:avLst/>
                    </a:prstGeom>
                  </pic:spPr>
                </pic:pic>
              </a:graphicData>
            </a:graphic>
          </wp:inline>
        </w:drawing>
      </w:r>
      <w:r w:rsidRPr="51C3EAAF">
        <w:rPr>
          <w:rFonts w:ascii="Arial" w:eastAsia="Arial" w:hAnsi="Arial" w:cs="Arial"/>
          <w:color w:val="000000" w:themeColor="text1"/>
        </w:rPr>
        <w:t xml:space="preserve">The area of development is not within a conservation area, the below map has been obtained identifying the conservation area within Merthyr to which the Glebeland site is not incorporated within this boundary. </w:t>
      </w:r>
    </w:p>
    <w:p w14:paraId="7728ACCA" w14:textId="0B5430E1" w:rsidR="47C73664" w:rsidRDefault="3B729F70" w:rsidP="51C3EAAF">
      <w:pPr>
        <w:spacing w:line="360" w:lineRule="auto"/>
        <w:rPr>
          <w:rFonts w:ascii="Arial" w:eastAsia="Arial" w:hAnsi="Arial" w:cs="Arial"/>
          <w:color w:val="156082" w:themeColor="accent1"/>
        </w:rPr>
      </w:pPr>
      <w:r>
        <w:rPr>
          <w:noProof/>
        </w:rPr>
        <w:drawing>
          <wp:inline distT="0" distB="0" distL="0" distR="0" wp14:anchorId="05DAA94F" wp14:editId="7A2D035F">
            <wp:extent cx="5105402" cy="3000375"/>
            <wp:effectExtent l="0" t="0" r="0" b="0"/>
            <wp:docPr id="583766682" name="Picture 583766682" descr="A map of a neighborhood&#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105402" cy="3000375"/>
                    </a:xfrm>
                    <a:prstGeom prst="rect">
                      <a:avLst/>
                    </a:prstGeom>
                  </pic:spPr>
                </pic:pic>
              </a:graphicData>
            </a:graphic>
          </wp:inline>
        </w:drawing>
      </w:r>
      <w:r w:rsidRPr="51C3EAAF">
        <w:rPr>
          <w:rFonts w:ascii="Arial" w:eastAsia="Arial" w:hAnsi="Arial" w:cs="Arial"/>
          <w:color w:val="156082" w:themeColor="accent1"/>
        </w:rPr>
        <w:t xml:space="preserve">Figure 8 – Conservation Area Boundary </w:t>
      </w:r>
    </w:p>
    <w:p w14:paraId="0ABD2BCF" w14:textId="1DD5F1A6" w:rsidR="47C73664" w:rsidRDefault="3B729F70" w:rsidP="51C3EAAF">
      <w:pPr>
        <w:rPr>
          <w:rFonts w:ascii="Arial" w:eastAsia="Arial" w:hAnsi="Arial" w:cs="Arial"/>
          <w:color w:val="0F4761" w:themeColor="accent1" w:themeShade="BF"/>
        </w:rPr>
      </w:pPr>
      <w:r w:rsidRPr="51C3EAAF">
        <w:rPr>
          <w:rFonts w:ascii="Arial" w:eastAsia="Arial" w:hAnsi="Arial" w:cs="Arial"/>
          <w:color w:val="156082" w:themeColor="accent1"/>
        </w:rPr>
        <w:t xml:space="preserve">Figure 9 – Conservation Area (Site Identification) </w:t>
      </w:r>
    </w:p>
    <w:p w14:paraId="330E9737" w14:textId="49BE5EE8" w:rsidR="47C73664" w:rsidRDefault="3B729F70" w:rsidP="51C3EAAF">
      <w:pPr>
        <w:pStyle w:val="Heading3"/>
        <w:spacing w:line="360" w:lineRule="auto"/>
        <w:rPr>
          <w:rFonts w:ascii="Arial" w:eastAsia="Arial" w:hAnsi="Arial" w:cs="Arial"/>
          <w:sz w:val="24"/>
          <w:szCs w:val="24"/>
        </w:rPr>
      </w:pPr>
      <w:r w:rsidRPr="51C3EAAF">
        <w:rPr>
          <w:rFonts w:ascii="Arial" w:eastAsia="Arial" w:hAnsi="Arial" w:cs="Arial"/>
          <w:sz w:val="24"/>
          <w:szCs w:val="24"/>
        </w:rPr>
        <w:lastRenderedPageBreak/>
        <w:t xml:space="preserve">5.11 CADW Information </w:t>
      </w:r>
    </w:p>
    <w:p w14:paraId="4ECDC48C" w14:textId="491E78CF" w:rsidR="47C73664" w:rsidRDefault="3B729F70" w:rsidP="51C3EAAF">
      <w:pPr>
        <w:spacing w:line="360" w:lineRule="auto"/>
        <w:jc w:val="both"/>
        <w:rPr>
          <w:rFonts w:ascii="Arial" w:eastAsia="Arial" w:hAnsi="Arial" w:cs="Arial"/>
          <w:color w:val="000000" w:themeColor="text1"/>
        </w:rPr>
      </w:pPr>
      <w:r w:rsidRPr="51C3EAAF">
        <w:rPr>
          <w:rFonts w:ascii="Arial" w:eastAsia="Arial" w:hAnsi="Arial" w:cs="Arial"/>
          <w:color w:val="000000" w:themeColor="text1"/>
        </w:rPr>
        <w:t xml:space="preserve">Identified above that the development site is not within a conservation area, information has still been obtained from CADW which will be of benefit within the design / planning process. The listed buildings and scheduled ancient monuments adjacent to the site have all been identified: </w:t>
      </w:r>
    </w:p>
    <w:p w14:paraId="47A7C53F" w14:textId="6410E1D8" w:rsidR="47C73664" w:rsidRDefault="3B729F70" w:rsidP="51C3EAAF">
      <w:pPr>
        <w:spacing w:line="360" w:lineRule="auto"/>
        <w:rPr>
          <w:rFonts w:ascii="Arial" w:eastAsia="Arial" w:hAnsi="Arial" w:cs="Arial"/>
          <w:color w:val="000000" w:themeColor="text1"/>
        </w:rPr>
      </w:pPr>
      <w:r>
        <w:rPr>
          <w:noProof/>
        </w:rPr>
        <w:drawing>
          <wp:inline distT="0" distB="0" distL="0" distR="0" wp14:anchorId="3754CB0C" wp14:editId="3C69A950">
            <wp:extent cx="5581648" cy="3429000"/>
            <wp:effectExtent l="0" t="0" r="0" b="0"/>
            <wp:docPr id="1184610912" name="Picture 1184610912" descr="A map of a city&#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581648" cy="3429000"/>
                    </a:xfrm>
                    <a:prstGeom prst="rect">
                      <a:avLst/>
                    </a:prstGeom>
                  </pic:spPr>
                </pic:pic>
              </a:graphicData>
            </a:graphic>
          </wp:inline>
        </w:drawing>
      </w:r>
      <w:r w:rsidRPr="51C3EAAF">
        <w:rPr>
          <w:rFonts w:ascii="Arial" w:eastAsia="Arial" w:hAnsi="Arial" w:cs="Arial"/>
          <w:color w:val="000000" w:themeColor="text1"/>
        </w:rPr>
        <w:t xml:space="preserve"> </w:t>
      </w:r>
    </w:p>
    <w:p w14:paraId="09A19CFF" w14:textId="6FABD27D" w:rsidR="47C73664" w:rsidRDefault="3B729F70" w:rsidP="51C3EAAF">
      <w:pPr>
        <w:spacing w:line="360" w:lineRule="auto"/>
        <w:rPr>
          <w:rFonts w:ascii="Arial" w:eastAsia="Arial" w:hAnsi="Arial" w:cs="Arial"/>
          <w:color w:val="156082" w:themeColor="accent1"/>
        </w:rPr>
      </w:pPr>
      <w:r w:rsidRPr="51C3EAAF">
        <w:rPr>
          <w:rFonts w:ascii="Arial" w:eastAsia="Arial" w:hAnsi="Arial" w:cs="Arial"/>
          <w:color w:val="156082" w:themeColor="accent1"/>
        </w:rPr>
        <w:t xml:space="preserve">Figure 10 – Listed Buildings &amp; Scheduled Ancient Monuments </w:t>
      </w:r>
    </w:p>
    <w:p w14:paraId="7E9D6E8E" w14:textId="75DC40ED" w:rsidR="47C73664" w:rsidRDefault="3B729F70" w:rsidP="51C3EAAF">
      <w:pPr>
        <w:spacing w:line="360" w:lineRule="auto"/>
        <w:rPr>
          <w:rFonts w:ascii="Arial" w:eastAsia="Arial" w:hAnsi="Arial" w:cs="Arial"/>
          <w:color w:val="000000" w:themeColor="text1"/>
        </w:rPr>
      </w:pPr>
      <w:r w:rsidRPr="51C3EAAF">
        <w:rPr>
          <w:rFonts w:ascii="Arial" w:eastAsia="Arial" w:hAnsi="Arial" w:cs="Arial"/>
          <w:color w:val="000000" w:themeColor="text1"/>
          <w:u w:val="single"/>
        </w:rPr>
        <w:t>Key:</w:t>
      </w:r>
    </w:p>
    <w:p w14:paraId="3A650B70" w14:textId="3F2F1ED7" w:rsidR="47C73664" w:rsidRDefault="3B729F70" w:rsidP="51C3EAAF">
      <w:pPr>
        <w:spacing w:line="360" w:lineRule="auto"/>
        <w:ind w:firstLine="720"/>
        <w:rPr>
          <w:rFonts w:ascii="Arial" w:eastAsia="Arial" w:hAnsi="Arial" w:cs="Arial"/>
          <w:color w:val="000000" w:themeColor="text1"/>
        </w:rPr>
      </w:pPr>
      <w:r>
        <w:rPr>
          <w:noProof/>
        </w:rPr>
        <w:drawing>
          <wp:inline distT="0" distB="0" distL="0" distR="0" wp14:anchorId="7D6FB6BE" wp14:editId="05A8F074">
            <wp:extent cx="390525" cy="333375"/>
            <wp:effectExtent l="0" t="0" r="0" b="0"/>
            <wp:docPr id="542055664" name="Picture 542055664" descr="Rectangle 38,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90525" cy="333375"/>
                    </a:xfrm>
                    <a:prstGeom prst="rect">
                      <a:avLst/>
                    </a:prstGeom>
                  </pic:spPr>
                </pic:pic>
              </a:graphicData>
            </a:graphic>
          </wp:inline>
        </w:drawing>
      </w:r>
      <w:r>
        <w:rPr>
          <w:noProof/>
        </w:rPr>
        <w:drawing>
          <wp:inline distT="0" distB="0" distL="0" distR="0" wp14:anchorId="0CBE3ECC" wp14:editId="0A182C81">
            <wp:extent cx="161925" cy="161925"/>
            <wp:effectExtent l="0" t="0" r="0" b="0"/>
            <wp:docPr id="833498281" name="Picture 833498281" descr="Oval 37,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161925" cy="161925"/>
                    </a:xfrm>
                    <a:prstGeom prst="rect">
                      <a:avLst/>
                    </a:prstGeom>
                  </pic:spPr>
                </pic:pic>
              </a:graphicData>
            </a:graphic>
          </wp:inline>
        </w:drawing>
      </w:r>
      <w:r w:rsidRPr="51C3EAAF">
        <w:rPr>
          <w:rFonts w:ascii="Arial" w:eastAsia="Arial" w:hAnsi="Arial" w:cs="Arial"/>
          <w:color w:val="000000" w:themeColor="text1"/>
        </w:rPr>
        <w:t>Listed Buildings</w:t>
      </w:r>
    </w:p>
    <w:p w14:paraId="71F9A8EA" w14:textId="234E6639" w:rsidR="47C73664" w:rsidRDefault="3B729F70" w:rsidP="51C3EAAF">
      <w:pPr>
        <w:spacing w:line="360" w:lineRule="auto"/>
        <w:ind w:firstLine="720"/>
        <w:rPr>
          <w:rFonts w:ascii="Arial" w:eastAsia="Arial" w:hAnsi="Arial" w:cs="Arial"/>
          <w:color w:val="000000" w:themeColor="text1"/>
        </w:rPr>
      </w:pPr>
      <w:r w:rsidRPr="51C3EAAF">
        <w:rPr>
          <w:rFonts w:ascii="Arial" w:eastAsia="Arial" w:hAnsi="Arial" w:cs="Arial"/>
          <w:color w:val="000000" w:themeColor="text1"/>
        </w:rPr>
        <w:t>Scheduled Ancient Monuments</w:t>
      </w:r>
    </w:p>
    <w:p w14:paraId="5D8168EB" w14:textId="13EEF2FB" w:rsidR="47C73664" w:rsidRDefault="47C73664" w:rsidP="51C3EAAF">
      <w:pPr>
        <w:rPr>
          <w:rFonts w:ascii="Arial" w:eastAsia="Arial" w:hAnsi="Arial" w:cs="Arial"/>
          <w:color w:val="000000" w:themeColor="text1"/>
        </w:rPr>
      </w:pPr>
    </w:p>
    <w:p w14:paraId="00AFAE40" w14:textId="3BEDB6C1" w:rsidR="47C73664" w:rsidRDefault="3B729F70" w:rsidP="51C3EAAF">
      <w:pPr>
        <w:pStyle w:val="Heading3"/>
        <w:rPr>
          <w:rFonts w:ascii="Arial" w:eastAsia="Arial" w:hAnsi="Arial" w:cs="Arial"/>
          <w:sz w:val="24"/>
          <w:szCs w:val="24"/>
        </w:rPr>
      </w:pPr>
      <w:r w:rsidRPr="51C3EAAF">
        <w:rPr>
          <w:rFonts w:ascii="Arial" w:eastAsia="Arial" w:hAnsi="Arial" w:cs="Arial"/>
          <w:sz w:val="24"/>
          <w:szCs w:val="24"/>
        </w:rPr>
        <w:lastRenderedPageBreak/>
        <w:t>5.12 Tree Preservation Orders (TPO)</w:t>
      </w:r>
    </w:p>
    <w:p w14:paraId="68A36969" w14:textId="6B1A2A9B" w:rsidR="47C73664" w:rsidRDefault="3B729F70" w:rsidP="51C3EAAF">
      <w:pPr>
        <w:spacing w:line="360" w:lineRule="auto"/>
        <w:rPr>
          <w:rFonts w:ascii="Arial" w:eastAsia="Arial" w:hAnsi="Arial" w:cs="Arial"/>
          <w:color w:val="000000" w:themeColor="text1"/>
        </w:rPr>
      </w:pPr>
      <w:r>
        <w:rPr>
          <w:noProof/>
        </w:rPr>
        <w:drawing>
          <wp:inline distT="0" distB="0" distL="0" distR="0" wp14:anchorId="2E729180" wp14:editId="500AD883">
            <wp:extent cx="5724524" cy="2219325"/>
            <wp:effectExtent l="0" t="0" r="0" b="0"/>
            <wp:docPr id="683740806" name="Picture 683740806" descr="A road with a gate and a fence&#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4524" cy="2219325"/>
                    </a:xfrm>
                    <a:prstGeom prst="rect">
                      <a:avLst/>
                    </a:prstGeom>
                  </pic:spPr>
                </pic:pic>
              </a:graphicData>
            </a:graphic>
          </wp:inline>
        </w:drawing>
      </w:r>
      <w:r w:rsidRPr="51C3EAAF">
        <w:rPr>
          <w:rFonts w:ascii="Arial" w:eastAsia="Arial" w:hAnsi="Arial" w:cs="Arial"/>
          <w:color w:val="000000" w:themeColor="text1"/>
        </w:rPr>
        <w:t>Within the site, there are currently two trees which would require taking down as part of the enabling works. Identified below is a view from Castle Street of the site with the trees being identified:</w:t>
      </w:r>
    </w:p>
    <w:p w14:paraId="2E0FB489" w14:textId="67700E1D" w:rsidR="47C73664" w:rsidRDefault="3B729F70" w:rsidP="51C3EAAF">
      <w:pPr>
        <w:spacing w:line="360" w:lineRule="auto"/>
        <w:jc w:val="both"/>
        <w:rPr>
          <w:rFonts w:ascii="Arial" w:eastAsia="Arial" w:hAnsi="Arial" w:cs="Arial"/>
          <w:color w:val="156082" w:themeColor="accent1"/>
        </w:rPr>
      </w:pPr>
      <w:r w:rsidRPr="51C3EAAF">
        <w:rPr>
          <w:rFonts w:ascii="Arial" w:eastAsia="Arial" w:hAnsi="Arial" w:cs="Arial"/>
          <w:color w:val="156082" w:themeColor="accent1"/>
        </w:rPr>
        <w:t>Figure 11 – Castle Street, Identification of trees on site</w:t>
      </w:r>
    </w:p>
    <w:p w14:paraId="39516F5A" w14:textId="6F187565" w:rsidR="47C73664" w:rsidRDefault="3B729F70" w:rsidP="51C3EAAF">
      <w:pPr>
        <w:spacing w:line="360" w:lineRule="auto"/>
        <w:jc w:val="both"/>
        <w:rPr>
          <w:rFonts w:ascii="Arial" w:eastAsia="Arial" w:hAnsi="Arial" w:cs="Arial"/>
          <w:color w:val="000000" w:themeColor="text1"/>
        </w:rPr>
      </w:pPr>
      <w:r>
        <w:rPr>
          <w:noProof/>
        </w:rPr>
        <w:drawing>
          <wp:inline distT="0" distB="0" distL="0" distR="0" wp14:anchorId="4CFE4292" wp14:editId="694325B7">
            <wp:extent cx="5448302" cy="3048000"/>
            <wp:effectExtent l="0" t="0" r="0" b="0"/>
            <wp:docPr id="744525448" name="Picture 744525448" descr="A map of a city&#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48302" cy="3048000"/>
                    </a:xfrm>
                    <a:prstGeom prst="rect">
                      <a:avLst/>
                    </a:prstGeom>
                  </pic:spPr>
                </pic:pic>
              </a:graphicData>
            </a:graphic>
          </wp:inline>
        </w:drawing>
      </w:r>
      <w:r w:rsidRPr="51C3EAAF">
        <w:rPr>
          <w:rFonts w:ascii="Arial" w:eastAsia="Arial" w:hAnsi="Arial" w:cs="Arial"/>
          <w:color w:val="000000" w:themeColor="text1"/>
        </w:rPr>
        <w:t xml:space="preserve">It has been investigated via a desktop TPO survey, that these trees do not have any preservation orders on them, which is identified from the map below. Within proximity and towards the South of the site, there are two trees with preservation orders on them to which consideration would be undertaken upon completion of the ground works that the roots are not disturbed: </w:t>
      </w:r>
    </w:p>
    <w:p w14:paraId="6133A223" w14:textId="492F6C72" w:rsidR="47C73664" w:rsidRDefault="3B729F70" w:rsidP="51C3EAAF">
      <w:pPr>
        <w:spacing w:line="360" w:lineRule="auto"/>
        <w:jc w:val="both"/>
        <w:rPr>
          <w:rFonts w:ascii="Arial" w:eastAsia="Arial" w:hAnsi="Arial" w:cs="Arial"/>
          <w:color w:val="156082" w:themeColor="accent1"/>
        </w:rPr>
      </w:pPr>
      <w:r w:rsidRPr="51C3EAAF">
        <w:rPr>
          <w:rFonts w:ascii="Arial" w:eastAsia="Arial" w:hAnsi="Arial" w:cs="Arial"/>
          <w:color w:val="156082" w:themeColor="accent1"/>
        </w:rPr>
        <w:t xml:space="preserve">Figure 12 – Tree Preservation Orders </w:t>
      </w:r>
    </w:p>
    <w:p w14:paraId="064A85CC" w14:textId="36DE5D3F" w:rsidR="47C73664" w:rsidRDefault="3B729F70" w:rsidP="51C3EAAF">
      <w:pPr>
        <w:spacing w:line="360" w:lineRule="auto"/>
        <w:jc w:val="both"/>
        <w:rPr>
          <w:rFonts w:ascii="Arial" w:eastAsia="Arial" w:hAnsi="Arial" w:cs="Arial"/>
          <w:color w:val="000000" w:themeColor="text1"/>
        </w:rPr>
      </w:pPr>
      <w:r w:rsidRPr="51C3EAAF">
        <w:rPr>
          <w:rFonts w:ascii="Arial" w:eastAsia="Arial" w:hAnsi="Arial" w:cs="Arial"/>
          <w:color w:val="000000" w:themeColor="text1"/>
        </w:rPr>
        <w:lastRenderedPageBreak/>
        <w:t>There have been four established trees noted to be on the site and following BS5837 a tree survey must be carried out to assess the impact redevelopment has and to minimise risk and protect the trees. The site is not in a conservation area and the trees do not fall under the protected trees category, according to the MTCBC TPO map. It should be noted, however, that the adjacent land to the South, where Poundland is located does have a TPO for the 2 trees located there. The tree survey will note any issues that the strengthening of foundations for the adjacent property will have on these trees and further works when carried out.</w:t>
      </w:r>
    </w:p>
    <w:p w14:paraId="2ADBE6DB" w14:textId="5C86B8E1" w:rsidR="47C73664" w:rsidRDefault="3B729F70" w:rsidP="51C3EAAF">
      <w:pPr>
        <w:pStyle w:val="Heading2"/>
        <w:rPr>
          <w:rFonts w:ascii="Arial" w:eastAsia="Arial" w:hAnsi="Arial" w:cs="Arial"/>
          <w:sz w:val="24"/>
          <w:szCs w:val="24"/>
        </w:rPr>
      </w:pPr>
      <w:r w:rsidRPr="51C3EAAF">
        <w:rPr>
          <w:rFonts w:ascii="Arial" w:eastAsia="Arial" w:hAnsi="Arial" w:cs="Arial"/>
          <w:sz w:val="24"/>
          <w:szCs w:val="24"/>
        </w:rPr>
        <w:t xml:space="preserve">5.2 Flood Consequence Assessment </w:t>
      </w:r>
    </w:p>
    <w:p w14:paraId="77C2E2C1" w14:textId="5BDB619F" w:rsidR="47C73664" w:rsidRDefault="3B729F70" w:rsidP="51C3EAAF">
      <w:pPr>
        <w:spacing w:line="360" w:lineRule="auto"/>
        <w:jc w:val="both"/>
        <w:rPr>
          <w:rFonts w:ascii="Arial" w:eastAsia="Arial" w:hAnsi="Arial" w:cs="Arial"/>
          <w:color w:val="000000" w:themeColor="text1"/>
        </w:rPr>
      </w:pPr>
      <w:r w:rsidRPr="51C3EAAF">
        <w:rPr>
          <w:rFonts w:ascii="Arial" w:eastAsia="Arial" w:hAnsi="Arial" w:cs="Arial"/>
          <w:color w:val="000000" w:themeColor="text1"/>
        </w:rPr>
        <w:t xml:space="preserve">Adjacent to the West of the site being the A4054 road, to which the River Taff is the Western Boundary of this road it would be a requirement for a flood consequence assessment to be undertaken. An allowance has been made for this within the cost report, and any change in levels would need to be identified for sufficient drainage to be incorporated within the design. As part of the most recent hard landscaping of the site following the demolition of the bus shelter, a flood consequence technical note was produced and formed part of the planning application referenced ‘P/23/0023’. The conclusion of the technical note was that the current hard landscaping of the works has no detrimental effect on the site, and that a slight increase in flood depth may occur to the West of the site but could be managed accordingly. A further flood consequence assessment will be undertaken upon completion of the design. </w:t>
      </w:r>
    </w:p>
    <w:p w14:paraId="5F934922" w14:textId="427F3052" w:rsidR="47C73664" w:rsidRDefault="3B729F70" w:rsidP="51C3EAAF">
      <w:pPr>
        <w:spacing w:line="360" w:lineRule="auto"/>
        <w:rPr>
          <w:rFonts w:ascii="Arial" w:eastAsia="Arial" w:hAnsi="Arial" w:cs="Arial"/>
          <w:color w:val="156082" w:themeColor="accent1"/>
        </w:rPr>
      </w:pPr>
      <w:r>
        <w:rPr>
          <w:noProof/>
        </w:rPr>
        <w:drawing>
          <wp:inline distT="0" distB="0" distL="0" distR="0" wp14:anchorId="6F3F6B6A" wp14:editId="4B37B7FF">
            <wp:extent cx="3295650" cy="2724150"/>
            <wp:effectExtent l="0" t="0" r="0" b="0"/>
            <wp:docPr id="1275374152" name="Picture 1275374152" descr="Picture 39,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295650" cy="2724150"/>
                    </a:xfrm>
                    <a:prstGeom prst="rect">
                      <a:avLst/>
                    </a:prstGeom>
                  </pic:spPr>
                </pic:pic>
              </a:graphicData>
            </a:graphic>
          </wp:inline>
        </w:drawing>
      </w:r>
    </w:p>
    <w:p w14:paraId="26BBA45A" w14:textId="18990A29" w:rsidR="47C73664" w:rsidRDefault="3B729F70" w:rsidP="51C3EAAF">
      <w:pPr>
        <w:spacing w:line="360" w:lineRule="auto"/>
        <w:rPr>
          <w:rFonts w:ascii="Arial" w:eastAsia="Arial" w:hAnsi="Arial" w:cs="Arial"/>
          <w:color w:val="156082" w:themeColor="accent1"/>
        </w:rPr>
      </w:pPr>
      <w:r w:rsidRPr="51C3EAAF">
        <w:rPr>
          <w:rFonts w:ascii="Arial" w:eastAsia="Arial" w:hAnsi="Arial" w:cs="Arial"/>
          <w:color w:val="156082" w:themeColor="accent1"/>
        </w:rPr>
        <w:t>Figure 13 – Flood Depths on current site (upon completion of the hard landscaping)</w:t>
      </w:r>
    </w:p>
    <w:p w14:paraId="34C5C73D" w14:textId="7FC30104" w:rsidR="47C73664" w:rsidRDefault="3B729F70" w:rsidP="51C3EAAF">
      <w:pPr>
        <w:spacing w:line="360" w:lineRule="auto"/>
        <w:rPr>
          <w:rFonts w:ascii="Arial" w:eastAsia="Arial" w:hAnsi="Arial" w:cs="Arial"/>
          <w:color w:val="000000" w:themeColor="text1"/>
        </w:rPr>
      </w:pPr>
      <w:r w:rsidRPr="51C3EAAF">
        <w:rPr>
          <w:rFonts w:ascii="Arial" w:eastAsia="Arial" w:hAnsi="Arial" w:cs="Arial"/>
          <w:color w:val="000000" w:themeColor="text1"/>
        </w:rPr>
        <w:lastRenderedPageBreak/>
        <w:t xml:space="preserve">The above identifies the flooding areas within the current site upon completion of the hard landscaping works. It is identified that the West of the site has a small increase of flood depths, which a small part of the proposal would be affected by. This would be managed accordingly and factored into the design and further developed by an updated flood consequence assessment. </w:t>
      </w:r>
    </w:p>
    <w:p w14:paraId="5BFC318B" w14:textId="3ECCB025" w:rsidR="47C73664" w:rsidRDefault="47C73664" w:rsidP="51C3EAAF">
      <w:pPr>
        <w:rPr>
          <w:rFonts w:ascii="Arial" w:eastAsia="Arial" w:hAnsi="Arial" w:cs="Arial"/>
          <w:color w:val="000000" w:themeColor="text1"/>
        </w:rPr>
      </w:pPr>
    </w:p>
    <w:p w14:paraId="577A40EB" w14:textId="77AAEC66" w:rsidR="47C73664" w:rsidRDefault="3B729F70" w:rsidP="51C3EAAF">
      <w:pPr>
        <w:pStyle w:val="Heading3"/>
        <w:rPr>
          <w:rFonts w:ascii="Arial" w:eastAsia="Arial" w:hAnsi="Arial" w:cs="Arial"/>
          <w:sz w:val="24"/>
          <w:szCs w:val="24"/>
        </w:rPr>
      </w:pPr>
      <w:r w:rsidRPr="51C3EAAF">
        <w:rPr>
          <w:rFonts w:ascii="Arial" w:eastAsia="Arial" w:hAnsi="Arial" w:cs="Arial"/>
          <w:sz w:val="24"/>
          <w:szCs w:val="24"/>
        </w:rPr>
        <w:t>5.21 Pollution Prevention</w:t>
      </w:r>
    </w:p>
    <w:p w14:paraId="5EC7D5D8" w14:textId="412361F6" w:rsidR="47C73664" w:rsidRDefault="3B729F70" w:rsidP="51C3EAAF">
      <w:pPr>
        <w:spacing w:line="360" w:lineRule="auto"/>
        <w:jc w:val="both"/>
        <w:rPr>
          <w:rFonts w:ascii="Arial" w:eastAsia="Arial" w:hAnsi="Arial" w:cs="Arial"/>
          <w:color w:val="000000" w:themeColor="text1"/>
        </w:rPr>
      </w:pPr>
      <w:r w:rsidRPr="51C3EAAF">
        <w:rPr>
          <w:rFonts w:ascii="Arial" w:eastAsia="Arial" w:hAnsi="Arial" w:cs="Arial"/>
          <w:color w:val="000000" w:themeColor="text1"/>
        </w:rPr>
        <w:t xml:space="preserve">The site is adjacent to the River Taff therefore pollution prevention throughout construction is of consideration. In order to comply with pollution prevention throughout the construction stages, a Construction Environmental Management Plan (CEMP) will be completed and attached to the planning application submitted. M.E.S.S Construction Services Limited would consult with the correct statutory authorities in which case would be NRW throughout this process. The most recent NRW statement has been obtained for the recent hard landscaping of the site to identify any conditions which were required as part of that, to inform ourselves of the relevant considerations. </w:t>
      </w:r>
    </w:p>
    <w:p w14:paraId="558058DF" w14:textId="0011B71D" w:rsidR="47C73664" w:rsidRDefault="3B729F70" w:rsidP="51C3EAAF">
      <w:pPr>
        <w:pStyle w:val="Heading2"/>
        <w:rPr>
          <w:rFonts w:ascii="Arial" w:eastAsia="Arial" w:hAnsi="Arial" w:cs="Arial"/>
          <w:sz w:val="24"/>
          <w:szCs w:val="24"/>
        </w:rPr>
      </w:pPr>
      <w:r w:rsidRPr="51C3EAAF">
        <w:rPr>
          <w:rFonts w:ascii="Arial" w:eastAsia="Arial" w:hAnsi="Arial" w:cs="Arial"/>
          <w:sz w:val="24"/>
          <w:szCs w:val="24"/>
        </w:rPr>
        <w:t xml:space="preserve">5.3 Environmental Protection </w:t>
      </w:r>
    </w:p>
    <w:p w14:paraId="6E72D0D6" w14:textId="34CB990E" w:rsidR="47C73664" w:rsidRDefault="3B729F70" w:rsidP="51C3EAAF">
      <w:pPr>
        <w:spacing w:line="360" w:lineRule="auto"/>
        <w:jc w:val="both"/>
        <w:rPr>
          <w:rFonts w:ascii="Arial" w:eastAsia="Arial" w:hAnsi="Arial" w:cs="Arial"/>
          <w:color w:val="000000" w:themeColor="text1"/>
        </w:rPr>
      </w:pPr>
      <w:r w:rsidRPr="51C3EAAF">
        <w:rPr>
          <w:rFonts w:ascii="Arial" w:eastAsia="Arial" w:hAnsi="Arial" w:cs="Arial"/>
          <w:color w:val="000000" w:themeColor="text1"/>
        </w:rPr>
        <w:t xml:space="preserve">In accordance with the above, environmental protection requirements are of consideration and currently been incorporated within the cost plan for the relevant measures to be put in place. </w:t>
      </w:r>
    </w:p>
    <w:p w14:paraId="01F1AF9C" w14:textId="2A217564" w:rsidR="47C73664" w:rsidRDefault="3B729F70" w:rsidP="51C3EAAF">
      <w:pPr>
        <w:pStyle w:val="Heading3"/>
        <w:rPr>
          <w:rFonts w:ascii="Arial" w:eastAsia="Arial" w:hAnsi="Arial" w:cs="Arial"/>
          <w:sz w:val="24"/>
          <w:szCs w:val="24"/>
        </w:rPr>
      </w:pPr>
      <w:r w:rsidRPr="51C3EAAF">
        <w:rPr>
          <w:rFonts w:ascii="Arial" w:eastAsia="Arial" w:hAnsi="Arial" w:cs="Arial"/>
          <w:sz w:val="24"/>
          <w:szCs w:val="24"/>
        </w:rPr>
        <w:t xml:space="preserve">5.31 Radon Protection </w:t>
      </w:r>
    </w:p>
    <w:p w14:paraId="2EF90C4B" w14:textId="3150DE95" w:rsidR="47C73664" w:rsidRDefault="3B729F70" w:rsidP="51C3EAAF">
      <w:pPr>
        <w:spacing w:line="360" w:lineRule="auto"/>
        <w:jc w:val="both"/>
        <w:rPr>
          <w:rFonts w:ascii="Arial" w:eastAsia="Arial" w:hAnsi="Arial" w:cs="Arial"/>
          <w:color w:val="000000" w:themeColor="text1"/>
        </w:rPr>
      </w:pPr>
      <w:r w:rsidRPr="51C3EAAF">
        <w:rPr>
          <w:rFonts w:ascii="Arial" w:eastAsia="Arial" w:hAnsi="Arial" w:cs="Arial"/>
          <w:color w:val="000000" w:themeColor="text1"/>
        </w:rPr>
        <w:t>Radon protection measures have been considered and factored into the cost plan. The site is within a radon area and on both previous planning applications for the site, has been listed as a constraint which is identified below:</w:t>
      </w:r>
    </w:p>
    <w:p w14:paraId="50B5368A" w14:textId="0D0AA231" w:rsidR="47C73664" w:rsidRDefault="3B729F70" w:rsidP="51C3EAAF">
      <w:pPr>
        <w:spacing w:line="360" w:lineRule="auto"/>
        <w:jc w:val="both"/>
        <w:rPr>
          <w:rFonts w:ascii="Arial" w:eastAsia="Arial" w:hAnsi="Arial" w:cs="Arial"/>
          <w:color w:val="000000" w:themeColor="text1"/>
        </w:rPr>
      </w:pPr>
      <w:r>
        <w:rPr>
          <w:noProof/>
        </w:rPr>
        <w:drawing>
          <wp:inline distT="0" distB="0" distL="0" distR="0" wp14:anchorId="2F4C7878" wp14:editId="0D06AE0E">
            <wp:extent cx="5600700" cy="685800"/>
            <wp:effectExtent l="0" t="0" r="0" b="0"/>
            <wp:docPr id="1331500014" name="Picture 1331500014" descr="Picture 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600700" cy="685800"/>
                    </a:xfrm>
                    <a:prstGeom prst="rect">
                      <a:avLst/>
                    </a:prstGeom>
                  </pic:spPr>
                </pic:pic>
              </a:graphicData>
            </a:graphic>
          </wp:inline>
        </w:drawing>
      </w:r>
    </w:p>
    <w:p w14:paraId="3FA3FB4E" w14:textId="74C6253B" w:rsidR="47C73664" w:rsidRDefault="3B729F70" w:rsidP="51C3EAAF">
      <w:pPr>
        <w:spacing w:line="360" w:lineRule="auto"/>
        <w:rPr>
          <w:rFonts w:ascii="Arial" w:eastAsia="Arial" w:hAnsi="Arial" w:cs="Arial"/>
          <w:color w:val="000000" w:themeColor="text1"/>
        </w:rPr>
      </w:pPr>
      <w:r w:rsidRPr="51C3EAAF">
        <w:rPr>
          <w:rFonts w:ascii="Arial" w:eastAsia="Arial" w:hAnsi="Arial" w:cs="Arial"/>
          <w:color w:val="156082" w:themeColor="accent1"/>
        </w:rPr>
        <w:t>Figure 14 – Constraints on planning applications on site indicating radon zone</w:t>
      </w:r>
    </w:p>
    <w:p w14:paraId="1F0D90BD" w14:textId="045C7E5D" w:rsidR="47C73664" w:rsidRDefault="3B729F70" w:rsidP="51C3EAAF">
      <w:pPr>
        <w:spacing w:line="360" w:lineRule="auto"/>
        <w:rPr>
          <w:rFonts w:ascii="Arial" w:eastAsia="Arial" w:hAnsi="Arial" w:cs="Arial"/>
          <w:color w:val="000000" w:themeColor="text1"/>
        </w:rPr>
      </w:pPr>
      <w:r w:rsidRPr="51C3EAAF">
        <w:rPr>
          <w:rFonts w:ascii="Arial" w:eastAsia="Arial" w:hAnsi="Arial" w:cs="Arial"/>
          <w:color w:val="156082" w:themeColor="accent1"/>
        </w:rPr>
        <w:t xml:space="preserve"> </w:t>
      </w:r>
    </w:p>
    <w:p w14:paraId="2CC154C1" w14:textId="5AAA9E2F" w:rsidR="47C73664" w:rsidRDefault="281F8E66" w:rsidP="51C3EAAF">
      <w:pPr>
        <w:spacing w:line="360" w:lineRule="auto"/>
        <w:jc w:val="both"/>
        <w:rPr>
          <w:rFonts w:ascii="Arial" w:eastAsia="Arial" w:hAnsi="Arial" w:cs="Arial"/>
          <w:color w:val="000000" w:themeColor="text1"/>
        </w:rPr>
      </w:pPr>
      <w:r>
        <w:rPr>
          <w:noProof/>
        </w:rPr>
        <w:lastRenderedPageBreak/>
        <w:drawing>
          <wp:inline distT="0" distB="0" distL="0" distR="0" wp14:anchorId="6A48988A" wp14:editId="5BC680AC">
            <wp:extent cx="3848100" cy="1924050"/>
            <wp:effectExtent l="0" t="0" r="0" b="0"/>
            <wp:docPr id="1698288148" name="Picture 1698288148" descr="A screenshot of a map&#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48100" cy="1924050"/>
                    </a:xfrm>
                    <a:prstGeom prst="rect">
                      <a:avLst/>
                    </a:prstGeom>
                  </pic:spPr>
                </pic:pic>
              </a:graphicData>
            </a:graphic>
          </wp:inline>
        </w:drawing>
      </w:r>
    </w:p>
    <w:p w14:paraId="48034F8D" w14:textId="7C9E1A58" w:rsidR="47C73664" w:rsidRDefault="281F8E66" w:rsidP="51C3EAAF">
      <w:pPr>
        <w:spacing w:line="360" w:lineRule="auto"/>
        <w:jc w:val="both"/>
        <w:rPr>
          <w:rFonts w:ascii="Arial" w:eastAsia="Arial" w:hAnsi="Arial" w:cs="Arial"/>
          <w:color w:val="000000" w:themeColor="text1"/>
        </w:rPr>
      </w:pPr>
      <w:r w:rsidRPr="51C3EAAF">
        <w:rPr>
          <w:rFonts w:ascii="Arial" w:eastAsia="Arial" w:hAnsi="Arial" w:cs="Arial"/>
          <w:color w:val="156082" w:themeColor="accent1"/>
        </w:rPr>
        <w:t>Figure 15- Highlights the site is within the radon protection zone</w:t>
      </w:r>
    </w:p>
    <w:p w14:paraId="3ABCEB04" w14:textId="6101394E" w:rsidR="47C73664" w:rsidRDefault="3B729F70" w:rsidP="51C3EAAF">
      <w:pPr>
        <w:spacing w:line="360" w:lineRule="auto"/>
        <w:jc w:val="both"/>
        <w:rPr>
          <w:rFonts w:ascii="Arial" w:eastAsia="Arial" w:hAnsi="Arial" w:cs="Arial"/>
          <w:color w:val="000000" w:themeColor="text1"/>
        </w:rPr>
      </w:pPr>
      <w:r w:rsidRPr="51C3EAAF">
        <w:rPr>
          <w:rFonts w:ascii="Arial" w:eastAsia="Arial" w:hAnsi="Arial" w:cs="Arial"/>
          <w:color w:val="000000" w:themeColor="text1"/>
        </w:rPr>
        <w:t xml:space="preserve">The site is in an area of elevated radon gas (5-10%) according to the UKradon map, therefore a site-specific radon report should be carried out. Approved document C and BR 211 outline the basic protective measures that need to be taken for higher risk sites. These include a 1200-guage DPM and sealing of all joints and service penetrations to ensure no radon is leaking into the building. </w:t>
      </w:r>
    </w:p>
    <w:p w14:paraId="4861D1F0" w14:textId="7FDD67D4" w:rsidR="47C73664" w:rsidRDefault="47C73664" w:rsidP="51C3EAAF">
      <w:pPr>
        <w:spacing w:line="360" w:lineRule="auto"/>
        <w:jc w:val="both"/>
        <w:rPr>
          <w:rFonts w:ascii="Arial" w:eastAsia="Arial" w:hAnsi="Arial" w:cs="Arial"/>
          <w:color w:val="000000" w:themeColor="text1"/>
        </w:rPr>
      </w:pPr>
    </w:p>
    <w:p w14:paraId="4DFF397E" w14:textId="0CA46130" w:rsidR="47C73664" w:rsidRDefault="3B729F70" w:rsidP="51C3EAAF">
      <w:pPr>
        <w:pStyle w:val="Heading3"/>
        <w:rPr>
          <w:rFonts w:ascii="Arial" w:eastAsia="Arial" w:hAnsi="Arial" w:cs="Arial"/>
          <w:sz w:val="24"/>
          <w:szCs w:val="24"/>
        </w:rPr>
      </w:pPr>
      <w:r w:rsidRPr="51C3EAAF">
        <w:rPr>
          <w:rFonts w:ascii="Arial" w:eastAsia="Arial" w:hAnsi="Arial" w:cs="Arial"/>
          <w:sz w:val="24"/>
          <w:szCs w:val="24"/>
        </w:rPr>
        <w:t>5.32 Contaminated Land</w:t>
      </w:r>
    </w:p>
    <w:p w14:paraId="242D98FE" w14:textId="7A88B726" w:rsidR="47C73664" w:rsidRDefault="3B729F70" w:rsidP="51C3EAAF">
      <w:pPr>
        <w:spacing w:line="360" w:lineRule="auto"/>
        <w:jc w:val="both"/>
        <w:rPr>
          <w:rFonts w:ascii="Arial" w:eastAsia="Arial" w:hAnsi="Arial" w:cs="Arial"/>
          <w:color w:val="000000" w:themeColor="text1"/>
        </w:rPr>
      </w:pPr>
      <w:r>
        <w:rPr>
          <w:noProof/>
        </w:rPr>
        <w:drawing>
          <wp:inline distT="0" distB="0" distL="0" distR="0" wp14:anchorId="032A9F88" wp14:editId="3E84F344">
            <wp:extent cx="5048252" cy="3505200"/>
            <wp:effectExtent l="0" t="0" r="0" b="0"/>
            <wp:docPr id="992325706" name="Picture 992325706" descr="Picture 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048252" cy="3505200"/>
                    </a:xfrm>
                    <a:prstGeom prst="rect">
                      <a:avLst/>
                    </a:prstGeom>
                  </pic:spPr>
                </pic:pic>
              </a:graphicData>
            </a:graphic>
          </wp:inline>
        </w:drawing>
      </w:r>
      <w:r w:rsidRPr="51C3EAAF">
        <w:rPr>
          <w:rFonts w:ascii="Arial" w:eastAsia="Arial" w:hAnsi="Arial" w:cs="Arial"/>
          <w:color w:val="000000" w:themeColor="text1"/>
        </w:rPr>
        <w:t xml:space="preserve">A geotechnical report was produced for the hard landscaping works, after the demolition of the former bus stop occurred. 14 trial pits were excavated, with the extent of the soil </w:t>
      </w:r>
      <w:r w:rsidRPr="51C3EAAF">
        <w:rPr>
          <w:rFonts w:ascii="Arial" w:eastAsia="Arial" w:hAnsi="Arial" w:cs="Arial"/>
          <w:color w:val="000000" w:themeColor="text1"/>
        </w:rPr>
        <w:lastRenderedPageBreak/>
        <w:t>within these areas being analysed. Below identifies the areas in which these trial pits were undertaken:</w:t>
      </w:r>
    </w:p>
    <w:p w14:paraId="04FFB0BC" w14:textId="145FB0E9" w:rsidR="47C73664" w:rsidRDefault="3B729F70" w:rsidP="51C3EAAF">
      <w:pPr>
        <w:rPr>
          <w:rFonts w:ascii="Arial" w:eastAsia="Arial" w:hAnsi="Arial" w:cs="Arial"/>
          <w:color w:val="000000" w:themeColor="text1"/>
        </w:rPr>
      </w:pPr>
      <w:r w:rsidRPr="51C3EAAF">
        <w:rPr>
          <w:rFonts w:ascii="Arial" w:eastAsia="Arial" w:hAnsi="Arial" w:cs="Arial"/>
          <w:color w:val="000000" w:themeColor="text1"/>
        </w:rPr>
        <w:t xml:space="preserve"> </w:t>
      </w:r>
    </w:p>
    <w:p w14:paraId="660053EC" w14:textId="035FCFB0" w:rsidR="47C73664" w:rsidRDefault="47C73664" w:rsidP="51C3EAAF">
      <w:pPr>
        <w:rPr>
          <w:rFonts w:ascii="Arial" w:eastAsia="Arial" w:hAnsi="Arial" w:cs="Arial"/>
          <w:color w:val="000000" w:themeColor="text1"/>
        </w:rPr>
      </w:pPr>
    </w:p>
    <w:p w14:paraId="5AFF22FB" w14:textId="43674CE0" w:rsidR="47C73664" w:rsidRDefault="47C73664" w:rsidP="51C3EAAF">
      <w:pPr>
        <w:rPr>
          <w:rFonts w:ascii="Arial" w:eastAsia="Arial" w:hAnsi="Arial" w:cs="Arial"/>
          <w:color w:val="000000" w:themeColor="text1"/>
        </w:rPr>
      </w:pPr>
    </w:p>
    <w:p w14:paraId="654DA9FC" w14:textId="70763655" w:rsidR="47C73664" w:rsidRDefault="47C73664" w:rsidP="51C3EAAF">
      <w:pPr>
        <w:rPr>
          <w:rFonts w:ascii="Arial" w:eastAsia="Arial" w:hAnsi="Arial" w:cs="Arial"/>
          <w:color w:val="000000" w:themeColor="text1"/>
        </w:rPr>
      </w:pPr>
    </w:p>
    <w:p w14:paraId="10099B92" w14:textId="76BC5C1C" w:rsidR="47C73664" w:rsidRDefault="47C73664" w:rsidP="51C3EAAF">
      <w:pPr>
        <w:rPr>
          <w:rFonts w:ascii="Arial" w:eastAsia="Arial" w:hAnsi="Arial" w:cs="Arial"/>
          <w:color w:val="000000" w:themeColor="text1"/>
        </w:rPr>
      </w:pPr>
    </w:p>
    <w:p w14:paraId="19689181" w14:textId="12806EBA" w:rsidR="47C73664" w:rsidRDefault="47C73664" w:rsidP="51C3EAAF">
      <w:pPr>
        <w:rPr>
          <w:rFonts w:ascii="Arial" w:eastAsia="Arial" w:hAnsi="Arial" w:cs="Arial"/>
          <w:color w:val="000000" w:themeColor="text1"/>
        </w:rPr>
      </w:pPr>
    </w:p>
    <w:p w14:paraId="423051B9" w14:textId="2E4D9136" w:rsidR="47C73664" w:rsidRDefault="47C73664" w:rsidP="51C3EAAF">
      <w:pPr>
        <w:rPr>
          <w:rFonts w:ascii="Arial" w:eastAsia="Arial" w:hAnsi="Arial" w:cs="Arial"/>
          <w:color w:val="000000" w:themeColor="text1"/>
        </w:rPr>
      </w:pPr>
    </w:p>
    <w:p w14:paraId="41BE7AF4" w14:textId="2227C8D3" w:rsidR="47C73664" w:rsidRDefault="47C73664" w:rsidP="51C3EAAF">
      <w:pPr>
        <w:rPr>
          <w:rFonts w:ascii="Arial" w:eastAsia="Arial" w:hAnsi="Arial" w:cs="Arial"/>
          <w:color w:val="000000" w:themeColor="text1"/>
        </w:rPr>
      </w:pPr>
    </w:p>
    <w:p w14:paraId="7028051B" w14:textId="7D22C596" w:rsidR="47C73664" w:rsidRDefault="47C73664" w:rsidP="51C3EAAF">
      <w:pPr>
        <w:rPr>
          <w:rFonts w:ascii="Arial" w:eastAsia="Arial" w:hAnsi="Arial" w:cs="Arial"/>
          <w:color w:val="000000" w:themeColor="text1"/>
        </w:rPr>
      </w:pPr>
    </w:p>
    <w:p w14:paraId="571BD2E6" w14:textId="30295CA8" w:rsidR="47C73664" w:rsidRDefault="47C73664" w:rsidP="51C3EAAF">
      <w:pPr>
        <w:rPr>
          <w:rFonts w:ascii="Arial" w:eastAsia="Arial" w:hAnsi="Arial" w:cs="Arial"/>
          <w:color w:val="000000" w:themeColor="text1"/>
        </w:rPr>
      </w:pPr>
    </w:p>
    <w:p w14:paraId="714EA6EC" w14:textId="7A913BAC" w:rsidR="47C73664" w:rsidRDefault="47C73664" w:rsidP="51C3EAAF">
      <w:pPr>
        <w:rPr>
          <w:rFonts w:ascii="Arial" w:eastAsia="Arial" w:hAnsi="Arial" w:cs="Arial"/>
          <w:color w:val="000000" w:themeColor="text1"/>
        </w:rPr>
      </w:pPr>
    </w:p>
    <w:p w14:paraId="4D5DE1C2" w14:textId="6047D5B9" w:rsidR="47C73664" w:rsidRDefault="3B729F70" w:rsidP="51C3EAAF">
      <w:pPr>
        <w:spacing w:line="360" w:lineRule="auto"/>
        <w:jc w:val="both"/>
        <w:rPr>
          <w:rFonts w:ascii="Arial" w:eastAsia="Arial" w:hAnsi="Arial" w:cs="Arial"/>
          <w:color w:val="000000" w:themeColor="text1"/>
        </w:rPr>
      </w:pPr>
      <w:r w:rsidRPr="51C3EAAF">
        <w:rPr>
          <w:rFonts w:ascii="Arial" w:eastAsia="Arial" w:hAnsi="Arial" w:cs="Arial"/>
          <w:color w:val="156082" w:themeColor="accent1"/>
        </w:rPr>
        <w:t>Figure 16 – Highlighting the trial pit locations to the most recent works undertaken on the site</w:t>
      </w:r>
      <w:r w:rsidRPr="51C3EAAF">
        <w:rPr>
          <w:rFonts w:ascii="Arial" w:eastAsia="Arial" w:hAnsi="Arial" w:cs="Arial"/>
          <w:color w:val="000000" w:themeColor="text1"/>
        </w:rPr>
        <w:t xml:space="preserve"> </w:t>
      </w:r>
    </w:p>
    <w:p w14:paraId="6412ACDB" w14:textId="3AA5442B" w:rsidR="47C73664" w:rsidRDefault="3B729F70" w:rsidP="51C3EAAF">
      <w:pPr>
        <w:spacing w:line="360" w:lineRule="auto"/>
        <w:jc w:val="both"/>
        <w:rPr>
          <w:rFonts w:ascii="Arial" w:eastAsia="Arial" w:hAnsi="Arial" w:cs="Arial"/>
          <w:color w:val="000000" w:themeColor="text1"/>
        </w:rPr>
      </w:pPr>
      <w:r w:rsidRPr="51C3EAAF">
        <w:rPr>
          <w:rFonts w:ascii="Arial" w:eastAsia="Arial" w:hAnsi="Arial" w:cs="Arial"/>
          <w:color w:val="000000" w:themeColor="text1"/>
        </w:rPr>
        <w:t>The trial pits were dug at 1.2m, to which the findings identified most of the ground was ‘made ground’. This identifies that the likelihood is upon demolition, a lot of the excess material was used to landscape the site. This poses a risk, as the former bus stop being a post 2000 building, asbestos would have been a material used. Although there would have been an asbestos strip undertaken, the risk of asbestos within the site remains very high. Various trial pits have a high content of cobble, which we are led to believe would be from the demolition of the bus stop. There was no asbestos detected within the trial holes, but remains a high risk and has been accounted for within the cost plan.</w:t>
      </w:r>
    </w:p>
    <w:p w14:paraId="4DA4C084" w14:textId="56208586" w:rsidR="47C73664" w:rsidRDefault="47C73664" w:rsidP="51C3EAAF">
      <w:pPr>
        <w:spacing w:line="360" w:lineRule="auto"/>
        <w:jc w:val="both"/>
        <w:rPr>
          <w:rFonts w:ascii="Arial" w:eastAsia="Arial" w:hAnsi="Arial" w:cs="Arial"/>
          <w:color w:val="000000" w:themeColor="text1"/>
        </w:rPr>
      </w:pPr>
    </w:p>
    <w:p w14:paraId="053A5746" w14:textId="4F1D0F96" w:rsidR="47C73664" w:rsidRDefault="3B729F70" w:rsidP="51C3EAAF">
      <w:pPr>
        <w:pStyle w:val="Heading3"/>
        <w:rPr>
          <w:rFonts w:ascii="Arial" w:eastAsia="Arial" w:hAnsi="Arial" w:cs="Arial"/>
          <w:sz w:val="24"/>
          <w:szCs w:val="24"/>
        </w:rPr>
      </w:pPr>
      <w:r w:rsidRPr="51C3EAAF">
        <w:rPr>
          <w:rFonts w:ascii="Arial" w:eastAsia="Arial" w:hAnsi="Arial" w:cs="Arial"/>
          <w:sz w:val="24"/>
          <w:szCs w:val="24"/>
        </w:rPr>
        <w:t>5.33 Previous Development</w:t>
      </w:r>
    </w:p>
    <w:p w14:paraId="2550ABE6" w14:textId="59CBCEBA" w:rsidR="47C73664" w:rsidRDefault="3B729F70" w:rsidP="51C3EAAF">
      <w:pPr>
        <w:spacing w:line="360" w:lineRule="auto"/>
        <w:jc w:val="both"/>
        <w:rPr>
          <w:rFonts w:ascii="Arial" w:eastAsia="Arial" w:hAnsi="Arial" w:cs="Arial"/>
          <w:color w:val="000000" w:themeColor="text1"/>
        </w:rPr>
      </w:pPr>
      <w:r w:rsidRPr="51C3EAAF">
        <w:rPr>
          <w:rFonts w:ascii="Arial" w:eastAsia="Arial" w:hAnsi="Arial" w:cs="Arial"/>
          <w:color w:val="000000" w:themeColor="text1"/>
        </w:rPr>
        <w:t xml:space="preserve">Within the previous development of the site which included hard landscaping of the site, there was only a certain section of the site which was landscaped. This has been highlighted as a risk and will be factored into the cost plan, as the section of the site which was not developed is the footprint of the StageCoach building. Below identifies </w:t>
      </w:r>
      <w:r w:rsidRPr="51C3EAAF">
        <w:rPr>
          <w:rFonts w:ascii="Arial" w:eastAsia="Arial" w:hAnsi="Arial" w:cs="Arial"/>
          <w:color w:val="000000" w:themeColor="text1"/>
        </w:rPr>
        <w:lastRenderedPageBreak/>
        <w:t>the areas which were landscaped, showing that the Western elevation had no proposed works complete therefore is a risk and the relevant allowances have been made:</w:t>
      </w:r>
    </w:p>
    <w:p w14:paraId="07D5E5B8" w14:textId="157B73E3" w:rsidR="47C73664" w:rsidRDefault="3B729F70" w:rsidP="51C3EAAF">
      <w:pPr>
        <w:rPr>
          <w:rFonts w:ascii="Aptos" w:eastAsia="Aptos" w:hAnsi="Aptos" w:cs="Aptos"/>
          <w:color w:val="000000" w:themeColor="text1"/>
        </w:rPr>
      </w:pPr>
      <w:r>
        <w:rPr>
          <w:noProof/>
        </w:rPr>
        <w:drawing>
          <wp:inline distT="0" distB="0" distL="0" distR="0" wp14:anchorId="13DC0E59" wp14:editId="76A9D29D">
            <wp:extent cx="5295898" cy="3676650"/>
            <wp:effectExtent l="0" t="0" r="0" b="0"/>
            <wp:docPr id="244465515" name="Picture 244465515" descr="A map of a city&#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295898" cy="3676650"/>
                    </a:xfrm>
                    <a:prstGeom prst="rect">
                      <a:avLst/>
                    </a:prstGeom>
                  </pic:spPr>
                </pic:pic>
              </a:graphicData>
            </a:graphic>
          </wp:inline>
        </w:drawing>
      </w:r>
    </w:p>
    <w:p w14:paraId="2BAF2794" w14:textId="755D4A06" w:rsidR="47C73664" w:rsidRDefault="3B729F70" w:rsidP="51C3EAAF">
      <w:pPr>
        <w:spacing w:line="360" w:lineRule="auto"/>
        <w:jc w:val="both"/>
        <w:rPr>
          <w:rFonts w:ascii="Arial" w:eastAsia="Arial" w:hAnsi="Arial" w:cs="Arial"/>
          <w:color w:val="156082" w:themeColor="accent1"/>
        </w:rPr>
      </w:pPr>
      <w:r w:rsidRPr="51C3EAAF">
        <w:rPr>
          <w:rFonts w:ascii="Arial" w:eastAsia="Arial" w:hAnsi="Arial" w:cs="Arial"/>
          <w:color w:val="156082" w:themeColor="accent1"/>
        </w:rPr>
        <w:t>Figure 17 – Highlighting the areas developed as part of the most recent works, to which the area which is being developed as Phase 1 of the masterplan having not been developed</w:t>
      </w:r>
    </w:p>
    <w:p w14:paraId="53C08670" w14:textId="4CF675F7" w:rsidR="47C73664" w:rsidRDefault="3B729F70" w:rsidP="51C3EAAF">
      <w:pPr>
        <w:pStyle w:val="Heading2"/>
        <w:spacing w:line="360" w:lineRule="auto"/>
        <w:jc w:val="both"/>
        <w:rPr>
          <w:rFonts w:ascii="Arial" w:eastAsia="Arial" w:hAnsi="Arial" w:cs="Arial"/>
          <w:sz w:val="24"/>
          <w:szCs w:val="24"/>
        </w:rPr>
      </w:pPr>
      <w:r w:rsidRPr="51C3EAAF">
        <w:rPr>
          <w:rFonts w:ascii="Arial" w:eastAsia="Arial" w:hAnsi="Arial" w:cs="Arial"/>
          <w:sz w:val="24"/>
          <w:szCs w:val="24"/>
        </w:rPr>
        <w:t>5.4 Party Wall Act</w:t>
      </w:r>
    </w:p>
    <w:p w14:paraId="309DBD8B" w14:textId="073A66CD" w:rsidR="47C73664" w:rsidRDefault="3B729F70" w:rsidP="51C3EAAF">
      <w:pPr>
        <w:spacing w:line="360" w:lineRule="auto"/>
        <w:jc w:val="both"/>
        <w:rPr>
          <w:rFonts w:ascii="Arial" w:eastAsia="Arial" w:hAnsi="Arial" w:cs="Arial"/>
          <w:color w:val="000000" w:themeColor="text1"/>
        </w:rPr>
      </w:pPr>
      <w:r w:rsidRPr="51C3EAAF">
        <w:rPr>
          <w:rFonts w:ascii="Arial" w:eastAsia="Arial" w:hAnsi="Arial" w:cs="Arial"/>
          <w:color w:val="000000" w:themeColor="text1"/>
        </w:rPr>
        <w:t>The proposed development is within 3 metres of an existing adjoining structure; therefore the owner must be served a notice indicating the proposals and confirmation of either underpinning or otherwise strengthening the foundations of the adjoining structure.</w:t>
      </w:r>
    </w:p>
    <w:p w14:paraId="35E15E23" w14:textId="7B1BE54B" w:rsidR="47C73664" w:rsidRDefault="47C73664" w:rsidP="20B1DC92">
      <w:r w:rsidRPr="51C3EAAF">
        <w:t xml:space="preserve"> </w:t>
      </w:r>
    </w:p>
    <w:p w14:paraId="1C485791" w14:textId="7DEA64DC" w:rsidR="3AD6E7A6" w:rsidRDefault="47C73664" w:rsidP="3AD6E7A6">
      <w:r w:rsidRPr="120371AE">
        <w:t xml:space="preserve">  </w:t>
      </w:r>
    </w:p>
    <w:p w14:paraId="41450077" w14:textId="43F60681" w:rsidR="6596D44F" w:rsidRDefault="6596D44F" w:rsidP="6596D44F">
      <w:pPr>
        <w:spacing w:after="0"/>
        <w:rPr>
          <w:rFonts w:eastAsiaTheme="minorEastAsia"/>
          <w:color w:val="000000" w:themeColor="text1"/>
          <w:sz w:val="22"/>
          <w:szCs w:val="22"/>
        </w:rPr>
      </w:pPr>
    </w:p>
    <w:p w14:paraId="1858C0AB" w14:textId="460579E3" w:rsidR="430262B8" w:rsidRDefault="430262B8" w:rsidP="20B1DC92">
      <w:pPr>
        <w:spacing w:before="240" w:after="240"/>
      </w:pPr>
      <w:r w:rsidRPr="20B1DC92">
        <w:rPr>
          <w:rFonts w:ascii="Calibri" w:eastAsia="Calibri" w:hAnsi="Calibri" w:cs="Calibri"/>
          <w:color w:val="000000" w:themeColor="text1"/>
        </w:rPr>
        <w:t>‌</w:t>
      </w:r>
    </w:p>
    <w:p w14:paraId="354B915C" w14:textId="7C5F6571" w:rsidR="539D3A29" w:rsidRDefault="539D3A29" w:rsidP="539D3A29"/>
    <w:sectPr w:rsidR="539D3A29">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866CB" w14:textId="77777777" w:rsidR="007E1155" w:rsidRDefault="007E1155" w:rsidP="007E1155">
      <w:pPr>
        <w:spacing w:after="0" w:line="240" w:lineRule="auto"/>
      </w:pPr>
      <w:r>
        <w:separator/>
      </w:r>
    </w:p>
  </w:endnote>
  <w:endnote w:type="continuationSeparator" w:id="0">
    <w:p w14:paraId="01969DA5" w14:textId="77777777" w:rsidR="007E1155" w:rsidRDefault="007E1155" w:rsidP="007E1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63A2F" w14:textId="4BE179F7" w:rsidR="007E1155" w:rsidRPr="007E1155" w:rsidRDefault="007E1155">
    <w:pPr>
      <w:pStyle w:val="Footer"/>
      <w:pBdr>
        <w:top w:val="single" w:sz="4" w:space="8" w:color="156082" w:themeColor="accent1"/>
      </w:pBdr>
      <w:spacing w:before="360"/>
      <w:contextualSpacing/>
      <w:jc w:val="right"/>
      <w:rPr>
        <w:rFonts w:ascii="Arial" w:hAnsi="Arial" w:cs="Arial"/>
        <w:noProof/>
        <w:color w:val="404040" w:themeColor="text1" w:themeTint="BF"/>
        <w:sz w:val="18"/>
        <w:szCs w:val="18"/>
      </w:rPr>
    </w:pPr>
    <w:r>
      <w:rPr>
        <w:rFonts w:ascii="Arial" w:hAnsi="Arial" w:cs="Arial"/>
        <w:noProof/>
        <w:color w:val="404040" w:themeColor="text1" w:themeTint="BF"/>
        <w:sz w:val="18"/>
        <w:szCs w:val="18"/>
      </w:rPr>
      <w:drawing>
        <wp:anchor distT="0" distB="0" distL="114300" distR="114300" simplePos="0" relativeHeight="251659264" behindDoc="1" locked="0" layoutInCell="1" allowOverlap="1" wp14:anchorId="4E335A00" wp14:editId="1BAA673A">
          <wp:simplePos x="0" y="0"/>
          <wp:positionH relativeFrom="column">
            <wp:posOffset>5811492</wp:posOffset>
          </wp:positionH>
          <wp:positionV relativeFrom="paragraph">
            <wp:posOffset>167290</wp:posOffset>
          </wp:positionV>
          <wp:extent cx="688975" cy="688975"/>
          <wp:effectExtent l="0" t="0" r="0" b="0"/>
          <wp:wrapTight wrapText="bothSides">
            <wp:wrapPolygon edited="0">
              <wp:start x="0" y="0"/>
              <wp:lineTo x="0" y="20903"/>
              <wp:lineTo x="20903" y="20903"/>
              <wp:lineTo x="20903" y="0"/>
              <wp:lineTo x="0" y="0"/>
            </wp:wrapPolygon>
          </wp:wrapTight>
          <wp:docPr id="17128007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88975" cy="688975"/>
                  </a:xfrm>
                  <a:prstGeom prst="rect">
                    <a:avLst/>
                  </a:prstGeom>
                  <a:noFill/>
                </pic:spPr>
              </pic:pic>
            </a:graphicData>
          </a:graphic>
          <wp14:sizeRelH relativeFrom="page">
            <wp14:pctWidth>0</wp14:pctWidth>
          </wp14:sizeRelH>
          <wp14:sizeRelV relativeFrom="page">
            <wp14:pctHeight>0</wp14:pctHeight>
          </wp14:sizeRelV>
        </wp:anchor>
      </w:drawing>
    </w:r>
    <w:r w:rsidRPr="007E1155">
      <w:rPr>
        <w:rFonts w:ascii="Arial" w:hAnsi="Arial" w:cs="Arial"/>
        <w:noProof/>
        <w:color w:val="404040" w:themeColor="text1" w:themeTint="BF"/>
        <w:sz w:val="18"/>
        <w:szCs w:val="18"/>
      </w:rPr>
      <w:fldChar w:fldCharType="begin"/>
    </w:r>
    <w:r w:rsidRPr="007E1155">
      <w:rPr>
        <w:rFonts w:ascii="Arial" w:hAnsi="Arial" w:cs="Arial"/>
        <w:noProof/>
        <w:color w:val="404040" w:themeColor="text1" w:themeTint="BF"/>
        <w:sz w:val="18"/>
        <w:szCs w:val="18"/>
      </w:rPr>
      <w:instrText xml:space="preserve"> PAGE   \* MERGEFORMAT </w:instrText>
    </w:r>
    <w:r w:rsidRPr="007E1155">
      <w:rPr>
        <w:rFonts w:ascii="Arial" w:hAnsi="Arial" w:cs="Arial"/>
        <w:noProof/>
        <w:color w:val="404040" w:themeColor="text1" w:themeTint="BF"/>
        <w:sz w:val="18"/>
        <w:szCs w:val="18"/>
      </w:rPr>
      <w:fldChar w:fldCharType="separate"/>
    </w:r>
    <w:r w:rsidRPr="007E1155">
      <w:rPr>
        <w:rFonts w:ascii="Arial" w:hAnsi="Arial" w:cs="Arial"/>
        <w:noProof/>
        <w:color w:val="404040" w:themeColor="text1" w:themeTint="BF"/>
        <w:sz w:val="18"/>
        <w:szCs w:val="18"/>
      </w:rPr>
      <w:t>2</w:t>
    </w:r>
    <w:r w:rsidRPr="007E1155">
      <w:rPr>
        <w:rFonts w:ascii="Arial" w:hAnsi="Arial" w:cs="Arial"/>
        <w:noProof/>
        <w:color w:val="404040" w:themeColor="text1" w:themeTint="BF"/>
        <w:sz w:val="18"/>
        <w:szCs w:val="18"/>
      </w:rPr>
      <w:fldChar w:fldCharType="end"/>
    </w:r>
  </w:p>
  <w:p w14:paraId="1C9D2191" w14:textId="116CDC66" w:rsidR="007E1155" w:rsidRDefault="007E1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099A5" w14:textId="77777777" w:rsidR="007E1155" w:rsidRDefault="007E1155" w:rsidP="007E1155">
      <w:pPr>
        <w:spacing w:after="0" w:line="240" w:lineRule="auto"/>
      </w:pPr>
      <w:r>
        <w:separator/>
      </w:r>
    </w:p>
  </w:footnote>
  <w:footnote w:type="continuationSeparator" w:id="0">
    <w:p w14:paraId="229659F4" w14:textId="77777777" w:rsidR="007E1155" w:rsidRDefault="007E1155" w:rsidP="007E11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F4964E" w14:textId="5CC33EF2" w:rsidR="007E1155" w:rsidRDefault="007E1155" w:rsidP="007E1155">
    <w:pPr>
      <w:pStyle w:val="Header"/>
      <w:pBdr>
        <w:bottom w:val="single" w:sz="4" w:space="6" w:color="156082" w:themeColor="accent1"/>
      </w:pBdr>
      <w:spacing w:after="360"/>
      <w:contextualSpacing/>
      <w:rPr>
        <w:color w:val="404040" w:themeColor="text1" w:themeTint="BF"/>
      </w:rPr>
    </w:pPr>
    <w:r>
      <w:rPr>
        <w:rFonts w:ascii="Arial" w:hAnsi="Arial" w:cs="Arial"/>
        <w:noProof/>
        <w:color w:val="404040" w:themeColor="text1" w:themeTint="BF"/>
        <w:sz w:val="22"/>
        <w:szCs w:val="22"/>
      </w:rPr>
      <w:drawing>
        <wp:anchor distT="0" distB="0" distL="114300" distR="114300" simplePos="0" relativeHeight="251658240" behindDoc="0" locked="0" layoutInCell="1" allowOverlap="1" wp14:anchorId="3F4574A5" wp14:editId="60080579">
          <wp:simplePos x="0" y="0"/>
          <wp:positionH relativeFrom="column">
            <wp:posOffset>-778207</wp:posOffset>
          </wp:positionH>
          <wp:positionV relativeFrom="paragraph">
            <wp:posOffset>-325120</wp:posOffset>
          </wp:positionV>
          <wp:extent cx="687070" cy="692150"/>
          <wp:effectExtent l="0" t="0" r="0" b="0"/>
          <wp:wrapSquare wrapText="bothSides"/>
          <wp:docPr id="1473594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87070" cy="692150"/>
                  </a:xfrm>
                  <a:prstGeom prst="rect">
                    <a:avLst/>
                  </a:prstGeom>
                  <a:noFill/>
                </pic:spPr>
              </pic:pic>
            </a:graphicData>
          </a:graphic>
          <wp14:sizeRelH relativeFrom="page">
            <wp14:pctWidth>0</wp14:pctWidth>
          </wp14:sizeRelH>
          <wp14:sizeRelV relativeFrom="page">
            <wp14:pctHeight>0</wp14:pctHeight>
          </wp14:sizeRelV>
        </wp:anchor>
      </w:drawing>
    </w:r>
    <w:sdt>
      <w:sdtPr>
        <w:rPr>
          <w:rFonts w:ascii="Arial" w:hAnsi="Arial" w:cs="Arial"/>
          <w:color w:val="404040" w:themeColor="text1" w:themeTint="BF"/>
          <w:sz w:val="18"/>
          <w:szCs w:val="18"/>
        </w:rPr>
        <w:alias w:val="Title"/>
        <w:tag w:val=""/>
        <w:id w:val="942040131"/>
        <w:placeholder>
          <w:docPart w:val="C4C28B7E3E7B4CBCB936F84B403C5B66"/>
        </w:placeholder>
        <w:showingPlcHdr/>
        <w:dataBinding w:prefixMappings="xmlns:ns0='http://purl.org/dc/elements/1.1/' xmlns:ns1='http://schemas.openxmlformats.org/package/2006/metadata/core-properties' " w:xpath="/ns1:coreProperties[1]/ns0:title[1]" w:storeItemID="{6C3C8BC8-F283-45AE-878A-BAB7291924A1}"/>
        <w:text/>
      </w:sdtPr>
      <w:sdtEndPr>
        <w:rPr>
          <w:rFonts w:asciiTheme="minorHAnsi" w:hAnsiTheme="minorHAnsi" w:cstheme="minorBidi"/>
          <w:sz w:val="24"/>
          <w:szCs w:val="24"/>
        </w:rPr>
      </w:sdtEndPr>
      <w:sdtContent>
        <w:r w:rsidRPr="007E1155">
          <w:rPr>
            <w:rFonts w:ascii="Arial" w:hAnsi="Arial" w:cs="Arial"/>
            <w:color w:val="404040" w:themeColor="text1" w:themeTint="BF"/>
            <w:sz w:val="18"/>
            <w:szCs w:val="18"/>
          </w:rPr>
          <w:t>[Document title]</w:t>
        </w:r>
      </w:sdtContent>
    </w:sdt>
  </w:p>
  <w:p w14:paraId="05076B29" w14:textId="3EB8D045" w:rsidR="007E1155" w:rsidRDefault="007E11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6AD55B"/>
    <w:multiLevelType w:val="hybridMultilevel"/>
    <w:tmpl w:val="93DAB574"/>
    <w:lvl w:ilvl="0" w:tplc="CFAA2D10">
      <w:start w:val="1"/>
      <w:numFmt w:val="upperRoman"/>
      <w:lvlText w:val="%1-"/>
      <w:lvlJc w:val="left"/>
      <w:pPr>
        <w:ind w:left="720" w:hanging="360"/>
      </w:pPr>
    </w:lvl>
    <w:lvl w:ilvl="1" w:tplc="45F8A3E6">
      <w:start w:val="1"/>
      <w:numFmt w:val="lowerLetter"/>
      <w:lvlText w:val="%2."/>
      <w:lvlJc w:val="left"/>
      <w:pPr>
        <w:ind w:left="1440" w:hanging="360"/>
      </w:pPr>
    </w:lvl>
    <w:lvl w:ilvl="2" w:tplc="1FCAF406">
      <w:start w:val="1"/>
      <w:numFmt w:val="lowerRoman"/>
      <w:lvlText w:val="%3."/>
      <w:lvlJc w:val="right"/>
      <w:pPr>
        <w:ind w:left="2160" w:hanging="180"/>
      </w:pPr>
    </w:lvl>
    <w:lvl w:ilvl="3" w:tplc="3B046374">
      <w:start w:val="1"/>
      <w:numFmt w:val="decimal"/>
      <w:lvlText w:val="%4."/>
      <w:lvlJc w:val="left"/>
      <w:pPr>
        <w:ind w:left="2880" w:hanging="360"/>
      </w:pPr>
    </w:lvl>
    <w:lvl w:ilvl="4" w:tplc="ADAAFFF6">
      <w:start w:val="1"/>
      <w:numFmt w:val="lowerLetter"/>
      <w:lvlText w:val="%5."/>
      <w:lvlJc w:val="left"/>
      <w:pPr>
        <w:ind w:left="3600" w:hanging="360"/>
      </w:pPr>
    </w:lvl>
    <w:lvl w:ilvl="5" w:tplc="05B4161C">
      <w:start w:val="1"/>
      <w:numFmt w:val="lowerRoman"/>
      <w:lvlText w:val="%6."/>
      <w:lvlJc w:val="right"/>
      <w:pPr>
        <w:ind w:left="4320" w:hanging="180"/>
      </w:pPr>
    </w:lvl>
    <w:lvl w:ilvl="6" w:tplc="AFB07FE6">
      <w:start w:val="1"/>
      <w:numFmt w:val="decimal"/>
      <w:lvlText w:val="%7."/>
      <w:lvlJc w:val="left"/>
      <w:pPr>
        <w:ind w:left="5040" w:hanging="360"/>
      </w:pPr>
    </w:lvl>
    <w:lvl w:ilvl="7" w:tplc="2C622A80">
      <w:start w:val="1"/>
      <w:numFmt w:val="lowerLetter"/>
      <w:lvlText w:val="%8."/>
      <w:lvlJc w:val="left"/>
      <w:pPr>
        <w:ind w:left="5760" w:hanging="360"/>
      </w:pPr>
    </w:lvl>
    <w:lvl w:ilvl="8" w:tplc="F83CC4E0">
      <w:start w:val="1"/>
      <w:numFmt w:val="lowerRoman"/>
      <w:lvlText w:val="%9."/>
      <w:lvlJc w:val="right"/>
      <w:pPr>
        <w:ind w:left="6480" w:hanging="180"/>
      </w:pPr>
    </w:lvl>
  </w:abstractNum>
  <w:abstractNum w:abstractNumId="1" w15:restartNumberingAfterBreak="0">
    <w:nsid w:val="350E285C"/>
    <w:multiLevelType w:val="hybridMultilevel"/>
    <w:tmpl w:val="32CE4F84"/>
    <w:lvl w:ilvl="0" w:tplc="0D2478F2">
      <w:start w:val="1"/>
      <w:numFmt w:val="decimal"/>
      <w:lvlText w:val="%1-"/>
      <w:lvlJc w:val="left"/>
      <w:pPr>
        <w:ind w:left="720" w:hanging="360"/>
      </w:pPr>
    </w:lvl>
    <w:lvl w:ilvl="1" w:tplc="405A08C8">
      <w:start w:val="1"/>
      <w:numFmt w:val="lowerLetter"/>
      <w:lvlText w:val="%2."/>
      <w:lvlJc w:val="left"/>
      <w:pPr>
        <w:ind w:left="1440" w:hanging="360"/>
      </w:pPr>
    </w:lvl>
    <w:lvl w:ilvl="2" w:tplc="1F961724">
      <w:start w:val="1"/>
      <w:numFmt w:val="lowerRoman"/>
      <w:lvlText w:val="%3."/>
      <w:lvlJc w:val="right"/>
      <w:pPr>
        <w:ind w:left="2160" w:hanging="180"/>
      </w:pPr>
    </w:lvl>
    <w:lvl w:ilvl="3" w:tplc="47C27364">
      <w:start w:val="1"/>
      <w:numFmt w:val="decimal"/>
      <w:lvlText w:val="%4."/>
      <w:lvlJc w:val="left"/>
      <w:pPr>
        <w:ind w:left="2880" w:hanging="360"/>
      </w:pPr>
    </w:lvl>
    <w:lvl w:ilvl="4" w:tplc="45541AE8">
      <w:start w:val="1"/>
      <w:numFmt w:val="lowerLetter"/>
      <w:lvlText w:val="%5."/>
      <w:lvlJc w:val="left"/>
      <w:pPr>
        <w:ind w:left="3600" w:hanging="360"/>
      </w:pPr>
    </w:lvl>
    <w:lvl w:ilvl="5" w:tplc="84843614">
      <w:start w:val="1"/>
      <w:numFmt w:val="lowerRoman"/>
      <w:lvlText w:val="%6."/>
      <w:lvlJc w:val="right"/>
      <w:pPr>
        <w:ind w:left="4320" w:hanging="180"/>
      </w:pPr>
    </w:lvl>
    <w:lvl w:ilvl="6" w:tplc="EED4F7A8">
      <w:start w:val="1"/>
      <w:numFmt w:val="decimal"/>
      <w:lvlText w:val="%7."/>
      <w:lvlJc w:val="left"/>
      <w:pPr>
        <w:ind w:left="5040" w:hanging="360"/>
      </w:pPr>
    </w:lvl>
    <w:lvl w:ilvl="7" w:tplc="84C27172">
      <w:start w:val="1"/>
      <w:numFmt w:val="lowerLetter"/>
      <w:lvlText w:val="%8."/>
      <w:lvlJc w:val="left"/>
      <w:pPr>
        <w:ind w:left="5760" w:hanging="360"/>
      </w:pPr>
    </w:lvl>
    <w:lvl w:ilvl="8" w:tplc="A52E4B54">
      <w:start w:val="1"/>
      <w:numFmt w:val="lowerRoman"/>
      <w:lvlText w:val="%9."/>
      <w:lvlJc w:val="right"/>
      <w:pPr>
        <w:ind w:left="6480" w:hanging="180"/>
      </w:pPr>
    </w:lvl>
  </w:abstractNum>
  <w:abstractNum w:abstractNumId="2" w15:restartNumberingAfterBreak="0">
    <w:nsid w:val="4956B9F2"/>
    <w:multiLevelType w:val="hybridMultilevel"/>
    <w:tmpl w:val="E96EE5E8"/>
    <w:lvl w:ilvl="0" w:tplc="AE80E2B4">
      <w:start w:val="1"/>
      <w:numFmt w:val="upperLetter"/>
      <w:lvlText w:val="%1-"/>
      <w:lvlJc w:val="left"/>
      <w:pPr>
        <w:ind w:left="720" w:hanging="360"/>
      </w:pPr>
    </w:lvl>
    <w:lvl w:ilvl="1" w:tplc="9EC6B9D6">
      <w:start w:val="1"/>
      <w:numFmt w:val="lowerLetter"/>
      <w:lvlText w:val="%2."/>
      <w:lvlJc w:val="left"/>
      <w:pPr>
        <w:ind w:left="1440" w:hanging="360"/>
      </w:pPr>
    </w:lvl>
    <w:lvl w:ilvl="2" w:tplc="004A79A4">
      <w:start w:val="1"/>
      <w:numFmt w:val="lowerRoman"/>
      <w:lvlText w:val="%3."/>
      <w:lvlJc w:val="right"/>
      <w:pPr>
        <w:ind w:left="2160" w:hanging="180"/>
      </w:pPr>
    </w:lvl>
    <w:lvl w:ilvl="3" w:tplc="00D08E9C">
      <w:start w:val="1"/>
      <w:numFmt w:val="decimal"/>
      <w:lvlText w:val="%4."/>
      <w:lvlJc w:val="left"/>
      <w:pPr>
        <w:ind w:left="2880" w:hanging="360"/>
      </w:pPr>
    </w:lvl>
    <w:lvl w:ilvl="4" w:tplc="7826E108">
      <w:start w:val="1"/>
      <w:numFmt w:val="lowerLetter"/>
      <w:lvlText w:val="%5."/>
      <w:lvlJc w:val="left"/>
      <w:pPr>
        <w:ind w:left="3600" w:hanging="360"/>
      </w:pPr>
    </w:lvl>
    <w:lvl w:ilvl="5" w:tplc="A8E8432A">
      <w:start w:val="1"/>
      <w:numFmt w:val="lowerRoman"/>
      <w:lvlText w:val="%6."/>
      <w:lvlJc w:val="right"/>
      <w:pPr>
        <w:ind w:left="4320" w:hanging="180"/>
      </w:pPr>
    </w:lvl>
    <w:lvl w:ilvl="6" w:tplc="FD1A6AD0">
      <w:start w:val="1"/>
      <w:numFmt w:val="decimal"/>
      <w:lvlText w:val="%7."/>
      <w:lvlJc w:val="left"/>
      <w:pPr>
        <w:ind w:left="5040" w:hanging="360"/>
      </w:pPr>
    </w:lvl>
    <w:lvl w:ilvl="7" w:tplc="369EB89A">
      <w:start w:val="1"/>
      <w:numFmt w:val="lowerLetter"/>
      <w:lvlText w:val="%8."/>
      <w:lvlJc w:val="left"/>
      <w:pPr>
        <w:ind w:left="5760" w:hanging="360"/>
      </w:pPr>
    </w:lvl>
    <w:lvl w:ilvl="8" w:tplc="9580CE24">
      <w:start w:val="1"/>
      <w:numFmt w:val="lowerRoman"/>
      <w:lvlText w:val="%9."/>
      <w:lvlJc w:val="right"/>
      <w:pPr>
        <w:ind w:left="6480" w:hanging="180"/>
      </w:pPr>
    </w:lvl>
  </w:abstractNum>
  <w:abstractNum w:abstractNumId="3" w15:restartNumberingAfterBreak="0">
    <w:nsid w:val="4C68BDF8"/>
    <w:multiLevelType w:val="hybridMultilevel"/>
    <w:tmpl w:val="B63A3DD0"/>
    <w:lvl w:ilvl="0" w:tplc="D6D43A42">
      <w:start w:val="1"/>
      <w:numFmt w:val="upperLetter"/>
      <w:lvlText w:val="%1-"/>
      <w:lvlJc w:val="left"/>
      <w:pPr>
        <w:ind w:left="720" w:hanging="360"/>
      </w:pPr>
    </w:lvl>
    <w:lvl w:ilvl="1" w:tplc="6DA0EAAC">
      <w:start w:val="1"/>
      <w:numFmt w:val="lowerLetter"/>
      <w:lvlText w:val="%2."/>
      <w:lvlJc w:val="left"/>
      <w:pPr>
        <w:ind w:left="1440" w:hanging="360"/>
      </w:pPr>
    </w:lvl>
    <w:lvl w:ilvl="2" w:tplc="5F3A9680">
      <w:start w:val="1"/>
      <w:numFmt w:val="lowerRoman"/>
      <w:lvlText w:val="%3."/>
      <w:lvlJc w:val="right"/>
      <w:pPr>
        <w:ind w:left="2160" w:hanging="180"/>
      </w:pPr>
    </w:lvl>
    <w:lvl w:ilvl="3" w:tplc="46A0DCC4">
      <w:start w:val="1"/>
      <w:numFmt w:val="decimal"/>
      <w:lvlText w:val="%4."/>
      <w:lvlJc w:val="left"/>
      <w:pPr>
        <w:ind w:left="2880" w:hanging="360"/>
      </w:pPr>
    </w:lvl>
    <w:lvl w:ilvl="4" w:tplc="00E0F960">
      <w:start w:val="1"/>
      <w:numFmt w:val="lowerLetter"/>
      <w:lvlText w:val="%5."/>
      <w:lvlJc w:val="left"/>
      <w:pPr>
        <w:ind w:left="3600" w:hanging="360"/>
      </w:pPr>
    </w:lvl>
    <w:lvl w:ilvl="5" w:tplc="9B00F8CE">
      <w:start w:val="1"/>
      <w:numFmt w:val="lowerRoman"/>
      <w:lvlText w:val="%6."/>
      <w:lvlJc w:val="right"/>
      <w:pPr>
        <w:ind w:left="4320" w:hanging="180"/>
      </w:pPr>
    </w:lvl>
    <w:lvl w:ilvl="6" w:tplc="B250333A">
      <w:start w:val="1"/>
      <w:numFmt w:val="decimal"/>
      <w:lvlText w:val="%7."/>
      <w:lvlJc w:val="left"/>
      <w:pPr>
        <w:ind w:left="5040" w:hanging="360"/>
      </w:pPr>
    </w:lvl>
    <w:lvl w:ilvl="7" w:tplc="9CFE3EB8">
      <w:start w:val="1"/>
      <w:numFmt w:val="lowerLetter"/>
      <w:lvlText w:val="%8."/>
      <w:lvlJc w:val="left"/>
      <w:pPr>
        <w:ind w:left="5760" w:hanging="360"/>
      </w:pPr>
    </w:lvl>
    <w:lvl w:ilvl="8" w:tplc="7F509742">
      <w:start w:val="1"/>
      <w:numFmt w:val="lowerRoman"/>
      <w:lvlText w:val="%9."/>
      <w:lvlJc w:val="right"/>
      <w:pPr>
        <w:ind w:left="6480" w:hanging="180"/>
      </w:pPr>
    </w:lvl>
  </w:abstractNum>
  <w:abstractNum w:abstractNumId="4" w15:restartNumberingAfterBreak="0">
    <w:nsid w:val="4E65E1B9"/>
    <w:multiLevelType w:val="hybridMultilevel"/>
    <w:tmpl w:val="4E2E9C3E"/>
    <w:lvl w:ilvl="0" w:tplc="805E12E8">
      <w:start w:val="1"/>
      <w:numFmt w:val="upperLetter"/>
      <w:lvlText w:val="%1-"/>
      <w:lvlJc w:val="left"/>
      <w:pPr>
        <w:ind w:left="720" w:hanging="360"/>
      </w:pPr>
    </w:lvl>
    <w:lvl w:ilvl="1" w:tplc="BA6EA398">
      <w:start w:val="1"/>
      <w:numFmt w:val="lowerLetter"/>
      <w:lvlText w:val="%2."/>
      <w:lvlJc w:val="left"/>
      <w:pPr>
        <w:ind w:left="1440" w:hanging="360"/>
      </w:pPr>
    </w:lvl>
    <w:lvl w:ilvl="2" w:tplc="9FF6341C">
      <w:start w:val="1"/>
      <w:numFmt w:val="lowerRoman"/>
      <w:lvlText w:val="%3."/>
      <w:lvlJc w:val="right"/>
      <w:pPr>
        <w:ind w:left="2160" w:hanging="180"/>
      </w:pPr>
    </w:lvl>
    <w:lvl w:ilvl="3" w:tplc="8EDAA430">
      <w:start w:val="1"/>
      <w:numFmt w:val="decimal"/>
      <w:lvlText w:val="%4."/>
      <w:lvlJc w:val="left"/>
      <w:pPr>
        <w:ind w:left="2880" w:hanging="360"/>
      </w:pPr>
    </w:lvl>
    <w:lvl w:ilvl="4" w:tplc="7220D54A">
      <w:start w:val="1"/>
      <w:numFmt w:val="lowerLetter"/>
      <w:lvlText w:val="%5."/>
      <w:lvlJc w:val="left"/>
      <w:pPr>
        <w:ind w:left="3600" w:hanging="360"/>
      </w:pPr>
    </w:lvl>
    <w:lvl w:ilvl="5" w:tplc="F92EDE40">
      <w:start w:val="1"/>
      <w:numFmt w:val="lowerRoman"/>
      <w:lvlText w:val="%6."/>
      <w:lvlJc w:val="right"/>
      <w:pPr>
        <w:ind w:left="4320" w:hanging="180"/>
      </w:pPr>
    </w:lvl>
    <w:lvl w:ilvl="6" w:tplc="E7D4592E">
      <w:start w:val="1"/>
      <w:numFmt w:val="decimal"/>
      <w:lvlText w:val="%7."/>
      <w:lvlJc w:val="left"/>
      <w:pPr>
        <w:ind w:left="5040" w:hanging="360"/>
      </w:pPr>
    </w:lvl>
    <w:lvl w:ilvl="7" w:tplc="C8D66E88">
      <w:start w:val="1"/>
      <w:numFmt w:val="lowerLetter"/>
      <w:lvlText w:val="%8."/>
      <w:lvlJc w:val="left"/>
      <w:pPr>
        <w:ind w:left="5760" w:hanging="360"/>
      </w:pPr>
    </w:lvl>
    <w:lvl w:ilvl="8" w:tplc="DDC46020">
      <w:start w:val="1"/>
      <w:numFmt w:val="lowerRoman"/>
      <w:lvlText w:val="%9."/>
      <w:lvlJc w:val="right"/>
      <w:pPr>
        <w:ind w:left="6480" w:hanging="180"/>
      </w:pPr>
    </w:lvl>
  </w:abstractNum>
  <w:abstractNum w:abstractNumId="5" w15:restartNumberingAfterBreak="0">
    <w:nsid w:val="6385A891"/>
    <w:multiLevelType w:val="hybridMultilevel"/>
    <w:tmpl w:val="C602EEE6"/>
    <w:lvl w:ilvl="0" w:tplc="A0206C3A">
      <w:start w:val="1"/>
      <w:numFmt w:val="upperLetter"/>
      <w:lvlText w:val="%1-"/>
      <w:lvlJc w:val="left"/>
      <w:pPr>
        <w:ind w:left="720" w:hanging="360"/>
      </w:pPr>
    </w:lvl>
    <w:lvl w:ilvl="1" w:tplc="8D068666">
      <w:start w:val="1"/>
      <w:numFmt w:val="lowerLetter"/>
      <w:lvlText w:val="%2."/>
      <w:lvlJc w:val="left"/>
      <w:pPr>
        <w:ind w:left="1440" w:hanging="360"/>
      </w:pPr>
    </w:lvl>
    <w:lvl w:ilvl="2" w:tplc="8342DE98">
      <w:start w:val="1"/>
      <w:numFmt w:val="lowerRoman"/>
      <w:lvlText w:val="%3."/>
      <w:lvlJc w:val="right"/>
      <w:pPr>
        <w:ind w:left="2160" w:hanging="180"/>
      </w:pPr>
    </w:lvl>
    <w:lvl w:ilvl="3" w:tplc="04B62B8A">
      <w:start w:val="1"/>
      <w:numFmt w:val="decimal"/>
      <w:lvlText w:val="%4."/>
      <w:lvlJc w:val="left"/>
      <w:pPr>
        <w:ind w:left="2880" w:hanging="360"/>
      </w:pPr>
    </w:lvl>
    <w:lvl w:ilvl="4" w:tplc="B4D039E4">
      <w:start w:val="1"/>
      <w:numFmt w:val="lowerLetter"/>
      <w:lvlText w:val="%5."/>
      <w:lvlJc w:val="left"/>
      <w:pPr>
        <w:ind w:left="3600" w:hanging="360"/>
      </w:pPr>
    </w:lvl>
    <w:lvl w:ilvl="5" w:tplc="663C925E">
      <w:start w:val="1"/>
      <w:numFmt w:val="lowerRoman"/>
      <w:lvlText w:val="%6."/>
      <w:lvlJc w:val="right"/>
      <w:pPr>
        <w:ind w:left="4320" w:hanging="180"/>
      </w:pPr>
    </w:lvl>
    <w:lvl w:ilvl="6" w:tplc="B9BAAA6E">
      <w:start w:val="1"/>
      <w:numFmt w:val="decimal"/>
      <w:lvlText w:val="%7."/>
      <w:lvlJc w:val="left"/>
      <w:pPr>
        <w:ind w:left="5040" w:hanging="360"/>
      </w:pPr>
    </w:lvl>
    <w:lvl w:ilvl="7" w:tplc="C93CAF96">
      <w:start w:val="1"/>
      <w:numFmt w:val="lowerLetter"/>
      <w:lvlText w:val="%8."/>
      <w:lvlJc w:val="left"/>
      <w:pPr>
        <w:ind w:left="5760" w:hanging="360"/>
      </w:pPr>
    </w:lvl>
    <w:lvl w:ilvl="8" w:tplc="C18CC770">
      <w:start w:val="1"/>
      <w:numFmt w:val="lowerRoman"/>
      <w:lvlText w:val="%9."/>
      <w:lvlJc w:val="right"/>
      <w:pPr>
        <w:ind w:left="6480" w:hanging="180"/>
      </w:pPr>
    </w:lvl>
  </w:abstractNum>
  <w:abstractNum w:abstractNumId="6" w15:restartNumberingAfterBreak="0">
    <w:nsid w:val="6428A84D"/>
    <w:multiLevelType w:val="hybridMultilevel"/>
    <w:tmpl w:val="817E4C8A"/>
    <w:lvl w:ilvl="0" w:tplc="C23ADCAA">
      <w:start w:val="1"/>
      <w:numFmt w:val="upperRoman"/>
      <w:lvlText w:val="%1-"/>
      <w:lvlJc w:val="left"/>
      <w:pPr>
        <w:ind w:left="720" w:hanging="360"/>
      </w:pPr>
    </w:lvl>
    <w:lvl w:ilvl="1" w:tplc="039CB522">
      <w:start w:val="1"/>
      <w:numFmt w:val="lowerLetter"/>
      <w:lvlText w:val="%2."/>
      <w:lvlJc w:val="left"/>
      <w:pPr>
        <w:ind w:left="1440" w:hanging="360"/>
      </w:pPr>
    </w:lvl>
    <w:lvl w:ilvl="2" w:tplc="5A9CAB50">
      <w:start w:val="1"/>
      <w:numFmt w:val="lowerRoman"/>
      <w:lvlText w:val="%3."/>
      <w:lvlJc w:val="right"/>
      <w:pPr>
        <w:ind w:left="2160" w:hanging="180"/>
      </w:pPr>
    </w:lvl>
    <w:lvl w:ilvl="3" w:tplc="B4D26224">
      <w:start w:val="1"/>
      <w:numFmt w:val="decimal"/>
      <w:lvlText w:val="%4."/>
      <w:lvlJc w:val="left"/>
      <w:pPr>
        <w:ind w:left="2880" w:hanging="360"/>
      </w:pPr>
    </w:lvl>
    <w:lvl w:ilvl="4" w:tplc="6AE0885C">
      <w:start w:val="1"/>
      <w:numFmt w:val="lowerLetter"/>
      <w:lvlText w:val="%5."/>
      <w:lvlJc w:val="left"/>
      <w:pPr>
        <w:ind w:left="3600" w:hanging="360"/>
      </w:pPr>
    </w:lvl>
    <w:lvl w:ilvl="5" w:tplc="AF0C0FA2">
      <w:start w:val="1"/>
      <w:numFmt w:val="lowerRoman"/>
      <w:lvlText w:val="%6."/>
      <w:lvlJc w:val="right"/>
      <w:pPr>
        <w:ind w:left="4320" w:hanging="180"/>
      </w:pPr>
    </w:lvl>
    <w:lvl w:ilvl="6" w:tplc="2016385E">
      <w:start w:val="1"/>
      <w:numFmt w:val="decimal"/>
      <w:lvlText w:val="%7."/>
      <w:lvlJc w:val="left"/>
      <w:pPr>
        <w:ind w:left="5040" w:hanging="360"/>
      </w:pPr>
    </w:lvl>
    <w:lvl w:ilvl="7" w:tplc="B7C8F560">
      <w:start w:val="1"/>
      <w:numFmt w:val="lowerLetter"/>
      <w:lvlText w:val="%8."/>
      <w:lvlJc w:val="left"/>
      <w:pPr>
        <w:ind w:left="5760" w:hanging="360"/>
      </w:pPr>
    </w:lvl>
    <w:lvl w:ilvl="8" w:tplc="1A5C8030">
      <w:start w:val="1"/>
      <w:numFmt w:val="lowerRoman"/>
      <w:lvlText w:val="%9."/>
      <w:lvlJc w:val="right"/>
      <w:pPr>
        <w:ind w:left="6480" w:hanging="180"/>
      </w:pPr>
    </w:lvl>
  </w:abstractNum>
  <w:abstractNum w:abstractNumId="7" w15:restartNumberingAfterBreak="0">
    <w:nsid w:val="6C77F18C"/>
    <w:multiLevelType w:val="hybridMultilevel"/>
    <w:tmpl w:val="374815D6"/>
    <w:lvl w:ilvl="0" w:tplc="0400AD3C">
      <w:start w:val="1"/>
      <w:numFmt w:val="upperRoman"/>
      <w:lvlText w:val="%1-"/>
      <w:lvlJc w:val="left"/>
      <w:pPr>
        <w:ind w:left="720" w:hanging="360"/>
      </w:pPr>
    </w:lvl>
    <w:lvl w:ilvl="1" w:tplc="58481852">
      <w:start w:val="1"/>
      <w:numFmt w:val="lowerLetter"/>
      <w:lvlText w:val="%2."/>
      <w:lvlJc w:val="left"/>
      <w:pPr>
        <w:ind w:left="1440" w:hanging="360"/>
      </w:pPr>
    </w:lvl>
    <w:lvl w:ilvl="2" w:tplc="661E167A">
      <w:start w:val="1"/>
      <w:numFmt w:val="lowerRoman"/>
      <w:lvlText w:val="%3."/>
      <w:lvlJc w:val="right"/>
      <w:pPr>
        <w:ind w:left="2160" w:hanging="180"/>
      </w:pPr>
    </w:lvl>
    <w:lvl w:ilvl="3" w:tplc="ADF4EB94">
      <w:start w:val="1"/>
      <w:numFmt w:val="decimal"/>
      <w:lvlText w:val="%4."/>
      <w:lvlJc w:val="left"/>
      <w:pPr>
        <w:ind w:left="2880" w:hanging="360"/>
      </w:pPr>
    </w:lvl>
    <w:lvl w:ilvl="4" w:tplc="33C2E968">
      <w:start w:val="1"/>
      <w:numFmt w:val="lowerLetter"/>
      <w:lvlText w:val="%5."/>
      <w:lvlJc w:val="left"/>
      <w:pPr>
        <w:ind w:left="3600" w:hanging="360"/>
      </w:pPr>
    </w:lvl>
    <w:lvl w:ilvl="5" w:tplc="E5DE38F4">
      <w:start w:val="1"/>
      <w:numFmt w:val="lowerRoman"/>
      <w:lvlText w:val="%6."/>
      <w:lvlJc w:val="right"/>
      <w:pPr>
        <w:ind w:left="4320" w:hanging="180"/>
      </w:pPr>
    </w:lvl>
    <w:lvl w:ilvl="6" w:tplc="6C14A9AE">
      <w:start w:val="1"/>
      <w:numFmt w:val="decimal"/>
      <w:lvlText w:val="%7."/>
      <w:lvlJc w:val="left"/>
      <w:pPr>
        <w:ind w:left="5040" w:hanging="360"/>
      </w:pPr>
    </w:lvl>
    <w:lvl w:ilvl="7" w:tplc="E56CE4E0">
      <w:start w:val="1"/>
      <w:numFmt w:val="lowerLetter"/>
      <w:lvlText w:val="%8."/>
      <w:lvlJc w:val="left"/>
      <w:pPr>
        <w:ind w:left="5760" w:hanging="360"/>
      </w:pPr>
    </w:lvl>
    <w:lvl w:ilvl="8" w:tplc="08CE046C">
      <w:start w:val="1"/>
      <w:numFmt w:val="lowerRoman"/>
      <w:lvlText w:val="%9."/>
      <w:lvlJc w:val="right"/>
      <w:pPr>
        <w:ind w:left="6480" w:hanging="180"/>
      </w:pPr>
    </w:lvl>
  </w:abstractNum>
  <w:abstractNum w:abstractNumId="8" w15:restartNumberingAfterBreak="0">
    <w:nsid w:val="7229309A"/>
    <w:multiLevelType w:val="hybridMultilevel"/>
    <w:tmpl w:val="093EED84"/>
    <w:lvl w:ilvl="0" w:tplc="A8FA1698">
      <w:start w:val="1"/>
      <w:numFmt w:val="upperLetter"/>
      <w:lvlText w:val="%1."/>
      <w:lvlJc w:val="left"/>
      <w:pPr>
        <w:ind w:left="720" w:hanging="360"/>
      </w:pPr>
    </w:lvl>
    <w:lvl w:ilvl="1" w:tplc="10747AF6">
      <w:start w:val="1"/>
      <w:numFmt w:val="lowerLetter"/>
      <w:lvlText w:val="%2."/>
      <w:lvlJc w:val="left"/>
      <w:pPr>
        <w:ind w:left="1440" w:hanging="360"/>
      </w:pPr>
    </w:lvl>
    <w:lvl w:ilvl="2" w:tplc="8BC6D55A">
      <w:start w:val="1"/>
      <w:numFmt w:val="lowerRoman"/>
      <w:lvlText w:val="%3."/>
      <w:lvlJc w:val="right"/>
      <w:pPr>
        <w:ind w:left="2160" w:hanging="180"/>
      </w:pPr>
    </w:lvl>
    <w:lvl w:ilvl="3" w:tplc="78C22D18">
      <w:start w:val="1"/>
      <w:numFmt w:val="decimal"/>
      <w:lvlText w:val="%4."/>
      <w:lvlJc w:val="left"/>
      <w:pPr>
        <w:ind w:left="2880" w:hanging="360"/>
      </w:pPr>
    </w:lvl>
    <w:lvl w:ilvl="4" w:tplc="4C920A70">
      <w:start w:val="1"/>
      <w:numFmt w:val="lowerLetter"/>
      <w:lvlText w:val="%5."/>
      <w:lvlJc w:val="left"/>
      <w:pPr>
        <w:ind w:left="3600" w:hanging="360"/>
      </w:pPr>
    </w:lvl>
    <w:lvl w:ilvl="5" w:tplc="E90E516E">
      <w:start w:val="1"/>
      <w:numFmt w:val="lowerRoman"/>
      <w:lvlText w:val="%6."/>
      <w:lvlJc w:val="right"/>
      <w:pPr>
        <w:ind w:left="4320" w:hanging="180"/>
      </w:pPr>
    </w:lvl>
    <w:lvl w:ilvl="6" w:tplc="79DC74D6">
      <w:start w:val="1"/>
      <w:numFmt w:val="decimal"/>
      <w:lvlText w:val="%7."/>
      <w:lvlJc w:val="left"/>
      <w:pPr>
        <w:ind w:left="5040" w:hanging="360"/>
      </w:pPr>
    </w:lvl>
    <w:lvl w:ilvl="7" w:tplc="B8ECE8F2">
      <w:start w:val="1"/>
      <w:numFmt w:val="lowerLetter"/>
      <w:lvlText w:val="%8."/>
      <w:lvlJc w:val="left"/>
      <w:pPr>
        <w:ind w:left="5760" w:hanging="360"/>
      </w:pPr>
    </w:lvl>
    <w:lvl w:ilvl="8" w:tplc="3EF48D0C">
      <w:start w:val="1"/>
      <w:numFmt w:val="lowerRoman"/>
      <w:lvlText w:val="%9."/>
      <w:lvlJc w:val="right"/>
      <w:pPr>
        <w:ind w:left="6480" w:hanging="180"/>
      </w:pPr>
    </w:lvl>
  </w:abstractNum>
  <w:num w:numId="1" w16cid:durableId="105783430">
    <w:abstractNumId w:val="8"/>
  </w:num>
  <w:num w:numId="2" w16cid:durableId="623274155">
    <w:abstractNumId w:val="3"/>
  </w:num>
  <w:num w:numId="3" w16cid:durableId="1915821729">
    <w:abstractNumId w:val="4"/>
  </w:num>
  <w:num w:numId="4" w16cid:durableId="483855932">
    <w:abstractNumId w:val="7"/>
  </w:num>
  <w:num w:numId="5" w16cid:durableId="1949507694">
    <w:abstractNumId w:val="0"/>
  </w:num>
  <w:num w:numId="6" w16cid:durableId="1268929684">
    <w:abstractNumId w:val="6"/>
  </w:num>
  <w:num w:numId="7" w16cid:durableId="1584990338">
    <w:abstractNumId w:val="5"/>
  </w:num>
  <w:num w:numId="8" w16cid:durableId="5135050">
    <w:abstractNumId w:val="2"/>
  </w:num>
  <w:num w:numId="9" w16cid:durableId="17438701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155"/>
    <w:rsid w:val="0005136A"/>
    <w:rsid w:val="00303BAB"/>
    <w:rsid w:val="00383FD8"/>
    <w:rsid w:val="003B1071"/>
    <w:rsid w:val="005A2B68"/>
    <w:rsid w:val="005D7268"/>
    <w:rsid w:val="007E1155"/>
    <w:rsid w:val="007F095C"/>
    <w:rsid w:val="00C8F74E"/>
    <w:rsid w:val="00CA53CE"/>
    <w:rsid w:val="00D94D05"/>
    <w:rsid w:val="01AD4B0F"/>
    <w:rsid w:val="01D328FC"/>
    <w:rsid w:val="01FF4BAC"/>
    <w:rsid w:val="021355BB"/>
    <w:rsid w:val="02A8927D"/>
    <w:rsid w:val="02AAE24C"/>
    <w:rsid w:val="02B8677C"/>
    <w:rsid w:val="0313A56C"/>
    <w:rsid w:val="03150D67"/>
    <w:rsid w:val="03405641"/>
    <w:rsid w:val="036C2AC9"/>
    <w:rsid w:val="039027AD"/>
    <w:rsid w:val="03E9E7FD"/>
    <w:rsid w:val="04606F2E"/>
    <w:rsid w:val="04666064"/>
    <w:rsid w:val="04710BDB"/>
    <w:rsid w:val="04B052AF"/>
    <w:rsid w:val="04F3C876"/>
    <w:rsid w:val="051F5E4F"/>
    <w:rsid w:val="055747B2"/>
    <w:rsid w:val="057FF0C1"/>
    <w:rsid w:val="059A357F"/>
    <w:rsid w:val="06748C1A"/>
    <w:rsid w:val="06ECF878"/>
    <w:rsid w:val="075A7523"/>
    <w:rsid w:val="07A72C32"/>
    <w:rsid w:val="08DE14C3"/>
    <w:rsid w:val="091370F7"/>
    <w:rsid w:val="093C923C"/>
    <w:rsid w:val="09A2BCC9"/>
    <w:rsid w:val="09A640D0"/>
    <w:rsid w:val="09C911F6"/>
    <w:rsid w:val="0A012B09"/>
    <w:rsid w:val="0A2D87EB"/>
    <w:rsid w:val="0A6205BF"/>
    <w:rsid w:val="0A64F90E"/>
    <w:rsid w:val="0A685947"/>
    <w:rsid w:val="0BFC5B25"/>
    <w:rsid w:val="0C135BF1"/>
    <w:rsid w:val="0C66650B"/>
    <w:rsid w:val="0C94FB16"/>
    <w:rsid w:val="0CA907DD"/>
    <w:rsid w:val="0CCA9AAE"/>
    <w:rsid w:val="0D38D70E"/>
    <w:rsid w:val="0D3CE257"/>
    <w:rsid w:val="0D6F4B38"/>
    <w:rsid w:val="0DF29D04"/>
    <w:rsid w:val="0E971A0F"/>
    <w:rsid w:val="0EB37854"/>
    <w:rsid w:val="0EE0F3D6"/>
    <w:rsid w:val="0F72E98D"/>
    <w:rsid w:val="0FE59B01"/>
    <w:rsid w:val="0FEEBD01"/>
    <w:rsid w:val="108DF963"/>
    <w:rsid w:val="10CCEAE6"/>
    <w:rsid w:val="10E033B2"/>
    <w:rsid w:val="11291BE7"/>
    <w:rsid w:val="112A59D8"/>
    <w:rsid w:val="11446F82"/>
    <w:rsid w:val="119525E2"/>
    <w:rsid w:val="120371AE"/>
    <w:rsid w:val="12106EA0"/>
    <w:rsid w:val="123B324B"/>
    <w:rsid w:val="1249FB49"/>
    <w:rsid w:val="124C3026"/>
    <w:rsid w:val="127710EE"/>
    <w:rsid w:val="134FDB6C"/>
    <w:rsid w:val="13546F4C"/>
    <w:rsid w:val="13AB2F04"/>
    <w:rsid w:val="13C0239C"/>
    <w:rsid w:val="13C381FB"/>
    <w:rsid w:val="13D40518"/>
    <w:rsid w:val="13DACC9F"/>
    <w:rsid w:val="13F2B730"/>
    <w:rsid w:val="155FB7E5"/>
    <w:rsid w:val="159CEAC9"/>
    <w:rsid w:val="161F4C6E"/>
    <w:rsid w:val="165C841B"/>
    <w:rsid w:val="167ECEDF"/>
    <w:rsid w:val="16DC6697"/>
    <w:rsid w:val="17713C2F"/>
    <w:rsid w:val="17983047"/>
    <w:rsid w:val="1828DAE3"/>
    <w:rsid w:val="182C4197"/>
    <w:rsid w:val="18562FE0"/>
    <w:rsid w:val="186E3230"/>
    <w:rsid w:val="18B25919"/>
    <w:rsid w:val="18B838C1"/>
    <w:rsid w:val="190A2D49"/>
    <w:rsid w:val="191F2D26"/>
    <w:rsid w:val="19613B89"/>
    <w:rsid w:val="19787B36"/>
    <w:rsid w:val="1984585B"/>
    <w:rsid w:val="1A1A8342"/>
    <w:rsid w:val="1AADEA00"/>
    <w:rsid w:val="1B6656D7"/>
    <w:rsid w:val="1B831225"/>
    <w:rsid w:val="1B97F5F5"/>
    <w:rsid w:val="1BC121AD"/>
    <w:rsid w:val="1BCFFA62"/>
    <w:rsid w:val="1C35DB96"/>
    <w:rsid w:val="1C7ABE03"/>
    <w:rsid w:val="1C8371BE"/>
    <w:rsid w:val="1C9B9F33"/>
    <w:rsid w:val="1E54953F"/>
    <w:rsid w:val="1E5B694D"/>
    <w:rsid w:val="1EB30CEE"/>
    <w:rsid w:val="1FA7FB48"/>
    <w:rsid w:val="1FB92CC7"/>
    <w:rsid w:val="1FC3230E"/>
    <w:rsid w:val="20B1DC92"/>
    <w:rsid w:val="210AC986"/>
    <w:rsid w:val="210D3ED8"/>
    <w:rsid w:val="216815F2"/>
    <w:rsid w:val="2203305D"/>
    <w:rsid w:val="2212246D"/>
    <w:rsid w:val="22573431"/>
    <w:rsid w:val="22954C50"/>
    <w:rsid w:val="22A18260"/>
    <w:rsid w:val="22AC80A9"/>
    <w:rsid w:val="22B1ACEA"/>
    <w:rsid w:val="22FCEDF9"/>
    <w:rsid w:val="2349E6BC"/>
    <w:rsid w:val="236E92C7"/>
    <w:rsid w:val="23BDD9AB"/>
    <w:rsid w:val="23CAA60A"/>
    <w:rsid w:val="242378DF"/>
    <w:rsid w:val="2471FA6A"/>
    <w:rsid w:val="2488B0F0"/>
    <w:rsid w:val="259D3C2F"/>
    <w:rsid w:val="25FEBCBF"/>
    <w:rsid w:val="269454A1"/>
    <w:rsid w:val="26AE18C8"/>
    <w:rsid w:val="278B38C1"/>
    <w:rsid w:val="27F77831"/>
    <w:rsid w:val="281F8E66"/>
    <w:rsid w:val="2830DE19"/>
    <w:rsid w:val="28AE6AD2"/>
    <w:rsid w:val="28BEE000"/>
    <w:rsid w:val="28F4F4E5"/>
    <w:rsid w:val="29231AF9"/>
    <w:rsid w:val="2965A90B"/>
    <w:rsid w:val="2A130482"/>
    <w:rsid w:val="2AA609F1"/>
    <w:rsid w:val="2B528DD6"/>
    <w:rsid w:val="2C8C13DA"/>
    <w:rsid w:val="2C8EEED0"/>
    <w:rsid w:val="2CD07FD1"/>
    <w:rsid w:val="2CD7860A"/>
    <w:rsid w:val="2D5FE1BB"/>
    <w:rsid w:val="2DAB6D8D"/>
    <w:rsid w:val="2DE113BF"/>
    <w:rsid w:val="2DE113ED"/>
    <w:rsid w:val="2E9A422F"/>
    <w:rsid w:val="2F008E35"/>
    <w:rsid w:val="2F78641C"/>
    <w:rsid w:val="2F9152C6"/>
    <w:rsid w:val="301066B9"/>
    <w:rsid w:val="304C2272"/>
    <w:rsid w:val="30731C48"/>
    <w:rsid w:val="307D6F7E"/>
    <w:rsid w:val="31E7E6EE"/>
    <w:rsid w:val="31F7B546"/>
    <w:rsid w:val="32642980"/>
    <w:rsid w:val="3266BBE3"/>
    <w:rsid w:val="32FE3779"/>
    <w:rsid w:val="330FBBF9"/>
    <w:rsid w:val="334C7AE6"/>
    <w:rsid w:val="33506C2B"/>
    <w:rsid w:val="335F3337"/>
    <w:rsid w:val="33D3F642"/>
    <w:rsid w:val="34AD8659"/>
    <w:rsid w:val="34CA49EE"/>
    <w:rsid w:val="3595F081"/>
    <w:rsid w:val="35CB4A3D"/>
    <w:rsid w:val="362989BA"/>
    <w:rsid w:val="3635A728"/>
    <w:rsid w:val="364D1688"/>
    <w:rsid w:val="364DE8A1"/>
    <w:rsid w:val="366631ED"/>
    <w:rsid w:val="3751D5B1"/>
    <w:rsid w:val="37D51E26"/>
    <w:rsid w:val="3817DC67"/>
    <w:rsid w:val="386C8711"/>
    <w:rsid w:val="387A499E"/>
    <w:rsid w:val="38CCF4E1"/>
    <w:rsid w:val="38E54641"/>
    <w:rsid w:val="398B44CA"/>
    <w:rsid w:val="39C57F27"/>
    <w:rsid w:val="3A139C3B"/>
    <w:rsid w:val="3A4AFBB9"/>
    <w:rsid w:val="3AD6E7A6"/>
    <w:rsid w:val="3AFE40A8"/>
    <w:rsid w:val="3B729F70"/>
    <w:rsid w:val="3BCD5FDB"/>
    <w:rsid w:val="3C101F13"/>
    <w:rsid w:val="3CF86D31"/>
    <w:rsid w:val="3D14D14E"/>
    <w:rsid w:val="3D903392"/>
    <w:rsid w:val="3D9416A3"/>
    <w:rsid w:val="3DC2BB4E"/>
    <w:rsid w:val="3E38EC41"/>
    <w:rsid w:val="3F12A2C5"/>
    <w:rsid w:val="3FA93822"/>
    <w:rsid w:val="3FCE93A4"/>
    <w:rsid w:val="3FF7F065"/>
    <w:rsid w:val="4047C2D0"/>
    <w:rsid w:val="40D2F5EF"/>
    <w:rsid w:val="40F2262B"/>
    <w:rsid w:val="410280B0"/>
    <w:rsid w:val="41E0364A"/>
    <w:rsid w:val="42029891"/>
    <w:rsid w:val="429A0923"/>
    <w:rsid w:val="42BD7242"/>
    <w:rsid w:val="430262B8"/>
    <w:rsid w:val="4340755C"/>
    <w:rsid w:val="43B364F1"/>
    <w:rsid w:val="446BEE53"/>
    <w:rsid w:val="451D98A8"/>
    <w:rsid w:val="4559B666"/>
    <w:rsid w:val="45732368"/>
    <w:rsid w:val="45C31235"/>
    <w:rsid w:val="45D448BB"/>
    <w:rsid w:val="46238337"/>
    <w:rsid w:val="463E3641"/>
    <w:rsid w:val="465C809D"/>
    <w:rsid w:val="46BB8318"/>
    <w:rsid w:val="46BD6291"/>
    <w:rsid w:val="46CC088E"/>
    <w:rsid w:val="4720D63F"/>
    <w:rsid w:val="4751B238"/>
    <w:rsid w:val="4765EEA6"/>
    <w:rsid w:val="479F58A3"/>
    <w:rsid w:val="47C73664"/>
    <w:rsid w:val="4803336C"/>
    <w:rsid w:val="4813B106"/>
    <w:rsid w:val="4816452B"/>
    <w:rsid w:val="490021D7"/>
    <w:rsid w:val="49243BA6"/>
    <w:rsid w:val="49462830"/>
    <w:rsid w:val="49D1D6B1"/>
    <w:rsid w:val="4A3C0909"/>
    <w:rsid w:val="4A693E40"/>
    <w:rsid w:val="4A710640"/>
    <w:rsid w:val="4A9413F3"/>
    <w:rsid w:val="4AD766CA"/>
    <w:rsid w:val="4AE1DBC4"/>
    <w:rsid w:val="4B125BFC"/>
    <w:rsid w:val="4BC7DC59"/>
    <w:rsid w:val="4BE91E78"/>
    <w:rsid w:val="4C5CAD4B"/>
    <w:rsid w:val="4CCA4627"/>
    <w:rsid w:val="4D601B2F"/>
    <w:rsid w:val="4D94AAD6"/>
    <w:rsid w:val="4E97DB1C"/>
    <w:rsid w:val="4F92E969"/>
    <w:rsid w:val="4FFD231D"/>
    <w:rsid w:val="500EAFC5"/>
    <w:rsid w:val="503D9D5C"/>
    <w:rsid w:val="50647862"/>
    <w:rsid w:val="50DEA62D"/>
    <w:rsid w:val="5198240F"/>
    <w:rsid w:val="51C2E921"/>
    <w:rsid w:val="51C3EAAF"/>
    <w:rsid w:val="51DDAE6C"/>
    <w:rsid w:val="51F084EF"/>
    <w:rsid w:val="52288CFB"/>
    <w:rsid w:val="52F144CD"/>
    <w:rsid w:val="531AE349"/>
    <w:rsid w:val="534F8E44"/>
    <w:rsid w:val="536DB20B"/>
    <w:rsid w:val="539D3A29"/>
    <w:rsid w:val="53B14A56"/>
    <w:rsid w:val="53C89EDC"/>
    <w:rsid w:val="5495410A"/>
    <w:rsid w:val="55592C51"/>
    <w:rsid w:val="55686FE1"/>
    <w:rsid w:val="559992E7"/>
    <w:rsid w:val="55FEF926"/>
    <w:rsid w:val="56510C29"/>
    <w:rsid w:val="5685484F"/>
    <w:rsid w:val="569D07C0"/>
    <w:rsid w:val="56B97605"/>
    <w:rsid w:val="58E6BBA4"/>
    <w:rsid w:val="5926839A"/>
    <w:rsid w:val="595D42BF"/>
    <w:rsid w:val="59BB4AC9"/>
    <w:rsid w:val="59D1D4E0"/>
    <w:rsid w:val="59EE143E"/>
    <w:rsid w:val="59F70D32"/>
    <w:rsid w:val="5A11B5E4"/>
    <w:rsid w:val="5A921082"/>
    <w:rsid w:val="5A9C730F"/>
    <w:rsid w:val="5AD91049"/>
    <w:rsid w:val="5B10E4BB"/>
    <w:rsid w:val="5BC44C9B"/>
    <w:rsid w:val="5BC45436"/>
    <w:rsid w:val="5BF5EA85"/>
    <w:rsid w:val="5C8C2866"/>
    <w:rsid w:val="5CABF106"/>
    <w:rsid w:val="5CB01B9F"/>
    <w:rsid w:val="5D30C6B3"/>
    <w:rsid w:val="5D4DDA8C"/>
    <w:rsid w:val="5E42EBBE"/>
    <w:rsid w:val="5E527914"/>
    <w:rsid w:val="5E78B4E6"/>
    <w:rsid w:val="5E78CF8C"/>
    <w:rsid w:val="5E8D1959"/>
    <w:rsid w:val="5ED10AAF"/>
    <w:rsid w:val="5F57FB7F"/>
    <w:rsid w:val="5F8EF188"/>
    <w:rsid w:val="6120C598"/>
    <w:rsid w:val="6141D7BF"/>
    <w:rsid w:val="61C7F517"/>
    <w:rsid w:val="61F32607"/>
    <w:rsid w:val="61FC5389"/>
    <w:rsid w:val="62040CF4"/>
    <w:rsid w:val="624B6FE5"/>
    <w:rsid w:val="6308C668"/>
    <w:rsid w:val="63BDA9CF"/>
    <w:rsid w:val="63C8D27A"/>
    <w:rsid w:val="63EBBF63"/>
    <w:rsid w:val="643FE2AE"/>
    <w:rsid w:val="646C8A28"/>
    <w:rsid w:val="64908072"/>
    <w:rsid w:val="64B8592D"/>
    <w:rsid w:val="64C0E15C"/>
    <w:rsid w:val="64D80B58"/>
    <w:rsid w:val="64E45A42"/>
    <w:rsid w:val="656A667A"/>
    <w:rsid w:val="65921DA4"/>
    <w:rsid w:val="6596D44F"/>
    <w:rsid w:val="65AAC5F8"/>
    <w:rsid w:val="65EB33F9"/>
    <w:rsid w:val="65F12A6B"/>
    <w:rsid w:val="66DE51DC"/>
    <w:rsid w:val="66FBBDF1"/>
    <w:rsid w:val="67556266"/>
    <w:rsid w:val="67C299D2"/>
    <w:rsid w:val="67CB4767"/>
    <w:rsid w:val="67DEA564"/>
    <w:rsid w:val="683C035E"/>
    <w:rsid w:val="6883CA3D"/>
    <w:rsid w:val="6885F387"/>
    <w:rsid w:val="68C84120"/>
    <w:rsid w:val="68D72848"/>
    <w:rsid w:val="691F97F6"/>
    <w:rsid w:val="69412D5B"/>
    <w:rsid w:val="6976944A"/>
    <w:rsid w:val="69D2EEF4"/>
    <w:rsid w:val="69E2B571"/>
    <w:rsid w:val="6A491A22"/>
    <w:rsid w:val="6A494FD2"/>
    <w:rsid w:val="6AC25B49"/>
    <w:rsid w:val="6BD5FB95"/>
    <w:rsid w:val="6BF44014"/>
    <w:rsid w:val="6CE81BE6"/>
    <w:rsid w:val="6CEFDAF9"/>
    <w:rsid w:val="6D8191B2"/>
    <w:rsid w:val="6DF809FE"/>
    <w:rsid w:val="6E143D49"/>
    <w:rsid w:val="6F250FAA"/>
    <w:rsid w:val="6F7B0515"/>
    <w:rsid w:val="700C5615"/>
    <w:rsid w:val="70C866AA"/>
    <w:rsid w:val="70F773AC"/>
    <w:rsid w:val="715C6B05"/>
    <w:rsid w:val="71A2500B"/>
    <w:rsid w:val="72B5D950"/>
    <w:rsid w:val="72C35B11"/>
    <w:rsid w:val="72E4D4B2"/>
    <w:rsid w:val="7394947D"/>
    <w:rsid w:val="73A7A8D9"/>
    <w:rsid w:val="744BEBF1"/>
    <w:rsid w:val="74B584BB"/>
    <w:rsid w:val="75A7E357"/>
    <w:rsid w:val="75AA1FE9"/>
    <w:rsid w:val="75C06733"/>
    <w:rsid w:val="75F23373"/>
    <w:rsid w:val="760653CC"/>
    <w:rsid w:val="76224225"/>
    <w:rsid w:val="76889DF3"/>
    <w:rsid w:val="76DDB6BC"/>
    <w:rsid w:val="76F1B1A2"/>
    <w:rsid w:val="77AF14FC"/>
    <w:rsid w:val="77B2ACFA"/>
    <w:rsid w:val="780F5D19"/>
    <w:rsid w:val="78256DD3"/>
    <w:rsid w:val="78952C1B"/>
    <w:rsid w:val="78E5F642"/>
    <w:rsid w:val="7911EB85"/>
    <w:rsid w:val="7983C029"/>
    <w:rsid w:val="7B6DB1C8"/>
    <w:rsid w:val="7BAC51FC"/>
    <w:rsid w:val="7BDB6A27"/>
    <w:rsid w:val="7C49DFE3"/>
    <w:rsid w:val="7C85553C"/>
    <w:rsid w:val="7CEF7CCD"/>
    <w:rsid w:val="7D3CE699"/>
    <w:rsid w:val="7D75D5B5"/>
    <w:rsid w:val="7E27A3DC"/>
    <w:rsid w:val="7E29B397"/>
    <w:rsid w:val="7E63FA9D"/>
    <w:rsid w:val="7F13D2EF"/>
    <w:rsid w:val="7F8ED754"/>
    <w:rsid w:val="7FBC9F45"/>
    <w:rsid w:val="7FC7D677"/>
    <w:rsid w:val="7FD12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9B0221"/>
  <w15:chartTrackingRefBased/>
  <w15:docId w15:val="{E0CA05DC-78AF-46F6-AA9D-396413DA8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1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11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11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11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11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11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11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11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11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1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11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11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11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11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11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11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11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1155"/>
    <w:rPr>
      <w:rFonts w:eastAsiaTheme="majorEastAsia" w:cstheme="majorBidi"/>
      <w:color w:val="272727" w:themeColor="text1" w:themeTint="D8"/>
    </w:rPr>
  </w:style>
  <w:style w:type="paragraph" w:styleId="Title">
    <w:name w:val="Title"/>
    <w:basedOn w:val="Normal"/>
    <w:next w:val="Normal"/>
    <w:link w:val="TitleChar"/>
    <w:uiPriority w:val="10"/>
    <w:qFormat/>
    <w:rsid w:val="007E11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1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11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11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1155"/>
    <w:pPr>
      <w:spacing w:before="160"/>
      <w:jc w:val="center"/>
    </w:pPr>
    <w:rPr>
      <w:i/>
      <w:iCs/>
      <w:color w:val="404040" w:themeColor="text1" w:themeTint="BF"/>
    </w:rPr>
  </w:style>
  <w:style w:type="character" w:customStyle="1" w:styleId="QuoteChar">
    <w:name w:val="Quote Char"/>
    <w:basedOn w:val="DefaultParagraphFont"/>
    <w:link w:val="Quote"/>
    <w:uiPriority w:val="29"/>
    <w:rsid w:val="007E1155"/>
    <w:rPr>
      <w:i/>
      <w:iCs/>
      <w:color w:val="404040" w:themeColor="text1" w:themeTint="BF"/>
    </w:rPr>
  </w:style>
  <w:style w:type="paragraph" w:styleId="ListParagraph">
    <w:name w:val="List Paragraph"/>
    <w:basedOn w:val="Normal"/>
    <w:uiPriority w:val="34"/>
    <w:qFormat/>
    <w:rsid w:val="007E1155"/>
    <w:pPr>
      <w:ind w:left="720"/>
      <w:contextualSpacing/>
    </w:pPr>
  </w:style>
  <w:style w:type="character" w:styleId="IntenseEmphasis">
    <w:name w:val="Intense Emphasis"/>
    <w:basedOn w:val="DefaultParagraphFont"/>
    <w:uiPriority w:val="21"/>
    <w:qFormat/>
    <w:rsid w:val="007E1155"/>
    <w:rPr>
      <w:i/>
      <w:iCs/>
      <w:color w:val="0F4761" w:themeColor="accent1" w:themeShade="BF"/>
    </w:rPr>
  </w:style>
  <w:style w:type="paragraph" w:styleId="IntenseQuote">
    <w:name w:val="Intense Quote"/>
    <w:basedOn w:val="Normal"/>
    <w:next w:val="Normal"/>
    <w:link w:val="IntenseQuoteChar"/>
    <w:uiPriority w:val="30"/>
    <w:qFormat/>
    <w:rsid w:val="007E11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1155"/>
    <w:rPr>
      <w:i/>
      <w:iCs/>
      <w:color w:val="0F4761" w:themeColor="accent1" w:themeShade="BF"/>
    </w:rPr>
  </w:style>
  <w:style w:type="character" w:styleId="IntenseReference">
    <w:name w:val="Intense Reference"/>
    <w:basedOn w:val="DefaultParagraphFont"/>
    <w:uiPriority w:val="32"/>
    <w:qFormat/>
    <w:rsid w:val="007E1155"/>
    <w:rPr>
      <w:b/>
      <w:bCs/>
      <w:smallCaps/>
      <w:color w:val="0F4761" w:themeColor="accent1" w:themeShade="BF"/>
      <w:spacing w:val="5"/>
    </w:rPr>
  </w:style>
  <w:style w:type="paragraph" w:styleId="Header">
    <w:name w:val="header"/>
    <w:basedOn w:val="Normal"/>
    <w:link w:val="HeaderChar"/>
    <w:uiPriority w:val="99"/>
    <w:unhideWhenUsed/>
    <w:rsid w:val="007E1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155"/>
  </w:style>
  <w:style w:type="paragraph" w:styleId="Footer">
    <w:name w:val="footer"/>
    <w:basedOn w:val="Normal"/>
    <w:link w:val="FooterChar"/>
    <w:uiPriority w:val="99"/>
    <w:unhideWhenUsed/>
    <w:qFormat/>
    <w:rsid w:val="007E1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155"/>
  </w:style>
  <w:style w:type="paragraph" w:styleId="NormalWeb">
    <w:name w:val="Normal (Web)"/>
    <w:basedOn w:val="Normal"/>
    <w:uiPriority w:val="99"/>
    <w:semiHidden/>
    <w:unhideWhenUsed/>
    <w:rsid w:val="007E11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20B1DC9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886507">
      <w:bodyDiv w:val="1"/>
      <w:marLeft w:val="0"/>
      <w:marRight w:val="0"/>
      <w:marTop w:val="0"/>
      <w:marBottom w:val="0"/>
      <w:divBdr>
        <w:top w:val="none" w:sz="0" w:space="0" w:color="auto"/>
        <w:left w:val="none" w:sz="0" w:space="0" w:color="auto"/>
        <w:bottom w:val="none" w:sz="0" w:space="0" w:color="auto"/>
        <w:right w:val="none" w:sz="0" w:space="0" w:color="auto"/>
      </w:divBdr>
    </w:div>
    <w:div w:id="1261061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14.png"/></Relationships>
</file>

<file path=word/_rels/header1.xml.rels><?xml version="1.0" encoding="UTF-8" standalone="yes"?>
<Relationships xmlns="http://schemas.openxmlformats.org/package/2006/relationships"><Relationship Id="rId1" Type="http://schemas.openxmlformats.org/officeDocument/2006/relationships/image" Target="media/image1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C28B7E3E7B4CBCB936F84B403C5B66"/>
        <w:category>
          <w:name w:val="General"/>
          <w:gallery w:val="placeholder"/>
        </w:category>
        <w:types>
          <w:type w:val="bbPlcHdr"/>
        </w:types>
        <w:behaviors>
          <w:behavior w:val="content"/>
        </w:behaviors>
        <w:guid w:val="{5CE8E4AF-E846-4438-B8C4-F20332C9D694}"/>
      </w:docPartPr>
      <w:docPartBody>
        <w:p w:rsidR="00383FD8" w:rsidRDefault="00383FD8" w:rsidP="00383FD8">
          <w:pPr>
            <w:pStyle w:val="C4C28B7E3E7B4CBCB936F84B403C5B66"/>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FD8"/>
    <w:rsid w:val="00383FD8"/>
    <w:rsid w:val="005D7268"/>
    <w:rsid w:val="00D94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C28B7E3E7B4CBCB936F84B403C5B66">
    <w:name w:val="C4C28B7E3E7B4CBCB936F84B403C5B66"/>
    <w:rsid w:val="00383F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85EC486DCD6D4E957F9A81D80ECDEC" ma:contentTypeVersion="10" ma:contentTypeDescription="Create a new document." ma:contentTypeScope="" ma:versionID="5db8dffeded354ee0bfc9b54805754d0">
  <xsd:schema xmlns:xsd="http://www.w3.org/2001/XMLSchema" xmlns:xs="http://www.w3.org/2001/XMLSchema" xmlns:p="http://schemas.microsoft.com/office/2006/metadata/properties" xmlns:ns2="144d8b64-20a1-4713-876a-872c4c608b2e" targetNamespace="http://schemas.microsoft.com/office/2006/metadata/properties" ma:root="true" ma:fieldsID="dfca8040a2c714571dd52edd0674f329" ns2:_="">
    <xsd:import namespace="144d8b64-20a1-4713-876a-872c4c608b2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4d8b64-20a1-4713-876a-872c4c608b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144d8b64-20a1-4713-876a-872c4c608b2e">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95B24E-64EC-4143-9DAF-F5D661916F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4d8b64-20a1-4713-876a-872c4c608b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D0AE4C-48DF-468B-A7D9-7AD26F9511CD}">
  <ds:schemaRefs>
    <ds:schemaRef ds:uri="http://schemas.microsoft.com/office/2006/metadata/properties"/>
    <ds:schemaRef ds:uri="http://schemas.microsoft.com/office/infopath/2007/PartnerControls"/>
    <ds:schemaRef ds:uri="144d8b64-20a1-4713-876a-872c4c608b2e"/>
  </ds:schemaRefs>
</ds:datastoreItem>
</file>

<file path=customXml/itemProps3.xml><?xml version="1.0" encoding="utf-8"?>
<ds:datastoreItem xmlns:ds="http://schemas.openxmlformats.org/officeDocument/2006/customXml" ds:itemID="{FB4C0C88-D5B1-4318-99A5-BA1CCCAE17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1103</Words>
  <Characters>6293</Characters>
  <Application>Microsoft Office Word</Application>
  <DocSecurity>0</DocSecurity>
  <Lines>52</Lines>
  <Paragraphs>14</Paragraphs>
  <ScaleCrop>false</ScaleCrop>
  <Company/>
  <LinksUpToDate>false</LinksUpToDate>
  <CharactersWithSpaces>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Max</dc:creator>
  <cp:keywords/>
  <dc:description/>
  <cp:lastModifiedBy>Eleanor Black</cp:lastModifiedBy>
  <cp:revision>2</cp:revision>
  <dcterms:created xsi:type="dcterms:W3CDTF">2025-05-08T14:16:00Z</dcterms:created>
  <dcterms:modified xsi:type="dcterms:W3CDTF">2025-05-08T14:16:00Z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0x0101005585EC486DCD6D4E957F9A81D80ECDEC</vt:lpwstr>
  </property>
  <property fmtid="{D5CDD505-2E9C-101B-9397-08002B2CF9AE}" pid="3" name="MediaServiceImageTags">
    <vt:lpwstr/>
  </property>
</Properties>
</file>